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https://www.agcm.it/dotcmsdoc/bollettini/2022/15-22.pdf</w:t>
      </w:r>
    </w:p>
    <w:p>
      <w:r>
        <w:t>Pages translated : 69</w:t>
      </w:r>
    </w:p>
    <w:p/>
    <w:p>
      <w:r>
        <w:rPr>
          <w:b/>
        </w:rPr>
        <w:t>[Pages 1–3]</w:t>
      </w:r>
    </w:p>
    <w:p>
      <w:r>
        <w:t>Bulletin</w:t>
        <w:br/>
        <w:t>Weekly</w:t>
        <w:br/>
        <w:t>Year XXXII - No. 15</w:t>
        <w:br/>
        <w:t>Published on the website www.agcm.it</w:t>
        <w:br/>
        <w:t>April 26, 2022</w:t>
      </w:r>
    </w:p>
    <w:p>
      <w:r>
        <w:t>SUMMARY</w:t>
        <w:br/>
        <w:t>AGREEMENTS AND ABUSE OF DOMINANT POSITION 5</w:t>
        <w:br/>
        <w:t>I847 - TENDER PROCEDURES ANNOUNCED BY THE TARANTO NAVAL ARSENAL</w:t>
        <w:br/>
        <w:t>Decision No. 30105 5</w:t>
        <w:br/>
        <w:t>I855 - DISCOUNTS PHARMACIES OF ALTAMURA</w:t>
        <w:br/>
        <w:t>Decision No. 30106 7</w:t>
        <w:br/>
        <w:t>CONCENTRATION OPERATIONS 9</w:t>
        <w:br/>
        <w:t>C12435 - CASALASCO SOCIETÀ AGRICOLA/EMILIANA CONSERVE SOCIETÀ AGRICOLA</w:t>
        <w:br/>
        <w:t>Decision No. 30102 9</w:t>
        <w:br/>
        <w:t>C12437 - A2A/4NEW-3NEW &amp; PARTNERS</w:t>
        <w:br/>
        <w:t>Decision No. 30103 12</w:t>
        <w:br/>
        <w:t>ACTIVITIES OF REPORTING AND CONSULTATION 17</w:t>
        <w:br/>
        <w:t>AS1826 - LAZIO REGION - IMPLEMENTATION OF THE REGULATIONS ON TATTOOING</w:t>
        <w:br/>
        <w:t>AND PIERCING ACTIVITIES 17</w:t>
        <w:br/>
        <w:t>AS1827 – MARCHE REGION - RAIL TRANSPORT SERVICE FOR TOURISM PURPOSES 18</w:t>
        <w:br/>
        <w:t>AS1828 - MANAGEMENT AND USE OF THE ELECTROMAGNETIC SPECTRUM BY ARPA 21</w:t>
        <w:br/>
        <w:t>UNFAIR COMMERCIAL PRACTICES 26</w:t>
        <w:br/>
        <w:t>PS12046 - ENNE ENERGIA-COMMERCIAL OFFERS</w:t>
        <w:br/>
        <w:t>Decision No. 30107 26</w:t>
        <w:br/>
        <w:t>PS12149 - UFO ECOBIKE</w:t>
        <w:br/>
        <w:t>Decision No. 30108 40</w:t>
        <w:br/>
        <w:t>PS12081 - SASI/TWO-YEAR PRESCRIPTION WATER SECTOR</w:t>
        <w:br/>
        <w:t>Decision No. 30109 53</w:t>
        <w:br/>
        <w:t>VARIOUS 69</w:t>
        <w:br/>
        <w:t>FINAL ACCOUNT FOR THE 2021 FINANCIAL YEAR</w:t>
        <w:br/>
        <w:t>Decision No. 30085 69</w:t>
      </w:r>
    </w:p>
    <w:p>
      <w:r>
        <w:t>BULLETIN NO. 15 OF APRIL 26, 2022 5</w:t>
        <w:br/>
        <w:t>AGREEMENTS AND ABUSE OF DOMINANT POSITION</w:t>
        <w:br/>
        <w:t>I847 - TENDER PROCEDURES ANNOUNCED BY THE TARANTO NAVAL ARSENAL</w:t>
        <w:br/>
        <w:t>Decision No. 30105</w:t>
        <w:br/>
        <w:t>THE ANTITRUST AUTHORITY</w:t>
        <w:br/>
        <w:t>IN ITS MEETING of April 5, 2022;</w:t>
        <w:br/>
        <w:t>HEARD the Rapporteur Professor Michele Ainis;</w:t>
        <w:br/>
        <w:t>HAVING REGARD to Article 101 of the Treaty on the Functioning of the European Union (hereinafter TFEU);</w:t>
        <w:br/>
        <w:t>HAVING REGARD to Regulation No. 1/2003 of the Council of December 16, 2002, concerning the application</w:t>
        <w:br/>
        <w:t>of the competition rules laid down in Articles 81 and 82 of the EC Treaty (now 101 and 102 TFEU);</w:t>
        <w:br/>
        <w:t>HAVING REGARD to Law No. 287 of October 10, 1990;</w:t>
        <w:br/>
        <w:t>HAVING REGARD to the Presidential Decree No. 217 of April 30, 1998;</w:t>
        <w:br/>
        <w:t>HAVING REGARD to its resolution of July 13, 2021, No. 29759, which initiated an investigation pursuant to</w:t>
        <w:br/>
        <w:t>Article 14 of Law No. 287/90, against the companies Co.m.e.r.i.n. S.r.l., COMES S.p.A.,</w:t>
        <w:br/>
        <w:t>Electra S.r.l., IMET di IAIA Pierpaolo, Manutenzione Impianti e Bonifiche Meridionali S.r.l., Maren</w:t>
        <w:br/>
        <w:t>S.r.l., Officine Jolly S.r.l., Omega Engineering Marine S.r.l., Ricerca, Innovazione, Tecnologie</w:t>
        <w:br/>
        <w:t>(R.I.T.) S.r.l., Technomont Taranto S.r.l., TPS Taranto S.r.l., S.I.P.L.E.S S.r.l., Consorzio Chio.me,</w:t>
        <w:br/>
        <w:t>Chiome S.r.l. and Consorzio Navalmeccanico Taranto C.N.T., to ascertain the existence, at least since</w:t>
        <w:br/>
        <w:t>2018, of a collusive agreement among these companies, which limited competitive confrontation in</w:t>
        <w:br/>
        <w:t>participating in a series of tender procedures announced by the Taranto Arsenal, in violation of</w:t>
        <w:br/>
        <w:t>Article 101 TFEU;</w:t>
        <w:br/>
        <w:t>HAVING REGARD to the documents of the proceeding and, in particular, the elements acquired during the</w:t>
        <w:br/>
        <w:t>hearing of February 8 of the individual firm IMET di IAIA Pierpaolo;</w:t>
        <w:br/>
        <w:t>CONSIDERING that in the tenders announced by the Taranto Arsenal, which are the subject of the</w:t>
        <w:br/>
        <w:t>proceeding, as represented by IMET di IAIA Pierpaolo, IMET S.r.l. also participated, individually and/or in</w:t>
        <w:br/>
        <w:t>ATI, which, at the time of the facts, was owned and managed by the same partner and sole director of</w:t>
        <w:br/>
        <w:t>IMET di IAIA Pierpaolo;</w:t>
        <w:br/>
        <w:t>THEREFORE CONSIDERED necessary to extend the investigation subjectively to the company IMET</w:t>
        <w:br/>
        <w:t>S.r.l.;</w:t>
        <w:br/>
        <w:t>RESOLVES</w:t>
        <w:br/>
        <w:t>a) to extend the subject matter of proceeding I847, initiated on July 13, 2021, to the company</w:t>
        <w:br/>
        <w:t>IMET S.r.l.;</w:t>
        <w:br/>
        <w:t>b) that the person responsible for the proceeding is Dr. Federica Manca;</w:t>
      </w:r>
    </w:p>
    <w:p>
      <w:r>
        <w:rPr>
          <w:b/>
        </w:rPr>
        <w:t>[Pages 4–6]</w:t>
      </w:r>
    </w:p>
    <w:p>
      <w:r>
        <w:t>6 BULLETIN NO. 15 OF APRIL 26, 2022</w:t>
        <w:br/>
        <w:t>c) the setting of a term of thirty days, starting from the notification of this provision for the exercise, by the legal representatives of IMET S.r.l. or by persons delegated by them, of the right to be heard, specifying that the request for a hearing must be received by the Manufacturing and Services Directorate of this Authority at least fifteen days before the expiration of the above-mentioned term;</w:t>
        <w:br/>
        <w:t>d) that the documents of the proceeding can be viewed at the Manufacturing and Services Directorate of this Authority by the legal representatives of IMET S.r.l. or by persons delegated by them.</w:t>
        <w:br/>
        <w:t>This provision will be notified to the interested parties and published in the Bulletin of the Antitrust Authority.</w:t>
        <w:br/>
        <w:t>THE SECRETARY GENERAL THE PRESIDENT</w:t>
        <w:br/>
        <w:t>Guido Stazi Roberto Rustichelli</w:t>
      </w:r>
    </w:p>
    <w:p>
      <w:r>
        <w:t>BULLETIN NO. 15 OF APRIL 26, 2022 7</w:t>
        <w:br/>
        <w:t>I855 - DISCOUNTS PHARMACIES OF ALTAMURA</w:t>
        <w:br/>
        <w:t>Provision No. 30106</w:t>
        <w:br/>
        <w:t>THE ANTITRUST AUTHORITY</w:t>
        <w:br/>
        <w:t>IN ITS MEETING of April 5, 2022;</w:t>
        <w:br/>
        <w:t>HEARD the Rapporteur, President Roberto Rustichelli;</w:t>
        <w:br/>
        <w:t>VIEWED Law No. 287 of October 10, 1990;</w:t>
        <w:br/>
        <w:t>VIEWED Presidential Decree No. 217 of April 30, 1998;</w:t>
        <w:br/>
        <w:t>VIEWED its resolution adopted on October 19, 2021, with which an investigation was initiated, pursuant to Article 14 of Law No. 287/90, to ascertain the existence of alleged violations of Article 2 of Law No. 287 of October 10, 1990 against the Interprovincial Order of Pharmacists of Bari-Barletta-Andria-Trani (hereinafter also referred to as the “interprovincial Order”) and sixteen pharmacies located in the municipality of Altamura: Farmacia D’Alessandro of Dr. Flavia D’Alessandro, Farmacia Calia of Dr. Isalba Calia, Farmacia Dambrosio of Dr. Vincenzo Dambrosio; Farmacia Giordano of Dr. Maria Giordano, Farmacia Chierico - Dr. Letizia Grandolfo; Farmacia Grassano of Dr. Rocco Innocenzo Grassano; Farmacia Maggi of Dr. Nicola Maggi; Farmacia Oreste of Dr. Rosa Oreste; Farmacia Pignatelli of Dr. Giuseppe Pignatelli; Farmacia Comunale – Crocetta of Dr. Riccardo Crocetta; Farmacia Verdoni of Antonio Verdoni; Farmacia Tricarico of Dr. Francesco Tricarico; Farmacia Casiello A. e G. S.n.c.; Farmacia San Giovanni Bosco S.n.c. of Dr. Lilia Sperandio and Dr. Massimiliano Ziccardi, Farmacia Vicenti of Dr. Elisabetta Vicenti and Farmacia Miolla of Dr. Luigi Miolla;</w:t>
        <w:br/>
        <w:t>VIEWED the documentation acquired during the investigation;</w:t>
        <w:br/>
        <w:t>VIEWED the submissions presented on November 18, 2021, by Dr. Riccardo Crocetta and, on December 10, 2021, by “Farmacia Ridola,” in the person of the legal representative pro tempore of Faralta S.r.l., as well as the subsequent clarifications regarding the latter company, received on March 7, 2022;</w:t>
        <w:br/>
        <w:t>CONSIDERING that from the information and documentation on file it emerged that: i. in the initiation provision, the “Farmacia Comunale - Crocetta of Dr. Riccardo Crocetta” was erroneously identified as a Party to the proceeding, as the Farmacia Comunale of Altamura - of which Dr. Riccardo Crocetta was Director until 2017 - is owned by the company Faralta S.r.l., since its establishment1; ii. Dr. Riccardo Crocetta was a private partner of the mixed company Faralta S.r.l. and Director of the Farmacia Comunale of Altamura from May 9, 20082 to November 23, 2017, the date on which he sold his share and transferred his role to Dr. Francesco Ridola (now sole partner and administrator of the company as well as director of the pharmacy, renamed “Ridola”)3;</w:t>
        <w:br/>
        <w:t>1 With resolution No. 22 of May 2, 2006, the Municipality of Altamura approved the establishment of a mixed company, “Farmacie Comunali di Altamura S.r.l.” abbreviated as “Faralta S.r.l.” for the exclusive management of the newly established municipal pharmacy, composed of a public majority partner, the Municipality of Altamura (51%) and a private minority partner identified through a public tender, Dr. Riccardo Crocetta (49%).</w:t>
        <w:br/>
        <w:t>2 Date of the conclusion of the service contract between the Municipality of Altamura and the company Faralta S.r.l..</w:t>
        <w:br/>
        <w:t>3 With resolution No. 20 of April 19, 2017, the Municipality of Altamura announced a public auction for the sale of 50.5% of its shares and Dr. Francesco Ridola was the winning bidder of the auction. The transfer of shares was formalized with the notarial deed of November 10, 2017. Subsequently, with the notarial deed of November 23, 2017, the minority partner Dr. Riccardo Crocetta transferred his 49% to Dr. Francesco Ridola. Finally, with the notarial deed of May 22, 2018, the Municipality of Altamura transferred the remaining 0.5% of shares to Dr. Ridola, who thus became the sole partner of Faralta S.r.l..</w:t>
        <w:br/>
        <w:t>8 BULLETIN NO. 15 OF APRIL 26, 2022</w:t>
        <w:br/>
        <w:t>CONSIDERING it necessary to extend the investigation also to the company Faralta S.r.l. - owner of the Farmacia Comunale of Altamura - not currently a party to the proceeding;</w:t>
        <w:br/>
        <w:t>DELIBERATES</w:t>
        <w:br/>
        <w:t>a) to extend the proceeding, initiated on October 19, 2021, against Faralta S.r.l.;</w:t>
        <w:br/>
        <w:t>b) that the deadline for concluding the proceeding is December 31, 2022;</w:t>
        <w:br/>
        <w:t>c) that the responsible official for the proceeding is Dr. Caterina Scarsi;</w:t>
        <w:br/>
        <w:t>d) the setting of a term of thirty days, starting from the date of notification of this provision, for the exercise, by the legal representatives of Faralta S.r.l., or by persons delegated by them, of the right to be heard, specifying that the request for a hearing must be received by the Agro-food, Pharmaceutical and Transport Directorate of the Directorate General for Competition of this Authority at least seven days before the expiration of the above-mentioned term;</w:t>
        <w:br/>
        <w:t>e) that the documents of the proceeding can be viewed at the Agro-food, Pharmaceutical and Transport Directorate of the Directorate General for Competition of this Authority by the legal representatives of Faralta S.r.l. or by persons delegated by them.</w:t>
        <w:br/>
        <w:t>This provision will be notified to the interested parties and published in the Bulletin of the Antitrust Authority.</w:t>
        <w:br/>
        <w:t>THE SECRETARY GENERAL THE PRESIDENT</w:t>
        <w:br/>
        <w:t>Guido Stazi Roberto Rustichelli</w:t>
      </w:r>
    </w:p>
    <w:p>
      <w:r>
        <w:rPr>
          <w:b/>
        </w:rPr>
        <w:t>[Pages 7–9]</w:t>
      </w:r>
    </w:p>
    <w:p>
      <w:r>
        <w:t>BULLETIN NO. 15 OF APRIL 26, 2022 9</w:t>
        <w:br/>
        <w:t>CONCENTRATION OPERATIONS</w:t>
        <w:br/>
        <w:t>C12435 - CASALASCO SOCIETÀ AGRICOLA/EMILIANA CONSERVE SOCIETÀ AGRICOLA</w:t>
        <w:br/>
        <w:t>Provision No. 30102</w:t>
        <w:br/>
        <w:t>THE ANTITRUST AUTHORITY</w:t>
        <w:br/>
        <w:t>IN ITS MEETING of April 5, 2022;</w:t>
        <w:br/>
        <w:t>HEARD the Rapporteur Professor Elisabetta Iossa;</w:t>
        <w:br/>
        <w:t>HAVING REGARD to Law No. 287 of October 10, 1990;</w:t>
        <w:br/>
        <w:t>HAVING REGARD to Presidential Decree No. 217 of April 30, 1998;</w:t>
        <w:br/>
        <w:t>HAVING REGARD to the communication made by Casalasco Società Agricola S.p.A., received on March 11, 2022 and supplemented on March 17, 2022;</w:t>
        <w:br/>
        <w:t>CONSIDERING the following:</w:t>
        <w:br/>
        <w:t>I. THE PARTIES</w:t>
        <w:br/>
        <w:t>1. Casalasco Società Agricola S.p.A. (hereinafter also Casalasco) is a company active in the production of tomatoes and products derived from them, such as sauces, pulps, concentrates, sauces, and ketchup. It produces both for its multinational clients and for its own brands Pomì, De Rica, and Victoria. In 2021, Casalasco generated a turnover of approximately [100-511]* million euros in Italy.</w:t>
        <w:br/>
        <w:t>The share capital of Casalasco is currently held 51% by agricultural companies - through the Casalasco del Pomodoro Società Agricola Cooperativa (“CCdP”) and CCdP Holding S.p.A. (hereinafter CCdP Holding, participated by the agricultural companies adhering to the Consortium and by CCdP itself) - and 49% by QuattroR SGR S.p.A. (hereinafter QuattroR), a private equity fund that promotes the development of medium-large Italian companies. Based on the governance rules of the company, CCdP and CCdP Holding, on one side, and QuattroR, on the other side, jointly control Casalasco.</w:t>
        <w:br/>
        <w:t>The total revenue generated in 2021 by Casalasco and the companies that control it was approximately [511-700] million euros.</w:t>
        <w:br/>
        <w:t>2. Emiliana Conserve Società Agricola S.p.A. (hereinafter also Emiliana Conserve) is a company active in the processing and transformation of tomatoes, particularly specialized in the production of tomato derivatives (sauces, pulps, concentrates, and, to a lesser extent, sauces) for third-party brands. It is not controlled by another entity, as its share capital is held: approximately 28% by agricultural producer organizations; approximately 27% by individual agricultural companies; approximately 12% by other companies operating in the tomato supply chain; approximately 6% by employees; and the remaining * In this version, some data are omitted, as there are elements of confidentiality or secrecy of the information.</w:t>
      </w:r>
    </w:p>
    <w:p>
      <w:r>
        <w:t>10 BULLETIN NO. 15 OF APRIL 26, 2022</w:t>
        <w:br/>
        <w:t>approximately 37% by other types of shareholders. The company achieved a turnover of approximately [31-100] million euros in Italy in 2021.</w:t>
        <w:br/>
        <w:t>II. DESCRIPTION OF THE OPERATION</w:t>
        <w:br/>
        <w:t>3. The communicated operation consists of the acquisition of 73.86% of the share capital and, thereby, the exclusive control of Emiliana Conserve by Casalasco.</w:t>
        <w:br/>
        <w:t>4. Based on the purchase offer submitted by Casalasco, accepted by the 15 entities that currently and jointly hold this 73.86% stake, the sales contract will also contain a non-compete clause for the sellers, "compatible with legal terms," which will be defined in the course of negotiations.</w:t>
        <w:br/>
        <w:t>III. QUALIFICATION OF THE OPERATION</w:t>
        <w:br/>
        <w:t>5. The communicated operation constitutes a concentration pursuant to Article 5, paragraph 1, letter b), of Law No. 287/90, as it involves the acquisition of control of a company. It is subject to the obligation of prior notification provided for by Article 16, paragraph 1, of Law No. 287/90 (as amended by Article 1, paragraph 177, of Law No. 124 of August 4, 2017, in force since August 29, 2017), as the total turnover achieved in the last financial year at the national level by the companies involved exceeded 511 million euros and as the total turnover achieved individually at the national level by at least two of the companies involved exceeded 31 million euros.</w:t>
        <w:br/>
        <w:t>6. The non-compete clause signed within the sales contract, not yet defined in its contents, does not fall within the scope of this assessment.</w:t>
        <w:br/>
        <w:t>IV. EVALUATION OF THE OPERATION</w:t>
        <w:br/>
        <w:t>IV.1. The relevant markets</w:t>
        <w:br/>
        <w:t>7. The sector concerned by this operation is that related to the processing, production, and marketing of tomato preserves, which includes the segments of peeled tomatoes, pulp, passata, enriched (i.e., ready-made sauces based on tomato pulp), and concentrate.</w:t>
        <w:br/>
        <w:t>8. According to established practice of the Authority1, the above-described sector represents a single product market, considering consumer usage habits and, in particular, the fact that all products belonging to the different segments are used as a base element for the preparation of condiments, more or less elaborate, for pasta and other food dishes, and in such use, they do not have direct industrial substitutes. In any case, even if one were to consider each segment as a distinct relevant market, the assessment of this operation would not change.</w:t>
        <w:br/>
        <w:t>9. From a geographical perspective, the relevant market has a national dimension, considering the specificity of national consumption patterns and the fact that Italian consumption is almost exclusively satisfied by national production.</w:t>
        <w:br/>
        <w:t>1 See, inter alia, C12275 - BARILLA G. E R. FRATELLI/ITALIAN FOOD, Provision No. 28084 of January 14, 2020; C11269 - VALSOIA/J&amp;T, Provision No. 22886 of October 12, 2011; C8533 - Consorzio Casalasco del pomodoro/Ramo d’azienda di Boschi Luigi &amp; Figli, Provision No. 16928 of June 7, 2007.</w:t>
      </w:r>
    </w:p>
    <w:p>
      <w:r>
        <w:t>BULLETIN NO. 15 OF APRIL 26, 2022 11</w:t>
        <w:br/>
        <w:t>IV.2. The effects of the operation</w:t>
        <w:br/>
        <w:t>10. The Parties have estimated that the overlap between the volume shares of the Parties in the production and sale of tomato preserves is below 15%, with Casalasco's production share being [5-10%] and Emiliana Conserve's share being [1-5%]. In any case, since Emiliana Conserve exclusively produces tomato preserves sold under third-party brands, the operation does not produce overlap in the sales of the Parties under their own brand.</w:t>
        <w:br/>
        <w:t>11. In the same market, there are also numerous and qualified competitors active with their own brands, including Mutti, with a share of [20-25%], Barilla, with a share of approximately [5-10%], and the GDO with its private labels, which together account for approximately 30%.</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provision will be published in the Bulletin of the Antitrust Authority.</w:t>
        <w:br/>
        <w:t>THE SECRETARY GENERAL THE PRESIDENT</w:t>
        <w:br/>
        <w:t>Guido Stazi Roberto Rustichelli</w:t>
      </w:r>
    </w:p>
    <w:p>
      <w:r>
        <w:rPr>
          <w:b/>
        </w:rPr>
        <w:t>[Pages 10–12]</w:t>
      </w:r>
    </w:p>
    <w:p>
      <w:r>
        <w:t>12 BULLETIN NO. 15 OF APRIL 26, 2022</w:t>
        <w:br/>
        <w:t>C12437 - A2A/4NEW-3NEW &amp; PARTNERS</w:t>
        <w:br/>
        <w:t>Decision No. 30103</w:t>
        <w:br/>
        <w:t>THE ANTITRUST AUTHORITY</w:t>
        <w:br/>
        <w:t>IN ITS MEETING of April 5, 2022;</w:t>
        <w:br/>
        <w:t>HEARD the Rapporteur Professor Elisabetta Iossa;</w:t>
        <w:br/>
        <w:t>HAVING REGARD to Law No. 287 of October 10, 1990;</w:t>
        <w:br/>
        <w:t>HAVING REGARD to the Presidential Decree No. 217 of April 30, 1998;</w:t>
        <w:br/>
        <w:t>HAVING REGARD to the communication from A2A S.p.A., received on March 17, 2022;</w:t>
        <w:br/>
        <w:t>HAVING REGARD to the documentation on file;</w:t>
        <w:br/>
        <w:t>CONSIDERED the following:</w:t>
        <w:br/>
        <w:t>I. THE PARTIES</w:t>
        <w:br/>
        <w:t>1. A2A S.p.A. (“A2A”) is the publicly traded multi-utility company at the head of the eponymous corporate group, active in Italy and Europe primarily in the sectors of electricity (wholesale supply, production, distribution, sales), natural gas (wholesale supply, transport, distribution, sales), integrated water services, waste management and disposal, street cleaning, cogeneration and heating, heat management, facility management as well as in other services (public lighting, traffic regulation, video surveillance systems and votive lamps, internet services and data supply). A2A is jointly controlled by the municipalities of Milan and Brescia, each holding 25% of the capital. The A2A group achieved a global turnover of approximately 6.9 billion euros in 2020, of which approximately [5-6]* was achieved in Italy.</w:t>
        <w:br/>
        <w:t>2. 3New &amp; Partners S.r.l. (“3New&amp;P”), through some controlled companies, conducts its business in the renewable energy sector, where it operates as a producer and developer through wind farms in Italy. In particular, 3New&amp;P holds nine wind farms (one through the company Mimiani Wind S.r.l., of which 3New&amp;P holds exclusive control, eight through the company Daunia Wind S.r.l., of which 3New&amp;P holds joint control). These plants produce electricity that is resold on the national grid. The share capital of 3New&amp;P is held 50% by Finavias S.à r.l. (an investment fund based in Luxembourg) and 50% by the company 3New S.r.l., ultimately both controlled by the private equity fund Ardian. The revenue achieved by 3New&amp;P in 2020 was approximately [31-100] million euros, of which [31-100] was achieved in Italy.</w:t>
        <w:br/>
        <w:t>3. 4New S.r.l. (“4New”, together with 3New&amp;P, the “Target Companies” and in turn, together with A2A, the “Parties”), through some controlled companies, also conducts its business in the renewable energy sector, where it operates as a producer and developer through wind and photovoltaic plants in Italy and, to a lesser extent, in Spain. In particular, 4New holds 100% of the share capital of four companies active in Italy in the market for the production and wholesale supply of electricity (4New Monte Grighine S.r.l., De Stern 12 S.r.l., STCS S.r.l., and Cerveteri Energia S.r.l.). The revenue achieved by 4New in 2020 was approximately [10-31] million euros, of which [10-31] was achieved in Italy.</w:t>
        <w:br/>
        <w:t>II. DESCRIPTION OF THE OPERATION</w:t>
        <w:br/>
        <w:t>4. The communication in question concerns the acquisition of exclusive control by A2A of the entire share capital of 3New&amp;P (and, indirectly, of its subsidiaries, some exclusively, others jointly) and 4New (and, indirectly, of its subsidiaries) (“Operation”). As a result of the Operation, therefore, A2A will exclusively control directly the Target Companies and indirectly, exclusively or jointly, the companies in which they participate. The notifying Party has represented that the Operation constitutes a single concentration, as the acquisitions of the Target Companies are linked by a conditional constraint consisting of contractual clauses that mutually condition the two acquisitions.</w:t>
        <w:br/>
        <w:t>III. QUALIFICATION OF THE OPERATION</w:t>
        <w:br/>
        <w:t>5. The notified acquisitions, being linked by a conditional constraint, constitute a single operation. The notified operation, as it involves the acquisition of control of multiple companies, constitutes a concentration pursuant to Article 5, paragraph 1, letter b), of Law No. 287/90. It falls within the scope of application of Law No. 287/90 as the conditions of Article 1 of Regulation (EC) No. 139/04 do not apply, and it is subject to the obligation of prior notification provided for by Article 16, paragraph 1, of the same law as the total revenue achieved, in the last financial year at the national level, by the group of interested companies was over 511 million euros and the total revenue achieved individually, in the last financial year at the national level, by at least two of the interested companies was over 31 million euros.</w:t>
        <w:br/>
        <w:t>4New also holds direct and indirect control of four companies active in electricity production in Spain.</w:t>
        <w:br/>
        <w:t>4 See Consolidated Communication of the Commission on the criteria for jurisdiction under Regulation (EC) No. 139/2004 of the Council concerning the control of concentrations between undertakings (2008/C 95/01), § 43.</w:t>
        <w:br/>
        <w:t>5 The concentration was notified prior to the recent amendment of the turnover thresholds, effective March 21, 2022. The amendment of the thresholds does not impact the obligation to notify the Operation.</w:t>
      </w:r>
    </w:p>
    <w:p>
      <w:r>
        <w:t>14 BULLETIN NO. 15 OF APRIL 26, 2022</w:t>
        <w:br/>
        <w:t>IV. ASSESSMENT OF THE CONCENTRATION</w:t>
        <w:br/>
        <w:t>The relevant markets and the effects of the Operation</w:t>
        <w:br/>
        <w:t>6. Due to the activities of the acquired companies, the markets involved in the Operation are: i) the market for the production and wholesale supply of electricity; ii) the market for the production and marketing of certificates of origin.</w:t>
        <w:br/>
        <w:t>i. The market for the production and wholesale supply of electricity</w:t>
        <w:br/>
        <w:t>7. According to the decision-making practice of the Authority, this market includes both the production and wholesale supply of electricity, regardless of the source of production. The market for the production and wholesale supply of electricity includes both forward transactions and spot transactions (so-called "day-ahead market - MGP" and "intra-day market - MI") concluded through the platforms managed by the Energy Market Operator S.p.A. (“GME”), as well as bilateral contracts (so-called "over-the-counter", "OTC").</w:t>
        <w:br/>
        <w:t>8. As for the geographical dimension of this market, in the practice of the Authority, it is considered supra-regional. More specifically, due to the macro-network constraints that, under certain circumstances, can lead to the separation of the market into different zones, characterized by different equilibrium prices on the MGP, the Authority in its practice identifies four macro-areas constituting four distinct geographical markets: macro-area North, macro-area South, macro-area Sicily, and macro-area Sardinia. In light of the location of the plants belonging to the Target Companies, the latter are active in the market for the production and wholesale supply of electricity in the macro-areas South, Sicily, and Sardinia. Therefore, the following table shows the estimated positions held by the Parties in terms of gross volumes supplied and installed capacity in these macro-areas.</w:t>
        <w:br/>
        <w:t>Macro-area South Macro-area Sicily</w:t>
        <w:br/>
        <w:t>Capacity (2020) Volumes (2020) Capacity (2020) Volumes (2020)</w:t>
        <w:br/>
        <w:t>A2A [5-10%] [5-10%] [10-15%] [1-5%]</w:t>
        <w:br/>
        <w:t>Target</w:t>
        <w:br/>
        <w:t>Company</w:t>
        <w:br/>
        <w:t>[less than 1%] [less than 1%] [less than 1%] [less than 1%]</w:t>
        <w:br/>
        <w:t>TOTAL [5-10%] [5-10%] [10-15%] [1-5%]</w:t>
        <w:br/>
        <w:t>Macro-area Sardinia</w:t>
        <w:br/>
        <w:t>Capacity (2020) Volumes (2020)</w:t>
        <w:br/>
        <w:t>A2A [less than 1%] [less than 1%]</w:t>
        <w:br/>
        <w:t>Target</w:t>
        <w:br/>
        <w:t>Company</w:t>
        <w:br/>
        <w:t>[1-5%] [less than 1%]</w:t>
        <w:br/>
        <w:t>TOTAL [1-5%] [1-5%]</w:t>
        <w:br/>
        <w:t>6 See, for example, AGCM, Decision of October 29, 2021, case C12405 - Enel Produzione/ERG Hydro (in Bulletin No. 45/2021) and Decision of December 22, 2020, case C12339 - Linea Group Holding/Agripower (in Bulletin No. 2/2021).</w:t>
        <w:br/>
        <w:t>7 In particular, the Target Companies hold plants for the production of energy in the following regions: Lazio, Campania, Puglia, Sicily, and Sardinia.</w:t>
      </w:r>
    </w:p>
    <w:p>
      <w:r>
        <w:rPr>
          <w:b/>
        </w:rPr>
        <w:t>[Pages 13–15]</w:t>
      </w:r>
    </w:p>
    <w:p>
      <w:r>
        <w:t>BULLETIN NO. 15 OF APRIL 26, 2022 15</w:t>
      </w:r>
    </w:p>
    <w:p>
      <w:r>
        <w:t>9. As can be observed, the position of the Parties is limited in each of the macro-areas considered (and in any case never exceeding 15%) and the additional contribution represented by the Target Companies appears to have negligible effects8.</w:t>
      </w:r>
    </w:p>
    <w:p>
      <w:r>
        <w:t>ii. The market for the production and marketing of guarantees of origin</w:t>
      </w:r>
    </w:p>
    <w:p>
      <w:r>
        <w:t>10. The Guarantee of Origin (GO) is a certification that attests to the origin from renewable sources of the energy produced by plants qualified as "guarantee of origin plants" (IGO). The quantity of GO that an operator can hold is proportional to the amount of renewable energy it has injected into the market9. The certificates are issued monthly and expire one year after the production of the electricity to which they refer. They serve to prove to the final consumer that a certain amount of the purchased energy was produced from renewable sources.</w:t>
      </w:r>
    </w:p>
    <w:p>
      <w:r>
        <w:t>11. The GOs are certificates that can be transferred separately from the energy for which they were issued. They can, therefore, be traded in the venues provided by the GSE or be subject to free negotiation. As for the geographical scope of this market, in one of its provisions, the European Commission did not exclude a euro-unitary dimension10. The Authority, for its part, in a previous decision, left open the definition of a market of euro-unitary or national scope11. Even in this case, the definition can be left open, as this element does not change the outcome of the assessment. In particular, even limiting the analysis to the national scope alone, the Operation does not appear capable of establishing or strengthening a dominant position, as the acquiring company holds a national market share of [1-5%] and the post-merger increase is less than 1%.</w:t>
      </w:r>
    </w:p>
    <w:p>
      <w:r>
        <w:t>12. In light of all the considerations above, the concentration under examination does not appear capable of establishing or strengthening a dominant position or significantly altering the competitive conditions in the relevant markets.</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w:t>
      </w:r>
    </w:p>
    <w:p>
      <w:r>
        <w:t>8 There are, moreover, larger competitors in the market, see ARERA Annual Report 2020, Fig. 2.1 – Contribution of the largest groups to gross national production.</w:t>
      </w:r>
    </w:p>
    <w:p>
      <w:r>
        <w:t>9 In particular, the Energy Services Manager (“GSE”) issues a GO certificate for each MWh of renewable energy injected into the grid (excluding that for self-consumption) from IGO plants.</w:t>
      </w:r>
    </w:p>
    <w:p>
      <w:r>
        <w:t>10 See M8660 - Fortun/Uniper of June 15, 2018.</w:t>
      </w:r>
    </w:p>
    <w:p>
      <w:r>
        <w:t>11 See AGCM, Provision of October 29, 2021, case C12405, cited.</w:t>
      </w:r>
    </w:p>
    <w:p>
      <w:r>
        <w:t>16 BULLETIN NO. 15 OF APRIL 26, 2022</w:t>
      </w:r>
    </w:p>
    <w:p>
      <w:r>
        <w:t>This provision will be published in the Bulletin of the Competition and Market Authority.</w:t>
      </w:r>
    </w:p>
    <w:p>
      <w:r>
        <w:t>THE SECRETARY GENERAL THE PRESIDENT</w:t>
      </w:r>
    </w:p>
    <w:p>
      <w:r>
        <w:t>Guido Stazi Roberto Rustichelli</w:t>
      </w:r>
    </w:p>
    <w:p>
      <w:r>
        <w:t>BULLETIN NO. 15 OF APRIL 26, 2022 17</w:t>
      </w:r>
    </w:p>
    <w:p>
      <w:r>
        <w:t>ACTIVITY OF REPORTING AND CONSULTATION</w:t>
      </w:r>
    </w:p>
    <w:p>
      <w:r>
        <w:t>AS1826 - LAZIO REGION - IMPLEMENTATION OF THE REGULATIONS ON TATTOOING AND PIERCING ACTIVITIES</w:t>
      </w:r>
    </w:p>
    <w:p>
      <w:r>
        <w:t>Rome, March 17, 2022</w:t>
      </w:r>
    </w:p>
    <w:p>
      <w:r>
        <w:t>Lazio Region</w:t>
      </w:r>
    </w:p>
    <w:p>
      <w:r>
        <w:t>With reference to the request for an opinion formulated pursuant to Article 3, paragraph 3, of Legislative Decree No. 142/2020 by this Administration regarding the proposal for a resolution of the Regional Council containing "Implementing provisions of Article 9, paragraph 1 of L.R. March 3, 2021, No. 2 Provisions relating to tattooing and piercing activities and subsequent amendments and integrations," the Competition and Market Authority, in its meeting of March 15, 2022, observed the following.</w:t>
      </w:r>
    </w:p>
    <w:p>
      <w:r>
        <w:t>In light of the reasons highlighted in the table attached to the request for an opinion, the regulation of the profession of tattoo artist and piercer that the Region intends to introduce appears proportionate to the objectives pursued and non-discriminatory. The cited provisions, as they are essentially aimed at regulating the activity and training of tattoo and/or piercing operators uniformly across the regional territory, in order to protect the health of customers, do not appear capable of introducing unjustified restrictions on competition in the sector in question.</w:t>
      </w:r>
    </w:p>
    <w:p>
      <w:r>
        <w:t>This opinion will be published in the bulletin referred to in Article 26 of Law No. 287/90. Any confidentiality requirements must be expressed within thirty days from the receipt of the opinion, specifying the reasons.</w:t>
      </w:r>
    </w:p>
    <w:p>
      <w:r>
        <w:t>THE PRESIDENT</w:t>
      </w:r>
    </w:p>
    <w:p>
      <w:r>
        <w:t>Roberto Rustichelli</w:t>
      </w:r>
    </w:p>
    <w:p>
      <w:r>
        <w:rPr>
          <w:b/>
        </w:rPr>
        <w:t>[Pages 16–18]</w:t>
      </w:r>
    </w:p>
    <w:p>
      <w:r>
        <w:t>18 BULLETIN NO. 15 OF APRIL 26, 2022</w:t>
        <w:br/>
        <w:t>AS1827 – MARCHE REGION - RAILWAY TRANSPORT SERVICE FOR TOURISM PURPOSES</w:t>
        <w:br/>
        <w:t>Rome, March 17, 2022</w:t>
        <w:br/>
        <w:t>M Marche Region Regional Council Sector</w:t>
        <w:br/>
        <w:t>Single Contracting Station Marche</w:t>
        <w:br/>
        <w:t>In relation to the request for an opinion made by this Contracting Station, received on February 23, 2022, regarding the methods of awarding the railway transport service for tourism purposes1 on the disused route Pergola – Fabriano2, the Authority, in its meeting on March 15, 2022, intended to make the following considerations, pursuant to Article 22 of Law No. 287 of October 10, 1990.</w:t>
        <w:br/>
        <w:t>In its request for an opinion, the Single Contracting Station Marche specifically considered:</w:t>
        <w:br/>
        <w:t>- that it could apply, by analogy, the provisions of Article 5 - Management of tourism transport services and related commercial activities - of Law No. 128/2017, according to which the contracting authority proceeds to publish on its website, for at least thirty days, a specific notice announcing the search for managing entities. After this period, the administration may freely proceed with the award and the definition of the subsequent contract3;</w:t>
        <w:br/>
        <w:t>- that it could proceed - regardless of the notice referred to in the aforementioned Article 5 of Law 128/2017 - to a direct award to Fondazione FS, pursuant to Article 63 of Legislative Decree No. 50/2016, given the absence of competitors in the market. According to information obtained through informal channels, it appears that Fondazione FS is currently the only entity capable of providing mobility services using historical rolling stock that, due to particular technical, aesthetic, and industrial characteristics, is a testament to significant evolutions in the field of national railway transport4,5.</w:t>
        <w:br/>
        <w:t>In this regard, the Authority wishes to remind that, based on the provisions of Legislative Decree No. 50/2016, and as affirmed by established case law from both the Court of Justice and the Council of State6, the recourse to the negotiated procedure is exceptional compared to the obligation of contracting authorities to identify their contractor through competitive comparison, so that the choice of this method requires particular rigor in identifying the justifying conditions, to be interpreted restrictively, and it is the burden of the contracting administration to demonstrate their actual existence. In particular, since it is a derogation, the non-substitutability must be rigorously verified and justified in the contracting resolution of the Administration, evaluating the specific case in light of the characteristics of the potentially affected markets and the dynamics that characterize them - also through preliminary consultations - in full compliance with the principles of economy, effectiveness, timeliness, and correctness as well as the principles of competition, equal treatment, non-discrimination, transparency, and proportionality.</w:t>
        <w:br/>
        <w:t>In this regard, the provisions of Article 66 - Preliminary market consultations - of Legislative Decree No. 50/2016 and, in the case at hand, Article 5 - Management of tourism transport services and related commercial activities - of Law No. 128/2017, referred to by the Marche Region, are relevant. In these cases, the contracting station informs the market, with adequate notice, about its purchasing intentions, inviting economic operators to suggest and demonstrate the possible feasibility of alternative solutions to those that would lead to the conclusion of the existence of a single supplier, in compliance with the principles of transparency and maximum participation, in order not to distort competition7.</w:t>
        <w:br/>
        <w:t>In light of the above, the Authority draws the attention of this Contracting Station to the need to scrupulously verify, also through preliminary market consultations, the existence of the conditions that allow, pursuant to Article 63 of Legislative Decree No. 50/2016, recourse to the negotiated procedure without prior publication of a tender notice, in derogation of the obligation to resort to the market through competitive comparison.</w:t>
        <w:br/>
        <w:t>4 In support of this consideration, the Region noted that numerous Public Administrations, or their agencies, have proceeded with the award of similar services pursuant to Article 63 of the procurement code directly to Fondazione FS, noting that it is the only operator present in the market.</w:t>
        <w:br/>
        <w:t>5 The Region also highlighted that: i. it has sent a request to the ANSFISA Agency that manages the RIN (National Register of Historical Rolling Stock referred to in paragraph 1 of Article 3 of Law 128/2017) regarding the list of owners and holders of Italian historical trains authorized to circulate; ii. it has requested from RFI, the sole manager of the Italian railway infrastructure, the list of subjects authorized or authorizable to circulate on the railway line in question.</w:t>
        <w:br/>
        <w:t>6 See Judgment of the EU Court of Justice April 8, 2008, case C-337/05; Council of State, Section III, January 8, 2013 No. 26; Council of State, Section III, October 8, 2018 No. 5766 and January 18, 2018 No. 310, Council of State Section VI, June 13, 2019 No. 3983. In this regard, see also Guidelines No. 8 - Recourse to negotiated procedures without prior publication of a tender in the case of supplies and services deemed non-substitutable, approved by the National Anti-Corruption Authority - ANAC in the meeting of September 13, 2017 with resolution No. 950.</w:t>
        <w:br/>
        <w:t>7 Based on what is stated in Guidelines No. 8, referred to in the preceding note, preliminary market consultations are aimed at confirming the existence of the conditions that allow, pursuant to Article 63 of Legislative Decree No. 50/2016, recourse to the negotiated procedure without prior publication of a tender notice or to identify the existence of alternative solutions. The results of the solutions identified following the preliminary market consultations are reported in the contracting resolution.</w:t>
      </w:r>
    </w:p>
    <w:p>
      <w:r>
        <w:t>20 BULLETIN NO. 15 OF APRIL 26, 2022</w:t>
        <w:br/>
        <w:t>The Authority hopes that the observations made above can be adequately considered by the requesting Administration and thanks for the attention shown towards its institutional activity.</w:t>
        <w:br/>
        <w:t>This opinion will be published in the Bulletin of the Competition and Market Authority. Any confidentiality requirements must be expressed within thirty days of receipt of the opinion, specifying the reasons.</w:t>
        <w:br/>
        <w:t>THE PRESIDENT</w:t>
        <w:br/>
        <w:t>Roberto Rustichelli</w:t>
      </w:r>
    </w:p>
    <w:p>
      <w:r>
        <w:rPr>
          <w:b/>
        </w:rPr>
        <w:t>[Pages 19–21]</w:t>
      </w:r>
    </w:p>
    <w:p>
      <w:r>
        <w:t>BULLETIN NO. 15 OF APRIL 26, 2022 21</w:t>
        <w:br/>
        <w:t>AS1828 - MANAGEMENT AND USE OF ELECTROMAGNETIC SPACE BY ARPA</w:t>
        <w:br/>
        <w:t>Rome, March 31, 2022</w:t>
        <w:br/>
        <w:t>President of the Conference of Regions and Autonomous Provinces</w:t>
        <w:br/>
        <w:t>Regional Environmental Protection Agencies (ARPA)</w:t>
        <w:br/>
        <w:t>With reference to the competitive issues related to the use and management of electromagnetic space, the Antitrust Authority, in its meeting of March 29, 2022, resolved to carry out, pursuant to Article 22 of Law No. 287 of October 10, 1990, the following considerations.</w:t>
        <w:br/>
        <w:t>In particular, in this context, the Authority intends to reiterate the necessity of overcoming the numerous competitive issues identified in the use and administration of a scarce resource, such as electromagnetic space.</w:t>
        <w:br/>
        <w:t>To this end, while maintaining the need to make the required regulatory changes within the proposals submitted for the Annual Competition Law for the year 2021, the Authority notes the urgent necessity for the institutional subjects responsible to adopt more efficient models for verifying limits on electromagnetic emissions, in order to ensure a level playing field among telecommunications operators and the development of effective dynamic competition in mobile communications markets.</w:t>
        <w:br/>
        <w:t>In this regard, it is worth noting that the need to find the right balance between public health protection requirements and those for developing a market characterized by balanced competitive dynamics must necessarily be adapted to the current, albeit radical, infrastructural changes affecting the entire national territory following the actual implementation of 5G networks.</w:t>
        <w:br/>
        <w:t>In fact, the failure to overcome the repeatedly reported competitive issues related to the use and management of electromagnetic space risks negatively impacting the full and effective realization of the infrastructural adjustment requests provided for by the "5G Italy Plan," as well as the efficient use of the resources allocated for this purpose, to allow "a significant leap in the quality of mobile connectivity." These objectives are to be considered a priority, as the digital transition process constitutes an important chapter in the technological and infrastructural modernization project of the country provided for by the National Recovery and Resilience Plan (PNRR).</w:t>
        <w:br/>
        <w:t>That said, it should be recalled that the limits on electromagnetic emissions set by the DPCM of July 8, 2003, are established at a threshold far below the recommendations of the European Union: in this regard, the Authority recalls the need to verify the validity of the current electromagnetic limits and measurement standards, in light of new technologies and new tools being adopted, on the assumption that the latter constitute in all respects "a barrier to the entry and expansion of new operators and new services."</w:t>
        <w:br/>
        <w:t>Similarly, the Authority has recommended a regulatory intervention aimed at clarifying and detailing the powers of the Regional Environmental Protection Agencies (ARPA) regarding the review of authorizations already granted to historical operators, where the emission ceilings have been reached, even if only theoretically. In particular, Article 6 of the DPCM of July 8, 2003, Article 87, paragraph 3, of Legislative Decree No. 259 of August 1, 2003, and Article 14, paragraph 8, letter d), of Decree-Law No. 179 of October 18, 2012, provide for the necessity for ARPA to refer to CEI technical standards.</w:t>
        <w:br/>
        <w:t>Therefore, in a second-best perspective regarding the aforementioned regulatory interventions and pending their implementation, the Authority intends to emphasize how the current regulatory framework still allows for virtuous behaviors by ARPA, such as to avoid further limitations on the use of a scarce resource such as electromagnetic space.</w:t>
        <w:br/>
        <w:t>In this sense, it is deemed necessary for ARPA to work to remove any administrative constraints that hinder the development of balanced competitive dynamics within the reference market.</w:t>
        <w:br/>
        <w:t>3 https://assets.innovazione.gov.it/1636981393-piano-italia-5g151121.pdf.</w:t>
        <w:br/>
        <w:t>4 See Paragraph 2.2 (Objectives) of the Public Consultation on the 5G Italy Plan, convened on November 15, 2011, by the Ministry of Economic Development.</w:t>
        <w:br/>
        <w:t>5 https://www.governo.it/sites/governo.it/files/PNRR.pdf.</w:t>
        <w:br/>
        <w:t>6 Decree of the President of the Council of Ministers of July 8, 2003, establishing "Limits of exposure, attention values, and quality objectives for the protection of the population from exposure to electric, magnetic, and electromagnetic fields generated at frequencies between 100 kHz and 300 GHz."</w:t>
        <w:br/>
        <w:t>7 Recommendation of the Council No. 1999/519/EC of July 12, 1999.</w:t>
        <w:br/>
        <w:t>8 Report pursuant to Articles 21 and 22 of Law No. 287 of October 10, 1990, adopted on March 19, 2021, AS1730 – Proposals for competitive reform for the annual law for the market and competition for the year 2021, in Bulletin No. 13/2021.</w:t>
        <w:br/>
        <w:t>9 Converted with amendments by Law No. 221 of December 17, 2012, containing "Further urgent measures for the growth of the country."</w:t>
      </w:r>
    </w:p>
    <w:p>
      <w:r>
        <w:t>BULLETIN NO. 15 OF APRIL 26, 2022 23</w:t>
        <w:br/>
        <w:t>In this regard, the Authority has repeatedly drawn attention to the competitive issues related to the exercise of ARPA's functions in environmental protection, criticizing the unjustified prohibitions that have effectively prevented the entry of new operators into the market and that over the years have led to a substantial crystallization of market structures. In fact, ARPA's refusals are often linked to measurements of the saturation level of electromagnetic space based on authorized power values and configurations of the plants, rather than on those of actual use.</w:t>
        <w:br/>
        <w:t>Now, as has been noted several times, the anchoring to predictive models based on nominal values rather than on those of actual use of the plants, which results in a "static" mapping of the infrastructures that exist in a given territory, leads to excessively cautious assessments that do not adhere to reality regarding the exceeding of legal thresholds and thus to unjustified refusals. Furthermore, the absence of any initiative aimed at re-proportioning electromagnetic space based on actual use values leads to an inevitable crystallization of the reference market that can no longer be considered sustainable in light of the implementation of 5G networks.</w:t>
        <w:br/>
        <w:t>In this perspective, the Authority, in its latest Report on the matter, while emphasizing the need for a reorganization of the current levels of use of electromagnetic space connected to the development of 5G networks, has hoped for an evolution of ARPA "towards more efficient models for verifying electromagnetic emission limits, acting to allow a correct management of the emissions register, based on real and not potential values and as such suitable to ensure a correct allocation of electromagnetic space." In this context, the path indicated by the Authority, which is intended to be reiterated, is essentially aimed at fully implementing the tools already provided for by the regulatory framework, as well as the provisions contained in the CEI Technical Standard 211-1011, regarding corrective actions.</w:t>
        <w:br/>
        <w:t>In this regard, the Authority has recommended that the latter find a complete regulatory discipline directly in the Electronic Communications Code, in order to make the application by ARPA of the powers of review and harmonization of already granted authorizations more certain and to allow a reduction of entry barriers. Therefore, any action aimed at eliminating or neutralizing the aforementioned provision is to be considered a source of application uncertainties and suitable to create further competitive obstacles.</w:t>
        <w:br/>
        <w:t>In this regard, from the survey conducted by the Authority on the experiences of the various Regions, the feasibility of the approach suggested in the Authority's previous interventions on the matter emerges.</w:t>
        <w:br/>
        <w:t>The virtuous experiences of ARPA Piemonte and ARPA Friuli Venezia Giulia can effectively represent a benchmark for the activities of other Agencies located throughout the national territory, as they address issues related to the management of electromagnetic space and potential saturation situations similar to those recorded in most Italian Regions, which in fact confirm the critical issues identified by the Authority.</w:t>
        <w:br/>
        <w:t>10 See opinion pursuant to Article 21 of Law No. 287 of October 10, 1990, adopted on June 15, 2021, AS1768 – ARPA Lombardia – Competitive issues related to the use and management of electromagnetic space, in Bulletin No. 27/2021.</w:t>
        <w:br/>
        <w:t>11 "Guide to the realization of a Base Radio Station to comply with exposure limits to electromagnetic fields in high frequency" (2002).</w:t>
        <w:br/>
        <w:t>12 Legislative Decree No. 259/2003, containing "Electronic Communications Code."</w:t>
      </w:r>
    </w:p>
    <w:p>
      <w:r>
        <w:rPr>
          <w:b/>
        </w:rPr>
        <w:t>[Pages 22–24]</w:t>
      </w:r>
    </w:p>
    <w:p>
      <w:r>
        <w:t>24 BULLETIN NO. 15 OF APRIL 26, 2022</w:t>
        <w:br/>
        <w:t>Within the framework of the current regulatory framework, ARPA Piemonte and ARPA Friuli Venezia Giulia have activated measures to identify management methods aimed at enhancing and strengthening the prerogatives of the electromagnetic field source registry13, which, as is known, is the safeguard identified by the legal system to provide a dynamic perspective to the market. This tool allows for, in an optimization perspective, a constant updating of the technical characteristics of the plants, thus enabling a verification of the emission levels based on models that are theoretical but nonetheless grounded in power values that must refer to the actual operating conditions of the plants.</w:t>
      </w:r>
    </w:p>
    <w:p>
      <w:r>
        <w:t>In fact, the two Agencies have implemented telematic infrastructures aimed at optimizing and providing greater accuracy to the flow of information that feeds the aforementioned registry, making available to operators management software that allows them to access the results of the calculation of the electromagnetic field generated by the overlap of all the plants present at a given site. Therefore, operators will be able to conduct a preliminary impact analysis regarding the installation and/or modification of new plants. In this context, protocols of understanding have been established with the operators present in the territory aimed at encouraging, in the authorization requests, the communication of actual power usage data of the plants, as well as the indication of reduction factors.</w:t>
      </w:r>
    </w:p>
    <w:p>
      <w:r>
        <w:t>The aforementioned experiences, as well as their evolution towards more efficient models, allow, even in the absence of the desired regulatory interventions, to address the competitive criticalities often highlighted by the Authority regarding the management of electromagnetic space, through procedures that enable a dynamic management in accordance with the reality of the latter. Such procedures allow operators a preliminary impact assessment regarding the installation of a new plant and, consequently, a significant improvement in the methods of feeding the registry of electromagnetic sources and, consequently, the verification activities of the ARPA, as they are anchored to real usage values.</w:t>
      </w:r>
    </w:p>
    <w:p>
      <w:r>
        <w:t>In conclusion, in light of the now urgent needs for reorganization and infrastructural modernization related to the implementation of 5G networks, as well as to ensure a level playing field among telecommunications operators, thus allowing dynamic competition in the development of multiple mobile networks in the reference markets, it is deemed necessary for the ARPA to resort to more efficient models for verifying said limits, based on the systems implemented by the Agencies of Piemonte and Friuli Venezia Giulia.</w:t>
      </w:r>
    </w:p>
    <w:p>
      <w:r>
        <w:t>To this end, the adoption of application practices suitable for improving the accuracy and timeliness of the data that feed the registry of sources, through the implementation of a constant flow of information with operators and the updating of the actual operational situation of the plants present in the individual reference territories (for example, through communication from these last ones of the actual powers used, rather than of the non-installed plants), aims to ensure equal treatment for all operators who operate and intend to operate in the reference market and who are obliged to build and implement mobile radio networks, now also within a shorter time frame due to the need to comply, for the areas affected by public support interventions, with the constraints of the PNNR.</w:t>
      </w:r>
    </w:p>
    <w:p>
      <w:r>
        <w:t>13 Article 7 of Law No. 36 of February 22, 2001, containing the "Framework Law on the Protection from Exposure to Electric, Magnetic, and Electromagnetic Fields."</w:t>
      </w:r>
    </w:p>
    <w:p>
      <w:r>
        <w:t>BULLETIN NO. 15 OF APRIL 26, 2022 25</w:t>
        <w:br/>
        <w:t>This opinion will be published in the Bulletin of the Authority for the Guarantee of Competition and the Market.</w:t>
        <w:br/>
        <w:t>THE PRESIDENT</w:t>
        <w:br/>
        <w:t>Roberto Rustichelli</w:t>
      </w:r>
    </w:p>
    <w:p>
      <w:r>
        <w:t>26 BULLETIN NO. 15 OF APRIL 26, 2022</w:t>
        <w:br/>
        <w:t>UNFAIR COMMERCIAL PRACTICES</w:t>
        <w:br/>
        <w:t>PS12046 - ENNE ENERGIA - COMMERCIAL OFFERS</w:t>
        <w:br/>
        <w:t>Provision No. 30107</w:t>
        <w:br/>
        <w:t>THE AUTHORITY FOR THE GUARANTEE OF COMPETITION AND THE MARKET</w:t>
        <w:br/>
        <w:t>IN ITS MEETING of April 5, 2022;</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September 3, 2021, by which the company Enne Energia S.r.l. submitted, pursuant to Article 27, paragraph 7, of the Consumer Code and Article 9 of the Regulation, a proposal for commitments, presented in its definitive and consolidated version on December 3, 2021;</w:t>
        <w:br/>
        <w:t>VIEWED its provisions of October 19 and December 14, 2021, and January 18, 2022, by which, pursuant to Article 7, paragraph 3, of the Regulation, the deadline for concluding the procedure was extended, for specific investigative needs as well as for the evaluation of the commitments;</w:t>
        <w:br/>
        <w:t>VIEWED the documents of the procedure;</w:t>
        <w:br/>
        <w:t>I. THE PARTIES</w:t>
        <w:br/>
        <w:t>1. The company Enne Energia S.r.l. (hereinafter "Enne Energia" or "the Company") as a professional, pursuant to Article 18, letter b), of the Consumer Code. The company operates in the sector of electricity and natural gas supply.</w:t>
        <w:br/>
        <w:t>2. The consumer association CODICI, as an intervenor.</w:t>
        <w:br/>
        <w:t>II. THE COMMERCIAL PRACTICE</w:t>
        <w:br/>
        <w:t>3. The procedure concerns the methods of representation of the economic conditions for the supply of electricity and/or gas services within the contractual documentation (CTE and CGF) and advertising material. In particular, from the analysis of consumer reports and the elements acquired in the records, several critical elements emerged, in terms of informational transparency, regarding the indication of the economic conditions of supply provided therein, which were found, with reference to certain charges, to be of unspecified amounts.</w:t>
      </w:r>
    </w:p>
    <w:p>
      <w:r>
        <w:rPr>
          <w:b/>
        </w:rPr>
        <w:t>[Pages 25–27]</w:t>
      </w:r>
    </w:p>
    <w:p>
      <w:r>
        <w:t>BULLETIN NO. 15 OF APRIL 26, 2022 27</w:t>
      </w:r>
    </w:p>
    <w:p>
      <w:r>
        <w:t>4. With specific, but not exclusive, reference to the “ENNE ALL IN” offer, for example, it appeared that the Professional applied an energy price inclusive of a series of charges, among which were marketing costs, without, however, specifying their amount, except through a reference to the resolutions of the Regulatory Authority for Energy, Networks and Environment/ARERA. In fact, in the CTE of the aforementioned offer1, the determination of marketing costs occurred in the following ways:</w:t>
        <w:br/>
        <w:t>- for electricity, under the heading “Other fees for the aggregation service and marketing costs,” it referred to Article “5.2 paragraphs d), e), and f) of the CGF, in accordance with what is provided by the TIS (Integrated Text Settlement published by ARERA) and the TIV (Integrated Text Sales published by ARERA)”2.</w:t>
        <w:br/>
        <w:t>- for gas, it was provided that “the same fees provided in the TIVG by the Regulatory Authority for Energy, Networks and Environment (ARERA) for the PROTECTED MARKET (pursuant to resolution ARG/gas 64/09 and subsequent amendments) except for the CPR component (not applied) and the CMEM component replaced by the Raw Material component. In particular, the application of the CCR, QVD, GRAD, QQA components and the component covering the wholesale procurement costs of the raw material (…)”3.</w:t>
        <w:br/>
        <w:t>5. Another critical issue, also reported by consumers, concerned the section of the CTE called “applicability period,” with reference to the economic supply conditions applicable in the period following the annual contract expiration: in the event that, upon the expiration of this period, the company had not communicated any changes to the economic conditions, starting from the thirteenth month of supply to the customer, a tariff described in the aforementioned CTE as a variable single-rate would be applied, proportional to the PUN or the wholesale price, “in addition to a fixed and unchanging fee to cover the costs related to the management of withdrawal profiles and the related imbalances, as per Article 5.2 paragraph e) of the CGF.” Similarly, for the supply of gas, “a Pfor component (WHOLESALE PROCUREMENT PRICE) and a fee for the management of the withdrawal profile and imbalance would be applied, in addition to a transport component to cover the transit cost on the national network, all as defined by Article 5.1 of the CGF.”</w:t>
        <w:br/>
        <w:t>6. The CGF, respectively in Articles 5.1 and 5.2, provided that, upon the expiration of the applicability period, the supplier would charge the customer the “Profile Management and Imbalance component”4, valued at 0.095 €/smc variable and 5.90 €/pdr/month in fixed quota for gas, and “a fee equal to 4.89 €/KW/month” for electricity in relation to the committed power. The aforementioned consumers complained, particularly for the supply of electricity, about the significant increase in the supply price, upon the expiration of the first year, due to the charge of this cost item, considering that the value of 4.89 €/KW/month, being proportional to the committed power, was destined to be multiplied by the number of KW of power used, a circumstance of which the consumers were unaware5.</w:t>
        <w:br/>
        <w:t>7. The existence of the aforementioned contractual provisions and the consequent charge of the related costs were expressly confirmed in an email sent by the customer service of Enne Energia in response to a consumer6, in which it was communicated that, starting from the thirteenth month, a variable tariff according to the PUN index (National Single Price of wholesale electricity) was provided and applied “and a fixed monthly fee of 4.89 €/KW of available power for the management of the withdrawal profile service and the related imbalance risk.”</w:t>
        <w:br/>
        <w:t>8. Furthermore, Article 5.1 of the CGF provided that the economic variations just highlighted, like all others, upon the expiration of the applicability period could be modified by the Supplier, instead of through separate communication from the invoice, “by means of a note in the invoice or other written communication sent to the Customer within 3 (three) months prior to the initial expiration thereof” and that “in the absence of the aforementioned communication from the Supplier, upon the expiration of the applicability period of the economic conditions” those identified in the same Article 5 of the CGF would be applied. This provision was criticized by the reporters7, as it would not allow them to realize the extent of the variation (to their detriment) of the overall price of the energy supply, also due to the inclusion of new cost items such as those identified above.</w:t>
        <w:br/>
        <w:t>9. Moreover, the methods of activation (automatic or optional) of the “Energy Consultant” service were not clearly specified in the CTE, regarding which it was provided that “by activating the service, following the personalized assistance of a telephone operator, the Customer, at an additional cost of 24€/POD-PDR/year (2 €/month), could benefit, during the time slot 8:00-20:00 from Monday to Friday and on Saturday in the time slot 8:00-13:00, excluding national holidays, from the assistance of a dedicated telephone operator for any request for support/service regarding their supply. The service can be deactivated at any time through the telephone operator”8. From the wording of the provision, it was inferred that the automatic charge was activated following a simple call to the Professional's phone number, even for months of non-use of the service, requiring a specific request for deactivation by the consumer.</w:t>
        <w:br/>
        <w:t>10. Finally, the promotional offers available on the Professional's website did not include all the components that could affect the total cost of energy, merely highlighting the price of the raw material and, depending on the offers, the savings achievable compared to a more protected offer or an unspecified “estimated final expense.”</w:t>
        <w:br/>
        <w:t>III. THE FINDINGS OF THE PROCEEDING: THE PRESENTATION OF COMMITMENTS</w:t>
        <w:br/>
        <w:t>1) The procedure process</w:t>
        <w:br/>
        <w:t>11. In relation to the aforementioned conduct, on July 22, 2021, the Professional was notified of the initiation of the investigative procedure PS12046. In this context, the unfairness of the practice characterized by profiles of misleadingness and/or omission was hypothesized, in violation of Articles 20, 21, and 22 of the Consumer Code (also CdC).</w:t>
        <w:br/>
        <w:t>12. In particular, the lack of complete and transparent information regarding the economic supply conditions of electricity and/or gas and the omission of the indication of the fees due in their unit value (among which those related to “aggregation service and marketing costs” and the “CCR, QVD, GRAD, QQA components and the component covering the wholesale procurement costs of the raw material”) appeared susceptible of configuring an unfair commercial practice, characterized by profiles of misleadingness and/or omission, in violation of Articles 21 and 22 of the CdC and also a non-diligent conduct pursuant to Article 20 of the same.</w:t>
        <w:br/>
        <w:t>13. Likewise, the scant information provided to the consumer regarding the conditions applicable in the period following the annual contract expiration, with particular reference to the nature and extent of the cost item called “Profile Management and Imbalance component,” as well as the methods of communication of unilateral changes to the contractual and economic conditions with a note in the invoice (or with “specific communication” of unspecified characteristics), instead of through separate written communication, and the ambiguity regarding the activation (automatic or optional) of the “Energy Consultant” service could configure an unfair commercial practice, characterized by profiles of misleadingness and/or omission, in violation of Articles 21 and 22 of the CdC.</w:t>
        <w:br/>
        <w:t>14. Concurrently with the communication of the initiation of the investigative procedure on July 22, 2021, in order to acquire useful knowledge elements for the evaluation of the commercial practice in question, a request for information and related documentation regarding the contested cases was made to the Professional, pursuant to Article 27, paragraphs 3 and 4, of the Consumer Code and Article 12, paragraph 1, of the Regulation.</w:t>
        <w:br/>
        <w:t>15. On August 2, 2021, a request for access to the documents was received from the Company, which took place on the same date.</w:t>
        <w:br/>
        <w:t>8 The service is provided for all three of the aforementioned offers.</w:t>
      </w:r>
    </w:p>
    <w:p>
      <w:r>
        <w:rPr>
          <w:b/>
        </w:rPr>
        <w:t>[Pages 28–30]</w:t>
      </w:r>
    </w:p>
    <w:p>
      <w:r>
        <w:t>30 BULLETIN NO. 15 OF APRIL 26, 2022</w:t>
        <w:br/>
        <w:t>16. On October 5, 2021, the acceptance of the participation request from the consumer association CODICI, submitted on September 24, 2021, was communicated.</w:t>
        <w:br/>
        <w:t>17. On August 10 and 13, the Professional provided a response to the request for information made concurrently with the initiation of the proceeding and presented its defensive arguments.</w:t>
        <w:br/>
        <w:t>18. On September 3, 2021, Enne Energia submitted a proposal for commitments aimed at removing the critical aspects of the contested conduct, which was subsequently supplemented on September 27 and October 29, 2021, and finally presented in its definitive and consolidated version on December 3, 2021.</w:t>
        <w:br/>
        <w:t>19. On October 19 and December 14, 2021, and January 18, 2022, extensions of the deadline for concluding the proceeding were ordered, communicated to the parties on October 21 and December 16, 2021, and January 20, 2022, respectively.</w:t>
        <w:br/>
        <w:t>20. On November 24, 2021, the date of conclusion of the investigative phase was communicated to the Parties, pursuant to Article 16, paragraph 1, of the Regulation.</w:t>
        <w:br/>
        <w:t>21. On January 21, 2022, the opinion of the Authority for Communications Guarantees was received.</w:t>
        <w:br/>
        <w:t>22. On March 14, 2022, the opinion of the Authority for Energy Networks and Environment was received.</w:t>
        <w:br/>
        <w:t>2) The acquired elements and the commitments of the Professional</w:t>
        <w:br/>
        <w:t>23. During the proceeding, the contractual documents and advertising material adopted by the Professional from 2019 until the first half of 2021 were acquired, as well as the values of all the fees applied at the discretion of the Company related to energy expenditure during the considered period, with reference to the main commercial offers proposed to consumers and micro-enterprises9.</w:t>
        <w:br/>
        <w:t>24. With a note received on December 3, 2021, the Professional submitted the definitive version of the proposal for commitments, pursuant to Article 27, paragraph 7, of the Consumer Code and Article 9 of the Regulation.</w:t>
        <w:br/>
        <w:t>25. In particular, the commitments formulated within this proposal – which in their definitive version are attached to this provision and constitute an integral part thereof – provide for:</w:t>
        <w:br/>
        <w:t>Commitment 1</w:t>
        <w:br/>
        <w:t>With reference to the lack of complete and transparent information regarding the economic conditions of electricity and/or gas supply and, specifically, the omission of the unit value of various fees, Enne Energia commits, for each of its offers that include the following components, to include in the technical economic conditions (CTE), in the promotional material and on its website, in the following ways:</w:t>
        <w:br/>
        <w:t>a) regarding the components related to the supply of electricity:</w:t>
        <w:br/>
        <w:t>- the absolute value, in force at the time, of the marketing charges, in all the CTE of the electricity supply offers that foresee the application of the marketing charge component, in order to provide greater clarity and simplify the understanding of the component, will be explicitly stated through the inclusion of the following definition “Fee to cover marketing and sales costs in a fixed amount of xx€/withdrawal point per year, distributed on a monthly basis,” thus eliminating, in the electricity offers that provide for a “fee to cover marketing and sales costs,” any reference to the PCV fee provided by the TIV and any updates thereof;</w:t>
        <w:br/>
        <w:t>- the value of the measurement aggregation service (which represents a pass-through charge for the seller, required to be paid to Terna, defined by Article 15 of the Integrated Settlement Text – resolution Arera ARG/elt/ 107/09 and which the Professional specifies to have separated, out of an excess of caution, from the “dispatching charges” item), in accordance with the practice adopted by other operators, has been included within the “dispatching charges” item, thus making the related item more understandable to the Customer and comparable with the charges applied by other operators;</w:t>
        <w:br/>
        <w:t>b) regarding the components related to the supply of gas:</w:t>
        <w:br/>
        <w:t>- the absolute value, in force at the time, of the CCR, QVD components, with the elimination of the QOA and GRAD components. Regarding the CCR and QVD components, provided by the TIVG and determined by ARERA, Enne Energia commits to expressly indicate that these are components “applied at the discretion of the supplier in the free market” and to define them as follows:</w:t>
        <w:br/>
        <w:t>“- CCR, component to cover the costs of activities related to the procurement methods of natural gas wholesale, including the related risk that for the period xxx 202x – xxx 202x is equal to xxx€/smc, a value subject to quarterly updates by ARERA;</w:t>
        <w:br/>
        <w:t>- QVD, component related to the retail sale marketing which for 202x, for a domestic customer, is worth xxx€/pdr/year and xxx€/smc, a value subject to annual updates by ARERA effective from January 1 of each year.”</w:t>
        <w:br/>
        <w:t>In order to simplify the technical-economic conditions, the Professional specifies that the QOA components (which since October 2013 was worth 0) and GRAD (no longer applied since 2018) will be eliminated, unless subsequently reintroduced, in which case the related absolute value at the time will be inserted along with the related update frequency.</w:t>
        <w:br/>
        <w:t>Furthermore, the Company declares that “The indication regarding the absolute value of the aforementioned services and components will therefore be included in the Technical Economic Conditions of all offers that provide for the aforementioned components and services, published on the Enne Energia website and also available to the Customer from the stage of presenting the offers and from the beginning of the process leading to the signing of the contract, in accordance with the practice always adopted by the undersigned.</w:t>
        <w:br/>
        <w:t>The aforementioned commitments will be implemented by Enne Energia as of the publication of the next price lists which will take place on October 10, 2021.”</w:t>
        <w:br/>
        <w:t>Moreover, regarding the observation concerning the fact that the website and promotional material of Enne Energia do not report all the components that could affect the total cost of energy, the Professional “accepts the invitation to ensure that every promotion, regardless of the ‘channel’ through which it will be conveyed to users, and net of any emphasis given to the advertising message, always presents to consumers with equal graphic dignity the entire set of cost items, whether related to the raw material and/or any other element of the offer, whose cost is determined at the discretion of the company (such as the QVD and CCR components with relative definition, marketing and sales costs, ancillary services, etc.).</w:t>
        <w:br/>
        <w:t>At the same time, if the offers include ‘discounts’ related to one of the cost items (also in this case, discretionary), the promotion will clearly indicate the cost item to which the discount applies, also specifying the estimated percentage ‘weight’ of that cost item on the annual expenditure of an average consumer.</w:t>
        <w:br/>
        <w:t>The aforementioned principles regarding the offers on the website will therefore be applied to any promotional content that highlights the supply price and will also be maintained in the presentation of future offers.</w:t>
        <w:br/>
        <w:t>Regarding promotional activities and the website, Enne Energia will highlight the characteristics of the offer, providing visibility to the duration of validity of the advertised fees.</w:t>
        <w:br/>
        <w:t>In consideration of the technical measures, the above measure will be applied within the shortest reasonably conceivable terms, and in any case no later than 60 days from the acceptance of these commitments.</w:t>
        <w:br/>
        <w:t>In this way, Enne Energia commits to ensuring, for the protection of final consumers, clearer, correct, and more transparent information.”</w:t>
        <w:br/>
        <w:t>Finally, Enne Energia commits to creating, within 20 days from the approval of the proposed measures, one or more dedicated pages of the Info Point, present on the website, where to insert and constantly update the definitions and values of the components that affect the total cost of energy (marketing costs, CCR components, QVD, etc.), promptly reporting (and compatibly with the necessary timing for this purpose), in the indication of the value, the changes adopted by ARERA, in order to provide its customers with a precise indication of the costs to be incurred, with particular reference to the contested charges and components, thus contributing to making even clearer the detail of the total expenditure expected for the supply of electricity and/or gas and to guide customers more accurately in their choice of the offer to subscribe.</w:t>
        <w:br/>
        <w:t>Commitment No. 2</w:t>
        <w:br/>
        <w:t>Regarding the observation concerning the scant information provided to the consumer regarding the economic supply conditions applicable in the period following the annual expiration of the contract, with particular reference to the nature and extent of the cost item called “Profile Management and Imbalance component,” Enne Energia commits to clearly indicate in the CTE the price and cost components applied from the thirteenth month of supply, eliminating from Article 5 of the General Supply Conditions the listing of the economic conditions applicable from that period and replacing them with an express reference to the aforementioned CTE (in which the Customer can find all the fees and components applied, detailed and indicated in their absolute value, both for the first 12 months and for the subsequent period).</w:t>
        <w:br/>
        <w:t>In particular, regarding the Profile Management and Imbalance component:</w:t>
        <w:br/>
        <w:t>- for the supply of gas, the Professional commits to include the provision that, starting from the thirteenth month or earlier if ARERA ceases to publish the protection tariff,</w:t>
      </w:r>
    </w:p>
    <w:p>
      <w:r>
        <w:rPr>
          <w:b/>
        </w:rPr>
        <w:t>[Pages 31–33]</w:t>
      </w:r>
    </w:p>
    <w:p>
      <w:r>
        <w:t>BULLETIN NO. 15 OF APRIL 26, 2022 33</w:t>
        <w:br/>
        <w:t>the Profile Management and Imbalance component will be applied, defined as "a component covering the costs of international transport, the wholesale gas marketing charges, as well as other items related to the operational activities of procurement, management of the withdrawal profile, and the related imbalance. This component provides for the charge of a variable fee equal to xxxx €/smc and a fixed fee equal to xxx €/pdr/year" as well as the express clarification that this component replaces the fixed and variable QVD components and the CCR components for the supply of gas, thereby clarifying the nature of the component and its absolute value;</w:t>
        <w:br/>
        <w:t>- for the supply of electricity, the Professional commits to include the provision that "starting from the thirteenth month, in replacement of the Fee covering the costs of marketing and fixed sales, the Profile Management and Imbalance component will be charged for each month of supply, equal to xx €/kW applied to the monthly committed power of the withdrawal point, covering the wholesale marketing charges, as well as other items related to the operational activities of procurement and management of the withdrawal profile. By way of example, this component entails an annual expense of xxx€/year (xx€/month) for a final customer with a committed power of 3 kW and equal to xx €/year (xx€/month) for a final customer with a committed power of 6 kW," thereby clarifying the nature of the component and its absolute value as well as the fact that it replaces the PCV component.</w:t>
        <w:br/>
        <w:t>Enne Energia has committed to implement the proposed measures as of the publication of the price lists on October 10, 2021.</w:t>
        <w:br/>
        <w:t>Commitment No. 3</w:t>
        <w:br/>
        <w:t>Regarding the dispute concerning the alleged misleading/omissive information regarding the automatic activation of the "Energy Consultant" service, Enne Energia has committed, at the time of the publication of the price lists scheduled for September 10, 2021, to make it completely free of charge and to include in the CTE the definition "Energy Consultant: the service, completely free of charge, provides personalized assistance from a telephone operator during the hours of 8:00 AM to 8:00 PM from Monday to Friday and on Saturday from 8:00 AM to 1:00 PM, excluding national holidays, for any request for support/service related to one's supply."</w:t>
        <w:br/>
        <w:t>Furthermore, Enne Energia commits to refund all customers who were charged for the aforementioned service the amounts they paid for this purpose, in the event of acceptance of the proposed measures.</w:t>
        <w:br/>
        <w:t>In particular:</w:t>
        <w:br/>
        <w:t>i) with reference to the compensation of customers currently supplied, Enne Energia commits to adopt the following measures:</w:t>
        <w:br/>
        <w:t>- in the first billing cycle following the acceptance of the commitments, a message will be sent in the invoice, announcing the refund through the reversal of the relevant fees;</w:t>
        <w:br/>
        <w:t>- the subsequent refund will be made in accordance with what has been communicated, and therefore automatically, that is, by applying – without any request from the interested user – a discount on the invoice equal to the fee paid for the service.</w:t>
      </w:r>
    </w:p>
    <w:p>
      <w:r>
        <w:t>34 BULLETIN NO. 15 OF APRIL 26, 2022</w:t>
        <w:br/>
        <w:t>Regarding the timing of the aforementioned measures, Enne Energia commits to carry out the refunds within the shortest possible time, within three billing cycles following the possible acceptance of the proposed commitments presented by the undersigned.</w:t>
        <w:br/>
        <w:t>ii) with reference to the compensation of customers no longer supplied, given the limited number of affected customers, Enne Energia commits to carry out the compensation in the following ways:</w:t>
        <w:br/>
        <w:t>- publication on the company's website of a page containing useful information for all former customers regarding the possibilities and methods of obtaining a refund of the amounts paid as a fee for the "Energy Consultant" service;</w:t>
        <w:br/>
        <w:t>- sending an individual communication to former customers at the last known email address;</w:t>
        <w:br/>
        <w:t>- preparation of an online form on Enne Energia's website, immediately accessible via a link placed both within the dedicated page of the site and in the individual messages sent to former customers via email, through which they can submit a refund request simply by indicating (i) name, surname, and phone number; (ii) contract number, POD/PDR number, and supply address; (iii) details of the bank account chosen for the credit;</w:t>
        <w:br/>
        <w:t>- indication, both in the message on the site and in the individual messages, of a customer service phone number to contact for clarifications regarding the refunds in question.</w:t>
        <w:br/>
        <w:t>Regarding the timing of the implementation of refunds to former customers, Enne Energia commits to send individual communications to former customers within two months of the acceptance of the commitments and to maintain the dedicated page on the website for up to six months from the possible acceptance of the commitments.</w:t>
        <w:br/>
        <w:t>The Company also commits to provide the refund, following the necessary verifications (related in particular to the identity of the customer and the correct quantification of the fees paid), within a maximum of two months from the receipt of the request complete with all the required data.</w:t>
        <w:br/>
        <w:t>Commitment No. 4</w:t>
        <w:br/>
        <w:t>Regarding the methods of communication of unilateral changes to contractual and economic conditions, Enne Energia has committed to publish new General Supply Conditions, which provide for the possibility of communicating unilateral changes to contractual and economic conditions no longer by means of a note in the invoice or with (not further defined) specific communication, but in accordance with the ARERA Commercial Code of Conduct and only for "justified reason," as of the publication of the price lists on September 10, 2021.</w:t>
        <w:br/>
        <w:t>Regarding currently active Customers, Enne Energia commits to send, within 30 days of the possible acceptance of the proposed measures, a proposal for a unilateral modification of the contract containing the aforementioned variation of the GCS.</w:t>
        <w:br/>
        <w:t>26. The Company has attached to the proposal for commitments drafts of the new contractual material and the advertising pages of the website, which reflect and comply with the proposed measures.</w:t>
        <w:br/>
        <w:t>IV. OPINION OF THE AUTHORITY FOR GUARANTEES IN COMMUNICATIONS</w:t>
        <w:br/>
        <w:t>27. Since the commercial practice subject to this provision was disseminated via the Internet, on December 23, 2021, the opinion of the Authority for Guarantees in Communications was requested, pursuant to Article 27, paragraph 6, of the Consumer Code.</w:t>
      </w:r>
    </w:p>
    <w:p>
      <w:r>
        <w:t>BULLETIN NO. 15 OF APRIL 26, 2022 35</w:t>
        <w:br/>
        <w:t>28. In the opinion received on January 21, 2022, the aforementioned Authority expressed the requested opinion limiting its evaluations to the suitability of the specific means of communication used to disseminate the commercial practices to affect and amplify any misleading and/or incorrect nature of the same practice.</w:t>
        <w:br/>
        <w:t>29. In the opinion, the Authority considered that this means of communication, used in the specific case,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w:t>
        <w:br/>
        <w:t>30. Therefore, the Authority deemed that "the Internet is a communication tool suitable to significantly influence the realization" of the commercial practices subject to the opinion.</w:t>
        <w:br/>
        <w:t>V. OPINION OF THE REGULATORY AUTHORITY FOR ENERGY NETWORKS AND ENVIRONMENT</w:t>
        <w:br/>
        <w:t>31. Since the commercial practice subject to this provision concerns the sector of electricity and gas supply, on December 15, 2021, the opinion of the Regulatory Authority for Energy Networks and Environment (ARERA) was requested, pursuant to and for the effects of Article 27, paragraph 1-bis, of the Consumer Code.</w:t>
        <w:br/>
        <w:t>32. On January 13, 2022, ARERA requested an extension of the 45-day deadline provided by the aforementioned regulation, within which to submit its opinion.</w:t>
        <w:br/>
        <w:t>33. On January 18, 2022, the College acknowledged the request for a 45-day extension submitted by ARERA for the issuance of its opinion.</w:t>
        <w:br/>
        <w:t>34. In the opinion received on March 14, 2022, the aforementioned Authority preliminarily recalled the regulatory provisions of general interest for the evaluation of the commitments related, as far as the specific case is concerned, to the informational obligations at the offer and contract conclusion stage and the terms and methods of advance notice for unilateral changes to contractual conditions.</w:t>
        <w:br/>
        <w:t>The Commercial Code of Conduct</w:t>
        <w:br/>
        <w:t>35. Regarding the relevant sector regulation, ARERA extensively recalled the provisions of the "Commercial Code of Conduct for the sale of electricity and natural gas to final customers," which represents a sector-specific specification of the general regulations on consumer protection, adopted with the general objective of preventing harmful conduct towards final customers (including small non-domestic customers) when they receive offers for the conclusion of contracts for the supply of electricity and/or natural gas in the free market.</w:t>
        <w:br/>
        <w:t>The obligations on sellers concern the pre-contractual phase and specific aspects of the contractual phase, within the relationship that occurs between the parties following the conclusion of the contract.</w:t>
        <w:br/>
        <w:t>The Commercial Code of Conduct, the main provisions of which are summarized below, provides that sellers must provide information transparently, completely, and non-discriminatorily, whose provisions came into force starting from July 1, 2021 (except for innovations regarding unilateral changes and automatic evolutions referred to in Articles 13 and 14, effective from October 1, 2021, as provided by resolution 97/2021/R/COM).</w:t>
      </w:r>
    </w:p>
    <w:p>
      <w:r>
        <w:rPr>
          <w:b/>
        </w:rPr>
        <w:t>[Pages 34–36]</w:t>
      </w:r>
    </w:p>
    <w:p>
      <w:r>
        <w:t>36 BULLETIN NO. 15 OF APRIL 26, 2022</w:t>
        <w:br/>
        <w:t>the information regarding their contractual offers and adopt all reasonable measures to meet the information and assistance needs of customers in evaluating such offers.</w:t>
        <w:br/>
        <w:t>The new text (in effect from July 1, 2021)</w:t>
        <w:br/>
        <w:t>36. The new text of the Commercial Conduct Code introduces, starting from July 1, 2021, a revision of the criteria for communicating supply prices, as per Article 5, establishing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fixed unit fees are indicated exclusively in €/POD/year or €/PdR/year, those in proportion to the contracted power exclusively in €/kW while those for any reactive energy withdrawals exclusively in €/kvarh.</w:t>
        <w:br/>
        <w:t>Also in Article 5, it is specified that the fees cannot have the same name as the unit fees, components, or elements defined by the Authority, except in cases where the values of the aforementioned fees are set equal to those currently defined by the Authority itself.</w:t>
        <w:br/>
        <w:t>Furthermore, from July 1, 2021, the seller fulfills the preliminary information obligations prior to the signing of the contract, providing the final customer, at the time of the proposal and in any case before the conclusion of the supply contract, with the Summary Sheet (as per Annex 4 to the new text)11.</w:t>
        <w:br/>
        <w:t>Finally, starting from October 1, 2021, the already provided communication in the event of unilateral changes must be supplemented with an estimate of the annual expenditure for the 12 months following the change. A similar communication obligation is also introduced in the case of automatic evolutions of the economic conditions already provided for in the signed contract, that is, in the case of increases determined by the seller, the expiration of discounts, or transitions between fixed and variable prices.</w:t>
        <w:br/>
        <w:t>Considerations regarding the commitments proposed by the Professional</w:t>
        <w:br/>
        <w:t>37. With specific reference to the individual measures proposed by Enne Energia as commitments, ARERA has made specific considerations for each individual commitment.</w:t>
        <w:br/>
        <w:t>In general, the Regulatory Authority has deemed that the commitments presented by the Professional are not generally incompatible with the sector regulations, remaining the obligation for the sales company to comply with the provisions of the Commercial Conduct Code12.</w:t>
        <w:br/>
        <w:t>38. In particular, ARERA appreciated the Professional's commitment to reimburse what was improperly collected with the activation of the "Energy Consultant" service (without prejudice to the professional's right to offer the service in question for a fee or free of charge, provided that any burden on the final customer is defined according to the provisions of the Commercial Conduct Code), to customers, including those who have ceased, although the latter are required to submit a formal refund request. Furthermore, the sector Authority deemed the commitments related to improving transparency through the indication of the various price components applied in the first twelve months to be compliant with the regulation (without prejudice to the need to comply with the specific provisions of the Commercial Conduct Code) and merely fulfilling the regulation regarding the methods of communication of unilateral changes; on the other hand, it specified that the methods chosen to improve the transparency of the Profile Management and Imbalance component for electricity, applied starting from the thirteenth month, indicated solely in €/kW rather than in €/kW/year (as provided by the Commercial Conduct Code) do not appear to be fully compliant with the current regulation.</w:t>
        <w:br/>
        <w:t>VI. EVALUATION OF THE COMMITMENTS</w:t>
        <w:br/>
        <w:t>39. The Authority believes that the commitments proposed by the Professional are suitable to remedy the possible illegitimacy profiles of the commercial practice contested in the initiation communication of July 22, 2021, and also to compensate for the detrimental effects of the contested practice.</w:t>
        <w:br/>
        <w:t>40. In fact, the Professional, consistent with its intention to implement the commitments regardless of their acceptance by the Authority, has already implemented the first commitment, thus eliminating the most critical informational profiles and providing a clear indication of the burdens set at the Professional's discretion (primarily those of marketing), grouped in a specific section of the CTE.</w:t>
        <w:br/>
        <w:t>Furthermore, Enne Energia has already implemented the other measures it had planned to implement during 2021, according to the indications provided in the description of the individual commitments.</w:t>
        <w:br/>
        <w:t>41. In particular, it is noted that the measures proposed by the Company to address the informational deficiencies contested at the initiation stage – aimed at indicating the value of marketing burdens and all remaining burdens that make up the energy expenditure in contractual and promotional material – appear suitable and adequate to remedy the identified informational omissions.</w:t>
        <w:br/>
        <w:t>42. The clarification regarding compliance with the principles of transparency and completeness of information for all future offers and related advertising communications (which currently do not provide references to price and related convenience) also appears commendable and of significant utility in order to always offer consumers clear information from the outset regarding the total price of the service. In this regard, the commitment proposed by Enne Energia to ensure equal graphic dignity in the advertising of the various price components, the amounts of which are set at the Professional's discretion, is also relevant.</w:t>
        <w:br/>
        <w:t>43. Ultimately, the measures proposed by Enne Energia appear to make it easier for the consumer to understand the actual supply costs, and in particular the amount of marketing burdens, already at the pre-contractual stage, favoring an informed choice of the most suitable and convenient commercial offer for the customer's needs.</w:t>
        <w:br/>
        <w:t>44. From another perspective, the measure that provides for the reimbursement of customers harmed by the payment of a fee for the "Energy Consultant" service is commendable. This is a noteworthy commitment as it refers to the total amounts billed to customers for this service and, therefore, to the entire pool of affected consumers, providing that the reimbursements concern all active and ceased users, through information and refund methods that are easy for the final customer and contained within a reasonable timeframe: in this regard, the requirement for ceased customers to request a refund, despite the concerns expressed by ARERA, does not appear particularly burdensome in relation to the extent of the reimbursement commitment.</w:t>
        <w:br/>
        <w:t>45. In this regard, it should be noted that ARERA has affirmed the compliance of the proposed measures with sector regulation and has expressed a substantially positive judgment of the measures overall taken by the Professional, remaining the obligation of the sales company to comply with the new provisions of the Commercial Conduct Code mentioned above.</w:t>
        <w:br/>
        <w:t>46. Furthermore, regarding what was observed by the Regulatory Authority about the partial inconsistency of the methods of indicating the Profile Management and Imbalance component for electricity with the Commercial Conduct Code, the relatively marginal nature of this discrepancy, which can be easily eliminated, should be highlighted in the overall context of the measures proposed by Enne Energia.</w:t>
        <w:br/>
        <w:t>47. In light of the above considerations, it is believed that the commitments presented meet the requirements set forth in Article 27, paragraph 7, of the Consumer Code.</w:t>
        <w:br/>
        <w:t>CONSIDERING, therefore, that the commitments presented by the company Enne Energia S.r.l., in the terms outlined above, are suitable to eliminate the possible profiles of unfairness of the commercial practice subject to investigation;</w:t>
        <w:br/>
        <w:t>CONSIDERING to impose the obligation of the aforementioned commitments on the company Enne Energia S.r.l.;</w:t>
        <w:br/>
        <w:t>CONSIDERING, therefore, to be able to close the proceeding without establishing the infringement;</w:t>
        <w:br/>
        <w:t>RESOLVES</w:t>
        <w:br/>
        <w:t>a) to make mandatory, towards the company Enne Energia S.r.l., pursuant to Article 27, paragraph 7, of the Consumer Code and Article 9, paragraph 2, letter a), of the Regulation, the commitments proposed by the same company on December 3, 2021, as described in the declaration attached to this provision, which constitutes an integral part thereof;</w:t>
        <w:br/>
        <w:t>b) to close the proceeding without establishing the infringement, pursuant to Article 27, paragraph 7, of the Consumer Code and Article 9, paragraph 2, letter a), of the Regulation;</w:t>
        <w:br/>
        <w:t>c) that the company Enne Energia S.r.l.,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transmitted by the Parties that is incomplete, inaccurate, or misleading.</w:t>
      </w:r>
    </w:p>
    <w:p>
      <w:r>
        <w:rPr>
          <w:b/>
        </w:rPr>
        <w:t>[Pages 37–39]</w:t>
      </w:r>
    </w:p>
    <w:p>
      <w:r>
        <w:t>BULLETIN NO. 15 OF APRIL 26, 2022 39</w:t>
        <w:b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activities for a period not exceeding thirty days. This provision will be notified to the interested parties and published in the Bulletin of the Italian Competition Authority.</w:t>
        <w:br/>
        <w:t>THE SECRETARY GENERAL THE PRESIDENT</w:t>
        <w:br/>
        <w:t>Guido Stazi Roberto Rustichelli</w:t>
      </w:r>
    </w:p>
    <w:p>
      <w:r>
        <w:t>40 BULLETIN NO. 15 OF APRIL 26, 2022</w:t>
        <w:br/>
        <w:t>PS12149 - UFO ECOBIKE</w:t>
        <w:br/>
        <w:t>Provision No. 30108</w:t>
        <w:br/>
        <w:t>THE ITALIAN COMPETITION AUTHORITY</w:t>
        <w:br/>
        <w:t>IN ITS MEETING of April 5, 2022;</w:t>
        <w:br/>
        <w:t>HEARD the Rapporteur, Professor Michele Ainis;</w:t>
        <w:br/>
        <w:t>VIEWED Part II, Title III, as well as Part III, Title IIId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January 12, 2022, with which, pursuant to Article 7, paragraph 3, of the Regulation, a sixty-day extension of the conclusion deadline of the procedure was ordered for specific investigative needs;</w:t>
        <w:br/>
        <w:t>VIEWED the acts of the proceeding;</w:t>
        <w:br/>
        <w:t>I. THE PARTY</w:t>
        <w:br/>
        <w:t>1. Mr. Franco Forciniti, owner of the sole proprietorship ECOSTYLE of Forciniti Franco (hereinafter also "ECOSTYLE"), in his capacity as a professional, pursuant to Article 18, paragraph 1, letter b), of the Consumer Code. The business sells electric two-wheeled, three-wheeled vehicles, and bicycles under the "UFO Ecobike" brand. Based on an accounting document submitted by the professional1, it appears that the business, in the period from January 1 to June 30, 2021, with revenues of approximately [€300,000-500,000]* reported a loss of approximately [€100,000-300,000].</w:t>
        <w:br/>
        <w:t>II. VIOLATIONS OF THE CONSUMER CODE</w:t>
        <w:br/>
        <w:t>2. The proceeding concerns, first of all, the methods of presentation of the two-wheeled vehicles named "UFO NTJ", "UFO ECOBIKE King1", "UFO-Ecobike", as well as the three-wheeled vehicles known as "mobility scooters" named "Colibrì", "UFO3 Basic", and "UFO3 Plus". In particular, the photographic images, the indication of certain equipment and technical characteristics attributed to the vehicles on the websites "www.ufoecobike.com", "https://ufoecobikeshop.it", on the Facebook page dedicated to "Ufoecobike", and in the context of an advertising spot, in their overall presentation, appear suitable to mislead consumers regarding the nature and characteristics of the advertised products.</w:t>
        <w:br/>
        <w:t>1 See memorandum and information of October 13, 2021, prot. 77929.</w:t>
        <w:br/>
        <w:t>* In this version, some data are omitted, as elements of confidentiality or secrecy of the information were deemed to exist.</w:t>
      </w:r>
    </w:p>
    <w:p>
      <w:r>
        <w:t>BULLETIN NO. 15 OF APRIL 26, 2022 41</w:t>
        <w:br/>
        <w:t>3. The proceeding also concerns the methods of presentation of the conventional warranty offered by the professional on the website www.ufoecobike.com: in the section called "Warranty," the professional does not clarify that the warranty described is a conventional warranty that is different and possibly additional to the legal warranty of conformity to which the consumer is entitled by law. Finally, the website https://ufoecobikeshop.it does not allow consultation of the General Conditions of Sale before the conclusion of the online purchase contract for "UfoEcoBike" bicycles and does not contain any information regarding the right of withdrawal and its exercise.</w:t>
        <w:br/>
        <w:t>III. INVESTIGATIVE FINDINGS</w:t>
        <w:br/>
        <w:t>1) The course of the proceeding</w:t>
        <w:br/>
        <w:t>4. Based on the information acquired for the application of the Consumer Code,2 on September 23, 20213, the investigative proceeding PS12149 was initiated against ECOSTYLE, aimed at verifying the existence of conduct in violation of Articles 21, 22, 23, paragraph 1, letters i) and l), 49, and 52 of the Consumer Code, in relation to the dissemination of commercial communications regarding various models of electric vehicles on the websites "www.ufoecobike.com" and "https://ufoecobikeshop.it", as well as on the Facebook page dedicated to "Ufoecobike".</w:t>
        <w:br/>
        <w:t>5. The professional, on October 13, 2021, submitted a defensive memorandum and responded to the request for information made concurrently with the initiation of the proceeding4.</w:t>
        <w:br/>
        <w:t>6. On November 17, 2021, the objective integration of the communication initiating the proceeding was ordered, pursuant to Article 27, paragraph 3, of the Consumer Code5, regarding the dissemination of an advertising spot concerning the two-wheeled vehicle "UFO-Ecobike," which aired on Espansione TV on June 12, 2021.</w:t>
        <w:br/>
        <w:t>7. On January 12, 2022, the burden of proof regarding the accuracy of the factual data reported in the messages related to the two-wheeled vehicles named "UFO NTJ", "UFO ECOBIKE King", "UFO-Ecobike", as well as the three-wheeled vehicles known as "mobility scooters" named "Colibrì", "UFO3 Basic", and "UFO3 Plus" was assigned to the professional6.</w:t>
        <w:br/>
        <w:t>8. On February 9, 2022, official observations were made on the websites "www.ufoecobike.com", "www.ufoecobike.shop", and on the Facebook page dedicated to "Ufoecobike"7.</w:t>
        <w:br/>
        <w:t>9. On the same date of February 9, 2022, ECOSTYLE was sent the communication of the conclusion deadline of the investigative phase. The professional did not produce concluding memoranda.</w:t>
        <w:br/>
        <w:t>10. On February 28, 2022, the opinion was requested from the Authority for Communications Guarantees.</w:t>
        <w:br/>
        <w:t>2 See official observations made acquired on September 13 and 21, 2021.</w:t>
        <w:br/>
        <w:t>3 See communication initiating the investigative proceeding of September 23, 2021, prot. 73491.</w:t>
        <w:br/>
        <w:t>4 See memorandum and information of October 13, 2021, prot. 77929.</w:t>
        <w:br/>
        <w:t>5 See doc. 13 of the investigative file.</w:t>
        <w:br/>
        <w:t>6 See doc. 17 of the investigative file.</w:t>
        <w:br/>
        <w:t>7 See doc. 19 and 20 of the investigative file.</w:t>
      </w:r>
    </w:p>
    <w:p>
      <w:r>
        <w:rPr>
          <w:b/>
        </w:rPr>
        <w:t>[Pages 40–42]</w:t>
      </w:r>
    </w:p>
    <w:p>
      <w:r>
        <w:t>42 BULLETIN NO. 15 OF APRIL 26, 2022</w:t>
        <w:br/>
        <w:t>2) The evidence acquired</w:t>
        <w:br/>
        <w:t>i) The advertising messages</w:t>
        <w:br/>
        <w:t>11. The homepage of the website https://www.ufoecobike.com highlights the following statement: “Why choose Ufo Eco Bike? You will have many advantages by purchasing an electric Ufo Eco Bike vehicle.” This statement is prominently displayed over an image of an electric bicycle, around which the advantages of the purchase are indicated, including lower management costs, expressed as follows: “Management costs Eliminate insurance, road tax, and fuel costs” (emphasis in the original).</w:t>
        <w:br/>
        <w:t>12. On the website https://www.ufoecobike.com, within the “electric scooters” category, two-wheeled vehicles of the type “UFO ECOBIKE King” are advertised, each represented on the web pages in a different color (amarant red, gray, black); around the photo of each vehicle are four gray circles with a small white cross in the center; hovering the mouse over each of them reveals the following statements: “WITHOUT LICENSE,” “WITHOUT ROAD TAX,” “WITHOUT HELMET,” and “WITHOUT INSURANCE”8.</w:t>
        <w:br/>
        <w:t>13. The two-wheeled vehicles named “UFO NTJ” are advertised on the website https://ufoecobikeshop.it, where they are defined as “electric scooters” that can be driven “WITHOUT LICENSE,” “WITHOUT ROAD TAX,” “WITHOUT HELMET,” and “WITHOUT INSURANCE.” The photo of the vehicle shows a machine with the typical body of scooters, with a footrest platform, two small pedals mounted before the start of the platform, a long seat under which the motor is housed, and small diameter wheels. Both websites boast the following technical characteristics of the vehicles in question: “WHEELS-16" (ABOUT 40 CM), LED LIGHTS-DIGITAL DISPLAY, FRONT AND REAR DRUM BRAKES, HYDRAULIC SUSPENSIONS, MOTOR POWER-350 W (250 OUTPUT), CHARGING TIME OF 6-8 HOURS, AVERAGE LOAD CAPACITY OF 130 KG, DIMENSIONS 1,600 x 350 x 800 MM”9.</w:t>
        <w:br/>
        <w:t>14. The three-wheeled vehicles known as “mobility scooters” named “Colibrì,” “UFO3 Basic,” and “UFO3 Plus” are advertised on both websites https://www.ufoecobike.com and https://ufoecobikeshop.it in the same manner, with the same statements regarding the absence of the obligation for a license, payment of road tax, helmet, and insurance coverage obligations. Also for these models, on the website https://www.ufoecobike.com, around the photo of each vehicle, four gray circles with a small white cross in the center are arranged; hovering the mouse over each of them reveals the following statements: “WITHOUT LICENSE,” “WITHOUT ROAD TAX,” “WITHOUT HELMET,” and “WITHOUT INSURANCE.” These vehicles, equipped with a motor with a power of 1kW, do not have pedals and are explicitly intended for “those who want to move comfortably.” During the television sale of the three-wheeled vehicle “UFO 3Basic”10, a voiceover states: “the innovative three-wheeled scooter for your everyday mobility on urban and off-road roads for medium and long distances. UFO 3 is suitable for everyone, young and old, it can be driven without a license, there is no road tax to pay, and you do not need to get insurance.” The video also depicts a driver parking the vehicle near a store and, after entering and exiting the store walking normally, placing a package in the vehicle's storage compartment before resuming driving the vehicle in question.</w:t>
        <w:br/>
        <w:t>15. From the documentation sent by the professional11, it also appears that the vehicles in question would be of considerable weight. In particular, in the manual for the two-wheeled model “UFO,” a weight of “about 70 kg is stated, which can be lifted by two strong people or with the aid of a lifting device.” In that of the Colibrì, a weight of 110 kg is stated instead.</w:t>
        <w:br/>
        <w:t>16. On the Facebook page dedicated to “UfoEcobike,” a two-wheeled vehicle named “UFO ECOBIKE King 1” is shown, followed by the statement: “The right moment for your e-experience”; further down it is indicated: “01 without helmet 02 without license 03 without insurance 04 without registration 05 without age limits, 06 without road tax.”</w:t>
        <w:br/>
        <w:t>17. In the advertising spot concerning the two-wheeled vehicle “UFO-Ecobike,” aired on Espansione TV on June 12, 202112, the vehicle is shown being driven in traffic on a flat public road at high speed, without any use of pedals by drivers without helmets. The spot states that, for the purpose of driving the vehicle on public roads, there would be no need for a helmet, insurance, or a license.</w:t>
        <w:br/>
        <w:t>18. The website www.ufoecobike.com also contains a section titled “Warranty,” where it states “Vehicles Guaranteed for 2 years. Ufo Eco Bike provides full warranty coverage for any manufacturing defects for every part of the bicycles and scooters (including electrical and mechanical parts). Components subject to wear attributable to the mode of use of the vehicle and natural decay are marked with a warranty of less than 24 months” (emphasis in the original). Following are indications regarding the warranty actually provided in relation to each component, which has a duration of 24 months, 12 months, 6 months, or is generically defined as “limited” without further specifications. Immediately after it is stated, “The 24-month warranty will be granted only for factory defects and subject to a technical assessment.” The section makes no mention of the legal warranty of conformity referred to in Articles 128 and following of the Consumer Code.</w:t>
        <w:br/>
        <w:t>19. Through the website https://ufoecobikeshop.it, it is possible to purchase some “UfoEcoBike” products online, specifically bicycles for which the price appears and the possibility to add them to the virtual “cart.” The vehicles qualified as “electric scooters” can instead be purchased through consultants who visit the consumer's home or at the professional's commercial premises13. Regarding the products available for online purchase, the General Sales Conditions14 are not available on the site, as confirmed by the professional, nor is there any information on the right of withdrawal and the related methods of exercise.</w:t>
        <w:br/>
        <w:t>ii) The regulatory framework of the sector</w:t>
        <w:br/>
        <w:t>20. According to current regulations, the category of “electric bicycles” includes two different types of two-wheeled vehicles: (a) “pedal-assisted electric bicycles,” defined by Article 2, paragraph 2, letter h), of EU Regulation No. 168/2013 and by Article 50 of the C.d.S.15; (b) “propulsion cycles” referred to in Article 4, paragraph 2, of EU Regulation No. 168/2013, category L1e-A, where the auxiliary electric motor can move the vehicle even in the absence of muscular action by the cyclist, but must stop providing power upon reaching a speed of 25 km/h. While “pedal-assisted bicycles” are assimilated to bicycles and therefore are exempt from homologation obligations and are not subject to a series of requirements for circulation on public roads, “propulsion cycles” are considered “light motor vehicles on two wheels” similar to mopeds16 and therefore subject to all obligations and requirements established for the latter for the purpose of circulation on public roads: homologation, circulation certificate, license plate (Article 97 C.d.S.), insurance coverage for civil liability, pursuant to Article 193 of the C.d.S., possession of a driving license (license category AM) by the driver (Article 116 C.d.S.), and the obligation for the driver to wear a helmet, compliant with approved types, to be kept properly fastened during the vehicle's operation (Article 171 C.d.S.).</w:t>
        <w:br/>
        <w:t>21. Furthermore, in the category of “mopeds” under Articles 47 and 52 of the C.d.S. fall the “three-wheeled mopeds” of category L2e of EU Reg. 168/2013, which have, among other things, an electric motor with a power not exceeding 4kW and speeds up to 45 km/h.</w:t>
        <w:br/>
        <w:t>3) The arguments of the Party</w:t>
        <w:br/>
        <w:t>22. In the defense memorandum of October 13, 202117, ECOSTYLE argued the unfoundedness of the allegations raised in the initiation communication, observing first of all that the vehicles “UFO NTJ,” “UFO ECOBIKE King,” and “UFO-Ecobike” would be pedal-assisted electric bicycles. In this regard, the professional specified that, “regardless of the use of the word ‘scooter’,” the technical characteristics of these vehicles, with reference to the provision of a motor with a maximum power of 250W, would be clearly indicated on the websites in accordance with Article 50 of the C.d.S.; by virtue of the nature of electric bicycles, there would be no need for a helmet, insurance, or payment of road tax for their operation on public roads. Likewise, the nature of bicycles would imply the absence of the obligation for homologation of these vehicles and, consequently, the necessity to provide information regarding this on the company websites.</w:t>
        <w:br/>
        <w:t>23. The professional also highlighted that the three-wheeled vehicles known as “mobility scooters” named “Colibrì,” “UFO3 Basic,” and “UFO3 Plus” would be electric wheelchairs, regularly registered with the Ministry of Health, intended for the mobility of disabled or elderly individuals with motor problems.</w:t>
      </w:r>
    </w:p>
    <w:p>
      <w:r>
        <w:rPr>
          <w:b/>
        </w:rPr>
        <w:t>[Pages 43–45]</w:t>
      </w:r>
    </w:p>
    <w:p>
      <w:r>
        <w:t>BULLETIN NO. 15 OF APRIL 26, 2022 45</w:t>
      </w:r>
    </w:p>
    <w:p>
      <w:r>
        <w:t>24. Regarding the disputes related to the warranty, the professional stated that the "two-year coverage [is] corresponding to the legal one for this type of vehicles" and that "for each product, the warranty for each individual component is indicated analytically."</w:t>
      </w:r>
    </w:p>
    <w:p>
      <w:r>
        <w:t>25. Finally, with reference to the absence of general contract conditions and information related to the right of withdrawal, ECOSTYLE argued that the sale of vehicles would not be conducted online but would be provided "door to door and/or within its own commercial premises" and that, for these reasons, "it is specified on the sites that to purchase electric scooters, it is necessary to contact a consultant."</w:t>
      </w:r>
    </w:p>
    <w:p>
      <w:r>
        <w:t>4) The burden of proof</w:t>
      </w:r>
    </w:p>
    <w:p>
      <w:r>
        <w:t>26. Since during the proceeding there was a lack of sufficient evidence to assess the actual nature and the advertised characteristics of the cited vehicles, the professional was requested, pursuant to Article 27, paragraph 5, of the Consumer Code, to demonstrate the accuracy of the factual data related to the commercial practice. To this end, the professional was invited, pursuant to Article 15 of the Regulation, to produce suitable documentation aimed at demonstrating the truthfulness of the indications present in the advertising messages disseminated on the websites and through advertisements18, specifically regarding the nature, technical characteristics, actual equipment possessed by the vehicles in question, and the feasibility of the claimed conditions of use in the aforementioned messages.</w:t>
      </w:r>
    </w:p>
    <w:p>
      <w:r>
        <w:t>27. The professional did not transmit any documentation or information in relation to what was requested in the attribution of the burden of proof.</w:t>
      </w:r>
    </w:p>
    <w:p>
      <w:r>
        <w:t>IV. OPINION OF THE AUTHORITY FOR GUARANTEES IN COMMUNICATIONS</w:t>
      </w:r>
    </w:p>
    <w:p>
      <w:r>
        <w:t>28. Since the commercial practice subject to this proceeding was disseminated through telecommunications means, on February 28, 2022, the opinion was requested from the Authority for Guarantees in Communications, pursuant to Article 27, paragraph 6, of the Consumer Code. In the opinion received on March 31, 2022, the aforementioned Authority deemed that the means of communication used by the professional in this case are suitable to develop a significant impact on consumers, who, based on the information received via television and/or read on the professional's websites or on social media, could be induced to make a commercial decision that they otherwise would not have made, thus concretely developing the full promotional potential of the aforementioned means of communication.</w:t>
      </w:r>
    </w:p>
    <w:p>
      <w:r>
        <w:t>V. EVALUATIONS</w:t>
      </w:r>
    </w:p>
    <w:p>
      <w:r>
        <w:t>29. This provision concerns the unlawfulness of the behaviors carried out by ECOSTYLE in the context of its promotion and sale of the vehicles "UFO NTJ," "UFO ECOBIKE King," "UFO-Ecobike," and the so-called "mobility scooters" and bicycles. In particular, the actions taken by the professional constitute three distinct violations of the Consumer Code, consisting of:</w:t>
      </w:r>
    </w:p>
    <w:p>
      <w:r>
        <w:t>A) an unfair commercial practice related to the dissemination, through the websites "www.ufoecobike.com," "www.ufoecobike.shop," the Facebook page dedicated to "Ufoecobike," and the advertising spot related to the vehicle "UFO-Ecobike," of misleading and omissive information regarding the nature and main characteristics of the vehicles "UFO NTJ," "UFO ECOBIKE King," "UFO-Ecobike," and the so-called "mobility scooters" named "Colibrì," "UFO3 Basic," and "UFO3 Plus";</w:t>
      </w:r>
    </w:p>
    <w:p>
      <w:r>
        <w:t>B) a second unfair commercial practice, related to the presentation of the conventional warranty offered by the professional, in which it is not clarified that such warranty is different and possibly additional to the legal warranty of conformity, to which the consumer is entitled by law;</w:t>
      </w:r>
    </w:p>
    <w:p>
      <w:r>
        <w:t>C) the failure to comply with the regulations on pre-contractual information for the consumer and the right of withdrawal in distance contracts, regarding the sale of bicycles on the website https://ufoecobikeshop.it.</w:t>
      </w:r>
    </w:p>
    <w:p>
      <w:r>
        <w:t>Practice A) The misleading and omissive nature of the information regarding the nature and main characteristics of electric scooters</w:t>
      </w:r>
    </w:p>
    <w:p>
      <w:r>
        <w:t>30. The information and images provided by the professional through the websites "www.ufoecobike.com," "www.ufoecobike.shop," the Facebook page dedicated to "Ufoecobike," and the advertising spot related to the vehicle "UFO-Ecobike," also due to their overall presentation, ambiguously describe the nature of the vehicles "UFO NTJ," "UFO ECOBIKE King," "UFO-Ecobike," preventing consumers from understanding whether they are mopeds or pedal-assisted bicycles. Contributing to this are the inclusion of descriptions and photographs of the vehicles in question in the category "electric scooters" on the websites, the terminology used to describe them ("scooter"), the photographic and video representations of the vehicles, as well as the main characteristics mentioned in the messages. The claims used by the professional boast conditions of use compatible only with the characteristics of pedal-assisted bicycles19.</w:t>
      </w:r>
    </w:p>
    <w:p>
      <w:r>
        <w:t>31. The same mode of operation of the vehicle "UFO-ecobike," represented in the video broadcast on Espansione TV, in which a driver is shown operating the vehicle in city traffic at sustained speed on flat roads, without pedaling, leads to the belief that the vehicle in question is likely to fall under the category of "mopeds" and not under that of "electric pedal-assisted bicycles" as defined by current regulations.</w:t>
      </w:r>
    </w:p>
    <w:p>
      <w:r>
        <w:t>32. What has just been observed can also be referred to the three-wheeled models known as "mobility scooters" named "Colibrì," "UFO3 Basic," and "UFO3 Plus," whose characteristics (absence of pedals, power of the electric motor, considerable weight of the vehicle indicated in the relevant technical data sheet)20 appear to exclude the possibility of classifying them as pedal-assisted bicycles. The explicit reference to the possibility for anyone to operate such vehicles deemed suitable for all young and elderly individuals, as well as the images used to present the model "UFO 3Basic" in the advertisement broadcast by the Party21, appear to be elements likely to mislead the average consumer regarding the nature and characteristics of the marketed vehicles.</w:t>
      </w:r>
    </w:p>
    <w:p>
      <w:r>
        <w:t>33. On the professional's websites, the possibility of using Ufo EcoBike vehicles without a license, registration, insurance, and helmet is also claimed, both regarding pedal-assisted bicycles and regarding the vehicles "UFO NTJ," "UFO ECOBIKE King," and the three models defined as "mobility scooters"; the same possibility is claimed in the same terms in the advertising spot related to the vehicle "UFO-Ecobike," which aired on Espansione TV. This possibility, in reality, is reserved by current regulations only for "pedal-assisted bicycles," while all other vehicles falling under the category of "mopeds," due to their characteristics, are subject to the obligations of license, registration, insurance, and helmet for the driver for public road circulation. Only persons with reduced mobility, who use mobility scooters as aids to mobility based on a medical prescription, can be exempt from these obligations, a circumstance that the disseminated messages do not clarify.</w:t>
      </w:r>
    </w:p>
    <w:p>
      <w:r>
        <w:t>34. The professional, following the attribution of the burden of proof pursuant to Article 27, paragraph 5, of the Consumer Code, failed to provide the requested documentation to support the factual data reported in the messages disseminated via the internet and through television sales regarding the nature, technical characteristics, actual equipment possessed by the vehicles in question, as well as regarding the real feasibility of the claimed conditions of use in the aforementioned messages. Therefore, the indications present in the advertising messages must be considered inaccurate, pursuant to Article 27, paragraph 5, of the Consumer Code and Article 15 of the Regulation.</w:t>
      </w:r>
    </w:p>
    <w:p>
      <w:r>
        <w:t>35. In light of the above, the messages disseminated by the professional are thus likely to mislead consumers regarding the nature, main characteristics of the products, the conditions, and the requirements necessary for the use of the cited vehicles on public roads, thereby inducing the average consumer to make a commercial decision that they otherwise would not have made. This conduct thus constitutes an unfair commercial practice, in violation of Articles 21 and 22 of the Consumer Code.</w:t>
      </w:r>
    </w:p>
    <w:p>
      <w:r>
        <w:t xml:space="preserve">20 Cf. information transmitted by the professional with memoranda of October 13, 2021, prot. 77929. The weight indicated in the Manual is 110 kg. </w:t>
        <w:br/>
        <w:t>21 Cf. advertising video broadcast by the professional on December 6, 2021, prot. 90732.</w:t>
      </w:r>
    </w:p>
    <w:p>
      <w:r>
        <w:rPr>
          <w:b/>
        </w:rPr>
        <w:t>[Pages 46–48]</w:t>
      </w:r>
    </w:p>
    <w:p>
      <w:r>
        <w:t>48 BULLETIN NO. 15 OF APRIL 26, 2022</w:t>
        <w:br/>
        <w:t>Practice B) The misleading representation of the conventional warranty</w:t>
        <w:br/>
        <w:t>36. Regarding the webpage titled "warranty," contained on the site https://www.ufoecobike.com, it is observed that the professional's assertion, according to which the messages would expressly indicate the two-year coverage "corresponding to the legal one for this type of vehicles," is unfounded. This is because the 24-month warranty is provided only for certain components and is contingent upon the outcome of a "prior technical assessment," while for other components it is reduced to 12 or 6 months or generically qualified as "limited," without further indications. Therefore, the professional does not clarify, contrary to Article 133 of the Consumer Code, that the warranty described is a conventional warranty, different and possibly additional to the legal warranty of conformity, to which the consumer is entitled by law in any case. The professional also seems to present the contents of its conventional warranty, partly coinciding with those of the legal warranty of conformity, as an additional advantage of its offer "granted" to consumers, even though these are rights to which they are entitled by law. Such methods of presenting the conventional warranty thus constitute an unfair commercial practice, carried out in violation of Articles 22 and 23, paragraph 1, letter l), of the Consumer Code.</w:t>
        <w:br/>
        <w:t>Illicit C) The failure to provide pre-contractual information regarding contractual conditions and the right of withdrawal</w:t>
        <w:br/>
        <w:t>37. Contrary to what the professional claimed, the consumer can purchase certain "UfoEcoBike" products, specifically bicycles, also online through the site https://ufoecobikeshop.it. This site, by not allowing consultation of the General Conditions of Sale before the conclusion of the purchase contract for "UfoEcoBike" bicycles and not containing any information regarding the right of withdrawal and its exercise, is in violation of Articles 49 and 52 of the Consumer Code.</w:t>
        <w:br/>
        <w:t>VI. QUANTIFICATION OF THE SANCTION</w:t>
        <w:br/>
        <w:t>38.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39. In the case of a proceeding concerning multiple established administrative offenses, the jurisprudence has clarified that in the presence of multiple actions with structural and functional autonomy, attributed to the responsibility of the professionals, the criterion of material cumulation of sanctions applies, instead of legal cumulation (see, among others, Council of State, Section VI, judgment no. 209 of January 19, 2012).</w:t>
        <w:br/>
        <w:t>40. Regarding the quantification of the sanction, account must be taken, as applicable, of the criteria identified by Article 11 of Law No. 689 of November 24, 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BULLETIN NO. 15 OF APRIL 26, 2022 49</w:t>
        <w:br/>
        <w:t>41. With reference to the economic size of ECOSTYLE, from the income statement transmitted by the same professional22, it appears that the company, in the period from January 1 to June 30, 2021, achieved revenues of approximately [€300,000-500,000] and reported a loss of approximately [€100,000-300,000].</w:t>
        <w:br/>
        <w:t>Practice A)</w:t>
        <w:br/>
        <w:t>42. Regarding the severity of the violation, account is taken of the circumstance that it concerns the dissemination of misleading advertising messages about the nature of commonly used products for road circulation by consumers, which is susceptible to potentially dangerous use when carried out in violation of legal norms.</w:t>
        <w:br/>
        <w:t>43. Furthermore, the breadth and capillarity of the advertising campaign in question, disseminated through the internet and advertisements, is such as to reach a potentially unlimited number of users.</w:t>
        <w:br/>
        <w:t>44. Regarding the duration of the violation, from the elements acquired in the records, it appears that the commercial practice has been carried out at least since: i) July 2019, concerning the "UFO3 Basic" and "UFO3 PLUS" vehicles, then suspended due to the pandemic, resumed in January 2020; ii) from early 2020, regarding the "Colibrì" model; iii) from January 2021 for the other vehicles23. The practice is still ongoing, as the messages present on the sites "www.ufoecobike.com," "www.ufoecobike.shop," and the Facebook page dedicated to "Ufoecobike" are still being disseminated24.</w:t>
        <w:br/>
        <w:t>45. In light of the above, it is deemed appropriate to determine the base amount of the administrative pecuniary sanction applicable for Practice A) to Mr. Franco Forciniti, owner of the individual enterprise Ecostyle of Forciniti Franco, in the amount of €15,000 (fifteen thousand euros). Considering the particular situation of economic difficulty of the professional, it is deemed appropriate to determine the amount of the administrative pecuniary sanction applicable for Practice A) to Mr. Franco Forciniti, owner of the individual enterprise ECOSTYLE of Forciniti Franco, in the amount of €10,000 (ten thousand euros).</w:t>
        <w:br/>
        <w:t>Practice B)</w:t>
        <w:br/>
        <w:t>46. Regarding the severity of the violation, account is taken of the circumstance that the professional has sold over 400 electric scooters and mobility scooters25.</w:t>
        <w:br/>
        <w:t>47. Regarding the duration of the violation, from the elements acquired in the records, it appears that the commercial practice has been carried out at least since: i) July 2019, concerning the "UFO3 Basic" and "UFO3 PLUS" vehicles, then suspended due to the pandemic, resumed in January 2020; ii) from early 2020, regarding the "Colibrì" model; iii) from January 2021 for the other vehicles26. The practice is still ongoing, as the messages present on the site "www.ufoecobike.shop" are still being disseminated27.</w:t>
        <w:br/>
        <w:t>48. For the reasons stated above, it is deemed appropriate to determine the base amount of the administrative pecuniary sanction for Practice B) applicable to Mr. Franco Forciniti, owner of the individual enterprise Ecostyle of Forciniti Franco, in the amount of €7,500 (seven thousand five hundred euros).</w:t>
        <w:br/>
        <w:t>49. Considering the particular situation of economic difficulty of the professional, it is deemed appropriate to determine the amount of the administrative pecuniary sanction applicable for Practice B) to Mr. Franco Forciniti, owner of the individual enterprise ECOSTYLE of Forciniti Franco, in the amount of €5,000 (five thousand euros).</w:t>
        <w:br/>
        <w:t>Illicit C)</w:t>
        <w:br/>
        <w:t>50. Regarding the severity of the violation, account is taken of the circumstance that it concerns exclusively the offer of "UfoEcoBike" bicycles through the website www.ufoecobike.com. Regarding the duration, from the elements acquired in the records, it appears that the conduct has been carried out at least since September 202128 and that it is still ongoing, as the messages present on the site "www.ufoecobike.shop" are still being disseminated29.</w:t>
        <w:br/>
        <w:t>51. In light of the above, in relation to Illicit C), it is deemed appropriate to determine the base amount of the administrative pecuniary sanction applicable to Mr. Franco Forciniti, owner of the individual enterprise Ecostyle of Forciniti Franco, in the amount of €7,500 (seven thousand five hundred euros).</w:t>
        <w:br/>
        <w:t>52. Considering the particular situation of economic difficulty of the professional, it is deemed appropriate to determine the amount of the administrative pecuniary sanction applicable for Illicit C) to Mr. Franco Forciniti, owner of the individual enterprise ECOSTYLE of Forciniti Franco, in the amount of €5,000 (five thousand euros).</w:t>
        <w:br/>
        <w:t>CONSIDERED, therefore, taking into account the opinion of the Authority for Communications Guarantees, based on the above considerations, that the commercial practice under A) is deemed unfair, pursuant to Articles 21 and 22 of the Consumer Code, as it is capable of appreciably distorting the economic behavior of the average consumer through misleading and omissive communication methods regarding relevant information for the consumer's informed commercial decision;</w:t>
        <w:br/>
        <w:t>CONSIDERED, therefore, taking into account the opinion of the Authority for Communications Guarantees, based on the above considerations, that the commercial practice under B) is deemed unfair, pursuant to Articles 22 and 23, paragraph 1, letter l), of the Consumer Code, as it is capable of appreciably distorting the economic behavior of the average consumer through the omission of the existence of the legal warranty of conformity and the presentation of the contents of the conventional warranty coinciding with those of the legal warranty as an additional advantage of its offer, even though these are rights to which consumers are entitled by law;</w:t>
      </w:r>
    </w:p>
    <w:p>
      <w:r>
        <w:rPr>
          <w:b/>
        </w:rPr>
        <w:t>[Pages 49–51]</w:t>
      </w:r>
    </w:p>
    <w:p>
      <w:r>
        <w:t>BULLETIN NO. 15 OF APRIL 26, 2022 51</w:t>
        <w:br/>
        <w:t>CONSIDERED, therefore, taking into account the opinion of the Authority for Communications Guarantees, based on the aforementioned considerations, that the Illicit under C) constitutes a violation of Articles 49 and 52 of the Consumer Code, as the professional does not allow consultation of the General Conditions of Sale before the conclusion of the purchase contract and does not provide any information regarding the right of withdrawal and its exercise;</w:t>
        <w:br/>
        <w:t>RESOLVES</w:t>
        <w:br/>
        <w:t>a) that the commercial practice described under letter A) of this provision, carried out by Mr. Franco Forciniti, as the owner of the individual business ECOSTYLE of Forciniti Franco, constitutes, for the reasons and within the limits set out in the motivation, an unfair commercial practice, pursuant to Articles 21 and 22 of the Consumer Code, and prohibits its dissemination or continuation;</w:t>
        <w:br/>
        <w:t>b) that the commercial practice described under letter B) of this provision, carried out by Mr. Franco Forciniti, as the owner of the individual business ECOSTYLE of Forciniti Franco, constitutes, for the reasons and within the limits set out in the motivation, an unfair commercial practice, pursuant to Articles 22 and 23, paragraph 1, letter l), of the Consumer Code, and prohibits its dissemination or continuation;</w:t>
        <w:br/>
        <w:t>c) that the conduct described under letter C) of this provision, carried out by Mr. Franco Forciniti, as the owner of the individual business ECOSTYLE of Forciniti Franco, constitutes, for the reasons and within the limits set out in the motivation, a violation of Articles 49 and 52 of the Consumer Code and prohibits its dissemination or continuation;</w:t>
        <w:br/>
        <w:t>d) to impose on Mr. Franco Forciniti, as the owner of the individual business Ecostyle of Forciniti Franco, for the violation referred to in point a) an administrative pecuniary sanction of €10,000 (ten thousand euros);</w:t>
        <w:br/>
        <w:t>e) to impose on Mr. Franco Forciniti, as the owner of the individual business Ecostyle of Forciniti Franco, for the violation referred to in point b) an administrative pecuniary sanction of €5,000 (five thousand euros);</w:t>
        <w:br/>
        <w:t>f) to impose on Mr. Franco Forciniti, as the owner of the individual business Ecostyle of Forciniti Franco, for the violation referred to in point c) an administrative pecuniary sanction of €5,000 (five thousand euros);</w:t>
        <w:br/>
        <w:t>g) that the professional communicates to the Authority, within sixty days from the notification of this provision, the initiatives taken in compliance with the warnings referred to in points a), b) and c).</w:t>
        <w:br/>
        <w:t>The administrative sanctions imposed must be paid within thirty days from the notification of this provision, using the tax codes indicated in the attached F24 model with identifying elements, pursuant to Legislative Decree No. 241/1997.</w:t>
      </w:r>
    </w:p>
    <w:p>
      <w:r>
        <w:t>52 BULLETIN NO. 15 OF APRIL 26, 2022</w:t>
        <w:br/>
        <w:t>Payment must be made electronically by debiting one's bank or postal account, through the home banking and CBI services provided by banks or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in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w:t>
        <w:br/>
        <w:t>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t>BULLETIN NO. 15 OF APRIL 26, 2022 53</w:t>
        <w:br/>
        <w:t>PS12081 - SASI/BIENNIAL PRESCRIPTION WATER SECTOR</w:t>
        <w:br/>
        <w:t>Provision No. 30109</w:t>
        <w:br/>
        <w:t>THE AUTHORITY FOR COMPETITION AND THE MARKET</w:t>
        <w:br/>
        <w:t>IN ITS MEETING of April 12, 2022;</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January 18, 2022, with which, pursuant to Article 7, paragraph 3, of the Regulation, a thirty-day extension of the conclusion of the procedure was ordered, and its provision of February 22, 2022, with which, pursuant to Article 7, paragraph 3, of the Regulation, a further extension of 24 days of the conclusion of the procedure was ordered;</w:t>
        <w:br/>
        <w:t>VIEWED the acts of the procedure;</w:t>
        <w:br/>
        <w:t>I. THE PARTY</w:t>
        <w:br/>
        <w:t>1. S.A.S.I. S.p.A. (hereinafter also "SASI" or "Professional" or "Company"), as a professional, pursuant to Article 18, letter b), of the Consumer Code. The company manages the integrated water service in the territory of ATO No. 6 Chietino. According to the data sent by the professional, in the 2020 financial year, the Company achieved revenues of approximately €28 million, with a profit of approximately €800,000.</w:t>
        <w:br/>
        <w:t>II. THE COMMERCIAL PRACTICE</w:t>
        <w:br/>
        <w:t>2. The procedure concerns the commercial practice carried out by S.A.S.I. S.p.A. as the manager of the integrated water service in the territory of ATO No. 6 Chietino. The professional, in fact, has engaged in certain conduct that evades the obligations – established by the current legislative and regulatory framework for operators in the water sector starting from January 1, 2020 – concerning the acceptance of requests for biennial prescription on credits related to water consumption exceeding two years from the date of issuance of the relevant bill, as well as regarding the information to be provided to users on the same topic.</w:t>
        <w:br/>
        <w:t>3. In particular, S.A.S.I. S.p.A. has issued invoices with the information and the form required by the biennial prescription regulations only from October 16, 2020, and has not made such information easily and immediately accessible to users on its website. Furthermore, S.A.S.I. S.p.A. has not accepted requests for biennial prescription if they relate to users whose meters are not accessible by the company's meter readers.</w:t>
        <w:br/>
        <w:t>4. The commercial practice subject to the procedure therefore consists of:</w:t>
      </w:r>
    </w:p>
    <w:p>
      <w:r>
        <w:rPr>
          <w:b/>
        </w:rPr>
        <w:t>[Pages 52–54]</w:t>
      </w:r>
    </w:p>
    <w:p>
      <w:r>
        <w:t xml:space="preserve">54 BULLETIN NO. 15 OF APRIL 26, 2022  </w:t>
        <w:br/>
        <w:t xml:space="preserve">A) in the failure to timely comply with the informational obligations regarding the short prescription, as provided by the current legislative and regulatory framework, under which the water service operator is required to provide users with adequate information both through its website (or through other communication/dissemination supports) and directly within the invoice that contains amounts related to consumption dating back more than two years;  </w:t>
        <w:br/>
        <w:t xml:space="preserve">B) in the failure to accept requests for recognition of the two-year prescription, related to credits for water consumption invoiced after January 1, 2020, and dating back more than two years from the date of issuance of the relevant bill.  </w:t>
        <w:br/>
        <w:t xml:space="preserve">III. THE FINDINGS OF THE PROCEEDING  </w:t>
        <w:br/>
        <w:t xml:space="preserve">i) The procedure process  </w:t>
        <w:br/>
        <w:t xml:space="preserve">5. Based on the reports received and some information acquired ex officio for the application of the Consumer Code1, on September 23, 2021, S.A.S.I. S.p.A. was notified of the initiation of the investigative procedure PS12081 for possible violation of Articles 20, 22, 24, and 25 of the Consumer Code, concerning the failure to accept requests for two-year prescription in the cases provided for by the current regulations and the failure to timely comply with the informational obligations therein.  </w:t>
        <w:br/>
        <w:t xml:space="preserve">6. On October 13, 20212, S.A.S.I. sent the requested information in the communication initiating the procedure, supplementing it on November 4, 20213.  </w:t>
        <w:br/>
        <w:t xml:space="preserve">7. S.A.S.I. had access to the documents of the procedure and extracted copies of the documents acquired in the file on January 17, 2022; furthermore, the company was heard in a hearing on October 26, 2021.  </w:t>
        <w:br/>
        <w:t xml:space="preserve">8. On January 11, 2022, the Professional was notified of the conclusion date of the investigative phase pursuant to Article 16, paragraph 1, of the Regulation. However, the professional did not submit any memorandum by the conclusion deadline of the investigative phase4.  </w:t>
        <w:br/>
        <w:t xml:space="preserve">9. On January 18, 2022, a thirty-day extension of the conclusion deadline of the procedure was ordered to March 22, 2022.  </w:t>
        <w:br/>
        <w:t xml:space="preserve">10. On February 2, 2022, a request for opinion was made to the Regulatory Authority for Energy, Networks and Environment (hereinafter, also ARERA), pursuant to Article 27, paragraph 1-bis, of Legislative Decree No. 206 of September 6, 2005.  </w:t>
        <w:br/>
        <w:t xml:space="preserve">11. On February 22, 2022, following a request for an extension in issuing its opinion by ARERA, an additional 24-day extension of the conclusion deadline of the procedure was ordered to April 15, 2022.  </w:t>
        <w:br/>
        <w:t xml:space="preserve">12. On March 22, 2022, the opinion of the Regulatory Authority for Energy, Networks and Environment5 was received.  </w:t>
        <w:br/>
        <w:t xml:space="preserve">1 This concerns the report of a consumer (prot. no. 13054 of January 15, 2021 and no. 36446 of April 13, 2021), the response of the professional prot. no. 55038 of June 25, 2021 to the Authority's request for information, as well as a survey conducted ex officio on September 3 of the previous year on the company's website www.sasispa.it.  </w:t>
        <w:br/>
        <w:t xml:space="preserve">2 See doc. prot. no. 78050 of October 13, 2021.  </w:t>
        <w:br/>
        <w:t xml:space="preserve">3 See doc. prot. no. 83180 of November 4, 2021.  </w:t>
        <w:br/>
        <w:t xml:space="preserve">4 See doc. prot. no. 11466 of January 11, 2022.  </w:t>
        <w:br/>
        <w:t>5 See doc. prot. no. 28616 of March 23, 2022.</w:t>
      </w:r>
    </w:p>
    <w:p>
      <w:r>
        <w:t xml:space="preserve">BULLETIN NO. 15 OF APRIL 26, 2022 55  </w:t>
        <w:br/>
        <w:t xml:space="preserve">13. Finally, on March 28, 2022, ARERA transmitted, as part of the cooperation activity between the two Authorities in consumer protection matters, the memorandum that S.A.S.I. had addressed to ARERA on March 17, 2022. In this memorandum, the Professional retraced the arguments already formulated to the Authority with the memoranda of June 25, 2021, October 13, 2021, and November 4, 2021, as well as some considerations on the rulings of the TAR Lombardy nos. 1442, 1443, and 1448 of June 14, 2021.  </w:t>
        <w:br/>
        <w:t xml:space="preserve">ii) The regulation of the two-year prescription in the water sector  </w:t>
        <w:br/>
        <w:t xml:space="preserve">14. Law No. 205 of December 27, 2017 (so-called 2018 Budget Law), in Article 1, paragraphs 4 and following, introduced a two-year prescription regime - so-called "short prescription" - for credits claimed by operators in the water sector for past consumption (as well as for the electricity and gas sectors). The provision establishes for the water services sector the right of users, both domestic and professional and micro-enterprises, to raise the prescription of amounts related to consumption dating back more than two years indicated in invoices issued from January 1, 2020, where the delay in invoicing was not due to "established responsibility of the user"6. Subsequently, the legislator, in an effort to strengthen the protection of consumer-users, with the law of December 27, 2019, No. 160 (2020 Budget Law), amended the previous regime by repealing paragraph 5 of Article 1 of the 2018 Budget Law, effective from January 1, 2020, thus eliminating the possibility of rejecting the prescription exception in cases of consumer responsibility and, therefore, preventing operators in the sector from rejecting prescription exceptions for consumption dating back more than two years invoiced untimely even in cases of responsibility attributable to the service user7.  </w:t>
        <w:br/>
        <w:t xml:space="preserve">15. As a result of the aforementioned legislative interventions, the sector Authority - ARERA - introduced a detailed regulatory framework8 where it established various obligations for Integrated Water Service Managers, starting from the transparent communication to the end user - with a separate document or with a distinct and highlighted detail in the invoice - regarding amounts related to consumption dating back more than two years as well as regarding the right to raise the two-year prescription by completing and sending a specific form9. ARERA clarified, among other things, that the two-year prescription on water consumption also applies to invoices issued before January 1, 2020, but with deadlines after that date and that, furthermore, the short prescription "starts from the deadline within which the manager is obliged to issue the billing document, as identified by the current regulation"10.  </w:t>
        <w:br/>
        <w:t xml:space="preserve">16. Until the repeal of paragraph 5 of Article 1 of the 2018 Budget Law and the related update of the regulatory framework, Annex B to resolution 547/2019/R/IDR provided for specific informational obligations on the part of integrated water service managers11.  </w:t>
        <w:br/>
        <w:t xml:space="preserve">17. In implementation of the provision of Article 1, paragraph 295, of the 2020 Budget Law, with resolution of May 26, 2020, 186/2020/R/IDR14, ARERA intervened to adapt the regulation defined by resolution 547/2019/R/IDR (Annex B) to the changed legislative framework, overcoming the distinction - previously provided by Article 1, paragraph 5, of the 2018 Budget Law - between cases where the delay in invoicing amounts related to consumption dating back more than two years was attributable to the responsibility of the manager and those in which the delay was presumably attributable to the end user12. This resolution was recently replaced by the Resolution of December 21, 2021, 610/2021/R/IDR13.  </w:t>
        <w:br/>
        <w:t xml:space="preserve">10 Lastly, see resolution no. 186/2020/R/IDR, Annex B ("Protective measures in favor of end users in cases of invoicing amounts related to consumption dating back more than two years"), Article 2, paragraph 2.3. Furthermore, Resolution no. 186/2020 reiterated what was already prescribed by the previous Resolution no. 547/2019 regarding the exclusion of claimable credits from payment methods with direct debit ("Amounts related to consumption dating back more than two years are excluded from the scope of application of any contractual clauses that provide for payment methods such as pre-authorized SEPA Direct Debit services - SDD (bank, postal, or credit card domiciliation), even if they were the method indicated by the end user regarding periodic and closing invoices" - See Annex B, Article 3, paragraph 3.3).  </w:t>
        <w:br/>
        <w:t xml:space="preserve">11 In particular, two specific paths were distinguished in relation to the following two distinct hypotheses:  </w:t>
        <w:br/>
        <w:t xml:space="preserve">- hypothesis a) invoicing delay attributable to the responsibility of the operator;  </w:t>
        <w:br/>
        <w:t xml:space="preserve">- hypothesis b) invoicing delay attributable to presumed responsibility of the end user.  </w:t>
        <w:br/>
        <w:t xml:space="preserve">The manager, in both of the above-mentioned cases, was required to send the end user an additional page to the invoice containing a textual notice defined by the Authority with differentiated content based on the presumed responsibilities and the evidence of the amount of the amounts for consumption dating back more than two years.  </w:t>
        <w:br/>
        <w:t xml:space="preserve">In the case of presumed responsibility attributable to the end user (hypothesis b)), Article 4 of Annex B to the aforementioned resolution 547/2019/R/IDR provided that the manager should supplement the textual notice with the reason that determined the presumed responsibility of the end user in the invoicing of amounts for consumption dating back more than two years and specify the possibility of sending a complaint to the manager and the relevant forwarding contacts.  </w:t>
        <w:br/>
        <w:t xml:space="preserve">12 Therefore, with resolution 186/2020/R/IDR, the Authority modified the aforementioned resolution 547/2019/R/IDR and, repealing Article 4 of Annex B, provided that the informational obligations referred to in Article 3 (format with the possibility of raising the prescription) represented the only mode of communication to the end user of amounts related to consumption dating back more than two years, without any distinction regarding the presumed responsibility for the invoicing delay.  </w:t>
        <w:br/>
        <w:t xml:space="preserve">13 With the recent resolution of December 21, 2021, 610/2021/R/IDR, in compliance with the rulings of the TAR Lombardy nos. 1442, 1443, and 1448 of June 14, 2021, and in order to strengthen the clarity, transparency, and certainty of the current regulatory framework regarding protections in favor of end users in cases of invoicing amounts related to consumption dating back more than two years, ARERA provided:  </w:t>
        <w:br/>
        <w:t xml:space="preserve">- to update its resolutions, confirming, in general terms, the prescriptive content of resolution 186/2020/R/IDR, redefining the informational obligations as a result of the legislative generalization of the two-year prescription term;  </w:t>
        <w:br/>
        <w:t xml:space="preserve">- to ensure the end user adequate information in cases where the manager believes it can invoice amounts related to consumption dating back more than two years, asserting, in such cases, the existence of an obstacle to the maturation of the prescription pursuant to the primary reference legislation.  </w:t>
        <w:br/>
        <w:t xml:space="preserve">Specifically, the authority ordered that:  </w:t>
        <w:br/>
        <w:t xml:space="preserve">˗ in cases of invoicing amounts related to consumption dating back more than two years that may be declared prescribed, the manager prepare a standard textual notice to be attached to the invoice informing the end user of the presence of such amounts, indicating the methods to raise the prescription;  </w:t>
        <w:br/>
        <w:t>˗ in cases of invoicing amounts related to consumption dating back more than two years, but for which the manager believes there is a cause for suspension of the prescription, the manager itself adequately communicate to the end user the specific reasons for the (presumed) failure to mature the prescription of the right to payment of the amounts, pursuant to the primary and general reference legislation, as well as the possibility of sending a written complaint regarding the invoicing of the aforementioned amounts.</w:t>
      </w:r>
    </w:p>
    <w:p>
      <w:r>
        <w:rPr>
          <w:b/>
        </w:rPr>
        <w:t>[Pages 55–57]</w:t>
      </w:r>
    </w:p>
    <w:p>
      <w:r>
        <w:t>BULLETIN NO. 15 OF APRIL 26, 2022 57</w:t>
        <w:br/>
        <w:t>iii) The evidence acquired</w:t>
        <w:br/>
        <w:t>18. According to the information provided by the same operator, from January 1, 2020, to August 31, 2021, SASI issued 31,301 invoices containing amounts related to consumption dating back over two years.</w:t>
        <w:br/>
        <w:t>19. SASI pointed out that, with reference to the 31,301 invoices issued containing amounts subject to prescription, about 20,000 were paid by users14. Furthermore, of the 31,301 invoices issued, 12,000 reported a credit adjustment for the user, with reimbursement or reduction of the amounts due, while in the remaining cases (about 19,000) the adjustment resulted in a debit billing for an average amount of about 90 euros per user15.</w:t>
        <w:br/>
        <w:t>A) The information provided to consumers</w:t>
        <w:br/>
        <w:t>20. From the elements provided by the professional, 11,000 invoices were issued without the information required by ARERA regulations regarding the presence of amounts subject to prescription and the possibility of asserting the prescription through a specific form. In fact, based on the documentation acquired in the records16, it emerged that the professional only started issuing invoices with the information and the form required by the regulations on the two-year prescription from October 16, 2020, although these invoices still lacked the indication of the amount subject to prescription17.</w:t>
        <w:br/>
        <w:t>21. During the hearing held on October 26, 2021, S.A.S.I. S.p.A. communicated that the amounts subject to prescription had been specifically indicated on the bill by that date.</w:t>
        <w:br/>
        <w:t>22. Regarding the company's website, according to the Office's findings18, there is still no information published for users about the entry into force of the new prescription regime. However, a specific form to assert the short prescription is available on the website, in the "Online Counter" and "Forms" sections19. SASI communicated that it published the necessary form for the prescription request as early as the first two months of 2020.</w:t>
        <w:br/>
        <w:t>B) The management of prescription requests</w:t>
        <w:br/>
        <w:t>23. SASI communicated that it did not accept the two-year prescription requests if they referred to users for whom it was not possible to access the relevant meters as they were not accessible20. SASI reported that it rejected about 200 two-year prescription requests out of approximately 250 received in the two-year period 2020-2021 due to inaccessibility of the meter21.</w:t>
        <w:br/>
        <w:t>24. In particular, regarding the procedure for handling the received prescription requests, it emerged that SASI, after an initial eligibility check (aimed at identifying the subjective and objective requirements required by law for the applicability of the regulations), proceeded with the verifications aimed at ascertaining – and attributing – the responsibility for the delayed billing, in order to accept or reject the exceptions of its customers.</w:t>
        <w:br/>
        <w:t>25. SASI particularly emphasized that, starting from the first two months of 2020, the rejection of the request occurs following a procedure developed by the company itself that verifies the presence of a previous attempt to read the meter by the meter reader with the issuance of the self-reading postcard, as well as the subsequent sending of a registered letter. In the presence of both these requirements, the company proceeds to reject the two-year prescription requests22. According to what was communicated by the professional, the registered letter sent to users contains the following indications: “We inform you that, following a verification of our computer archives, the necessary reading data to correctly issue the adjustment invoices is not present. In fact, the water meter no. ….., installed at your supply, appears to be inaccessible to our reading attempts. […] This communication arises in compliance with the measures to strengthen the protections for final users, in cases of billing amounts for the water service related to consumption dating back to more than two years. This serves as an interruptive act of any prescription or expiration also pursuant to Law 205/17 and Del. ARERA 547/19”23.</w:t>
        <w:br/>
        <w:t>26. The professional's verification essentially consisted of checking the attempts and/or failed accesses to the meters by the meter readers and the absence of self-reading. In this way, SASI ascertained the user's responsibility and proceeded to reject the prescription request, justifying it with the impossibility of accessing the meter.</w:t>
        <w:br/>
        <w:t>27. From the reports received, it emerges that the rejection by SASI of the short prescription requests related to multi-year consumption, concerning periods far exceeding two years, is then based on laconic and mostly standardized motivations, without providing a clear and specific justification for the rejection. In particular, the motivation given in support of the rejection against a reporter was: “We inform you that the prescription request in question cannot be accepted due to the inaccessibility of the meter”24, while regarding the payment request for a credit dating back over 15 years: “Good morning, in the absence of documentation, the undersigned cannot proceed with the elimination of the credit from the statement related to your customer code”25.</w:t>
        <w:br/>
        <w:t>28. One user, for example, complained that SASI, through a debt collection company, sent a payment request on July 15, 2021, related to an invoice due on June 20, 2006, which is, therefore, over 15 years from the payment request. The reporter argued to SASI that the credit was now widely prescribed and that, moreover, it had never been requested before, but the operator, not accepting the request, responded that “in the absence of documentation, the undersigned cannot proceed with the elimination of the credit from the statement related to your customer code”26.</w:t>
        <w:br/>
        <w:t>29. Following the rejection of the prescription requests, the reporters filed complaints, contesting the generality and unfounded nature of what SASI stated regarding the alleged attempts to read and the impossibility of successfully carrying them out due to causes attributable to the users themselves, highlighting that no evidentiary feedback was provided to support the effectiveness of such attempts. In light of such remarks, it appears that SASI did not, however, provide further feedback to the users.</w:t>
        <w:br/>
        <w:t>iv) The defensive arguments of the Professional</w:t>
        <w:br/>
        <w:t>30. In memoranda received on June 25, 2021, October 13, 2021, and November 4, 2021, the professional emphasized, preliminarily, the substantially mutualistic function of the company, being entirely publicly controlled, whose shareholders are 76 municipalities of the Province of Chieti, many of which are very small. Except for the larger municipalities, Vasto and Lanciano, all municipalities have equal participation in the company. SASI also emphasized the care and attention that the company has towards its territory and the users of the water service, reiterating the good faith of its actions which do not aim to make profits at the expense of consumers.</w:t>
        <w:br/>
        <w:t>31. With reference to the informational remarks made in the communication initiating the proceeding regarding the failure to timely comply with the informational obligations on the short prescription, SASI emphasized that ARERA Resolution 547/2019/R/Idr provided an extremely short time to update the indications and layout of the issued invoices, considering the extreme complexity of updating the management software that must identify for each user the amounts subject to two-year prescription. This operational difficulty was compounded by the emergency related to the pandemic that since March 2020 has caused the suspension of much of the work activities. Furthermore, with subsequent Resolution No. 186/2020/R/Idr of May 26, 2020, ARERA further modified the provisions regarding the indications to be provided on the bill. These events hindered the implementation of the informational methods to users, not due to negligence of the professional, but because the development of the management software was particularly laborious. In any case, SASI, making a significant organizational effort, implemented the information to be provided on the bill starting from October 2020. Moreover, the professional, during the hearing with the Offices on October 13, 2021, communicated that there are</w:t>
        <w:br/>
        <w:t>25 Cfr. report no. prot. 74609 of September 29, 2021.</w:t>
        <w:br/>
        <w:t>26 Cfr. report of September 29, 2021, cited.</w:t>
      </w:r>
    </w:p>
    <w:p>
      <w:r>
        <w:rPr>
          <w:b/>
        </w:rPr>
        <w:t>[Pages 58–60]</w:t>
      </w:r>
    </w:p>
    <w:p>
      <w:r>
        <w:t>60 BULLETIN NO. 15 OF APRIL 26, 2022</w:t>
        <w:br/>
        <w:t>now also includes in the bill the amounts that can be prescribed, the indication of which had not yet been implemented previously.</w:t>
        <w:br/>
        <w:t>32. Regarding the non-acceptance of certain requests for a two-year prescription motivated by the inaccessibility of the meter, SASI emphasized that this occurs only following a specific procedure developed by the company that verifies the presence of a previous attempt to read the meter. Starting from the first two-month period of 2020, the rejection of the request occurs following the verification of the presence of a previous attempt to read the meter by the meter reader with the issuance of a postcard requesting self-reading, as well as the subsequent sending of a registered letter. In the presence of both these requirements, the company proceeds to reject the requests for a two-year prescription.</w:t>
        <w:br/>
        <w:t>33. The 197 requests for the application of the two-year prescription that were not accepted correspond to verified cases, according to the above procedure, of inaccessibility of the meter and for which the user, despite the delivery in the mailbox of the prepaid self-reading postcard, failed in previous years and often until the receipt of the registered letter to communicate the consumption data, preventing the professional from ascertaining its credit.</w:t>
        <w:br/>
        <w:t>34. Moreover, SASI pointed out that pursuant to Article 2941, no. 8), of the Civil Code, "the prescription remains suspended," "between the debtor who has fraudulently concealed the existence of the debt and the creditor, until the fraud has been discovered." In this regard, the Court of Cassation has consistently ruled that this provision applies "when the debtor engages in conduct such as to create a true impossibility for the creditor to act" (Cass. no. 5413 of 27/02/2020).</w:t>
        <w:br/>
        <w:t>35. According to SASI, the inaccessibility of the meter constitutes a clear impossibility for the creditor to ascertain the existence of the user's debt.</w:t>
        <w:br/>
        <w:t>36. Furthermore, according to the professional, the repeal of paragraph 5 of Article 1 of the 2018 Budget Law determines that the two-year prescription applies to water supply contracts, but does not render inapplicable the general rules on cases of suspension of prescription, such as that governed by Article 2941, no. 8, of the Civil Code in its constant jurisprudential interpretation outlined above.</w:t>
        <w:br/>
        <w:t>IV. OPINION OF THE REGULATORY AUTHORITY FOR ENERGY, NETWORKS AND ENVIRONMENT</w:t>
        <w:br/>
        <w:t>37. Since the commercial practice subject to this provision concerns the energy sector, on February 2, 2022, an opinion was requested from the Regulatory Authority for Energy, Networks and Environment, pursuant to and for the effects of Article 27, paragraph 1-bis, of the Consumer Code, introduced by Article 1, paragraph 6, letter a), of Legislative Decree no. 21/2014. The opinion was received on March 23, 202227 and summarizes the observations and evaluations that follow.</w:t>
        <w:br/>
        <w:t>38. After making some preliminary considerations regarding the purpose of the opinion, limited to compliance or non-compliance with the regulatory framework28, the aforementioned Authority illustrates the evolution of the regulatory framework on the issue of the two-year prescription introduced by the 2018 Budget Law, starting from the principles that underlie this implementing regulation, continuing with the analysis of the most significant interventions aimed at "strengthened protection of end customers."</w:t>
        <w:br/>
        <w:t>39. With reference to the conduct contested against the Water Service manager mentioned in paragraph II of this provision, ARERA observes that, based on the documentation submitted, the conduct carried out by S.A.S.I. cannot be framed within compliance with the referenced regulatory provisions, particularly regarding the failure to include in the bill, at least until October 16, 2020, the necessary information to allow the end user to assert the prescription of the manager's credit, thereby exercising the advantageous position provided by law. In order to ensure transparent and complete information for the benefit of the end user, starting from January 1, 2020, the manager was indeed required to supplement the bill containing amounts related to consumption older than two years with an additional initial page containing a standard text information notice and a section containing a format that the end user could use to assert the prescription. Also starting from January 1, 2020, the same manager was also required to adequately highlight the presence in the bill of amounts related to consumption older than two years, differentiating them from other amounts.</w:t>
        <w:br/>
        <w:t>40. In this regard, ARERA highlights that at least until October 2021, SASI had not yet modified the layout of the bill, explicitly stating the amount of the billed amounts related to consumption older than two years for which the user could assert the prescription.</w:t>
        <w:br/>
        <w:t>41. Regarding the contested conduct under letter B), relating to the non-acceptance of requests for recognition of the two-year prescription when they refer to users whose meters are not accessible, ARERA emphasizes that the derogation provided for by the repealed paragraph 5 of Article 1 of the 2018 Budget Law (delayed measurement error due to the fault of the debtor user) no longer applies, but only the ordinary provisions of the Civil Code, particularly Articles 2935 and 2941, no. 8. In this regard, based on the provisions adopted by the Authority during the validity of the 2018 Budget Law, as amended by the 2020 Budget Law, the Manager was therefore required to adequately inform the end user of the presence in the bill of amounts related to consumption older than two years, possibly communicating to the same user the existence of a cause for suspension of the prescription in the event that it deemed it could bill beyond the two-year period.</w:t>
        <w:br/>
        <w:t>42. Also, the specific procedure (sending a registered letter requesting self-reading) aimed at asserting the alleged absence of responsibility of the manager in the presence of meters deemed inaccessible, does not comply with the provisions regarding the two-year prescription adopted by the Authority with resolution 547/2019/R/IDR (ANNEX B), as the manager should have provided the end user deserving of a form of enhanced protection with adequate information in the bill regarding the presence of amounts that could be declared prescribed.</w:t>
        <w:br/>
        <w:t>43. ARERA also notes that to date, adequate and complete information regarding the entry into force of the new short prescription regime has not yet been published on the SASI website. On the Manager's website, only the form to assert the two-year prescription in application of the 2018 Budget Law is available.</w:t>
        <w:br/>
        <w:t>44. Finally, ARERA finds it useful to point out that in response to a complaint from the end user contesting the non-recognition of the two-year prescription due to responsibility, the manager limited itself to transmitting generic and unsubstantiated information, and not a reasoned response that represents any motivational shortcomings in light of the obligations provided by the regulation, in order to allow the end user to protect their rights (also possibly in the context of extrajudicial resolution for the possible settlement of the dispute)29, as established by the regulatory provisions regarding contractual quality, particularly regarding the minimum content of the response to the written complaint as well as to written requests for information and billing correction (Article 50)130 as well as with reference to response times31.</w:t>
        <w:br/>
        <w:t>V. CONCLUDING EVALUATIONS</w:t>
        <w:br/>
        <w:t>45. The conduct under evaluation consists of the failure to timely adapt by the manager to the informational obligations provided by the current legislative and regulatory framework on the two-year prescription of amounts related to water consumption, as well as the non-acceptance of requests for short prescription regarding such credits related to consumption billed after January 1, 2020, and dating back to more than two years from the date of issuance of the relevant bill.</w:t>
        <w:br/>
        <w:t>46. It is highlighted, in this regard, that the legislator, with the introduction of the 2018 Budget Law, as amended by the 2020 Budget Law, intended to curb and limit the phenomenon known as "maxi bills" due to the delayed issuance of adjustment bills for water consumption by the service managers. In fact, it had become evident that, due to the previous commercial regime of water supplies – characterized by frequent late billing and/or correction of consumption accompanied by the charge of significant amounts – consumers were left severely disadvantaged.</w:t>
      </w:r>
    </w:p>
    <w:p>
      <w:r>
        <w:rPr>
          <w:b/>
        </w:rPr>
        <w:t>[Pages 61–63]</w:t>
      </w:r>
    </w:p>
    <w:p>
      <w:r>
        <w:t>BULLETIN NO. 15 OF APRIL 26, 2022 63</w:t>
        <w:br/>
        <w:t>penalized, not only by the amounts of the bills but also in the ability to monitor their consumption and plan the related expenses. Moreover, the 2020 Budget Law, amending the provisions introduced by the 2018 Budget Law, repealed the provision that provided for the ascertainment of the customer's liability, a central theme of this analysis, as an exception to the application of the two-year limitation period. The possibility of raising the two-year limitation no longer finds the established liability of the user for the failure/delay in the detection of consumption data as a preclusive condition.</w:t>
      </w:r>
    </w:p>
    <w:p>
      <w:r>
        <w:t>47. In light of the aforementioned regulatory and factual framework, the behaviors described in point II of this provision constitute an unfair commercial practice, pursuant to Articles 20, 22, 24, and 25 of the Consumer Code, as they are contrary to professional diligence and capable of misleading the average consumer regarding the existence and the possibility of timely exercising a prerogative attributed to them by the current legislative and regulatory framework regarding the short limitation period, as well as hindering them in exercising the aforementioned prerogative by not accepting the requests submitted.</w:t>
      </w:r>
    </w:p>
    <w:p>
      <w:r>
        <w:t>48. Firstly, the failure by SASI to comply with the duties of transparency and completeness of information required by law and regulatory provisions constitutes an omission in violation of Article 22 of the Consumer Code.</w:t>
      </w:r>
    </w:p>
    <w:p>
      <w:r>
        <w:t>49. It should be noted, in this regard, that in implementing the provisions introduced by the legislator regarding the two-year limitation, ARERA intervened on the billing side and the related informational obligations, for the benefit of end users deemed deserving of enhanced protection.</w:t>
      </w:r>
    </w:p>
    <w:p>
      <w:r>
        <w:t>50. In this regard, it is observed, as also noted by ARERA in its opinion, that the informational obligations imposed on the professional by the regulation regarding the two-year limitation have been widely disregarded. From the findings of the proceeding, it has indeed emerged that:</w:t>
        <w:br/>
        <w:t>˗ at least until October 16, 2020, SASI did not include in the bill the necessary information to allow the end user to raise the limitation of the manager's credit;</w:t>
        <w:br/>
        <w:t>˗ at least until October 2021, SASI did not modify the layout of the bill, explicitly stating the amounts billed related to consumption dating back more than two years for which the user could raise the limitation;</w:t>
        <w:br/>
        <w:t>˗ to this day, SASI has not integrated the company website with adequate information to users regarding the entry into force of the new limitation regime.</w:t>
      </w:r>
    </w:p>
    <w:p>
      <w:r>
        <w:t>51. In order to allow the exercise of the right to raise the two-year limitation of consumption, starting from January 1, 2020, the professional was required to ensure transparent and complete information by integrating the bill containing amounts related to consumption dating back more than two years with an additional initial page containing a standard textual informational notice and a section containing a format that the end user could use to raise the limitation. Also starting from January 1, 2020, the same manager was also required to adequately highlight the presence in the bill of amounts related to consumption dating back more than two years, differentiating them from other amounts, as well as to inform the end user, using one or more communication channels suitable to ensure completeness and transparency, of the possibility of raising the limitation.</w:t>
      </w:r>
    </w:p>
    <w:p>
      <w:r>
        <w:t>52. The failure to comply with these specific informational obligations regarding potentially limitable credits to be indicated in the bill and more generally for the regime of the two-year limitation has undoubtedly hindered the full and complete exercise of the respective prerogatives belonging to the interested users based on binding legislative32 and regulatory33 norms, with the effect of hindering the exercise of a right provided by law and placing on them the consequences of inertia and service disruptions of the manager in the detection and accounting of water services34. In this regard, it is worth noting that out of approximately 19,000 bills containing limitable amounts in favor of the user issued during the 2020-2021 period, only 250 consumers submitted a request for limitation, thus representing just over 1% of consumers who could have exercised such a right.</w:t>
      </w:r>
    </w:p>
    <w:p>
      <w:r>
        <w:t>53. Secondly, the rejection by the professional of the requests for the two-year limitation constitutes aggressive conduct in contrast with Articles 24 and 25 of the Consumer Code. From the data provided, it appears that the professional rejected about 4/5 of the requests and that only in 50 cases – amounting to about 0.2% of those entitled – did the professional actually recognize the two-year limitation.</w:t>
      </w:r>
    </w:p>
    <w:p>
      <w:r>
        <w:t>54. In particular, the conduct of the professional in rejecting limitation requests in cases where they are submitted by users whose meters are not accessible and the manager has been unable to read the user's meter, due to an alleged absence of liability on the part of the manager for not having ascertained the consumption and timely requested the payments due, is unjustifiable, as such conduct is in express contrast with the provisions of Article 1, paragraph 295, of Law No. 160 of December 27, 2019, which repealed the provision of the 2018 Budget Law that excluded the operation of the two-year limitation if the failure or erroneous detection of consumption data was due to "established liability of the user."</w:t>
      </w:r>
    </w:p>
    <w:p>
      <w:r>
        <w:t>55. Contrary to what SASI believes, the lack of accessibility of the meter does not appear to constitute a fraudulent case of concealment of the user's debt, which could determine the "suspension" of the limitation pursuant to Article 2941, no. 8), of the Civil Code.</w:t>
      </w:r>
    </w:p>
    <w:p>
      <w:r>
        <w:t>56. The lack of accessibility of the meter cannot in itself be attributed to a fraudulent conduct of the consumer, as it may arise from a plurality of factual situations - moreover well known to the professional - not directly attributable to the user's responsibility. This circumstance excludes that the mere impossibility of accessing the meter, in the absence of further and more specific evidentiary elements, could serve as an act of suspension of the limitation. Moreover, any fraud on the part of the consumer should be ascertained and adequately demonstrated by the professional, notifying the consumer, which has not been done in this case.</w:t>
      </w:r>
    </w:p>
    <w:p>
      <w:r>
        <w:t>57. According to the reports received, the procedure adopted by SASI appears to result in a substantial reversal of the burden of proof to the detriment of the consumer, who is effectively unable to refute the mere attestations of the water manager regarding the reading attempts made and allegedly unsuccessful. The reporters also highlighted that no evidentiary feedback has been provided to support the effectiveness of the requests and that in response to such observations, SASI has not provided further feedback to users.</w:t>
      </w:r>
    </w:p>
    <w:p>
      <w:r>
        <w:t>58. It is noted in this regard that the mere placement at the user's home of a postcard regarding an allegedly unsuccessful meter reading attempt, as well as the sending of bills related to estimated consumption, cannot be qualified as acts interrupting the limitation, as they lack the requirements required by jurisprudence regarding the manifestation of the manager's intention to request payment of a specific and actual credit35.</w:t>
      </w:r>
    </w:p>
    <w:p>
      <w:r>
        <w:t>59. Furthermore, it is worth noting that the procedure by which the professional asserts the alleged absence of liability, namely the sending of a registered letter requesting self-reading, was introduced only starting from May/July 202036, coinciding with the sending of bills already containing limitable credits, for which evidently the aforementioned procedure had not been applied. Secondly, this procedure, as noted by ARERA in its opinion, is not compliant with the provisions of the regulator adopted with resolution 547/2019/R/IDR (ANNEX B), as the manager should have provided the end user with adequate information in the bill regarding the presence of amounts that could be declared prescribed, with their quantification.</w:t>
      </w:r>
    </w:p>
    <w:p>
      <w:r>
        <w:t>60. The conduct of the manager also appears characterized by elements of aggressiveness regarding the treatment of requests and inquiries received from users. In response to a complaint from the end user, in fact, contesting the failure to recognize the two-year limitation, the manager limited itself to responding by transmitting generic and undocumented information and rejecting the user's complaint. In reality, in such cases, the manager is still required to provide the user with a reasoned response that represents any motivational shortcomings in order to allow the end user to protect their rights37.</w:t>
      </w:r>
    </w:p>
    <w:p>
      <w:r>
        <w:t>61. The aggressiveness of the practice would also be evident as the described behaviors have been carried out by a subject providing services of primary and indispensable interest and who, moreover, holds, in the specific sector, a position of objective contractual strength compared to that of the individual user.</w:t>
      </w:r>
    </w:p>
    <w:p>
      <w:r>
        <w:t>62. Lastly, the contested practice appears contrary to the normal degree of professional diligence, as referred to in Article 20 of the Consumer Code, that one would expect from professionals in the sector, especially considering that the Integrated Water Service Manager constitutes the sole and direct reference for the consumer within the relevant consumption/supply relationship, as well as due to the obligations incumbent upon it under legislative and regulatory norms.</w:t>
      </w:r>
    </w:p>
    <w:p>
      <w:r>
        <w:t>63. In conclusion, based on the previous considerations, SASI appears not to have provided timely and complete information to consumers regarding the entry into force and validity of the legislation on the two-year limitation in the water sector and, even today, there is no adequate information regarding this on the company's website. The conduct of SASI is also characterized by</w:t>
      </w:r>
    </w:p>
    <w:p>
      <w:r>
        <w:rPr>
          <w:b/>
        </w:rPr>
        <w:t>[Pages 64–66]</w:t>
      </w:r>
    </w:p>
    <w:p>
      <w:r>
        <w:t>66 BULLETIN NO. 15 OF APRIL 26, 2022</w:t>
        <w:br/>
        <w:t>by evident elements of aggressiveness through the creation of an undue conditioning of consumers, induced to pay amounts not due despite the exceptions regularly raised in this regard, as the company did not correctly interpret the relevant regulations on short prescription and did not accept the requests for prescription based on an unproven liability of the consumer and did not provide adequate and convincing responses to the requests and complaints presented.</w:t>
        <w:br/>
        <w:t>64. The overall behavioral framework thus violates Articles 20, 22, 24, and 25 of the Consumer Code.</w:t>
        <w:br/>
        <w:t>VI. QUANTIFICATION OF THE SANCTION</w:t>
        <w:br/>
        <w:t>65.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66. Regarding the quantification of the sanction, account must be taken, as applicable, of the criteria identified by Article 11 of Law No. 689/81,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br/>
        <w:t>67. With regard to the severity of the violation, the following elements are considered in the case at hand: i) the economic size of SASI, which in the 2020 financial year, achieved a high revenue of approximately €28 million, with a profit of approximately €800,000; ii) the widespread nature of the commercial practice and the involvement of a significant number of consumers potentially affected by the conduct (from January 1, 2020, to August 31, 2021, SASI issued 31,301 invoices containing amounts related to prescribable consumption); iii) the extent of the economic harm caused to consumers, regarding the substantial amounts received by SASI concerning multi-year adjustments of energy consumption on which users could raise the prescription38.</w:t>
        <w:br/>
        <w:t>68. As for the duration of the violation, the available evidence indicates that the commercial practice has been carried out by the Professional since January 2020 and is still ongoing with regard to some aspects of the aforementioned conduct.</w:t>
        <w:br/>
        <w:t>69. It is also noted, specifically regarding the delay in implementing the informational obligations, that it appears partly explainable by the pandemic period that characterized the early months of 2020, coinciding with the entry into force of the new provisions. The professional indeed emphasized that the contraction of work and professional activity related to the period caused delays in the process of updating the billing management IT systems to comply with the new regulations.</w:t>
        <w:br/>
        <w:t>70. Based on these elements, it is deemed appropriate to determine the amount of the administrative pecuniary sanction applicable to S.A.S.I S.p.A. at €600,000 (six hundred thousand euros).</w:t>
        <w:br/>
        <w:t>38 See the professional's memorandum of November 4, 2021, cited pages 1-2. See also, the professional's memorandum of October 13, 2021, annex 1, cited.</w:t>
      </w:r>
    </w:p>
    <w:p>
      <w:r>
        <w:t>BULLETIN NO. 15 OF APRIL 26, 2022 67</w:t>
        <w:br/>
        <w:t>CONSIDERED, therefore, in accordance with the opinion of the Regulatory Authority for Energy Networks and Environment, based on the aforementioned considerations, that the commercial practice in question is unfair pursuant to Articles 20, 22, 24, and 25 of the Consumer Code as it is contrary to professional diligence and capable, through the omission of timely and complete information to consumers and the unjustified failure to accept the biennial prescription requests for water consumption, in light of the applicable legislative framework, to appreciably distort the economic behavior of the average consumer in relation to the water service offered by the Professional;</w:t>
        <w:br/>
        <w:t>RESOLVES</w:t>
        <w:br/>
        <w:t>a) that the commercial practice described in point II of this provision, carried out by the company S.A.S.I. S.p.A., constitutes, for the reasons and within the limits set out in the motivation, an unfair commercial practice pursuant to Articles 20, 22, 24, and 25 of the Consumer Code, and prohibits its dissemination or continuation;</w:t>
        <w:br/>
        <w:t>b) to impose on the company S.A.S.I. S.p.A., an administrative pecuniary sanction of €600,000 (six hundred thousand euros);</w:t>
        <w:br/>
        <w:t>c) that S.A.S.I. S.p.A. shall communicate to the Authority, within sixty days from the notification of this provision, the initiatives taken in compliance with the warning referred to in point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r>
    </w:p>
    <w:p>
      <w:r>
        <w:t>68 BULLETIN NO. 15 OF APRIL 26, 2022</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w:t>
        <w:br/>
        <w:t>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rPr>
          <w:b/>
        </w:rPr>
        <w:t>[Pages 67–69]</w:t>
      </w:r>
    </w:p>
    <w:p>
      <w:r>
        <w:t>BULLETIN NO. 15 OF APRIL 26, 2022 69</w:t>
        <w:br/>
        <w:t>VARIOUS</w:t>
        <w:br/>
        <w:t>FINAL ACCOUNT FOR THE 2021 FINANCIAL YEAR</w:t>
        <w:br/>
        <w:t>Provision No. 30085</w:t>
        <w:br/>
        <w:t>THE ANTITRUST AUTHORITY</w:t>
        <w:br/>
        <w:t>IN ITS MEETING of April 5, 2022;</w:t>
        <w:br/>
        <w:t>HAVING REGARD to Law No. 287 of October 10, 1990, and in particular Article 10, paragraph 7;</w:t>
        <w:br/>
        <w:t>HAVING REGARD to Article 39 of the Regulation governing the accounting autonomy of the Authority, published in the Official Bulletin of the Authority No. 40 of November 9, 2015 (hereinafter "Regulation"), concerning the Final Account;</w:t>
        <w:br/>
        <w:t>HAVING REGARD to the Final Account for the 2021 financial year consisting of the documents listed below, prepared by the General Administration Directorate - Budget and Accounting Directorate pursuant to Article 33 of the Regulation:</w:t>
        <w:br/>
        <w:t>Section 1: explanatory report</w:t>
        <w:br/>
        <w:t>Section 2: explanatory note</w:t>
        <w:br/>
        <w:t>- revenues</w:t>
        <w:br/>
        <w:t>- expenses</w:t>
        <w:br/>
        <w:t>- analysis of the main expense items</w:t>
        <w:br/>
        <w:t>- expected budget indicators</w:t>
        <w:br/>
        <w:t>Section 3: financial statement</w:t>
        <w:br/>
        <w:t>- changes made during 2021 to the appropriations of the 2021 budget</w:t>
        <w:br/>
        <w:t>- composition of active and passive residuals by amount and year of formation</w:t>
        <w:br/>
        <w:t>- resolution for the reassessment of residuals</w:t>
        <w:br/>
        <w:t>- movements of the reserve fund</w:t>
        <w:br/>
        <w:t>- movements related to the T.F.R., I.F.R., and lump sum fund</w:t>
        <w:br/>
        <w:t>Section 4: economic and asset accounting</w:t>
        <w:br/>
        <w:t>- income statement</w:t>
        <w:br/>
        <w:t>- balance sheet</w:t>
        <w:br/>
        <w:t>Section 5: administrative situation</w:t>
        <w:br/>
        <w:t>- administrative situation as of December 31, 2021</w:t>
        <w:br/>
        <w:t>- financial situation as of December 31, 2021</w:t>
        <w:br/>
        <w:t>- allocation of the surplus of administration verified as of December 31, 2021</w:t>
        <w:br/>
        <w:t>Section 6: consistency between the Authority's records and the SIOPE data tables</w:t>
        <w:br/>
        <w:t>- report</w:t>
        <w:br/>
        <w:t>Financial statement tables at the second level of revenues and expenditures</w:t>
        <w:br/>
        <w:t>Financial statement table at the second level of expenditures with missions and programs</w:t>
        <w:br/>
        <w:t>Financial statement tables at the fifth level of revenues and expenditures</w:t>
        <w:br/>
        <w:t>Financial statement table at the fifth level of expenditures with missions and programs;</w:t>
        <w:br/>
        <w:t>HAVING REGARD to the favorable opinion on the Final Account for the 2021 financial year expressed by the Board of Auditors on March 31, 2022, pursuant to paragraph 2, Article 39, of the Regulation;</w:t>
      </w:r>
    </w:p>
    <w:p>
      <w:r>
        <w:t>70 BULLETIN NO. 15 OF APRIL 26, 2022</w:t>
        <w:br/>
        <w:t>HAVING REGARD to Article 28, paragraph 9, of Law No. 448 of December 28, 2001, which provides for the publication of the final accounts of independent Authorities attached to the expenditure forecast of the Ministry of Economy and Finance;</w:t>
        <w:br/>
        <w:t>HAVING REGARD to Legislative Decree No. 33 of March 14, 2013, as last amended by Legislative Decree No. 97 of May 25, 2016, concerning the "Reorganization of the discipline regarding the right of civic access and the obligations of publicity, transparency, and dissemination of information by public administrations," which in Article 29, paragraph 1, provides that "... public administrations publish the documents and attachments of the budget forecast and the final account within thirty days of their adoption, as well as the data relating to the budget forecast and the final account in a synthetic, aggregated, and simplified form, also using graphical representations, in order to ensure full accessibility and comprehensibility.";</w:t>
        <w:br/>
        <w:t>RESOLVES</w:t>
        <w:br/>
        <w:t>1. to approve the Final Account of the Antitrust Authority for the 2021 financial year as well as the tables referred to in the preamble, attached to this resolution;</w:t>
        <w:br/>
        <w:t>2. to transmit this resolution, accompanied by the Final Account for the 2021 financial year:</w:t>
        <w:br/>
        <w:t>- to the Ministry of Economy and Finance, electronically, for publication pursuant to the aforementioned Article 28, paragraph 9, of Law No. 448 of December 28, 2001;</w:t>
        <w:br/>
        <w:t>- to the Court of Auditors for the control provided for by Article 10, paragraph 7, of Law No. 287 of October 10, 1990;</w:t>
        <w:br/>
        <w:t>3. to publish this resolution and the financial statements for decision-making and management for the 2021 financial year in the Official Gazette of the Italian Republic and on the institutional website of the Authority.</w:t>
        <w:br/>
        <w:t>THE SECRETARY GENERAL THE PRESIDENT</w:t>
        <w:br/>
        <w:t>Guido Stazi Roberto Rustichelli</w:t>
      </w:r>
    </w:p>
    <w:p>
      <w:r>
        <w:t>Antitrust Authority Weekly Bulletin</w:t>
        <w:br/>
        <w:t>of competition and the market Year XXXII- No. 15 - 2022</w:t>
        <w:br/>
        <w:t>Editorial coordination Giulia Antenucci</w:t>
        <w:br/>
        <w:t>Editorial staff Valerio Ruocco, Simonetta Schettini, Manuela Villani</w:t>
        <w:br/>
        <w:t>Antitrust Authority</w:t>
        <w:br/>
        <w:t>Office of Statistics and IT Applications</w:t>
        <w:br/>
        <w:t>Piazza Giuseppe Verdi, 6/a - 00198 Rome</w:t>
        <w:br/>
        <w:t>Tel.: 06-858211 Fax: 06-85821256</w:t>
        <w:br/>
        <w:t>Web: https://www.agcm.it</w:t>
        <w:br/>
        <w:t>Graphic realization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