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https://www.agcm.it/dotcmsdoc/bollettini/2024/15-24.pdf</w:t>
      </w:r>
    </w:p>
    <w:p>
      <w:r>
        <w:t>Pages translated : 51</w:t>
      </w:r>
    </w:p>
    <w:p/>
    <w:p>
      <w:r>
        <w:rPr>
          <w:b/>
        </w:rPr>
        <w:t>[Pages 1–3]</w:t>
      </w:r>
    </w:p>
    <w:p>
      <w:r>
        <w:t>Bulletin</w:t>
        <w:br/>
        <w:t>Weekly</w:t>
        <w:br/>
        <w:t>Year XXXIV - No. 15</w:t>
        <w:br/>
        <w:t>Published on the website www.agcm.it</w:t>
        <w:br/>
        <w:t>April 15, 2024</w:t>
      </w:r>
    </w:p>
    <w:p>
      <w:r>
        <w:t>SUMMARY</w:t>
        <w:br/>
        <w:t>AGREEMENTS AND ABUSE OF DOMINANT POSITION 5</w:t>
        <w:br/>
        <w:t>A568 - TRAVEL AGENCIES/RYANAIR FLIGHT BOOKINGS</w:t>
        <w:br/>
        <w:t>Measure No. 31151 5</w:t>
        <w:br/>
        <w:t>CONCENTRATION OPERATIONS 26</w:t>
        <w:br/>
        <w:t>C12607 - SERVIZI ITALIA/BRANCH OF STERIS</w:t>
        <w:br/>
        <w:t>Measure No. 31147 26</w:t>
        <w:br/>
        <w:t>C12613 - LATTERIA SORESINA SOCIETÀ COOPERATIVA AGRICOLA-ZANETTI/SAVIOLA</w:t>
        <w:br/>
        <w:t>Measure No. 31148 34</w:t>
        <w:br/>
        <w:t>INFORMATION INVESTIGATIONS 37</w:t>
        <w:br/>
        <w:t>IC55 - MARKETS FOR HEARING AIDS</w:t>
        <w:br/>
        <w:t>Measure No. 31149 37</w:t>
        <w:br/>
        <w:t>REPORTING AND CONSULTATIVE ACTIVITIES 38</w:t>
        <w:br/>
        <w:t>AS1961 - TRANSPORT REGULATION AUTHORITY - REVIEW OF RESOLUTION NO. 154/2019 ON LOCAL PUBLIC SERVICES OF ECONOMIC RELEVANCE 38</w:t>
        <w:br/>
        <w:t>AS1962 - TRANSPARENCY AND COMPETITIVE CONDITIONS OBSERVED IN THE HEARING AID MARKETS IN ITALY 44</w:t>
        <w:br/>
        <w:t>AS1963 - LOMBARDY REGION - ASSIGNMENT OF REGIONAL AND LOCAL RAIL TRANSPORT SERVICES 49</w:t>
      </w:r>
    </w:p>
    <w:p>
      <w:r>
        <w:t>BULLETIN NO. 15 OF APRIL 15, 2024 5</w:t>
        <w:br/>
        <w:t>AGREEMENTS AND ABUSE OF DOMINANT POSITION</w:t>
        <w:br/>
        <w:t>A568 - TRAVEL AGENCIES/RYANAIR FLIGHT BOOKINGS</w:t>
        <w:br/>
        <w:t>Measure No. 31151</w:t>
        <w:br/>
        <w:t>THE ITALIAN COMPETITION AUTHORITY</w:t>
        <w:br/>
        <w:t>IN ITS MEETING of April 3, 2024;</w:t>
        <w:br/>
        <w:t>HEARD the Rapporteur, Saverio Valentino;</w:t>
        <w:br/>
        <w:t>HAVING REGARD to Article 102 of the Treaty on the Functioning of the European Union;</w:t>
        <w:br/>
        <w:t>HAVING REGARD to Regulation No. 1/2003 of the Council of December 16, 2002, concerning the application of the competition rules laid down in Articles 81 and 82 of the EC Treaty (now Articles 101 and 102 TFEU);</w:t>
        <w:br/>
        <w:t>HAVING REGARD to Law No. 287 of October 10, 1990 and, in particular, Article 14-bis;</w:t>
        <w:br/>
        <w:t>HAVING REGARD to Presidential Decree No. 217 of April 30, 1998;</w:t>
        <w:br/>
        <w:t>HAVING REGARD to the Authority's Communication regarding the application of Article 14-bis of Law No. 287/1990;</w:t>
        <w:br/>
        <w:t>HAVING REGARD to its resolution of September 14, 2023, No. 30772, which initiated an investigation, pursuant to Article 14 of Law No. 287/1990, against Ryanair DAC, the leading operator in passenger scheduled air transport on flights involving Italian airports, to ascertain a possible abuse of dominant position in violation of Article 3 of Law No. 287/1990 and/or Article 102 TFEU, consisting of preventing purchases by travel agencies, physical and/or online, of Ryanair tickets through its own website and offering worse conditions through GDS, thus hindering and/or obstructing the agencies themselves in the sale of the airline's tickets - which typically represent the "point of access" for the sale of additional services - in order to favor direct sales of airline tickets on its own website and thereby harming the effective competition in the markets for the sale of tourist services, to the detriment of travel agencies and with negative effects on the welfare of consumers who rely on such operators;</w:t>
        <w:br/>
        <w:t>HAVING REGARD to its resolution of January 16, 2024, No. 31027, which extended the procedure subjectively to Ryanair Holdings Plc;</w:t>
        <w:br/>
        <w:t>HAVING REGARD to the requests for the adoption of precautionary measures from the association eu Travel Tech and from Vacaciones eDreams SL both received on March 29, 2024;</w:t>
        <w:br/>
        <w:t>HAVING REGARD to the documents of the procedure, except for the inspection documentation, acquired from Ryanair DAC and Ryanair Holdings Plc;</w:t>
        <w:br/>
        <w:t>CONSIDERING the following:</w:t>
        <w:br/>
        <w:t>I. THE PARTIES</w:t>
        <w:br/>
        <w:t>1. Ryanair DAC (hereinafter also referred to as "Ryanair DAC") is a low-cost airline under Irish law engaged in the provision of air transport services on national and international routes. Ryanair DAC is controlled by Ryanair Holdings plc.</w:t>
        <w:br/>
        <w:t>2. Ryanair Holdings plc. (hereinafter also referred to as "Ryanair Holdings") is at the top of the namesake group of companies operating as an airline in Europe, both through Ryanair DAC and</w:t>
      </w:r>
    </w:p>
    <w:p>
      <w:r>
        <w:rPr>
          <w:b/>
        </w:rPr>
        <w:t>[Pages 4–6]</w:t>
      </w:r>
    </w:p>
    <w:p>
      <w:r>
        <w:t>6 BULLETIN NO. 15 OF APRIL 15, 2024</w:t>
      </w:r>
    </w:p>
    <w:p>
      <w:r>
        <w:t>through the carriers Ryanair Sun S.A. (“Buzz”), Lauda Europe Limited (“Lauda”), Malta Air Limited (“Malta Air”) and Ryanair U.K. Limited (“Ryanair UK”). Hereinafter, Ryanair DAC and Ryanair Holdings will be collectively referred to as “Ryanair”, while Ryanair Holdings and its subsidiaries will be referred to as the “Ryanair Group”.</w:t>
      </w:r>
    </w:p>
    <w:p>
      <w:r>
        <w:t>3. The Ryanair Group currently represents the main group active in scheduled air transport in Europe, having transported over 180 million passengers in the fiscal year 2024, with approximately 3,600 daily flights, 94 operational bases, and 235 airports served in 37 European and Mediterranean countries. In Italy, the Ryanair Group is the main airline operating in Italy.</w:t>
      </w:r>
    </w:p>
    <w:p>
      <w:r>
        <w:t>II. THE REPORTING PARTIES AND THIRD PARTIES INTERVENING</w:t>
      </w:r>
    </w:p>
    <w:p>
      <w:r>
        <w:t>4. The Italian Association of Travel Agents (hereinafter, “AIAV”) is the trade association established in 2002 that, according to the latest available data, counts 1,900 traditional travel agencies located in all regions of Italy, with 8,500 points of sale representing over 35% of travel agencies.</w:t>
      </w:r>
    </w:p>
    <w:p>
      <w:r>
        <w:t>5. The Federation of Organized Tourism (hereinafter, “FTO”) brings together 1,900 active members such as tour operators, travel agencies, Online Travel Agencies (“OTA”), insurance companies specialized in tourism, and other businesses active in the travel supply chain.</w:t>
      </w:r>
    </w:p>
    <w:p>
      <w:r>
        <w:t>6. The Association Codici Lombardia – Center for Citizen Rights (hereinafter, “ACL”) and the National Codici Association (hereinafter, “Codici”) operate as representative associations of the interests and rights of users and consumers.</w:t>
      </w:r>
    </w:p>
    <w:p>
      <w:r>
        <w:t>7. The Association AdvUnite (hereinafter, “AdvUnite”) is a trade association operating in the tourism sector, committed to promoting and protecting the rights and interests of travel agencies.</w:t>
      </w:r>
    </w:p>
    <w:p>
      <w:r>
        <w:t>8. The FIAVET Association (hereinafter, “Fiavet”) is a trade association of travel agencies that associates 17 regional or supra-regional associations of travel agencies, which in turn represent approximately 1,400 agencies.</w:t>
      </w:r>
    </w:p>
    <w:p>
      <w:r>
        <w:t>9. Vacaciones eDreams SL (hereinafter, “eDreams”) operates as an online travel agency (Online Travel Agency – OTA), is one of the leading online travel brands in the world, and is particularly active in the Italian market.</w:t>
      </w:r>
    </w:p>
    <w:p>
      <w:r>
        <w:t>10. Kiwi.com s.r.o. (hereinafter, “Kiwi”) operates with the website Kiwi.com and through its mobile application and is one of the main operators active in the online transport intermediation sector (OTA).</w:t>
      </w:r>
    </w:p>
    <w:p>
      <w:r>
        <w:t>11. Federconsumatori APS – Milan and Lombardy Region (hereinafter, “Federconsumatori”) is an association, in its territorial branches of Milan and Lombardy, non-profit, whose primary objectives are the information and protection of consumers and users.</w:t>
      </w:r>
    </w:p>
    <w:p>
      <w:r>
        <w:t>12. BravoNext S.A. (hereinafter, “Lastminute”) operates as an OTA and directs its service offerings in the Italian market through multiple websites and brands.</w:t>
      </w:r>
    </w:p>
    <w:p>
      <w:r>
        <w:t>13. Fru.PL S.A. (hereinafter, “Fru”) operates as an OTA in both European and international markets.</w:t>
      </w:r>
    </w:p>
    <w:p>
      <w:r>
        <w:t>14. eu Travel Tech (hereinafter, “euTT”) is a trade association that represents and promotes the interests of Global Distribution Systems ("GDS") and intermediaries for travel bookings, including online travel agencies, before stakeholders and European and national political representatives.</w:t>
      </w:r>
    </w:p>
    <w:p>
      <w:r>
        <w:t>15. Booking.com B.V. (hereinafter, “Booking.com”) is an OTA that provides – in addition to other tourist services – the service of booking airline tickets.</w:t>
      </w:r>
    </w:p>
    <w:p>
      <w:r>
        <w:t>III. INTRODUCTION</w:t>
      </w:r>
    </w:p>
    <w:p>
      <w:r>
        <w:t>16. This proceeding was initiated on September 14, 2023, against Ryanair DAC and subsequently extended, on January 16, 2024, to Ryanair Holdings to verify the existence of any violations of Article 3 of Law No. 287/1990 and/or Article 102 of the TFEU.</w:t>
      </w:r>
    </w:p>
    <w:p>
      <w:r>
        <w:t>17. Among the behaviors contested in the initiation measure, there would be the circumstance that Ryanair would prevent agencies from using the ryanair.com website to purchase airline tickets on behalf of their clients. In particular, the initiation measure noted that Ryanair would have implemented behaviors aimed at hindering user bookings through travel agencies, both physical and online, through a series of actions aimed at blocking or making it more difficult to access the service purchased through travel agencies. Specifically, Ryanair required the direct intervention of the passenger to unlock the booking and, therefore, to check-in and travel – through identity verification (facial recognition process) – and conveyed to the passenger derogatory and untrue information in order to dissuade them from using travel agencies to purchase Ryanair tickets.</w:t>
      </w:r>
    </w:p>
    <w:p>
      <w:r>
        <w:t>18. At the same time, Ryanair provided – only to a subgroup of travel agencies that did not include OTAs – the possibility to access the inventory of Ryanair flights through GDS (Global Distribution System) platforms. However, this access was limited both in terms of the number of flights (absence of served routes) and the absence of certain fare options. Ultimately, access to the inventory had technical-economic conditions inferior to the public offer available on the website itself.</w:t>
      </w:r>
    </w:p>
    <w:p>
      <w:r>
        <w:t>19. According to the initiation measure, such behaviors could constitute a possible abuse by Ryanair of its dominant position in the air transport markets, aimed at marginalizing, if not excluding, travel agencies from the markets for the booking and sale of tourist services, concentrating ticket sales and other tourist services on its own channels. It must indeed be considered that on many routes affecting Italian territory, Ryanair's offer represents the only available alternative (or, in any case, the one that offers the largest number of flights and at the best fares) and that not having Ryanair in their inventory could undermine the agencies' ability to offer the end customer a complete range of travel solutions.</w:t>
      </w:r>
    </w:p>
    <w:p>
      <w:r>
        <w:t>20. Following the initiation of the proceeding, particularly from November-December 2023, it emerged that the aforementioned behaviors have intensified, both with respect to the obstacle to the purchase of Ryanair flights by agencies and with respect to the derogatory campaign. In particular, it emerged that Ryanair appears to have introduced further IT measures aimed at completely, and preventively, blocking the purchase of Ryanair tickets by agencies through the Ryanair.com website. Subsequently, the blocking became intermittent and unpredictable, limited to certain days of the week while a total and systematic block occurred on other days. In light of this blocking, at least OTAs are no longer able to sell Ryanair flights.</w:t>
      </w:r>
    </w:p>
    <w:p>
      <w:r>
        <w:t>21. Furthermore, starting from January 2024, Ryanair entered into some agreements with OTAs – particularly Kiwi – aimed at regulating the sale of Ryanair tickets; these agreements appear to effectively require OTAs to redirect to the Ryanair website for booking and, moreover, continue to restrict the offer of Ryanair flights ([omitted])*, limiting commercial freedom regarding the same fares.</w:t>
      </w:r>
    </w:p>
    <w:p>
      <w:r>
        <w:t>IV. RELEVANT MARKETS</w:t>
      </w:r>
    </w:p>
    <w:p>
      <w:r>
        <w:t>22. The case at hand concerns the markets for scheduled passenger air transport services and those related to the first, the services for booking and selling tourist services.</w:t>
      </w:r>
    </w:p>
    <w:p>
      <w:r>
        <w:t>IV.1. Scheduled Passenger Air Transport Services</w:t>
      </w:r>
    </w:p>
    <w:p>
      <w:r>
        <w:t>23. Based on established national guidelines, scheduled passenger air transport services (excluding charter flights) present characteristics that identify a distinct relevant market for each connection between pairs of cities or airports, applying the city-pair method: this is because such pairs represent the origin and destination of the movement and, as such, are not substitutable from the demand perspective.</w:t>
      </w:r>
    </w:p>
    <w:p>
      <w:r>
        <w:t>24. Each of the markets thus defined, therefore, does not necessarily coincide with only the connections between the two airports at the ends of the route, but may also include flights between airports whose respective catchment areas significantly overlap with the catchment areas of neighboring airports. This approach to defining the relevant market presents an intrinsic geographical dimension specific to transport services, for which it becomes irrelevant to draw a line of demarcation between geographical and product dimensions.</w:t>
      </w:r>
    </w:p>
    <w:p>
      <w:r>
        <w:rPr>
          <w:b/>
        </w:rPr>
        <w:t>[Pages 7–9]</w:t>
      </w:r>
    </w:p>
    <w:p>
      <w:r>
        <w:t>BULLETIN NO. 15 OF APRIL 15, 2024</w:t>
      </w:r>
    </w:p>
    <w:p>
      <w:r>
        <w:t>25. With regard to the substitutability between direct flights and indirect flights connecting the two airports at the ends of the same route, it must be assessed taking into account the distance and travel times, as well as the daily frequencies of flights on the same route. Therefore, concerning national routes, the substitutability between direct and indirect flights from the demand side must generally be excluded, while for international routes, direct and indirect connections can sometimes be considered substitutable and, therefore, part of the same market. Similarly, the substitutability of air transport with other means of transport is normally considered for each of the identified markets (so-called intermodal competition): for this purpose, the distances separating the origin and destination points of each relevant connection, travel times, connection frequencies, and the characteristics of the available transport modes (costs, comfort, etc.) are taken into account. On the other hand, the distinction between business and leisure demand appears to be increasingly outdated, given the evolution of the operational models of airlines and the weight that low-cost carriers hold today in Italy.</w:t>
      </w:r>
    </w:p>
    <w:p>
      <w:r>
        <w:t>26. In this case, moreover, considering the large number of routes potentially affected by the conduct under examination and the importance that these routes have for travel agencies, both physical and online – which, to operate profitably, must be able to offer a range of travel solutions that can meet the average consumer's needs as broadly as possible, providing the widest choice of travel solutions both domestically and abroad – it is also necessary to consider the number and range of individual routes, i.e., the individual relevant origin-destination (hereinafter "O&amp;D") markets, which constitute all national and European connections to/from Italy. In particular, due to the link between the air travel agency services provided to Italian consumers and the air transport services ensured on the air transport markets, consisting of the air routes departing from Italian airports or directed towards them, the air transport services for each O&amp;D considered as a whole are also relevant for the purposes of this case, and thus all national and European connections to/from Italy.</w:t>
      </w:r>
    </w:p>
    <w:p>
      <w:r>
        <w:t>IV.2. The booking and sale of tourist services</w:t>
      </w:r>
    </w:p>
    <w:p>
      <w:r>
        <w:t>27. This concerns the booking and sale of tourist services (air flight, hotel, car rental, etc.); due to their different characteristics, they can each constitute a different relevant market, which could be abstractly subject to further segmentation (for example, offline or online).</w:t>
      </w:r>
    </w:p>
    <w:p>
      <w:r>
        <w:t>28. Tourist services can be sold individually or as part of a so-called package tour, in which case specific regulations come into play. The Commission, in its precedents, has considered that it cannot exclude that the distribution of package tours constitutes a market separate from the sale of the individual services that the buyer combines independently.</w:t>
      </w:r>
    </w:p>
    <w:p>
      <w:r>
        <w:t>29. Again, the advent of the internet has significantly changed the dynamics of the sector: services whose distribution was previously almost exclusively the domain of traditional travel agencies are now also offered by OTAs and other entities, primarily airlines, which, starting from the transaction for the purchase of the airline ticket, can cross-sell and sell the traveler all the other tourist services they need, using specialized partners.</w:t>
      </w:r>
    </w:p>
    <w:p>
      <w:r>
        <w:t>30. In the case at hand, in addition to the booking and sale of airline tickets, the booking and sale of hotel services and the booking and sale of car rental services come into play, i.e., the tourist services that have a closer connection with air transport, also due to the fact that Ryanair intermediates their sale on its website.</w:t>
      </w:r>
    </w:p>
    <w:p>
      <w:r>
        <w:t>31. Considering the growing presence of OTAs and airlines alongside the traditional agency channel, which has led to a homogenization of the competitive conditions of these markets, at least on the national territory, and also taking into account the linguistic uniformity of the different versions of these entities' websites in each country, the size of the market can be considered, in the first approximation, national.</w:t>
      </w:r>
    </w:p>
    <w:p>
      <w:r>
        <w:t>V. THE INITIAL PROCEDURAL FINDINGS AND THE EXISTENCE OF FUMUS BONI IURIS</w:t>
      </w:r>
    </w:p>
    <w:p>
      <w:r>
        <w:t>V.1. Ryanair's dominant position</w:t>
      </w:r>
    </w:p>
    <w:p>
      <w:r>
        <w:t>32. According to the initiation measure, in the national scheduled passenger air transport sector and to/from Italy, Ryanair has acquired over the years a position of absolute prominence, also due to the well-known events of the flag carrier, which continues to play an important role in other European countries.</w:t>
      </w:r>
    </w:p>
    <w:p>
      <w:r>
        <w:t>33. In particular, according to the data from the ENAC Report of 2022, Ryanair was the leading carrier in Italy with nearly 46 million passengers transported in 2022 (34.6% of the total), followed by Wizzair with about 11.5 million and easyJet with just over 11 million; ITA is in fourth place with nearly 10.5 million. In terms of national traffic alone, Ryanair holds a passenger share of 44% (while the second operator, easyJet, does not reach 20%); these are data that are constantly growing, except for the pandemic period.</w:t>
      </w:r>
    </w:p>
    <w:p>
      <w:r>
        <w:t>34. The data acquired after the initiation of the procedure show how Ryanair has significantly strengthened its leading position and appear to confirm prima facie that Ryanair holds a dominant position.</w:t>
      </w:r>
    </w:p>
    <w:p>
      <w:r>
        <w:t>35. In particular, looking at the share of passengers transported on domestic flights and European flights to/from Italy, Ryanair in 2023 is the leading operator with a passenger share of 50% for domestic flights and 39% considering all connections to/from Italy.</w:t>
      </w:r>
    </w:p>
    <w:p>
      <w:r>
        <w:t>Table 1 – Passenger shares transported by groups of carriers (2023)</w:t>
      </w:r>
    </w:p>
    <w:p>
      <w:r>
        <w:t>2023</w:t>
        <w:br/>
        <w:t>Operator</w:t>
        <w:br/>
        <w:t>Passenger share of Total passengers</w:t>
        <w:br/>
        <w:t>Passenger share of</w:t>
        <w:br/>
        <w:t>European flights (to/from domestic and European</w:t>
        <w:br/>
        <w:t>flights)</w:t>
        <w:br/>
        <w:t>domestic flights</w:t>
        <w:br/>
        <w:t>Group Ryanair 50% 35% 39%</w:t>
        <w:br/>
        <w:t>ITA 26% 4% 9%</w:t>
        <w:br/>
        <w:t>Group Easyjet 9% 12% 11%</w:t>
        <w:br/>
        <w:t>Group Wizz Air 5% 11% 10%</w:t>
        <w:br/>
        <w:t>Volotea 5% 1% 2%</w:t>
        <w:br/>
        <w:t>Group Lufthansa 0% 10% 8%</w:t>
        <w:br/>
        <w:t>Group IAG 0% 10% 8%</w:t>
        <w:br/>
        <w:t>Group Air France-KLM 0% 6% 4%</w:t>
      </w:r>
    </w:p>
    <w:p>
      <w:r>
        <w:t>36. Observing the individual connections between O&amp;D airports, in 2023 there were 552 domestic connections (from Italian airports to Italian airports) and 3,148 European connections to/from Italy (from Italian airports to foreign airports and vice versa). Ryanair is present in 320 national connections – that is, 58% of domestic routes – and in 1,687 European connections to/from Italy – that is, 54% of international routes to/from Italy. No other group of carriers has the same service coverage: in particular, the second carrier in terms of coverage is Volotea on domestic routes (active in 24% of connections) and for European routes to/from Italy is Wizzair (23%).</w:t>
      </w:r>
    </w:p>
    <w:p>
      <w:r>
        <w:t>37. Furthermore, considering the connections in which Ryanair is active, it holds a passenger share – on each individual route – exceeding 50% in 250 domestic routes and 1,307 European connections to/from Italy. Essentially, Ryanair holds a passenger share, for each individual route, exceeding 50% in 45% of all national routes and in 42% of all European routes to/from Italy. Additionally, Ryanair holds a passenger share exceeding 40% for each individual route in 268 domestic connections and 1,376 European connections to/from Italy, which means approximately 49% of domestic routes and 44% of international routes to/from Italy.</w:t>
      </w:r>
    </w:p>
    <w:p>
      <w:r>
        <w:rPr>
          <w:b/>
        </w:rPr>
        <w:t>[Pages 10–12]</w:t>
      </w:r>
    </w:p>
    <w:p>
      <w:r>
        <w:t>12 BULLETIN NO. 15 OF APRIL 15, 2024</w:t>
      </w:r>
    </w:p>
    <w:p>
      <w:r>
        <w:t>Table 2 – Number of O&amp;D connections in which Ryanair holds a passenger share greater than 50% and 40%25</w:t>
      </w:r>
    </w:p>
    <w:p>
      <w:r>
        <w:t>% of routes with % of routes with</w:t>
        <w:br/>
        <w:t>No. of routes with No. of routes with</w:t>
        <w:br/>
        <w:t>share greater than share greater than</w:t>
        <w:br/>
        <w:t>share greater than share greater than</w:t>
        <w:br/>
        <w:t>50% of total 40% of total</w:t>
        <w:br/>
        <w:t>connections connections</w:t>
        <w:br/>
        <w:t>Connections</w:t>
        <w:br/>
        <w:t>250 45% 268 49%</w:t>
        <w:br/>
        <w:t>domestic</w:t>
        <w:br/>
        <w:t>Connections</w:t>
        <w:br/>
        <w:t>European 1,307 42% 1,376 44%</w:t>
        <w:br/>
        <w:t>to/from Italy</w:t>
      </w:r>
    </w:p>
    <w:p>
      <w:r>
        <w:t>38. These data appear to be confirmed by Ryanair's public documentation, which also highlights a significant increase over time in the share of passengers transported in Italy. In particular, Ryanair itself highlights a total passenger share estimated between 38%26 and 40%27 in Italy, with increases of 12-13 percentage points in a few years. In Ryanair's public documents, possible increases in passenger shares are also estimated, which in Italy would be 50% of total passengers in light of an increase of 50 aircraft allocated to domestic routes (Figure 1 below).</w:t>
      </w:r>
    </w:p>
    <w:p>
      <w:r>
        <w:t>25 Elaborations on ENAC data, see doc. 162, cited.</w:t>
        <w:br/>
        <w:t>26 See doc. 66, annex 4 (minutes of October 11, 2023 for the acquisition of documentation from the Ryanair website); 188, annex 2 (minutes of March 28, 2024 for the acquisition of public documentation from Ryanair).</w:t>
        <w:br/>
        <w:t>27 See doc. 66, annexes 6 and 12, cited.</w:t>
      </w:r>
    </w:p>
    <w:p>
      <w:r>
        <w:t>BULLETIN NO. 15 OF APRIL 15, 2024</w:t>
      </w:r>
    </w:p>
    <w:p>
      <w:r>
        <w:t>Figure 1 – Public presentation to investors regarding the first quarter of the fiscal year 202428.</w:t>
      </w:r>
    </w:p>
    <w:p>
      <w:r>
        <w:t>39. Observing the share of passengers transported at Italian airports at the level of individual cities29, out of 36 Italian cities that have airports30, Ryanair is present in 28 of them, which means almost 78% of the total; considering only the cities with airports that operate European flights to/from Europe, this coverage rate rises to 88%.</w:t>
      </w:r>
    </w:p>
    <w:p>
      <w:r>
        <w:t>40. Ryanair holds a share of all domestic airport passengers (internal national routes) greater than 50% in 23 Italian cities, which means 64% of all cities with airports in Italy and 82% of the cities served by Ryanair. If we consider a share of domestic airport passengers with Ryanair greater than 40%, the number of cities becomes 25, which means 69% of all cities with airports in Italy and 89% of the cities served by Ryanair. Considering total passengers (domestic and Europe-Italy), the percentage of passengers who flew in 2023 with Ryanair out of all airport passengers was greater than 50% and 40% respectively in 19 and 21 cities that have airports, which means respectively 53% and 58% of the Italian cities that have an airport (Table 3 below).</w:t>
      </w:r>
    </w:p>
    <w:p>
      <w:r>
        <w:t>41. In conclusion, in more than half of the cities that have an airport in Italy, more than 1 traveler out of 2 flew with Ryanair. If we consider only passengers on domestic flights, in about two out of three cities that have an airport in Italy, more than 1 traveler out of 2 flew with Ryanair.</w:t>
      </w:r>
    </w:p>
    <w:p>
      <w:r>
        <w:t>28 See doc. 66, annex 11, cited.</w:t>
        <w:br/>
        <w:t>29 With this method, the airports of Milan Malpensa, Milan Linate, and Bergamo have been considered together as referring to Milan (note that the Brescia airport has also been included in the Milan area, which is a cargo airport but has seen aircraft land in limited cases (with a number of passengers below the hundreds in 2023) for operational reasons, such as bad weather, etc.), while the airports of Rome Fiumicino and Rome Ciampino are all referred to the municipality of Rome.</w:t>
        <w:br/>
        <w:t>30 It should be noted that out of 36 cities, only 32 cities have at least one airport where European flights are also operated and not just domestic flights.</w:t>
      </w:r>
    </w:p>
    <w:p>
      <w:r>
        <w:t>14 BULLETIN NO. 15 OF APRIL 15, 2024</w:t>
      </w:r>
    </w:p>
    <w:p>
      <w:r>
        <w:t>Table 3 – Share of domestic and total passengers in each airport city31</w:t>
      </w:r>
    </w:p>
    <w:p>
      <w:r>
        <w:t>Airport cities (in order of Total passenger share Domestic passenger share Share of total passengers</w:t>
        <w:br/>
        <w:t>total passengers domestic and European) Ryanair in the single airport city Ryanair in the single airport city</w:t>
      </w:r>
    </w:p>
    <w:p>
      <w:r>
        <w:t>Milan 42% 37% 38%</w:t>
        <w:br/>
        <w:t>Rome 26% 26% 26%</w:t>
        <w:br/>
        <w:t>Naples 48% 27% 32%</w:t>
        <w:br/>
        <w:t>Venice 63% 19% 25%</w:t>
        <w:br/>
        <w:t>Bologna 78% 49% 53%</w:t>
        <w:br/>
        <w:t>Catania 51% 27% 39%</w:t>
        <w:br/>
        <w:t>Palermo – Cinisi 59% 46% 53%</w:t>
        <w:br/>
        <w:t>Bari 67% 50% 56%</w:t>
        <w:br/>
        <w:t>Pisa 97% 60% 65%</w:t>
        <w:br/>
        <w:t>Turin - Caselle Torinese 61% 44% 50%</w:t>
        <w:br/>
        <w:t>Oristano – Elmas 55% 55% 55%</w:t>
        <w:br/>
        <w:t>Florence not present in 2023 not present in 2023 not present in 2023</w:t>
        <w:br/>
        <w:t>Treviso 100% 81% 82%</w:t>
        <w:br/>
        <w:t>Olbia not present in 2023 not present in 2023 not present in 2023</w:t>
        <w:br/>
        <w:t>Verona – Sommacampagna 56% 19% 31%</w:t>
        <w:br/>
        <w:t>Brindisi 71% 41% 58%</w:t>
        <w:br/>
        <w:t>Lamezia Terme 56% 46% 53%</w:t>
        <w:br/>
        <w:t>Alghero 53% 81% 64%</w:t>
        <w:br/>
        <w:t>Genoa – Sestri Levante 51% 39% 44%</w:t>
        <w:br/>
        <w:t>Trapani 93% 100% 96%</w:t>
        <w:br/>
        <w:t>Pescara 89% 88% 88%</w:t>
        <w:br/>
        <w:t>Trieste – Ronchi dei Legionari 52% 68% 60%</w:t>
        <w:br/>
        <w:t>Perugia 97% 69% 74%</w:t>
        <w:br/>
        <w:t>Ancona - Falconara Marittima 23% 51% 46%</w:t>
        <w:br/>
        <w:t>Rimini 100% 65% 69%</w:t>
        <w:br/>
        <w:t>Comiso 37% 25% 33%</w:t>
        <w:br/>
        <w:t>airport without European flights in</w:t>
        <w:br/>
        <w:t>Lampedusa and Linosa not present in 2023 not present in 2023</w:t>
        <w:br/>
        <w:t>2023</w:t>
        <w:br/>
        <w:t>airport without European flights in</w:t>
        <w:br/>
        <w:t>Reggio Calabria not present in 2023 not present in 2023</w:t>
        <w:br/>
        <w:t>2023</w:t>
        <w:br/>
        <w:t>airport without European flights in</w:t>
        <w:br/>
        <w:t>Crotone - Isola di Capo Rizzuto 98% 98%</w:t>
        <w:br/>
        <w:t>2023</w:t>
        <w:br/>
        <w:t>airport without European flights in</w:t>
        <w:br/>
        <w:t>Pantelleria not present in 2023 not present in 2023</w:t>
        <w:br/>
        <w:t>2023</w:t>
        <w:br/>
        <w:t>Parma 96% 40% 67%</w:t>
        <w:br/>
        <w:t>Forlì 92% 83% 87%</w:t>
        <w:br/>
        <w:t>Bolzano not present in 2023 not present in 2023 not present in 2023</w:t>
        <w:br/>
        <w:t>Cuneo – Savigliano 99% 95% 99%</w:t>
        <w:br/>
        <w:t>Foggia not present in 2023 not present in 2023 not present in 2023</w:t>
        <w:br/>
        <w:t>Isola d’Elba – Portoferraio not present in 2023 not present in 2023 not present in 2023</w:t>
      </w:r>
    </w:p>
    <w:p>
      <w:r>
        <w:t>42. The data highlighted above shows that Ryanair is not only the main scheduled airline in Italy, with a very high share of national passengers (50% of passengers</w:t>
      </w:r>
    </w:p>
    <w:p>
      <w:r>
        <w:t>31 Elaborations on ENAC data, see doc. 162, cited.</w:t>
      </w:r>
    </w:p>
    <w:p>
      <w:r>
        <w:rPr>
          <w:b/>
        </w:rPr>
        <w:t>[Pages 13–15]</w:t>
      </w:r>
    </w:p>
    <w:p>
      <w:r>
        <w:t>BULLETIN NO. 15 OF APRIL 15, 2024</w:t>
      </w:r>
    </w:p>
    <w:p>
      <w:r>
        <w:t>42. The data highlighted above shows that Ryanair is not only the main scheduled airline in Italy, with a very high share of domestic passengers (50% of domestic passengers and 39% of total passengers traveling to/from Italy, see Table 1 above), but also has passenger shares nearly double that of the second operator. Ryanair is also extensively present as an airline in Italy, covering 58% of all domestic routes and 54% of European routes to/from Italy, with a presence that, in this case as well, is not comparable to that of other competitors. Furthermore, on 45% of all national routes and 42% of all European routes to/from Italy, Ryanair has a passenger share exceeding 50% (see Table 2 above). Finally, looking at airport passengers in all Italian cities with an airport, Ryanair holds a passenger share greater than 50% in the majority of cities with airports in Italy (see Table 3 above).</w:t>
      </w:r>
    </w:p>
    <w:p>
      <w:r>
        <w:t>43. The previous data is also confirmed by estimates prepared by OTAs. In particular, according to data from Lastminute, 80-90% of its total bookings in Italy include a flight, and of these, Ryanair accounts for about 40-50% of all bookings that also include a flight. In the so-called "unbundled" bookings, that is, those that include flights from multiple carriers – possibly also with other tourist services (hotels and/or car rentals) – Ryanair is present in 50-60% of total bookings. According to euTT, in 2022, Ryanair tickets sold represented 50-60% of ticket sales for flights with O&amp;D in Italy and 40-50% of ticket sales for flights departing from or arriving in Italy.</w:t>
      </w:r>
    </w:p>
    <w:p>
      <w:r>
        <w:t>44. According to the Commission's Communication "Guidelines on the Commission's priorities in the enforcement of Article 82 of the EC Treaty" regarding abusive exclusionary conduct by companies in a dominant position (2009/C 45/02), a dominant position is likely if the company's market share exceeds 40% in the relevant market, but there may be specific cases below this threshold where it can be considered that a company holds a dominant position, particularly where market shares are significantly higher than those of its competitors, and this is reinforced by other factors such as the breadth of its transport service range and its hub network.</w:t>
      </w:r>
    </w:p>
    <w:p>
      <w:r>
        <w:t>45. Further symptomatic elements of Ryanair's dominant position concern the structural conditions of the domestic air transport services market. As emphasized by ENAC, in fact, "Ryanair is the leading airline in Italy by passenger traffic, even surpassing the national reference carrier, ITA Airways ([…]). This occurs in a context that is unique in Europe. In fact, ITA cannot be considered, either formally or with regard to its technical-operational dimension, on par with a flag carrier, as was Alitalia or as are other incumbent national FSC (full-service carrier) operators ([…]). In fact, after the liquidation of Alitalia, ITA has only partially taken its place, with a fleet different in type and number of aircraft (very reduced, if not halved). This has led ITA to serve a significantly lower number of routes and passengers compared to Alitalia, both on national and international routes. These are unique conditions that neither Ryanair nor other low-cost carriers encounter abroad." Essentially, the expansion of Ryanair and, to a much lesser extent, of other carriers is also attributable to the peculiarities of the national market, which has seen the disappearance of the historical carrier (Alitalia), with only a partial replacement by ITA. It thus appears that the competitive pressure from the domestic carrier has diminished, which is still observed in other European countries.</w:t>
      </w:r>
    </w:p>
    <w:p>
      <w:r>
        <w:t>46. Finally, looking at the generality of carriers in Europe and their capacity to react, it is observed that: i) Ryanair is the largest airline group in Europe, with a leading position in several European countries; ii) Ryanair has the largest fleet in Europe; iii) the structural conditions of the air transport markets seem to limit the capacity and reduce the competitive pressure of other carriers in Europe.</w:t>
      </w:r>
    </w:p>
    <w:p>
      <w:r>
        <w:t>47. In conclusion, the available information leads to the belief that Ryanair is in a dominant position in a very large number of national scheduled passenger air transport markets to/from Italy and/or in the aggregation constituted by all national and European connections to/from Italy considered as a whole.</w:t>
      </w:r>
    </w:p>
    <w:p>
      <w:r>
        <w:t>V.2. Conducts and their effects on competition</w:t>
      </w:r>
    </w:p>
    <w:p>
      <w:r>
        <w:t>V.2.a. The observed evolution of conducts</w:t>
      </w:r>
    </w:p>
    <w:p>
      <w:r>
        <w:t>48. After the initiation of the proceedings, Ryanair's conducts – aimed at hindering user bookings through travel agencies, both physical and online, through a series of behaviors consisting of blocking or making it more difficult to access the service purchased through travel agencies, in particular, through the introduction of facial recognition procedures – have become increasingly significant, leading to continuous or intermittent computer blocking of bookings made through the Ryanair.com website by OTAs on behalf of their clients.</w:t>
      </w:r>
    </w:p>
    <w:p>
      <w:r>
        <w:t>49. In particular, during the month of December, some OTAs, both directly and through the trade association euTT, complained that Ryanair was intensifying its exclusionary conduct regarding purchases on the ryanair.com website described in the initiation measure. In particular, Ryanair seemed to have introduced technical measures that prevented all OTAs, except for metasearch engines, from having total blocking on purchases from the first access to the carrier's site, thus preventing OTAs from offering Ryanair tickets to their clients (so-called total blocking). According to data provided by euTT related to four OTAs, between the first and second week of November 2023, Ryanair ticket sales nearly and rapidly dropped to zero, both with respect to OTAs and regarding search data from comparators, which did not show Ryanair flights sold by OTAs among the search results.</w:t>
      </w:r>
    </w:p>
    <w:p>
      <w:r>
        <w:t>50. In the press release issued by the Irish carrier on January 3, 2024, the matter is presented as a consequence of the joint action of the OTAs, in the sense that "at the beginning of December, the largest OTA Pirates (…) suddenly removed Ryanair's flights from sale on their websites," which would have resulted in a reduction of the load factor between 1% and 2% for the December – January period, i.e., a loss of about 130 – 260 thousand passengers per month, and therefore, potentially, over 3 million per year.</w:t>
      </w:r>
    </w:p>
    <w:p>
      <w:r>
        <w:t>51. Such blocks appear to be unpredictable and intermittent. According to Lastminute, between February and March 2024, Ryanair allowed OTAs to access its site and finalize the purchase of flights, but on an intermittent and unpredictable basis, limited to certain days of the week, against a total and systematic block on other days, as well as a steady trend in the sales of flights from other operators, subject only to the typical seasonality of the sector. The absolutely unpredictable alternation of openings/closures to the site, while allowing OTAs to purchase a few more tickets compared to the previous total block, would however prevent any scheduling of the sale of Ryanair flights, as there is no guarantee regarding the quantity, type, and timing with which tickets will be made available.</w:t>
      </w:r>
    </w:p>
    <w:p>
      <w:r>
        <w:t>52. Physical agencies also appear to have experienced problems purchasing tickets on behalf of clients on the Ryanair site, in particular, 57% of respondents confirmed experiencing problems purchasing on the Ryanair.com site such as inability to finalize payment, blocking of the agency's account, etc.</w:t>
      </w:r>
    </w:p>
    <w:p>
      <w:r>
        <w:t>53. Finally, Ryanair itself announced the conclusion of some agreements with OTAs that received open disparaging communications, including Kiwi.com, which transmitted a copy of the requested contract on February 20, 2024. The contract provides for redirection to the ryanair.com site for the completion of the booking, as well as the impossibility of imposing agency fees; contracted OTAs will also not be able to access the rates [omitted]. According to euTT, similar agreements would limit the activities of OTAs, imposing a system of pure redirection to the Ryanair site and eliminating commercial levers, effectively abdicating the role of agency.</w:t>
      </w:r>
    </w:p>
    <w:p>
      <w:r>
        <w:t>V.2.b. The possible anticompetitive effects of Ryanair's conducts</w:t>
      </w:r>
    </w:p>
    <w:p>
      <w:r>
        <w:t>54. The conducts aimed at hindering user bookings through travel agencies, both physical and online – consisting of a series of behaviors by Ryanair aimed at blocking or making it more difficult to access the service purchased through travel agencies – appear to have intensified over time to the total blocking or intermittent blocking of the possibility of booking Ryanair flights through travel agencies. The availability of Ryanair flights at travel agencies has been significantly affected.</w:t>
      </w:r>
    </w:p>
    <w:p>
      <w:r>
        <w:rPr>
          <w:b/>
        </w:rPr>
        <w:t>[Pages 16–18]</w:t>
      </w:r>
    </w:p>
    <w:p>
      <w:r>
        <w:t>18 BULLETIN NO. 15 OF APRIL 15, 2024</w:t>
      </w:r>
    </w:p>
    <w:p>
      <w:r>
        <w:t>affects the attractiveness of the agencies to consumers. This, in turn, does not allow agencies to present their services to consumers.</w:t>
      </w:r>
    </w:p>
    <w:p>
      <w:r>
        <w:t>55. With reference to physical agencies, it has emerged that airline ticketing is very important for the offering of tourist services. In particular, according to the results of a massive information request answered by over 1,200 Italian physical agencies49, 51% of the responding agencies believe that the airline ticketing service is essential for offering services to consumers, while an additional 29% consider it important50. Considering the weight of airline ticketing for the sale of other tourist services, the percentage of travel agencies that consider airline ticketing essential rises to 60%, while an additional 26% still consider it important to be able to sell airline tickets to offer other tourist services51.</w:t>
      </w:r>
    </w:p>
    <w:p>
      <w:r>
        <w:t>56. With reference to the online channel, competitive comparison is based on attracting internet traffic, which allows for a point of contact with the consumer, who tends to have a single point of purchase and, in a dynamic perspective, tends to use the websites of suppliers used in the past. For this reason, OTAs build their own brand by offering convenient products and sponsoring commercial offers52. Web traffic is therefore a fundamental element for effectively competing in the market. In fact, intercepting traffic means being able to propose one's commercial offer to consumers. The ability to effectively direct customers to one's site affects the ability to convert visits into sales, which is done through advertising levers and presence in metasearch.</w:t>
      </w:r>
    </w:p>
    <w:p>
      <w:r>
        <w:t>57. The conduct under examination – leading to the absolute unavailability of Ryanair flights in the offers of agencies – affects the ability of travel agencies to sell airline tickets, which are typically the first purchase made in organizing a vacation and therefore represent the "access point" with the greatest potential for cross-selling for the sale of other services. The conduct of Ryanair under examination appears to significantly impact the activities of both physical and online travel agencies, preventing them from leveraging the typical commercial levers of a travel agency.</w:t>
      </w:r>
    </w:p>
    <w:p>
      <w:r>
        <w:t>58. The conduct, therefore, having the potential to marginalize and/or exclude physical and online agencies and affecting market mechanisms, appears prima facie to have effects on the manifestation of intrabrand competition in the sale of Ryanair airline tickets, as well as interbrand competition in general for the sale of airline tickets for all flights to/from Italy and interbrand competition for the sale of tourist services related to the flight. In other words, the conduct under examination could significantly affect these competitive dimensions.</w:t>
      </w:r>
    </w:p>
    <w:p>
      <w:r>
        <w:t>(a) Effects on intrabrand competition in the sale of Ryanair airline tickets</w:t>
      </w:r>
    </w:p>
    <w:p>
      <w:r>
        <w:t>59. The first effect of Ryanair's conduct aimed at preventing agencies from selling Ryanair tickets concerns the hindrance of intrabrand competition in the sale of Ryanair flights. Specifically regarding OTAs, it has emerged that before the booking block, a very significant and majority percentage of consumers comparing Ryanair's offers with those of OTAs clicked on the offers of OTAs instead of booking on Ryanair's site (Figure 2). This behavior appears to show a preference for the offers of OTAs, likely because the offers of OTAs were more convenient (not only because they could have a slightly lower price but also because at the same price they could offer the guarantees provided by sector regulations).</w:t>
      </w:r>
    </w:p>
    <w:p>
      <w:r>
        <w:t>Figure 2 – Percentage distribution of consumer clicks according to the channel chosen by consumers for the purchase of Ryanair flights before and after the block53</w:t>
      </w:r>
    </w:p>
    <w:p>
      <w:r>
        <w:t>60. According to the documentation on file, in order to attract consumers, OTAs may decide to subsidize the flight by offering a competitive price. A percentage of those who will purchase the flight will also decide to purchase other services (insurance, hotels, car rentals, etc.) from which additional revenues will be generated54. This is a legitimate commercial policy that allows for significant intra-brand competition. Naturally, the discount is also offered to consumers who decide to purchase only the flight, without any additional service.</w:t>
      </w:r>
    </w:p>
    <w:p>
      <w:r>
        <w:t>61. In particular, according to a comparative analysis of data from 2022 and 2023 conducted by euTT, before the total block of Ryanair ticket sales, that is, when OTAs were still able to distribute Ryanair tickets, the lowest price offered by OTAs for a Ryanair flight was slightly lower (about 1-10 euros) than the lowest price for the same ticket offered on ryanair.com55. In other cases, OTAs might guarantee discounts on flights in exchange for loyalty programs or the purchase of other services56. For example, eDreams stated that "thanks especially to its Prime service, it has always been able to offer more convenient rates regarding Ryanair flights, and not just regarding travel packages"57.</w:t>
      </w:r>
    </w:p>
    <w:p>
      <w:r>
        <w:t>62. Essentially, currently, Italian consumers traveling on Ryanair (in 2023, 50% of domestic travelers) see intra-brand competition for the sale of such tickets completely eliminated and cannot benefit from a possible discount. It is noted that the agreements made by Ryanair with some OTAs, redirecting to ryanair.com to make such purchases do not appear to allow for the manifestation of intrabrand competition. There is therefore a concrete and current harm to Italian consumers, or part of them, who will not be able to benefit from discounts on Ryanair flights offered by OTAs.</w:t>
      </w:r>
    </w:p>
    <w:p>
      <w:r>
        <w:t>(b) Effects on interbrand competition in the sale of airline tickets</w:t>
      </w:r>
    </w:p>
    <w:p>
      <w:r>
        <w:t>63. The second effect on competition resulting from Ryanair's conduct obstructing agencies concerns interbrand competition among airlines. In fact, traditional travel agencies and OTAs play a role in selecting and comparing the airline offer for routes where, in addition to Ryanair, other carriers are available, thus allowing for the offering of integrated tickets using different airlines. For example, one could have the outbound flight with Ryanair and the return with another company (so-called cross-fares) or choose combined flights with a stopover to reach a final destination not served (so-called virtual interlining).</w:t>
      </w:r>
    </w:p>
    <w:p>
      <w:r>
        <w:t>64. In particular, according to what emerged from the massive responses of physical agencies, 34.5% of respondents stated that the combined sale of airline tickets from multiple companies is very frequent or fairly frequent58. Specifically regarding Ryanair flights, it emerged that physical travel agencies combine them with tickets from other carriers very frequently or fairly frequently in 44% of cases59. According to data provided by euTT, in 2022, 20-30% of Ryanair tickets sold at two OTAs were in combination with tickets from other airlines60. This is a very significant figure, especially considering that Ryanair is a dominant operator, and often the only operator, on a very high number of routes (see Table 2 above).</w:t>
      </w:r>
    </w:p>
    <w:p>
      <w:r>
        <w:t>65. These combinations of different airlines are chosen by consumers because they are more convenient than purchasing flights from the same carrier or because they are more comfortable. In particular, according to estimates from euTT, the price saved per consumer can reach about 40-50%. Specifically, an OTA associated with euTT was able to offer, between September and October 2023, more convenient cross-fares compared to Ryanair-only options on as many as 150-200 routes to or from Italy61. The average reduction would be between 1-20 euros in 2023.</w:t>
      </w:r>
    </w:p>
    <w:p>
      <w:r>
        <w:t>66. In addition to this aspect, it should be noted that when a consumer turns to an OTA to purchase Ryanair flights, they may also consider purchasing airline tickets from other carriers (for example, at a slightly higher price but with more convenient schedules). According to euTT data, in 2022, 10-20% of customers who arrived at the relevant site through a comparator, searching for a Ryanair flight, ultimately purchased a ticket for a competitor's flight62. From the documents on file, it therefore seems that – as a consequence of the conduct – sales of airline tickets from other airlines in Italy through OTAs have also decreased, although such a trend has not occurred in the rest of Europe (Figure 3 below).</w:t>
      </w:r>
    </w:p>
    <w:p>
      <w:r>
        <w:rPr>
          <w:b/>
        </w:rPr>
        <w:t>[Pages 19–21]</w:t>
      </w:r>
    </w:p>
    <w:p>
      <w:r>
        <w:t>BULLETIN NO. 15 OF APRIL 15, 2024 21</w:t>
      </w:r>
    </w:p>
    <w:p>
      <w:r>
        <w:t>Figure 3 – Graph relating the sales of an OTA of airline tickets in Italy and in Europe63</w:t>
      </w:r>
    </w:p>
    <w:p>
      <w:r>
        <w:t>67. In conclusion, due to the absolute or intermittent obstruction of the sale of Ryanair tickets through OTAs, there is a concrete anticompetitive effect, consisting of a reduction in the competitive capacity of OTAs (as well as traditional agencies) resulting from a decrease in the possibility of comparing offers from multiple carriers and of selling in combination flights operated by different carriers. This is reflected in a higher price for consumers, compared to the combined offers of OTAs, as well as in a lower contestability of Ryanair's position, which could therefore further strengthen itself, to the detriment of OTAs, reduced to an increasingly marginal position. Ultimately, the limitations present in the agreements established by Ryanair with certain OTAs or the restrictions on sales through GDS to physical agencies, preventing access to certain [omissis], do not appear to allow for the expression of interbrand competition in the sale of airline tickets, because the unavailability of the most convenient fares at agencies reduces the ability of the agencies themselves to offer consumers combinations of tickets from different carriers at competitive prices.</w:t>
      </w:r>
    </w:p>
    <w:p>
      <w:r>
        <w:t>(c) Effects on interbrand competition in the sale of tourist services in combination with air services</w:t>
      </w:r>
    </w:p>
    <w:p>
      <w:r>
        <w:t>68. Physical and online travel agencies allow for the association of other tourist services (hotels, rental services, etc.) with air services. Ryanair's conduct appears to be able to leverage its dominant position in the air transport markets to extend its market power to the offering of other tourist services (hotels, car rentals, etc.), preventing and/or hindering travel agencies from selling the airline ticket, which is typically the first purchase made in organizing a vacation and, therefore, represents the "access point" with the greatest potential for cross-selling for the sale of other services.</w:t>
      </w:r>
    </w:p>
    <w:p>
      <w:r>
        <w:t>63 See doc. 137, cited.</w:t>
      </w:r>
    </w:p>
    <w:p>
      <w:r>
        <w:t>22 BULLETIN NO. 15 OF APRIL 15, 2024</w:t>
      </w:r>
    </w:p>
    <w:p>
      <w:r>
        <w:t>69. In particular, in 2023, Ryanair was the carrier chosen by approximately 50% of domestic passengers and about 39% of all airport passengers to/from Italy. According to data provided by euTT related to two associated OTAs, the number of Ryanair tickets sold in combination with other tourist services or in a cross-fare manner was 30-40% for one OTA and 40-50% for another OTA. Furthermore, 25% of physical agencies responding to the massive information request stated that sales of Ryanair flights in combination with other tourist services account for more than 30% of revenues64 (to which the weight of flights sold alone must also be added), which is the maximum loss threshold beyond which the business activity of more than 50% of respondents would be seriously compromised.65 The loss of combined services – alone – without the loss of the sale of Ryanair airline tickets would lead to the compromise of the activity of about a quarter of the interviewed travel agencies.</w:t>
      </w:r>
    </w:p>
    <w:p>
      <w:r>
        <w:t>70. Ryanair's conduct – eliminating the possibility for agencies, both physical and online, to sell Ryanair flights in combination with other tourist services – appears to impact competition in the offering of tourist services in conjunction with air flights, limiting market alternatives and effectively determining that those wishing to purchase a service in conjunction with a Ryanair flight must choose either to purchase additional tourist services through Ryanair or to forgo the combined purchase as well as the protections provided for complete travel packages by Legislative Decree No. 79 of 23 May 2011 (the so-called Tourism Code)66, which also incorporates Directive (EU) 2015/2302 concerning package travel and linked travel services67. This represents an implicit additional cost associated with the reduction of competitive alternatives in the sale of packages that include Ryanair flights.</w:t>
      </w:r>
    </w:p>
    <w:p>
      <w:r>
        <w:t>VI. THE EXISTENCE OF PERICULUM IN MORA AND THE NEED FOR A CAUTIOUS INTERVENTION</w:t>
      </w:r>
    </w:p>
    <w:p>
      <w:r>
        <w:t>71. It is believed that in this case, the requirement of periculum in mora for the adoption of a precautionary measure can also be identified, understood as the danger of serious and irreparable harm to competition, where Ryanair's conduct – obstructing the sale of tickets by agencies – is irreparably compromising the competitive dynamics of the market.</w:t>
      </w:r>
    </w:p>
    <w:p>
      <w:r>
        <w:t>72. The blocking conduct in question, intensified by Ryanair since the end of 2023, i.e., after the initiation of the investigation procedure, and still ongoing, appears to significantly impact the activities of physical and online travel agencies, preventing them from leveraging the typical commercial levers of a travel agency.</w:t>
      </w:r>
    </w:p>
    <w:p>
      <w:r>
        <w:t>73. In particular, in light of the aforementioned access block, Ryanair has offered, since the end of January 2024, as the only permitted distribution method, a contract that provides, among other things, for the redirecting of the consumer to the Ryanair website for the purchase of the airline ticket, the elimination of the pricing power of individual agencies, as well as incomplete access [omissis]. In this sense, the agreements not only do not resolve but irreparably consolidate the effects of the abusive conduct, effectively imposing a new business model for OTAs – and, in general, for travel agencies – aimed at partitioning customers between Ryanair and the agencies selling to customers, intended to reduce the competitive pressure of the agencies themselves (directly or indirectly on Ryanair).</w:t>
      </w:r>
    </w:p>
    <w:p>
      <w:r>
        <w:t>74. The described conduct of Ryanair therefore appears to create a serious and irreparable danger for competition in the tourism sector, which makes the adoption of precautionary measures particularly urgent since the (total or semi-total) blocking of bookings, together with the only alternative offered related to the aforementioned distribution contract, could constitute a significant change in the business model capable of prejudicing, during the proceedings, the ordinary competitive dynamics concerning the purchases of Ryanair flights, whether alone or in conjunction with other tourist services.</w:t>
      </w:r>
    </w:p>
    <w:p>
      <w:r>
        <w:t>75. This could lead to the disappearance, for the Italian market, of the commercially autonomous offers of OTAs related to Ryanair flights, which represent about 50% of domestic passengers in Italy in 2023, all the more serious considering the relevance of the period in question for the tourism sector, in view of the start of the summer season. Due to the dynamics of purchasing online tourist services (consumer choice based on past experience, inertia in purchasing choices, reputation effects of OTAs68), Ryanair's conduct could lead to a consolidation of the effects of the conduct that is difficult to reverse over time, as well as the extension of the same effects to the generality of tourist services offered by OTAs.</w:t>
      </w:r>
    </w:p>
    <w:p>
      <w:r>
        <w:t>76. Furthermore, due to the impossibility of conducting any intrabrand competition, Italian consumers (50% of passengers on domestic flights used Ryanair in 2023, see Table 1) will find themselves unable to take advantage of potentially more convenient offers, at a time when the booking of summer holidays begins, the peak of annual demand.</w:t>
      </w:r>
    </w:p>
    <w:p>
      <w:r>
        <w:t>77. In addition, with limited interbrand competition among airlines, favored by the combined offers of OTAs and physical travel agencies, the Ryanair group will be able to consolidate its dominant position over all connections to/from Italy considered as a whole, increasing its competitive advantage over airlines with lower frequency and coverage. In this way, Ryanair's position will be even less contestable even in the immediate future.</w:t>
      </w:r>
    </w:p>
    <w:p>
      <w:r>
        <w:t>78. By excluding its airline services from OTAs and travel agencies, consumers would see a reduction in the offer of tourist services combined with Ryanair airline tickets, which constitute 50% of domestic airline tickets, thus having to decide whether to purchase combined services on Ryanair or forgo the typical protections of a travel package, bearing an implicit burden.</w:t>
      </w:r>
    </w:p>
    <w:p>
      <w:r>
        <w:t>79. Ultimately, Ryanair's conduct appears to cause serious and irreversible harm to OTAs and, consequently, to consumers, as they are denied, in the midst of the summer holiday flight booking season, the possibility of having broad, effective, continuous, and transparent access to Ryanair flights. Consumers, moreover, in addition to being unable to acquire a Ryanair flight at the most convenient price and/or combined flights and composed products, will be deprived of the protections guaranteed by applicable consumer protection legislation.</w:t>
      </w:r>
    </w:p>
    <w:p>
      <w:r>
        <w:t>VII. THE CONTENT OF THE CAUTIOUS MEASURE</w:t>
      </w:r>
    </w:p>
    <w:p>
      <w:r>
        <w:t>80. In light of what has been illustrated in the previous paragraphs, it is necessary to adopt, during the proceedings, a measure aimed at suspending Ryanair's actions aimed at completely blocking68 See, for example, Dwikesumasari, Phima &amp; Ervianty, Rizka. (2017). Customer Loyalty Analysis of Online Travel Agency App with Customer Satisfaction as A Mediation Variable. 10.2991/icoi-17.2017.18; Shalini Talwar, Amandeep Dhir, Puneet Kaur, Matti Mäntymäki, Why do people purchase from online travel agencies (OTAs)? A consumption values perspective, International Journal of Hospitality Management, Volume 88, 2020, 102534, ISSN 0278-4319, https://doi.org/10.1016/j.ijhm.2020.102534.</w:t>
      </w:r>
    </w:p>
    <w:p>
      <w:r>
        <w:rPr>
          <w:b/>
        </w:rPr>
        <w:t>[Pages 22–24]</w:t>
      </w:r>
    </w:p>
    <w:p>
      <w:r>
        <w:t>24 BULLETIN NO. 15 OF APRIL 15, 2024</w:t>
      </w:r>
    </w:p>
    <w:p>
      <w:r>
        <w:t>or partially the sale of Ryanair flights by physical and online agencies, allowing them to access the offer of Ryanair flights under the same technical-economic conditions offered to the public on the website ryanair.com and without Ryanair having to remunerate in any way the physical and/or online agencies.</w:t>
      </w:r>
    </w:p>
    <w:p>
      <w:r>
        <w:t>81. Such a measure would be exclusively aimed at ensuring that, pending the conclusion of the proceedings, travel agencies can purchase on behalf of customers Ryanair flight tickets under the same conditions that Ryanair offers to final consumers.</w:t>
      </w:r>
    </w:p>
    <w:p>
      <w:r>
        <w:t>82. The precautionary measure appears, in this case, fully consistent with any warning that may be issued at the conclusion of the proceedings, as it aims to preserve the very effectiveness of the Authority's intervention regarding an infringement, the implementation of which is ongoing and is about to produce serious and irreparable effects on the market.</w:t>
      </w:r>
    </w:p>
    <w:p>
      <w:r>
        <w:t>83. The measure also appears to be proportionate considering the position of the parties and specifically taking into account that of Ryanair. In fact, in its public documents, Ryanair has complained to investors that the blocking of OTA sales would harm it by reducing the load factor69 and thus the margins of flights. Aside from the fact that, from the preliminary information in the documents, this unavailability of Ryanair flights depends on its own conduct, while the OTAs complain of the serious and irreparable damages resulting from their inability to sell Ryanair travel tickets, it should be noted that conversely – according to what has been publicly stated by Ryanair itself – the increased sales of airline tickets through OTAs would bring a benefit to Ryanair, in terms of greater sales coverage, higher flight load factors, and margins, all without the payment of any sales commission to the OTAs.</w:t>
      </w:r>
    </w:p>
    <w:p>
      <w:r>
        <w:t>CONSIDERING, therefore, that in light of the considerations expressed, the described conduct carried out by Ryanair DAC and Ryanair Holdings plc appears, upon a summary assessment typical of the precautionary phase, susceptible of constituting an abuse of a dominant position in violation of Article 102 TFEU and/or Article 3 of Law No. 287/1990;</w:t>
      </w:r>
    </w:p>
    <w:p>
      <w:r>
        <w:t>CONSIDERING, furthermore, that from the examination of the documents of the proceedings, elements emerge, upon a first assessment, such as to support the necessity to act with extreme urgency since, if the refusal to provide Ryanair flights to physical and/or online travel agencies – whether it is a total refusal or a constructive and partial refusal also through the conclusion of distribution agreements that impose restrictions on commercial autonomy of significant impact – were to persist, the competitive dynamics in the relevant markets would be irreparably compromised and the harm caused to competition would not be susceptible to being remedied at the conclusion of the investigative proceedings with the adoption of the final measure by the Authority;</w:t>
      </w:r>
    </w:p>
    <w:p>
      <w:r>
        <w:t>CONSIDERING, therefore, that the prerequisites exist to initiate a procedure aimed at the possible adoption of precautionary measures, in order to prevent the behaviors carried out by Ryanair DAC and Ryanair Holdings plc as described above from causing serious and irreparable damages during the time necessary for the conclusion of the investigation;</w:t>
      </w:r>
    </w:p>
    <w:p>
      <w:r>
        <w:t>RESOLVES</w:t>
      </w:r>
    </w:p>
    <w:p>
      <w:r>
        <w:t>a) to initiate the precautionary procedure, pursuant to Article 14-bis of Law No. 287/1990, aimed at verifying the actual existence of the necessary requirements for the adoption of precautionary measures aimed at restoring and maintaining competitive conditions in the affected market;</w:t>
      </w:r>
    </w:p>
    <w:p>
      <w:r>
        <w:t>69 Cf. doc. 188, annex 3, cited.</w:t>
      </w:r>
    </w:p>
    <w:p>
      <w:r>
        <w:t>BULLETIN NO. 15 OF APRIL 15, 2024</w:t>
      </w:r>
    </w:p>
    <w:p>
      <w:r>
        <w:t>b) to set a deadline of eight days from the date of notification of this measure for the submission, by the legal representatives of the Parties, or by persons delegated by them, of written statements and documents and the request for a hearing before the College, specifying that the request for a hearing must be received by the Directorate for Credit, Insurance, Postal Services, Tourism, and Sports of the Competition Department – 2 of this Authority within five days from the date of notification of this measure and that, if requested, it will take place on April 18, 2024, at 9:00 AM, with the modalities subsequently communicated;</w:t>
      </w:r>
    </w:p>
    <w:p>
      <w:r>
        <w:t>c) that the documents of the proceedings can be viewed at the Directorate for Credit, Insurance, Postal Services, Tourism, and Sports of the Competition Department – 2 of this Authority by the legal representatives of the parties, as well as by persons delegated by them.</w:t>
      </w:r>
    </w:p>
    <w:p>
      <w:r>
        <w:t>This measure will be notified to the interested parties and published in the Bulletin of the Italian Competition Authority.</w:t>
      </w:r>
    </w:p>
    <w:p>
      <w:r>
        <w:t>THE SECRETARY GENERAL THE PRESIDENT</w:t>
      </w:r>
    </w:p>
    <w:p>
      <w:r>
        <w:t>Guido Stazi Roberto Rustichelli</w:t>
      </w:r>
    </w:p>
    <w:p>
      <w:r>
        <w:t>26 BULLETIN NO. 15 OF APRIL 15, 2024</w:t>
      </w:r>
    </w:p>
    <w:p>
      <w:r>
        <w:t>CONCENTRATION OPERATIONS</w:t>
      </w:r>
    </w:p>
    <w:p>
      <w:r>
        <w:t>C12607 - SERVIZI ITALIA/BRANCH OF STERIS</w:t>
      </w:r>
    </w:p>
    <w:p>
      <w:r>
        <w:t>Measure no. 31147</w:t>
      </w:r>
    </w:p>
    <w:p>
      <w:r>
        <w:t>THE ITALIAN COMPETITION AUTHORITY</w:t>
      </w:r>
    </w:p>
    <w:p>
      <w:r>
        <w:t>IN ITS MEETING of 26 March 2024;</w:t>
      </w:r>
    </w:p>
    <w:p>
      <w:r>
        <w:t>HEARD the Rapporteur, Professor Elisabetta Iossa;</w:t>
      </w:r>
    </w:p>
    <w:p>
      <w:r>
        <w:t>HAVING REGARD to Regulation (EC) No. 139/2004;</w:t>
      </w:r>
    </w:p>
    <w:p>
      <w:r>
        <w:t>HAVING REGARD to Law No. 287 of 10 October 1990;</w:t>
      </w:r>
    </w:p>
    <w:p>
      <w:r>
        <w:t>HAVING REGARD to the communication from Servizi Italia S.p.A. received on 2 February 2024;</w:t>
      </w:r>
    </w:p>
    <w:p>
      <w:r>
        <w:t>HAVING REGARD to the request for information, sent on 21 February 2024, resulting in the interruption of the deadlines pursuant to Article 5, paragraph 3, of Presidential Decree No. 217 of 30 April 1998;</w:t>
      </w:r>
    </w:p>
    <w:p>
      <w:r>
        <w:t>HAVING REGARD to the additional information sent by Servizi Italia S.p.A. received on 27 February 2024 and supplemented on 5 March 2024;</w:t>
      </w:r>
    </w:p>
    <w:p>
      <w:r>
        <w:t>HAVING REGARD to the documentation in the file;</w:t>
      </w:r>
    </w:p>
    <w:p>
      <w:r>
        <w:t>CONSIDERING the following:</w:t>
      </w:r>
    </w:p>
    <w:p>
      <w:r>
        <w:t>I. THE PARTIES</w:t>
      </w:r>
    </w:p>
    <w:p>
      <w:r>
        <w:t>1. Servizi Italia S.p.A. (hereinafter, "Servizi Italia") is a company active, also through some subsidiaries, in the provision of rental, washing, and sterilization services for textile articles and surgical instruments for social-health and hospital facilities, both public and private. In particular, the services offered by the company refer to various business areas: (i) rental and washing services for flat linen, packaged linen, and mattresses, so-called "lavanolo"; (ii) sterilization services for linen; (iii) sterilization services for surgical instruments.</w:t>
      </w:r>
    </w:p>
    <w:p>
      <w:r>
        <w:t>Servizi Italia is controlled by Aurum S.p.A., which holds 56.5% of the share capital, which in turn is wholly controlled by Coopservice Società Cooperativa p.A. ("Coopservice"), an industrial holding at the head of the eponymous group, whose share capital is distributed among many natural persons, none of whom is individually able to exercise control.</w:t>
      </w:r>
    </w:p>
    <w:p>
      <w:r>
        <w:t>The Coopservice Group is mainly active in the following sectors: (i) surveillance and security; (ii) facility management (civil and industrial cleaning, integrated logistics, goods handling, moving and assembly of furniture, management of warehouses and archives); (iii) healthcare, in particular, cleaning and sanitization of hospitals and healthcare facilities.</w:t>
      </w:r>
    </w:p>
    <w:p>
      <w:r>
        <w:t>In 2022, Servizi Italia achieved a worldwide turnover of approximately [100-532]* million euros, of which approximately [100-532] million euros at the national level, while the Coopservice Group achieved, also in 2022, a consolidated turnover of [1-2] billion euros worldwide, of which approximately [1-2] billion euros in the European Union and approximately [1-2] billion euros in Italy.</w:t>
      </w:r>
    </w:p>
    <w:p>
      <w:r>
        <w:t>* In this version, some data are omitted, as there were deemed to be elements of confidentiality or secrecy of the information.</w:t>
      </w:r>
    </w:p>
    <w:p>
      <w:r>
        <w:rPr>
          <w:b/>
        </w:rPr>
        <w:t>[Pages 25–27]</w:t>
      </w:r>
    </w:p>
    <w:p>
      <w:r>
        <w:t>BULLETIN NO. 15 OF APRIL 15, 2024</w:t>
      </w:r>
    </w:p>
    <w:p>
      <w:r>
        <w:t>27</w:t>
        <w:br/>
        <w:t>2. The subject of acquisition is the Steris Business Unit (Steris Branch or Target), currently controlled by Steris S.p.A. (hereinafter Steris), a company belonging to the American group Steris Healthcare. According to the information provided, the Steris Branch will include the activities related to the provision of sterilization services for surgical instruments currently performed in Italy by Steris, which include: the sterile reconditioning of medical devices, instruments, and medical equipment, maintenance and logistics related to sterilization services, the rental of surgical instruments, and quality validation services. In 2022, the Steris Branch generated revenue of approximately [10-32] million euros in Italy.</w:t>
      </w:r>
    </w:p>
    <w:p>
      <w:r>
        <w:t>II. DESCRIPTION OF THE OPERATION</w:t>
      </w:r>
    </w:p>
    <w:p>
      <w:r>
        <w:t>3. The notified operation concerns the acquisition of the Steris Branch by Servizi Italia. According to the contractual provisions, the completion of the operation is conditionally suspended, among other things, on the authorization by the Authority.</w:t>
      </w:r>
    </w:p>
    <w:p>
      <w:r>
        <w:t>4. The contract entered into between the Parties includes a non-compete agreement under which Steris commits not to engage, for a period of 3 years from the completion of the operation, in any activity in competition with the Steris Branch. The company may, however, acquire or hold, solely for passive investment purposes, up to 10% of the shares of other publicly traded companies that offer services in competition with those of the Target.</w:t>
      </w:r>
    </w:p>
    <w:p>
      <w:r>
        <w:t>5. It is also provided that, for a period of three years from the completion of the operation, Steris shall not undertake any initiative aimed at: (i) contacting, recruiting, hiring, engaging, directly or indirectly, the employees of the Steris Branch and/or proposing or undertaking contractual or business relationships with them; (ii) inducing any employee of the Steris Branch to terminate or refuse to continue their employment relationship, without the prior written consent of Servizi Italia.</w:t>
      </w:r>
    </w:p>
    <w:p>
      <w:r>
        <w:t>6. According to the information provided, the rationale for the operation is attributable, on the one hand, to Steris's desire to exit the surgical instrument sterilization segment and, symmetrically, to Servizi Italia's desire to grow in the aforementioned segment, consolidating its market position through external lines.</w:t>
      </w:r>
    </w:p>
    <w:p>
      <w:r>
        <w:t>III. QUALIFICATION OF THE OPERATION</w:t>
      </w:r>
    </w:p>
    <w:p>
      <w:r>
        <w:t>7. The notified operation constitutes a concentration pursuant to Article 5, paragraph 1, letter b), of Law No. 287/1990, as it involves the acquisition of exclusive control over part of an enterprise. It falls within the scope of application of Law No. 287/1990, as the conditions set out in Article 1 of Regulation (EC) No. 139/2004 do not apply, and it is not subject to the obligation of prior notification provided for by Article 16, paragraph 1, of the same law, as the revenue generated individually at the national level by at least two of the companies involved was below 32 million euros. However, the operation has been notified pursuant to Article 16, paragraph 1-bis, of Law No. 287/1990, as the total revenue generated in the last financial year at the national level by all the companies involved was above 532 million euros and the Authority deemed, by decision of December 5, 2023, that there were prima facie concrete risks to competition in the national market or in a significant part thereof.</w:t>
      </w:r>
    </w:p>
    <w:p>
      <w:r>
        <w:t>8. The non-compete and non-solicitation agreements described above will be subject to further examination during the investigation to assess their accessory nature in relation to the notified operation.</w:t>
      </w:r>
    </w:p>
    <w:p>
      <w:r>
        <w:t>28</w:t>
        <w:br/>
        <w:t>BULLETIN NO. 15 OF APRIL 15, 2024</w:t>
      </w:r>
    </w:p>
    <w:p>
      <w:r>
        <w:t>IV. ASSESSMENTS</w:t>
      </w:r>
    </w:p>
    <w:p>
      <w:r>
        <w:t>IV.1. The relevant market</w:t>
      </w:r>
    </w:p>
    <w:p>
      <w:r>
        <w:t>9. From the information on file, the Target appears to be exclusively active in offering sterilization services for medical devices, instruments, and surgical equipment for healthcare facilities. These are services related to the reconditioning and sterilization process of both surgical instruments and medical devices, as well as sterilization containers, grids, and covers.</w:t>
      </w:r>
    </w:p>
    <w:p>
      <w:r>
        <w:t>10. The Authority, in its previous decisions, has prima facie identified the national market for "Laundering and Sterilization" – although leaving the product definition open – which includes the offering of three types of services: (i) laundering, (ii) sterilization of linen used in healthcare facilities, and (iii) sterilization of surgical kits. The Parties believe that the relevant market should include, from a product perspective, laundering and sterilization services for linen and surgical kits.</w:t>
      </w:r>
    </w:p>
    <w:p>
      <w:r>
        <w:t>11. For the purposes of this operation, considering the activity of the Target, it is believed that the product market should be identified, at least in a first approximation, as that of sterilization services for medical devices, instruments, and surgical equipment for healthcare facilities and related services, excluding in-house activities. Indeed, there are, both from the demand side and the supply side, elements that suggest that the various Laundering and Sterilization services are not substitutable, thus allowing for the identification of a distinct market for sterilization services for medical devices, instruments, and surgical equipment.</w:t>
      </w:r>
    </w:p>
    <w:p>
      <w:r>
        <w:t>12. From the demand side, it emerges that healthcare facilities require separately and with specific procedures the sterilization service for medical devices, instruments, and surgical equipment, as opposed to other services. In fact, from an analysis of the 145 tender procedures on file, in which Servizi Italia and/or Steris participated during the period 2019-2023, it was found that each of these tenders is distinguished "by line of business," concerning either only laundering and sterilization services for linen or only sterilization services for surgical kits. Only in 2 tenders, out of 145 analyzed, did the subject of the procedure include the simultaneous offering of all the services mentioned previously.</w:t>
      </w:r>
    </w:p>
    <w:p>
      <w:r>
        <w:t>From the demand perspective, it is the intrinsic characteristics of the requested service that lead to distinguishing the market for sterilization of surgical kits from other laundering and sterilization services for linen, as they involve different and specific needs (sterilization of surgical instruments, on one hand, linen and bedding, on the other).</w:t>
      </w:r>
    </w:p>
    <w:p>
      <w:r>
        <w:t>Supporting the existence of a distinct product market is also the fact that, while the demand for sterilization services for surgical kits comes exclusively from healthcare facilities, the demand for rental and laundering services for linen is much broader and more diversified, coming not only from healthcare facilities but also from hotels, restaurants, businesses, schools, etc.</w:t>
      </w:r>
    </w:p>
    <w:p>
      <w:r>
        <w:t>1 See, inter alia, cases: C11514 - Servizi Italia/Business Unit of Ra.Se.Co. of 14.03.2012; C11479 - Servizi Italia/Industrial Laundry Z.B.M. of 4.02.2012; C9531 - Servizi Italia-Business Unit of Padana Everest of 07.08.2008; C9271 - Hospital Services-Servizi Italia/Amg of 29.05.2008; C9617 - Manutencoop-Manutencoop Facility Management of 18.12.2008.</w:t>
      </w:r>
    </w:p>
    <w:p>
      <w:r>
        <w:t>2 See doc. 10.</w:t>
      </w:r>
    </w:p>
    <w:p>
      <w:r>
        <w:t>3 See doc. 9, attachments 4 and 5.</w:t>
      </w:r>
    </w:p>
    <w:p>
      <w:r>
        <w:t>4 See Cerved study provided by the Parties related to the industrial laundry sector, which states that "in relation to the characteristics of the service provided and the final reference market, the sector can be segmented into the following segments: i) public and private healthcare (hospital facilities, clinics, care institutes), which can be further segmented into: a) laundering, b) sterilization of surgical instruments, c) sterilization of linen; ii) hospitality and catering; iii) industry, commerce, services, schools, correctional facilities, military, social, and religious communities." Doc. 46, attachment F4-9.</w:t>
      </w:r>
    </w:p>
    <w:p>
      <w:r>
        <w:t>29</w:t>
        <w:br/>
        <w:t>BULLETIN NO. 15 OF APRIL 15, 2024</w:t>
      </w:r>
    </w:p>
    <w:p>
      <w:r>
        <w:t>13. Also from the supply side, the information acquired from the main companies active in the market seems to indicate that sterilization services for surgical instruments are substantially different from laundering and linen sterilization services, as they present different characteristics. The offering of such services indeed requires different and non-substitutable production processes and know-how, as well as specific types of equipment, which correspond to specific training needs for the personnel involved and the organization of the related logistics. Furthermore, the certifications required for the performance of the two activities are also different.</w:t>
      </w:r>
    </w:p>
    <w:p>
      <w:r>
        <w:t>14. An additional characteristic that would differentiate the sterilization service for surgical instruments from the supply side is represented by the initial volume of investments. The sterilization activity for surgical instruments requires specific sterilization treatments for each device and surgical instrument treated and, unlike the laundering service and, in particular, the treatment of textiles, cannot be standardized. Generally, the company provides, in addition to the sterilization service for surgical kits, also the rental of the same, thus needing to have an adequate supply of instruments, which is also necessary for managing emergency situations.</w:t>
      </w:r>
    </w:p>
    <w:p>
      <w:r>
        <w:t>15. Finally, it is noted that the identified product market – relating solely to sterilization services for surgical instruments – cannot include the in-house activities performed by healthcare facilities. In fact, contrary to what the Parties claim, according to established national and community guidelines, "only services provided externally constitute a market where supply meets demand."</w:t>
      </w:r>
    </w:p>
    <w:p>
      <w:r>
        <w:t>16. Although there are healthcare facilities that provide the service in-house, it is important to note that there is a significant portion of demand that is unable to perform the sterilization activity internally. Indeed, as stated above, the sterilization of surgical kits qualifies as a highly specialized service that requires significant investments in equipment, personnel costs, and availability of certifications, such that many healthcare facilities have no alternative but to turn to the market. In any case, healthcare facilities that perform in-house sterilization of surgical kits do so exclusively for themselves and do not provide this service on behalf of other facilities, as companies active in this market do, thus not constituting a competitive constraint for the new entity.</w:t>
      </w:r>
    </w:p>
    <w:p>
      <w:r>
        <w:t>17. Moreover, the market for sterilization of surgical kits appears to be evolving towards an increasing reliance on outsourcing the service. In fact, healthcare facilities operate in a context characterized by scarce financial resources in the face of a trend towards an increase in surgical procedures to be performed, and outsourcing the service would allow for reducing costs.</w:t>
      </w:r>
    </w:p>
    <w:p>
      <w:r>
        <w:rPr>
          <w:b/>
        </w:rPr>
        <w:t>[Pages 28–30]</w:t>
      </w:r>
    </w:p>
    <w:p>
      <w:r>
        <w:t>30 BULLETIN NO. 15 OF APRIL 15, 2024</w:t>
      </w:r>
    </w:p>
    <w:p>
      <w:r>
        <w:t>risks, thus the insurance costs related to the activity, while allowing for an improvement in the quality of healthcare services and the optimization of reconditioning times10.</w:t>
      </w:r>
    </w:p>
    <w:p>
      <w:r>
        <w:t>18. From a geographical perspective, considering that the sites for the sterilization of surgical kits are generally located at the healthcare facilities to which the related services are provided, and that these facilities carry out procurement procedures at the national level, it is plausible to consider that the market dimension is national. Furthermore, most of the companies offering the services in question are active in various Italian regions.</w:t>
      </w:r>
    </w:p>
    <w:p>
      <w:r>
        <w:t>IV.2. The position of the parties</w:t>
      </w:r>
    </w:p>
    <w:p>
      <w:r>
        <w:t>19. In the relevant market for surgical instrument sterilization services, of national dimension, the shares of the Parties and the main competitors in 2022 are reported in the following table.</w:t>
      </w:r>
    </w:p>
    <w:p>
      <w:r>
        <w:t>Table 1 – Revenue of companies and market shares11</w:t>
      </w:r>
    </w:p>
    <w:p>
      <w:r>
        <w:t>Revenue</w:t>
        <w:br/>
        <w:t>Company Market Share</w:t>
        <w:br/>
        <w:t>(millions of €)</w:t>
        <w:br/>
        <w:t>Servizi Italia [32-100] [40-45%]</w:t>
        <w:br/>
        <w:t>Target [10-32] [5-10%]</w:t>
        <w:br/>
        <w:t>Total post-merger [50-55%]</w:t>
        <w:br/>
        <w:t>Servizi Ospedalieri [10-32] [20-25%]</w:t>
        <w:br/>
        <w:t>SOGESI [1-10] [5-10%]</w:t>
        <w:br/>
        <w:t>Steritalia [1-10] [5-10%]</w:t>
        <w:br/>
        <w:t>LAV.I.T. [1-10] [1-5%]</w:t>
        <w:br/>
        <w:t>Adapta [1-10] [1-5%]</w:t>
        <w:br/>
        <w:t>DEMI Sterilis [1-10] [1-5%]</w:t>
        <w:br/>
        <w:t>Sterimed [1-10] [1-5%]</w:t>
        <w:br/>
        <w:t>TOTAL 110.9 100%</w:t>
      </w:r>
    </w:p>
    <w:p>
      <w:r>
        <w:t>20. The table highlights that in 2022, the company Servizi Italia, with a share of approximately [40-45%], is the leading operator in the market, while Target, with a share of approximately [5-10%], is the third operator. Following the concentration operation, the acquiring company will hold a share of [50-55%], compared to the share of [20-25%] of the second operator (Servizi Ospedalieri), and much smaller shares of the other companies active in the market12.</w:t>
      </w:r>
    </w:p>
    <w:p>
      <w:r>
        <w:t>21. In addition to the analysis of market shares, the economic behavior of Servizi Italia and Target in the context of tender procedures can provide further information to understand the position of the Parties in the relevant market.</w:t>
      </w:r>
    </w:p>
    <w:p>
      <w:r>
        <w:t>10 See, for example, doc. 30.</w:t>
        <w:br/>
        <w:t>11 Elaborations on docs. 28, 29, 30, 35, 36, 38, 39, 40, 41, and 42.</w:t>
        <w:br/>
        <w:t>12 It should be noted that the company ALSCO Italia S.r.l., to which a request for information was also directed, stated that it ceased the activity of providing sterilization services for surgical kits in September 2023 and that, in any case, the revenue it generated during the period 2020-2022 was close to zero in percentage terms compared to the total market. Therefore, this company has not been considered in the calculation of market shares and in the calculation of the HHI index as it would not have changed these results. See doc. 40.</w:t>
      </w:r>
    </w:p>
    <w:p>
      <w:r>
        <w:t>BULLETIN NO. 15 OF APRIL 15, 2024</w:t>
      </w:r>
    </w:p>
    <w:p>
      <w:r>
        <w:t>31</w:t>
      </w:r>
    </w:p>
    <w:p>
      <w:r>
        <w:t>To this end, 33 tender procedures concerning only the sterilization of surgical instruments13 have been examined. Servizi Italia and Target were direct competitors in 14 tenders (i.e., about 50% of the 29 tenders in which Servizi Italia participated and over 70% of the 18 tenders in which Target participated14). Among these, 2 tenders are noted in which the Parties were the only participating companies. Therefore, Servizi Italia and Target appear to qualify as close competitors in a significant number of tenders.</w:t>
      </w:r>
    </w:p>
    <w:p>
      <w:r>
        <w:t>Moreover, in most of the 33 analyzed tenders, there was a very limited number of competing companies (in about 57% of the tenders, there are at most 3 participants, and in about 78% of them, at most 4 participants15).</w:t>
      </w:r>
    </w:p>
    <w:p>
      <w:r>
        <w:t>Furthermore, the operation involves the acquisition of an operator that is both a close competitor with respect to the demand expressed by public facilities and one of the main players active in the provision of sterilization services for surgical kits to private entities.</w:t>
      </w:r>
    </w:p>
    <w:p>
      <w:r>
        <w:t>IV.3. Possible effects of the operation</w:t>
      </w:r>
    </w:p>
    <w:p>
      <w:r>
        <w:t>22. The concentration operation appears capable of strengthening the already significant position held in the relevant market by Servizi Italia. The latter, in fact, represents the main operator, with approximately [40-45%] of the market share in value and about 40% of the awarded tenders among those analyzed. As a result of the operation, Servizi Italia will hold approximately [50-55%] of the entire market for the sterilization of surgical kits. The position of Servizi Italia, moreover, must also be evaluated in light of the strong asymmetry compared to the other competing companies, which have significantly smaller sizes and market shares.</w:t>
      </w:r>
    </w:p>
    <w:p>
      <w:r>
        <w:t>23. Furthermore, the relevant market is already quite concentrated even pre-merger, as evidenced by both the concentration indices CR2 and CR316, which are respectively [60-65%] and [70-75%], and the HHI index, which is 2,411 points. As a result of the communicated operation, the CR2 and CR3 indices will rise to [70-75%] and [80-85%] respectively, and the HHI index will reach approximately 3,201 points, with a delta HHI of 790. According to the European Commission's Guidelines on horizontal concentrations17, the levels reached by these indices reveal the presence of significant horizontal effects.</w:t>
      </w:r>
    </w:p>
    <w:p>
      <w:r>
        <w:t>24. Therefore, the operation in question will allow the acquiring company, which is already pre-merger the market leader, to further strengthen its position by acquiring a total share significantly higher than that of the other competitors, in a market with a very high degree of concentration.</w:t>
      </w:r>
    </w:p>
    <w:p>
      <w:r>
        <w:t>25. The competitive concerns related to the operation in question apply both in the provision of sterilization services for surgical instruments in the private sector and</w:t>
      </w:r>
    </w:p>
    <w:p>
      <w:r>
        <w:t>13 Starting from the dataset provided by the Parties regarding the tender procedures in which they participated from 2019-2023, for the purposes of this analysis, those for which a list of participating companies and the final ranking was not provided (procedures "in progress" and private negotiations) were excluded.</w:t>
      </w:r>
    </w:p>
    <w:p>
      <w:r>
        <w:t>14 Similar results are obtained considering the overall value, in terms of the base auction, of the tenders in which Servizi Italia and Target were direct competitors. In fact, both Parties participated in a set of tenders whose total value in terms of base auction is approximately 153 million euros. This value represents about half of that of the tenders in which Servizi Italia participated (315 million euros) and over 70% of the value of the tenders in which Target participated (approximately 197 million euros).</w:t>
      </w:r>
    </w:p>
    <w:p>
      <w:r>
        <w:t>15 The number of participants is given by the offers received by the contracting authority from companies participating individually or through RTI.</w:t>
      </w:r>
    </w:p>
    <w:p>
      <w:r>
        <w:t>16 The concentration indices measure the aggregate market shares of the top 2 (CR2 index) and 3 operators in the market (CR3).</w:t>
      </w:r>
    </w:p>
    <w:p>
      <w:r>
        <w:t>17 Regarding the level of post-merger HHI and delta HHI to be considered, see the "Guidelines for the assessment of horizontal concentrations under the Council Regulation on the control of concentrations between undertakings," in OJEC 2004/C 31/03.</w:t>
      </w:r>
    </w:p>
    <w:p>
      <w:r>
        <w:t>32 BULLETIN NO. 15 OF APRIL 15, 2024</w:t>
      </w:r>
    </w:p>
    <w:p>
      <w:r>
        <w:t>in the provision of such services at public healthcare facilities. In fact, the operation involves the elimination of a competitor that participated in about 50% of the tenders in which Servizi Italia took part, in a context where the average number of participants in each single procedure is still limited. Furthermore, Target is one of the main operators in providing services to private facilities.</w:t>
      </w:r>
    </w:p>
    <w:p>
      <w:r>
        <w:t>26. Ultimately, the concentration operation appears likely to produce unilateral effects due to the positioning of the new entity and the removal of a significant competitor from the market. Therefore, it seems likely to hinder effective competition in the national market for surgical instrument sterilization services, creating or further strengthening the dominant position of Servizi Italia.</w:t>
      </w:r>
    </w:p>
    <w:p>
      <w:r>
        <w:t>CONSIDERING, therefore, that the operation in question appears capable of significantly hindering effective competition, pursuant to Article 6, paragraph 1, of Law No. 287/1990, particularly due to the establishment or strengthening of a dominant position in the market for the sterilization of medical devices, instruments, and surgical equipment for healthcare facilities and related services;</w:t>
      </w:r>
    </w:p>
    <w:p>
      <w:r>
        <w:t>RESOLVES</w:t>
      </w:r>
    </w:p>
    <w:p>
      <w:r>
        <w:t>a) to initiate the investigation, pursuant to Article 16, paragraph 4, of Law No. 287/1990, against the companies Servizi Italia S.p.A. and Steris S.p.A.;</w:t>
      </w:r>
    </w:p>
    <w:p>
      <w:r>
        <w:t>b) to set a deadline of ten days, starting from the date of notification of this measure, for the exercise by the legal representatives of the Parties, or by persons delegated by them, of the right to be heard, pursuant to Article 14, paragraph 1, of Law No. 287/1990, specifying that the request for a hearing must be received by the Manufacturing, Agri-food, Pharmaceutical and Commercial Distribution Directorate of the Competition Department 2 of this Authority at least three days before the expiration of the aforementioned deadline;</w:t>
      </w:r>
    </w:p>
    <w:p>
      <w:r>
        <w:t>c) that the person responsible for the procedure is Dr. Fabrizio Iannoni;</w:t>
      </w:r>
    </w:p>
    <w:p>
      <w:r>
        <w:t>d) that the documents of the procedure can be viewed at the Manufacturing, Agri-food, Pharmaceutical and Commercial Distribution Directorate of the Competition Department 2 of this Authority by the legal representatives of the Parties, as well as by persons with a legally relevant interest or by persons delegated by them;</w:t>
      </w:r>
    </w:p>
    <w:p>
      <w:r>
        <w:t>e) that the procedure must be concluded within ninety days from the date of resolution of this measure.</w:t>
      </w:r>
    </w:p>
    <w:p>
      <w:r>
        <w:t>This measure will be notified to the interested parties and published in the Bulletin of the Italian Competition Authority.</w:t>
      </w:r>
    </w:p>
    <w:p>
      <w:r>
        <w:t>THE SECRETARY GENERAL THE PRESIDENT</w:t>
      </w:r>
    </w:p>
    <w:p>
      <w:r>
        <w:t>Guido Stazi Roberto Rustichelli</w:t>
      </w:r>
    </w:p>
    <w:p>
      <w:r>
        <w:rPr>
          <w:b/>
        </w:rPr>
        <w:t>[Pages 31–33]</w:t>
      </w:r>
    </w:p>
    <w:p>
      <w:r>
        <w:t>BULLETIN NO. 15 OF APRIL 15, 2024</w:t>
      </w:r>
    </w:p>
    <w:p>
      <w:r>
        <w:t>C12613 - LATTERIA SORESINA SOCIETÀ COOPERATIVA AGRICOLA-</w:t>
        <w:br/>
        <w:t>ZANETTI/SAVIOLA</w:t>
        <w:br/>
        <w:t>Measure no. 31148</w:t>
        <w:br/>
        <w:t>THE ITALIAN COMPETITION AUTHORITY</w:t>
        <w:br/>
        <w:t>IN ITS MEETING of 26 March 2024;</w:t>
        <w:br/>
        <w:t>HEARD the Rapporteur Saverio Valentino;</w:t>
        <w:br/>
        <w:t>HAVING REGARD to Regulation (EC) No. 139/2004;</w:t>
        <w:br/>
        <w:t>HAVING REGARD to Law No. 287 of 10 October 1990;</w:t>
        <w:br/>
        <w:t>HAVING REGARD to Presidential Decree No. 217 of 30 April 1998;</w:t>
        <w:br/>
        <w:t>HAVING REGARD to the communication from the Parties, received on 1 March 2024;</w:t>
        <w:br/>
        <w:t>HAVING REGARD to the documents in the file;</w:t>
        <w:br/>
        <w:t>CONSIDERING the following:</w:t>
        <w:br/>
        <w:t>I. THE PARTIES</w:t>
        <w:br/>
        <w:t>1. Latteria Soresina Società Cooperativa Agricola (hereinafter also referred to as "Latteria Soresina") is an Italian cooperative company currently controlled by natural persons, engaged in the collection, processing, and transformation of milk and dairy products, as well as their subsequent commercialization.</w:t>
        <w:br/>
        <w:t>2. In particular, the company is active in the production, transformation, and commercialization of Grana Padano, provolone, butter, cream, UHT and fresh milk, gorgonzola, as well as the aging, transformation, and commercialization of Parmigiano Reggiano.</w:t>
        <w:br/>
        <w:t>3. Latteria Soresina achieved a turnover of approximately [100-532]* million euros worldwide in 2022, of which approximately [100-532] million euros in Europe and approximately [100-532] million euros in Italy.</w:t>
        <w:br/>
        <w:t>4. Zanetti S.p.A. (hereinafter also referred to as "Zanetti") is an Italian company currently controlled by natural persons, active (i) in the purchase and sale of milk for industrial and food use, (ii) in the industrial processing of milk and its derivatives for the production of dairy and food products in general, (iii) in the production, aging, and commercialization of hard PDO cheeses, such as Grana Padano and Parmigiano Reggiano.</w:t>
        <w:br/>
        <w:t>5. Zanetti achieved a turnover of approximately [532-700] million euros worldwide in 2022, of which approximately [100-532] million euros in Europe and approximately [100-532] million euros in Italy.</w:t>
        <w:br/>
        <w:t>6. Saviola S.p.A. (hereinafter also referred to as "Saviola" or the Acquired) is an Italian company currently controlled by natural persons, engaged in the production, aging, processing, transformation, packaging, and trade of hard PDO cheeses, such as Grana Padano, Parmigiano Reggiano, and Pecorino Romano.</w:t>
        <w:br/>
        <w:t>* In this version, some data are omitted, as elements of confidentiality or secrecy of the information were deemed to exist.</w:t>
      </w:r>
    </w:p>
    <w:p>
      <w:r>
        <w:t>BULLETIN NO. 15 OF APRIL 15, 2024</w:t>
      </w:r>
    </w:p>
    <w:p>
      <w:r>
        <w:t>7. Saviola achieved a turnover of approximately [100-532] million euros worldwide in 2022, of which approximately [100-532] million euros in Europe and approximately [100-532] million euros in Italy.</w:t>
        <w:br/>
        <w:t>II. DESCRIPTION OF THE OPERATION</w:t>
        <w:br/>
        <w:t>8. The operation, notified jointly by the Parties, consists of the acquisition by Latteria Soresina and Zanetti (hereinafter also referred to as the Purchasers) of the share capital of Saviola divided according to the modalities defined as per the binding agreement entered into between the Purchasers1.</w:t>
        <w:br/>
        <w:t>9. Specifically, the operation includes a first phase [omissis], at the conclusion of which, in a second phase, based on a binding agreement that obligates the parties, the assets and production references of Saviola will be divided according to the modalities established in the binding agreement entered into between the Purchasers.</w:t>
        <w:br/>
        <w:t>10. As a result of the operation, therefore, Latteria Soresina and Zanetti will acquire control of two distinct business branches, resulting from the division of Saviola's assets.</w:t>
        <w:br/>
        <w:t>III. QUALIFICATION OF THE OPERATION</w:t>
        <w:br/>
        <w:t>11. The notified operation gives rise to two concentrations pursuant to Article 5, paragraph 1, letter b), of Law No. 287/1990, as (i) a first phase [omissis], (ii) follows the acquisition of exclusive control by Latteria Soresina and Zanetti, each, of a separate business branch of Saviola. In particular, it is believed that, according to established community guidelines, the first operation does not constitute a concentration and, at the same time, only the acquisitions of control by Latteria Soresina and Zanetti, each over a separate business branch, should be considered, due to the fact that the subsequent division of the assets is legally binding and will certainly take place within a short period of time2.</w:t>
        <w:br/>
        <w:t>12. Such concentrations fall within the scope of Law No. 287/1990, as the conditions set out in Article 1 of Regulation (EC) No. 139/2004 do not apply. However, they are not subject to the obligation of prior notification provided for by Article 16, paragraphs 1 and 2, of the law, as, in relation to each of the two concentrations identified above, the total turnover achieved in the last financial year at the national level by the group of companies involved was below 532 million euros.</w:t>
        <w:br/>
        <w:t>THEREFORE, IT IS CONSIDERED that the operation is not subject to the obligation of prior notification pursuant to Article 16, paragraph 1, of Law No. 287/1990;</w:t>
        <w:br/>
        <w:t>RESOLVES</w:t>
        <w:br/>
        <w:t>that there is no need to take action.</w:t>
        <w:br/>
        <w:t>The above conclusions will be communicated, pursuant to Article 16, paragraph 4, of Law No. 287/1990, to the companies involved and to the Minister of Enterprises and Made in Italy.</w:t>
        <w:br/>
        <w:t>This measure will be published in the Bulletin of the Italian Competition Authority.</w:t>
        <w:br/>
        <w:t>1 See doc F1.4_Private Writing.</w:t>
        <w:br/>
        <w:t>2 See Consolidated Communication of the Commission on the criteria for jurisdiction under Regulation (EC) No. 139/2004 of the Council concerning the control of concentrations between undertakings, paragraphs 30 and following.</w:t>
      </w:r>
    </w:p>
    <w:p>
      <w:r>
        <w:rPr>
          <w:b/>
        </w:rPr>
        <w:t>[Pages 34–36]</w:t>
      </w:r>
    </w:p>
    <w:p>
      <w:r>
        <w:t>36 BULLETIN NO. 15 OF APRIL 15, 2024</w:t>
      </w:r>
    </w:p>
    <w:p>
      <w:r>
        <w:t>THE SECRETARY GENERAL THE PRESIDENT</w:t>
        <w:br/>
        <w:t>Guido Stazi Roberto Rustichelli</w:t>
      </w:r>
    </w:p>
    <w:p>
      <w:r>
        <w:t>BULLETIN NO. 15 OF APRIL 15, 2024 37</w:t>
      </w:r>
    </w:p>
    <w:p>
      <w:r>
        <w:t>INVESTIGATIVE INQUIRIES</w:t>
        <w:br/>
        <w:t>IC55 - MARKETS FOR HEARING AIDS</w:t>
        <w:br/>
        <w:t>Measure no. 31149</w:t>
        <w:br/>
        <w:t>THE ITALIAN COMPETITION AUTHORITY</w:t>
        <w:br/>
        <w:t>IN ITS MEETING of 26 March 2024;</w:t>
        <w:br/>
        <w:t>HEARD the Rapporteur, President Roberto Rustichelli;</w:t>
        <w:br/>
        <w:t>HAVING REGARD to Law No. 287 of 10 October 1990;</w:t>
        <w:br/>
        <w:t>HAVING REGARD, in particular, to Article 12, paragraph 2, of Law No. 287 of 10 October 1990, pursuant to which the Authority may conduct general investigative inquiries in economic sectors where the evolution of trade, price behavior, or other circumstances suggest that competition is impeded, restricted, or distorted;</w:t>
        <w:br/>
        <w:t>HAVING REGARD to Presidential Decree No. 217 of 30 April 1998 and, in particular, to Article 17, concerning general investigative inquiries;</w:t>
        <w:br/>
        <w:t>HAVING REGARD to its measure of 12 September 2023, with which the Authority decided to proceed, pursuant to Article 12, paragraph 2, of Law No. 287 of 10 October 1990, with an investigative inquiry into the markets for hearing aids in Italy;</w:t>
        <w:br/>
        <w:t>HAVING REGARD to the annex to this measure, containing the final text of the investigative inquiry regarding the markets for hearing aids in Italy;</w:t>
        <w:br/>
        <w:t>RESOLVES</w:t>
        <w:br/>
        <w:t>to proceed with the closure of the investigative inquiry.</w:t>
        <w:br/>
        <w:t>This measure will be published in the Bulletin of the Italian Competition Authority and on the Authority's official website.</w:t>
      </w:r>
    </w:p>
    <w:p>
      <w:r>
        <w:t>THE SECRETARY GENERAL THE PRESIDENT</w:t>
        <w:br/>
        <w:t>Guido Stazi Roberto Rustichelli</w:t>
      </w:r>
    </w:p>
    <w:p>
      <w:r>
        <w:t>38 BULLETIN NO. 15 OF APRIL 15, 2024</w:t>
      </w:r>
    </w:p>
    <w:p>
      <w:r>
        <w:t>REPORTING AND CONSULTATIVE ACTIVITIES</w:t>
        <w:br/>
        <w:t>AS1961 - TRANSPORT REGULATORY AUTHORITY - REVISION OF MEASURE NO. 154/2019 ON LOCAL PUBLIC SERVICES OF ECONOMIC RELEVANCE</w:t>
        <w:br/>
        <w:t>Rome, 6 March 2024</w:t>
        <w:br/>
        <w:t>Transport Regulatory Authority</w:t>
        <w:br/>
        <w:t>On 9 December 2023, a request for an opinion was received by the Authority from the Transport Regulatory Authority (hereinafter also ART), pursuant to Article 1 of the Memorandum of Understanding signed on 15 November 2019, regarding the document titled “Revision of Measure No. 154/2019 in accordance with the provisions of Legislative Decree No. 201 of 23 December 2022” (Annex A to Measure No. 189 of 5 December 2023) and related Annexes, concerning which the Authority, in its meeting of 5 March 2024, resolved to formulate the following observations, pursuant to Article 22 of Law No. 287 of 10 October 1990.</w:t>
        <w:br/>
        <w:t>The document outlines the revisions and additions to the existing regulatory measures, as per Annex “A” to the Authority's Measure No. 154/2019 of 28 November 2019, in accordance with the new provisions of Legislative Decree No. 201 of 23 December 2022 titled “Reorganization of the regulation of local public services of economic relevance” (hereinafter: Legislative Decree No. 201/2022) and following the monitoring activities carried out by ART.</w:t>
        <w:br/>
        <w:t>Legislative Decree No. 201/2022 has indeed introduced new obligations for both the Contracting Authorities (“EA”) and ART, which “require specific modifications and additions to the Measures” contained in Measure No. 154/2019 for the purpose of coordinating with the existing regulation, incorporating some new provisions, and limiting the administrative burdens on EAs.</w:t>
        <w:br/>
        <w:t>Furthermore, in light of the results of the monitoring conducted on the application of Measure No. 154/2019, ART deemed it appropriate to modify some Measures in order to allow for a more extensive and uniform application and to enhance their effectiveness.</w:t>
        <w:br/>
        <w:t>Some proposed modifications aim to integrate into the text of the relevant Measure the new obligations provided by Legislative Decree No. 201 of 23 December 2022. This is, for example, the case for the modifications to Measures 24 [Criteria for the appointment of the evaluation committee], 27 [Criteria for updating tariffs], and 28 [Review and contractual modifications], which incorporate the content of Article 6, Article 26, and Article 27, paragraph 2, of Legislative Decree No. 201 of 2022, respectively. The introduction of standard templates for Assignment Reports (Annex 8) and the adjustment of Service Contract Templates (Annex 2) respond to the same need.</w:t>
        <w:br/>
        <w:t>Other interventions, on the other hand, aim to modify the information obligations of the Contracting Authority towards ART, in order to allow the regulator a better assessment of the choices of the Contracting Authority and to reduce the informational burden associated with the exercise of regulatory functions.</w:t>
      </w:r>
    </w:p>
    <w:p>
      <w:r>
        <w:rPr>
          <w:b/>
        </w:rPr>
        <w:t>[Pages 37–39]</w:t>
      </w:r>
    </w:p>
    <w:p>
      <w:r>
        <w:t>BULLETIN NO. 15 OF APRIL 15, 2024</w:t>
      </w:r>
    </w:p>
    <w:p>
      <w:r>
        <w:t>39. In particular, the amendments to Measures 13, 14, 15, and 20 provide for the submission to the ART of the risk allocation matrix for concession grants, the Economic-Financial Plan based on the auction, and the criteria for awarding the offer, which must be included in the Grant Report or attached to it. This intervention will allow the ART to have the necessary elements to formulate an overall judgment regarding the consistency, completeness, and appropriateness of the various operational tools prepared by the Granting Authority for the purpose of the grant.</w:t>
      </w:r>
    </w:p>
    <w:p>
      <w:r>
        <w:t>The limitation on the frequency of compiling the List of personnel in service provided for by the amended Measure 12 and the same preparation of standardized Schemes coordinated with other documentary obligations appears aimed at alleviating the informational burdens imposed by regulation.</w:t>
      </w:r>
    </w:p>
    <w:p>
      <w:r>
        <w:t>Many of the proposed amendments aim to implement the transparency obligations to which the Granting Authority (hereinafter, "GA") and the Awarded Company (hereinafter, "AC") are subject, pursuant to Articles 25 and 31 of Legislative Decree No. 201 of 2022, in application of a principle of accountability for the choices of the GA and the results of the AC, which appears widely shareable, also in light of the economic and social impact that the effective and efficient execution of a grant accurately calibrated to the mobility needs of citizens can have.</w:t>
      </w:r>
    </w:p>
    <w:p>
      <w:r>
        <w:t>In this sense, the proposed amendments concerning Measures 2 (point 4) and 25 are to be welcomed, as they aim to increase the level of transparency towards stakeholders, particularly in the case of in-house companies, regarding which any observations from operators can provide useful elements for evaluating the reasons for not resorting to the market.</w:t>
      </w:r>
    </w:p>
    <w:p>
      <w:r>
        <w:t>Regarding the institution of extension, it should be noted that the Authority, as repeatedly stated in numerous reports, has considered that the extension of the service contract in favor of the awardee should constitute an exceptional event. Upon the expiration of the contract, the granting authority should normally proceed to call for tenders or to grant in-house if the conditions are met. Extensions in favor of the service awardee should only be granted in cases explicitly and exceptionally provided for by law (for example, during the procurement procedure to avoid service interruption). In cases where the extension responds to the limited needs identified by law, the extension of existing regulation to such extensions can be positively evaluated. Within these limits, therefore, the Authority positively assesses the inclusion of the new point 8 in Measure 1, which expands the scope of application of certain measures referred to in Resolution No. 154/2019 to also include extensions by the Granting Authority of existing service contracts, provided that they constitute more favorable conditions for the management of the service subject to the grant. It is believed that the set of measures that should also be applied in the case of extension of the grant could be expanded to include the Grant Report that justifies the choices made, the minimum content of the Service Contract, and the periodic checks of the results achieved.</w:t>
      </w:r>
    </w:p>
    <w:p>
      <w:r>
        <w:t>As for the standardized Schemes of the Grant Report (RdA), the Authority agrees on the high level of detail required, in order to minimize requests for integration and contain the timing of the procurement procedure.</w:t>
      </w:r>
    </w:p>
    <w:p>
      <w:r>
        <w:t>In general, the Authority does not consider it appropriate for the RdA to refer, for the illustration of essential information, to other documents. The RdA, as enriched by the amendments proposed by the ART, can be configured as a single reference document that encompasses all the elements that have been evaluated by the GA, the reasons for its choices, the objectives of the grant, and how they have been articulated in the service contract, the expected trends in costs, revenues, and investments. Conceived in this way, the Report represents the reference document for all stakeholders for monitoring the effectiveness of the choices made by the GA and the results achieved by the AC and thus a fundamental tool for transparency and democratic control of Public Administration by citizens and businesses, also with regard to compliance with competitive principles by the choices of the Granting Authority.</w:t>
      </w:r>
    </w:p>
    <w:p>
      <w:r>
        <w:t>To fulfill this fundamental function in the accountability of the GA, however, the RdA must be as autonomous a document as possible. It should not refer to what has already been presented in the Report pursuant to Article 14 and in other relevant documentation (e.g., the Service Contract for the description of objectives, monitoring methods, and penalties), but should include, possibly in a summarized form, the content of such documents.</w:t>
      </w:r>
    </w:p>
    <w:p>
      <w:r>
        <w:t>More generally, it is necessary to emphasize the importance of preserving the autonomy not only of the RdA but also of the report and the resolution provided for respectively by Article 14 and Article 17 of Legislative Decree No. 201 of 2022, which must have contents that exhaustively fulfill the provisions of the relevant regulations, without references or referrals to other documents.</w:t>
      </w:r>
    </w:p>
    <w:p>
      <w:r>
        <w:t>Regarding specifically the standardized Scheme for in-house grants, the explicit reference to the standardized scheme of qualified motivation pursuant to Article 17, paragraph 2, of Legislative Decree No. 201 of 2022, developed by PCM, AGCM, and ANAC and published on the website of the latter, in the Transparency SPL section, is appreciated.</w:t>
      </w:r>
    </w:p>
    <w:p>
      <w:r>
        <w:t>Without prejudice to the observations contained in Opinion AS1935 of November 28, 2023, a comprehensive treatment of the motivation for the choice of this form of grant would seem to require that any innovations/improvements regarding the minimum quality conditions and the qualitative-quantitative KPIs established by the ART that have been taken into account in the grant decision be discussed in this section of the Scheme, and then recalled and described in greater detail in the section of the objectives of the Service Contract.</w:t>
      </w:r>
    </w:p>
    <w:p>
      <w:r>
        <w:t>Finally, the Authority considers it appropriate to make some observations on the inclusion of a section regarding the compilation of the Risk Matrix also in the RdA scheme for the in-house grant of road or rail public transport.</w:t>
      </w:r>
    </w:p>
    <w:p>
      <w:r>
        <w:t>The risk matrix indeed represents the tool for allocating risks, both operational and otherwise, arising from the contract, and such allocation must be consistent with the type of contract. The allocation of operational risk to the AC specifically characterizes, according to Article 177 of Legislative Decree No. 36 of March 31, 2023 (Public Contracts Code), the concession contract, and Measure 13, paragraph 2, explicitly links the definition and allocation of risks and the drafting of the Risk Matrix to the concession contract.</w:t>
      </w:r>
    </w:p>
    <w:p>
      <w:r>
        <w:t>An in-house company, although formally distinct from the GA, is substantively nothing more than a mere structure of the GA itself, due to the existence of "similar control" that defines its quality as an "in-house company." It does not enjoy effective managerial autonomy and uses public resources that have been allocated to it by the public entity or that have been purchased through the investment of the entity itself. Consequently, any risk affecting the in-house company will ultimately fall on the treasury of the GA, which will bear the legal and economic consequences regardless of accounting allocation. In this context, the operational risk, from a substantive point of view, remains with the GA; no transfer to the AC can be configured on which the GA has similar control; the fact that the AC is established in the form of a capital company limits the consequences of the operational risk that may be borne by the GA, but does not transfer any risk from the GA to the AC.</w:t>
      </w:r>
    </w:p>
    <w:p>
      <w:r>
        <w:t>In the absence of a transfer of operational risk, it is not possible to configure a concession contract, as it is characterized in the Public Contracts Code. For these reasons, the provision for the compilation of the Risk Matrix in the case of in-house grants appears contradictory to the fundamental characteristics of such grants.</w:t>
      </w:r>
    </w:p>
    <w:p>
      <w:r>
        <w:t>If, in order to effectively evaluate the performance of the in-house management of the service, it were necessary to proceed with a formal allocation of risks between the GA and the AC, in order to assess, retrospectively, whether deviations from the agreed objectives are attributable to the responsibility of the AC - and thus, give rise to the application of penalties or any bonuses - it would be necessary to amend point 2 of Measure 13, clarifying that the rationale for the provision of a risk matrix in in-house grants concerns the effectiveness of the control of the results of in-house management and to provide, where necessary, a specific risk matrix. The Grant Report, in the section dedicated to the Service Contract, should explicitly state why such a formal allocation is essential for an effective identification of objectives and evaluation of the results achieved.</w:t>
      </w:r>
    </w:p>
    <w:p>
      <w:r>
        <w:t>Regarding the quality levels of the services included in the Service Contract Schemes (and the related KPIs provided for by Measure 16), which will be defined as a result of the consultation on the Minimum Quality Conditions of services, reference is made to the aforementioned Opinion AS1935.</w:t>
      </w:r>
    </w:p>
    <w:p>
      <w:r>
        <w:t>The differentiation of the subject of consultations depending on the type of grant, provided for in Measure 4, appears aimed at the effectiveness of the consultation itself.</w:t>
      </w:r>
    </w:p>
    <w:p>
      <w:r>
        <w:t>As for the proposed elimination of the "full" qualification of the availability of essential and indispensable goods that must be guaranteed by the Granting Authority, the Authority expresses concern that it, in the absence of appropriate clarifications, could be understood as a limitation of the guarantee that the Granting Authority must provide, introducing a significant element of uncertainty regarding the degree of availability of such goods that could disincentivize competition for the grant and advantage the incumbent, who has precise knowledge of the degree of availability of such goods.</w:t>
      </w:r>
    </w:p>
    <w:p>
      <w:r>
        <w:t>Measure 13 and Annex 4 propose a different identification and allocation of risks. The Authority agrees with the more concise identification of operational risks on the supply side, now grouped into three large categories: "unpredictable" variations in costs arising from the trends in the markets for production factors, changes in the regulatory and/or legislative framework, extraordinary accidental events. However, it is suggested to facilitate the connection with the risk matrix attached to Resolution No. 154/2019 through additional notes to the table.</w:t>
      </w:r>
    </w:p>
    <w:p>
      <w:r>
        <w:t>Less agreeable appears the transfer to the AC of all risk for "extraordinary accidental events that affect the performance of the service." It is not clear, in fact, the reason for such complete transfer in the case of events for which any responsibility on the part of the AC can be easily excluded, such as severe damage and even the loss of material goods (bus stations, buses, etc.) due to floods or other extreme weather phenomena or a lockdown due to a new pandemic. The absence of any form of risk sharing by the GA could make, due to the perceived higher risk of remuneration, participation in the tender for the grant economically less attractive and could therefore lead to a reduction in competition, to the full advantage of the incumbent, in areas most exposed to such extraordinary accidental events.</w:t>
      </w:r>
    </w:p>
    <w:p>
      <w:r>
        <w:t>The Authority agrees with the observations made in the Illustrative Report regarding the opportunity to define a threshold beyond which variations in costs or demand exceed normal operating conditions and thus fall into the risks that, even in a concession relationship, should be allocated to the GA. In Measure 13, it should be clarified that the definition of such thresholds by the GA is essential and should be included in the risk mitigation measures provided. The definition of this threshold also appears necessary to apply point 5 of the subsequent Measure 26, which governs cases of under-compensation due to increases in costs or decreases in revenues to which no risk allocated to the AC is associated, but without defining when such variations do not fall within the risk allocated to the AC.</w:t>
      </w:r>
    </w:p>
    <w:p>
      <w:r>
        <w:rPr>
          <w:b/>
        </w:rPr>
        <w:t>[Pages 40–42]</w:t>
      </w:r>
    </w:p>
    <w:p>
      <w:r>
        <w:t>42 BULLETIN NO. 15 OF APRIL 15, 2024</w:t>
      </w:r>
    </w:p>
    <w:p>
      <w:r>
        <w:t>Given the importance of these thresholds, pending the collection and processing of data from regulatory accounting, it may still be appropriate, in order to avoid unjustified discrimination among IAs, for the ART to identify a maximum value for such a threshold, beyond which it is not deemed acceptable to consider the risk transferred to the IA as falling within normal market conditions. This identification could be the subject of a "sub-consultation" within the ongoing consultation.</w:t>
      </w:r>
    </w:p>
    <w:p>
      <w:r>
        <w:t>The Authority also welcomes the provision contained in Measure 25, point 3, according to which the monitoring of the economic, managerial, and qualitative performance of the IA must be carried out "in a timely manner, at the level of individual line/direction as much as possible, particularly with reference to the passengers transported, the load factor, and the coverage ratio." Among the information for which maximum transparency should be ensured through publication on the Authority's website, as referred to in point 5, the Authority suggests including the results obtained concerning the "main indicators of an economic, technical-managerial, and qualitative nature provided by the CdS," as well as the amount and type of penalties/rewards attributed based on the service performed. This information is complementary to Customer Satisfaction Surveys and is essential as an accountability tool regarding the actual managerial capacity of the contractor, as well as for the impact on the Authority's finances in the case of in-house assignments.</w:t>
      </w:r>
    </w:p>
    <w:p>
      <w:r>
        <w:t>The Authority positively assesses the introduction of a profit-sharing mechanism for cost savings or increased revenues provided for in Measure 26, point 4. Such a mechanism provides strong incentives for efficiency, making the IA the residual claimant of part of the efficiencies achieved. From this perspective, in order to capture such incentives, it is important that the share of savings/increased revenues retained by the IA is not less than a certain level, and a target system as described in the Illustrative Report could be particularly effective. It should also be clarified in the text of point 4 that only the savings and increased revenues resulting from specific efficiency/promotion initiatives undertaken by the IA will contribute to the reward mechanism.</w:t>
      </w:r>
    </w:p>
    <w:p>
      <w:r>
        <w:t>Regarding the provisions for the case of under-compensation (Measure 26, point 5), while maintaining what has been observed about the need for the EA to identify a threshold to determine situations in which the risk is not allocated to the IA, it is necessary to clarify that, if the risk of increased costs or decreased revenues is not allocated to the IA, the EA will supplement the compensation at least to the minimum level provided for in the Service Contract for the period under review. The current formulation appears problematic, implying that such supplementation will not occur, despite the fact that these are risks not allocated to the IA, a circumstance that would discourage competition for the assignment where such a situation is perceived as sufficiently likely.</w:t>
      </w:r>
    </w:p>
    <w:p>
      <w:r>
        <w:t>The Authority hopes that the aforementioned observations may assist in the activities of the Transport Regulatory Authority.</w:t>
      </w:r>
    </w:p>
    <w:p>
      <w:r>
        <w:t>This opinion will be published in the bulletin of the Italian Competition Authority.</w:t>
      </w:r>
    </w:p>
    <w:p>
      <w:r>
        <w:t>Any confidentiality requirements must be communicated by the Authority within thirty days of receipt of this document, specifying the reasons.</w:t>
      </w:r>
    </w:p>
    <w:p>
      <w:r>
        <w:t>THE PRESIDENT</w:t>
        <w:br/>
        <w:t>Roberto Rustichelli</w:t>
      </w:r>
    </w:p>
    <w:p>
      <w:r>
        <w:t>BULLETIN NO. 15 OF APRIL 15, 2024</w:t>
      </w:r>
    </w:p>
    <w:p>
      <w:r>
        <w:t>AS1962 - TRANSPARENCY AND COMPETITIVE CONDITIONS OBSERVED IN THE HEARING AID MARKETS IN ITALY</w:t>
      </w:r>
    </w:p>
    <w:p>
      <w:r>
        <w:t>Rome, April 8, 2024</w:t>
      </w:r>
    </w:p>
    <w:p>
      <w:r>
        <w:t>President of the Senate of the Republic</w:t>
        <w:br/>
        <w:t>President of the Chamber of Deputies</w:t>
        <w:br/>
        <w:t>Minister of Health</w:t>
        <w:br/>
        <w:t>Minister of Economy and Finance</w:t>
        <w:br/>
        <w:t>President of the National Agency for Regional Health Services</w:t>
        <w:br/>
        <w:t>Presidents of Regions and Autonomous Provinces</w:t>
      </w:r>
    </w:p>
    <w:p>
      <w:r>
        <w:t>The Italian Competition Authority, in its meeting of March 26, 2024, intended to formulate, pursuant to Article 22 of Law No. 287 of October 10, 1990, observations regarding some competitive criticalities found in the hearing aid markets in Italy following an exploratory investigation related to these markets, initiated on September 12, 2023, pursuant to Article 12, paragraph 2, of the aforementioned Law No. 287/1990, and concluded on March 26, 2024.</w:t>
      </w:r>
    </w:p>
    <w:p>
      <w:r>
        <w:t>The investigation, the final text of which is attached, delved into the dynamics and mechanisms of the retail distribution of hearing aids, i.e., medical devices used daily by millions of citizens with prices that can reach several thousand euros for a single device, also focusing on the demand component represented by public purchases intended for the needs of the National Health Service (SSN) and the related Regional Health Systems (SSR).</w:t>
      </w:r>
    </w:p>
    <w:p>
      <w:r>
        <w:t>Regarding the issue of the commercial offer of hearing aids in Italy, the findings revealed a deep-rooted and pervasive situation of low transparency towards consumers. More specifically, it was found that, given the tendentially mediated nature of the demand and the technical complexity of the product in question, which thus presents the typical characteristics of a so-called "credence good," various criticalities arise in the overall selection and purchasing process due to the limited availability of both technical and price information for consumers. All this occurs in a context of marked product differentiation, as the offer of hearing aids is characterized by a high rate of technological replacement, accentuated by the transition from analog to digital devices.</w:t>
      </w:r>
    </w:p>
    <w:p>
      <w:r>
        <w:t>In the sector's practice, moreover, the recurrence of the aforementioned informational asymmetries is associated with pervasive modes of bundled sales of products and services (bundling).</w:t>
      </w:r>
    </w:p>
    <w:p>
      <w:r>
        <w:t>In this regard, the recently concluded investigation found that consumers are generally not in a position to fully perceive and appreciate the distinction between the product component and the service component of the commercial offer presented to them. In fact, the formal object of negotiation and purchase typically turns out to be a good whose description remains focused on the product component, both in pre-contractual proposals and in the contractual document and invoice, while the final price paid by the buyer includes both the device (in addition to any</w:t>
      </w:r>
    </w:p>
    <w:p>
      <w:r>
        <w:rPr>
          <w:b/>
        </w:rPr>
        <w:t>[Pages 43–45]</w:t>
      </w:r>
    </w:p>
    <w:p>
      <w:r>
        <w:t>BULLETIN NO. 15 OF APRIL 15, 2024</w:t>
      </w:r>
    </w:p>
    <w:p>
      <w:r>
        <w:t>45. The negotiation and purchase of goods is typically one where the description remains focused on the product component, both in pre-contractual proposals and in the contractual document and invoice, while the final price paid by the buyer includes both the device (in addition to any accessories) and a wide range of services, which can in turn be distinguished into different items, starting from the distinction between customization services (fitting) and post-sale assistance services (follow-up), not to mention the possibility of additional financial-insurance services. Moreover, during the investigation, it was also pointed out that this does not allow the buyer to manage the tax discipline appropriately, given the different taxation to which products (4% VAT) and services (exempt from VAT) are subject.</w:t>
      </w:r>
    </w:p>
    <w:p>
      <w:r>
        <w:t>This lack of distinction between products and services in consumer information does not allow for the comparison of alternative offers, nor does it consider the actual necessity of the services and related cost items that contribute to forming the overall price: this is particularly singular considering that, as emerged from the exploratory investigation, the absolutely predominant price component is that of services, indicated by multiple sources as corresponding to about 70-80% of the final price, with the remaining 20-30% attributable to the hearing aid.</w:t>
      </w:r>
    </w:p>
    <w:p>
      <w:r>
        <w:t>The distinguishability between product component and service component is certainly practicable for commercial operators: in fact, not only is the device immediately identifiable based on the model specifications defined by its manufacturer, but the various services provided by audiotechnical professionals have long been defined in a plurality of acts and documents: in this regard, at least the D.P.C.M. of January 12, 2017, governing the Essential Levels of Assistance (“LEA”) that the SSN and SSR are required to provide - including regarding access to medical devices - uniformly across the national territory, as well as the Guidelines of the Audioprosthetist Technician shared by the main professional associations of the sector, are recalled.</w:t>
      </w:r>
    </w:p>
    <w:p>
      <w:r>
        <w:t>The lack of distinction between products and services being purchased evidently affects the possibilities for informed choice by the consumer, prejudicing the competitive comparison expected for each of the different components of the offer. The Authority, therefore, intends to signal this critical issue, recognizing the need for the consumer to be placed in a position to know distinctly and evaluate the different components of the offer, based on information provided transparently and understandably regarding the contents, nature, and main characteristics of the goods and services subject to the same offer, with a clear distinction of all its components and the corresponding cost items that make up the final price.</w:t>
      </w:r>
    </w:p>
    <w:p>
      <w:r>
        <w:t>In light of this, the legislator is invited to consider the opportunity to adopt regulatory interventions aimed at strengthening informational guarantees in the public sale of products that, like medical devices subject to free sale such as hearing aids, directly affect health conditions and, more generally, the physical well-being and quality of life of their users. It also seems appropriate that, regarding the use and sale of hearing aids in Italy, consumer education initiatives be developed by the competent decision-makers and administrators, for example, in the context of the now customary awareness campaigns on the issue of hearing health that, as already mentioned at the outset, concern a particularly large and unfortunately growing number of citizens.</w:t>
      </w:r>
    </w:p>
    <w:p>
      <w:r>
        <w:t>Regarding the issue, which was also the subject of in-depth studies during the recently concluded exploratory investigation, of the public component of the demand for hearing aids supplied to individuals falling within the categories and conditions provided by the current LEA, a complex regulatory framework has been found, and, above all, conditioned by a situation of ongoing application stalemate. Specifically, the product classifications resulting from a general regulation of medical devices of Union origin (currently focused on Regulation (EU) No. 2017/745) have combined with national rules regarding reimbursement methods, supply, and public purchases, to be articulated along the complex relationships between the SSN and the SSR through which purchases and the provision of devices to entitled beneficiaries actually occur.</w:t>
      </w:r>
    </w:p>
    <w:p>
      <w:r>
        <w:t>46. In summary, with the reform of the LEA, carried out by the D.P.C.M. of January 12, 2017, which involved a technical reclassification of hearing aids (now included in list 2a of Annex 5 of the aforementioned decree), the purchase and supply of such devices have shifted from a previous "tariff" system (centered on a tariff nomenclature dating back to 1999 and referenced by the previous D.P.C.M. of November 29, 2001) to a model centered on public procurement procedures by the competent administrations (as indicated by Article 3, Annex No. 12, of the D.P.C.M. of January 12, 2017), among other things with the possible distinction, for the purposes of the tender design, between the component of products and the services being purchased.</w:t>
      </w:r>
    </w:p>
    <w:p>
      <w:r>
        <w:t>However, the exploratory investigation found that the public assistance system has experienced ongoing difficulties in defining and awarding purchase tenders, primarily attributable to strong resistance, also through repeated judicial appeals, from the main commercial operators. Consequently, on the one hand, the competent administrations have continued to refer to the previous and now obsolete tariff reimbursement model (it is worth noting that, in 1999, only the reimbursement of analog devices was provided), while on the other hand, suppliers have independently identified a category of entry-level products (digital) termed "social," to be provided according to the tariff previously established for analog devices, leaving beneficiaries the option to pay the price difference between the reimbursement recognized to them by the SSN and the price of a potential superior product-service package (the so-called "reducibility" mechanism).</w:t>
      </w:r>
    </w:p>
    <w:p>
      <w:r>
        <w:t>Although a new tariff nomenclature has recently been approved (D.M. of June 23, 2023), with an expected entry into force starting from April 1, 2024, this will only apply to categories of devices (so-called custom aids) among which hearing aids are no longer included: in the absence of specific regulatory interventions, therefore, the current situation of substantial operational uncertainty is destined to persist.</w:t>
      </w:r>
    </w:p>
    <w:p>
      <w:r>
        <w:t>During the exploratory investigation, the possibility of interventions following the entry into force of the new tariff nomenclature emerged, aimed at restoring the previous tariff reimbursement model for hearing aids. In this specific regard, it is noted that, according to the consolidated orientations of the Authority, the tender mechanism constitutes in all respects the preferred method for meeting the public need for goods and services in pursuit of administrative transparency, spending efficiency, and competition protection, with expected benefits in terms of better resource allocation and increased community well-being. This is particularly relevant concerning the management of public spending directed at the purchase of goods and services intended to protect the right to health: a right that, according to what emerges from constitutional jurisprudence, although a priority, is intrinsically conditioned by the economic availability of the public budget.</w:t>
      </w:r>
    </w:p>
    <w:p>
      <w:r>
        <w:t>In this perspective, the alleged failure of the tender procedures organized so far in Italy for the procurement of hearing aids after the changes to the LEA regulations that came into force in 2017 cannot, in itself, be adopted as a justification for excluding the tender mechanism in the reference market. If, therefore, regulatory changes were to intervene to restore the possibility of purchasing according to a predetermined tariff regime, the competent administrations must still safeguard the possibility of resorting to public procurement procedures.</w:t>
      </w:r>
    </w:p>
    <w:p>
      <w:r>
        <w:t>In this regard, it is emphasized that, both from a perspective of improving the efficiency of the services provided and containing the related costs borne by the SSN and SSR, it seems possible to adopt tender designs that foresee a distinction between products and services, in order to achieve spending savings concerning both purchase items; the need to adequately guarantee the quality and variety of goods through appropriate criteria for weighing offers remains unchanged, as already reiterated by recent administrative jurisprudence. It is also noted that it would be appropriate to resort to procurement procedures that allow for a dynamic adjustment of the offer concerning the technological evolution of the reference sector, as well as to foresee mechanisms aimed at best preserving the therapeutic choice freedom of the beneficiary.</w:t>
      </w:r>
    </w:p>
    <w:p>
      <w:r>
        <w:t>In light of this, even where the possibility of resorting to a tariff mechanism is provided, the adoption of pro-competitive solutions should be pursued that, on the one hand, aim at improving public spending efficiency, and on the other, allow for more effective selections of the products and services provided to citizens. In this sense, in order to improve market transparency conditions, facilitating the comparability of offers for the portion of demand entitled to public contribution, a modification of the methods of providing such contributions, currently paid directly to the retailer of the chosen product-service package (whether "social" or through the reducibility mechanism) by the territorially competent administration, seems conceivable.</w:t>
      </w:r>
    </w:p>
    <w:p>
      <w:r>
        <w:t>Such a modification, in particular, could consist of assigning the reimbursement amount directly to the beneficiary, through the introduction of a "voucher" or "hearing voucher," encompassing both the product and service items and divisible between them. The proposed solution would allow interested consumers to play a more active role in searching for and evaluating offers, within the single maximum amount provided for reimbursement, choosing independently how to allocate the amount granted among the different items based on what they consider most responsive to their personal needs, while still leaving less research-inclined consumers the option to resort to the ordinary "all-inclusive" social offers traditionally made available by companies.</w:t>
      </w:r>
    </w:p>
    <w:p>
      <w:r>
        <w:t>It is believed that the introduction of such a voucher mechanism could effectively support competition among providers of products and services in terms of appropriateness and economic convenience of the offer concerning individual beneficiaries of public reimbursement: this in order to make the best use of the limited public resources currently available to address individual health issues affecting millions of citizens and having a significant social impact as well.</w:t>
      </w:r>
    </w:p>
    <w:p>
      <w:r>
        <w:t>Still in the perspective of more efficient use of limited economic resources, the opportunity to adopt methods of periodic and, so to speak, dynamic updating of the technical characteristics of hearing aids included in the LEA assistance regime is noted, so as to take into account relevant future technological innovations.</w:t>
      </w:r>
    </w:p>
    <w:p>
      <w:r>
        <w:t>In light of all this, the Authority hopes that the addressees, each within their respective competencies, will adequately consider the above observations, in order to protect and promote competition in the hearing aid markets in Italy in the most effective manner.</w:t>
      </w:r>
    </w:p>
    <w:p>
      <w:r>
        <w:rPr>
          <w:b/>
        </w:rPr>
        <w:t>[Pages 46–48]</w:t>
      </w:r>
    </w:p>
    <w:p>
      <w:r>
        <w:t xml:space="preserve">48 BULLETIN NO. 15 OF APRIL 15, 2024  </w:t>
        <w:br/>
        <w:t xml:space="preserve">This report will be published in the Bulletin and on the official website of the Italian Competition Authority.  </w:t>
        <w:br/>
        <w:t xml:space="preserve">THE PRESIDENT  </w:t>
        <w:br/>
        <w:t>Roberto Rustichelli</w:t>
      </w:r>
    </w:p>
    <w:p>
      <w:r>
        <w:t xml:space="preserve">BULLETIN NO. 15 OF APRIL 15, 2024 49  </w:t>
        <w:br/>
        <w:t xml:space="preserve">AS1963 - LOMBARDY REGION - AWARD OF REGIONAL AND LOCAL RAIL TRANSPORT SERVICES  </w:t>
        <w:br/>
        <w:t xml:space="preserve">Rome, February 1, 2024  </w:t>
        <w:br/>
        <w:t xml:space="preserve">Lombardy Region  </w:t>
        <w:br/>
        <w:t xml:space="preserve">The Italian Competition Authority, in its meeting on January 30, 2024, decided to express an opinion, pursuant to Article 21-bis of Law No. 287 of October 10, 1990, regarding the resolution of the Lombardy Region's Council No. XII/1442 of November 27, 2023, concerning "Awarding Trenord s.r.l. the management of regional and local rail services for the years 2023-2033, approval of the service contract draft and related attachments."  </w:t>
        <w:br/>
        <w:t xml:space="preserve">This resolution, received on December 7, 2023, following a specific request for information, concerns the awarding to Trenord s.r.l. (hereinafter "Trenord") of the management of regional and local rail services until 2033, pursuant to Article 5, paragraph 6, of Regulation (EC) No. 1370/2007 of the European Parliament and of the Council of October 23, 2007.  </w:t>
        <w:br/>
        <w:t xml:space="preserve">Before proceeding to illustrate the reasons for the illegitimacy of the resolution in question, it is necessary to make a brief introduction.  </w:t>
        <w:br/>
        <w:t xml:space="preserve">With specific reference to public passenger transport services by rail, the aforementioned Article 5, paragraph 6, of Regulation (EC) No. 1370/2007, in force until December 24, 20231, provided that, "unless prohibited by national legislation," the competent authorities of the Member States responsible for the service could proceed with direct awards of the contracts in question for a maximum duration of ten years.  </w:t>
        <w:br/>
        <w:t xml:space="preserve">Since, therefore, until December 24, 2023, the provision in question allowed competent entities to directly award the public rail transport service, in the absence of a national provision aimed at prohibiting the use of such an award method, the resolution of the Lombardy Region's Council No. XII/1442 of November 27, 2023, must be considered compatible with the regulatory framework.  </w:t>
        <w:br/>
        <w:t xml:space="preserve">However, from a competitive perspective, the Authority can only express concerns regarding the ten-year award without any public evidence procedure for the rail service, made close to the expiration of the transitional period provided by Regulation (EC) No. 1370/2007. This choice, in fact, does not seem appropriate and in line with the general principles aimed at protecting competition, resulting in a situation where regional rail transport in Lombardy will continue to be managed by the historical monopolist for another ten years, with the consequence of further postponing – well beyond the end of the transitional period – the conduct of tenders for the awarding of the service.  </w:t>
        <w:br/>
        <w:t xml:space="preserve">In this regard, it is necessary to recall that the Authority, on numerous occasions, has provided guidance on the awarding of regional public rail transport services by the competent territorial entities, on the one hand, highlighting the opportunity to apply the provisions contained in Regulation (EC) No. 1370/2007 in a manner more compliant with competitive principles2; on the other hand, proposing regulatory changes aimed at extending to this sector the obligations of analytical motivation regarding the failure to resort to the market and the benefits derived from the chosen management form3. Additionally, it should be noted that specific measures aimed at further incentivizing regions to organize tenders for regional public service contracts are also present in the National Recovery and Resilience Plan (PNRR)4.  </w:t>
        <w:br/>
        <w:t xml:space="preserve">Having stated the above, the Authority intends to make some considerations regarding the anti-competitive profiles of the inclusion, within the scope of the award to Trenord, of substitute or supplementary bus services for regional and local rail services.  </w:t>
        <w:br/>
        <w:t xml:space="preserve">As emerges from the service contract and related attachments, a component of the bus services included in the award consists of "lines regularly operated by bus," or a "bus offer component structurally present continuously in the Lombardy offer plan." Among these, at least the 0.7 million bus/km per year provided in the operating program until the end of the award are certainly included.  </w:t>
        <w:br/>
        <w:t xml:space="preserve">Article 34-octies of Decree-Law No. 179/2012, converted with amendments by Law No. 221/2012, when addressing the matter of substitute or supplementary bus services for regional and local rail services, explicitly excludes temporary services from the scope of application of the provision, evidently focusing on the component of bus services that continuously replace or supplement rail transport. For the latter, the provision imposes the award through competitive public evidence procedures "in compliance with the principles of the Treaty on the functioning of the European Union and the general principles relating to public contracts and, in particular, the principles of economy, impartiality, transparency, adequate publicity, non-discrimination, equal treatment, mutual recognition, and proportionality."  </w:t>
        <w:br/>
        <w:t xml:space="preserve">The inclusion of such services within the scope of the direct award to Trenord is therefore to be considered in open contrast to what is established by the aforementioned Article 34-octies of Decree-Law No. 179/2012.  </w:t>
        <w:br/>
        <w:t xml:space="preserve">The Region, in the service contract, has only included a generic provision regarding the intention to separate this offer component from the scope of the awarded services, reprogramming them within the new awards of bus services assigned to the competence of the Territorial Agencies of TPL, following the definition of the "indispensable institutional and financial agreements."  </w:t>
        <w:br/>
        <w:t xml:space="preserve">2 See the joint report with ART and ANAC, AS1441 – Procedures for the direct awarding of regional public rail transport services, published in Bulletin No. 42/2017; AS1309 – Regional rail transport, published in Bulletin No. 40/2016; AS659 – Proposals for competitive reform for the annual law on the market and competition, published in Bulletin No. 4/2010.  </w:t>
        <w:br/>
        <w:t xml:space="preserve">3 See AS1730 – Proposals for competitive reform for the annual law on the market and competition Year 2021, published in Bulletin No. 13/2021.  </w:t>
        <w:br/>
        <w:t>4 The reference is to measure M1C2-6 (through the implementation of Article 27, paragraph 2, letter c), of Decree-Law No. 50/2017) and measure M3C1, in the context of investments to support the realization of rail infrastructure and the reform of the business context.</w:t>
      </w:r>
    </w:p>
    <w:p>
      <w:r>
        <w:rPr>
          <w:b/>
        </w:rPr>
        <w:t>[Pages 49–51]</w:t>
      </w:r>
    </w:p>
    <w:p>
      <w:r>
        <w:t>BULLETIN NO. 15 OF APRIL 15, 2024</w:t>
      </w:r>
    </w:p>
    <w:p>
      <w:r>
        <w:t>51. Certain elements highlighting the inertia of the Region in complying with the aforementioned regulation cannot be overlooked. In fact, already in the Opinion issued in 2021 regarding the assignment to Trenord5, the Transport Regulation Authority (hereinafter, "ART") had recommended that the Region clarify the methods by which it intended to ensure compliance with the same, within the Assignment Report pursuant to ART resolution no. 154/2019. However, to date – four years after the initiation of the assignment procedure, which has just concluded – no concrete action has been taken in this regard. From the reading of the documents, it appears that there is nothing more than a non-specific statement of intent. The same Transport Regulation Authority does not fail to emphasize this deficiency on the part of the Region in its observations made on December 15, 2023, regarding the Assignment Report pursuant to ART resolution no. 154/2019, requesting – concerning the provision to conduct appropriate analyses aimed at identifying the routes continuously operated by road transport to be included in the new assignments attributed to the competence of the TPL basin Agencies – "the preparation of a timeline, to be included within the contract, that identifies the timing for conducting such analyses which must necessarily occur promptly, as well as the definition of the timing for the preparation of institutional and financial agreements with the TPL basin Agencies necessary for carrying out the activities related to such assignments, for the purpose of complying with the provisions of Article 34-octies of Decree-Law no. 179/2012." The lack of a coherent and concrete plan to comply with the regulation also emerges from the overall picture of the various documentary references. In fact, while the service contract refers to the intention to reassign the services continuously performed by road transport to the competence of the TPL Agencies, which should then award them through a tender, the Regulatory Objectives Achievement Plan ("PRO") only considers a possibility of "reconsideration" with Trenord regarding this component, or a reassignment of the same by the Region (directly or through another entity). On the other hand, in the Assignment Report, it is stated that substitute or supplementary buses in the contract are only provided for temporary, contingent needs or in special cases, thus omitting those of a continuous nature, which the other cited documents do not remain silent about. All things considered, it is evident that the inclusion of such services in the assignment to Trenord – also considering the long period of about four years that the Region had available to carry out the necessary procedures to ensure an assignment of the same through a tender procedure – constitutes a violation of Article 34-octies of Decree-Law no. 179/2012, to the detriment of competition in the market for the provision of public transport services by road. In light of the above considerations, the Authority believes that the Regional Council resolution no. XII/1442 of November 27, 2023, is in conflict with Article 34-octies of Decree-Law no. 179/2012, converted with amendments by Law no. 221/2012.</w:t>
      </w:r>
    </w:p>
    <w:p>
      <w:r>
        <w:t>In light of the above, pursuant to Article 21-bis, paragraph 2, of Law no. 287/1990, the Lombardy Region must communicate to the Authority, within sixty days of receiving this opinion, the initiatives taken to remove the aforementioned competition violations. If within the aforementioned period such initiatives do not prove to be compliant with the principles expressed above, the Authority may file an appeal within the subsequent thirty days.</w:t>
      </w:r>
    </w:p>
    <w:p>
      <w:r>
        <w:t>5 https://www.autorita-trasporti.it/pareri/parere-n-19-2021/</w:t>
      </w:r>
    </w:p>
    <w:p>
      <w:r>
        <w:t>52. This opinion will be published in the Bulletin of the Italian Competition Authority pursuant to Article 26 of Law no. 287/1990.</w:t>
      </w:r>
    </w:p>
    <w:p>
      <w:r>
        <w:t>THE PRESIDENT</w:t>
        <w:br/>
        <w:t>Roberto Rustichelli</w:t>
      </w:r>
    </w:p>
    <w:p>
      <w:r>
        <w:t>_______________________________________________________________________</w:t>
      </w:r>
    </w:p>
    <w:p>
      <w:r>
        <w:t>Press release regarding the Authority's decision not to appeal pursuant to Article 21-bis of Law no. 287/1990 against the resolution of the Lombardy Regional Council no. XII/1442 of November 27, 2023.</w:t>
      </w:r>
    </w:p>
    <w:p>
      <w:r>
        <w:t>On January 30, 2024, the Authority decided to issue a reasoned opinion, pursuant to Article 21-bis of Law no. 287/1990, regarding the resolution of the Lombardy Regional Council no. XII/1442 of November 27, 2023, concerning the direct assignment to Trenord S.r.l. of the management of regional and local railway services for ten years, from December 1, 2023, to November 30, 2033, pursuant to Article 5, paragraph 6, of Regulation (EC) no. 1370/2007.</w:t>
      </w:r>
    </w:p>
    <w:p>
      <w:r>
        <w:t>In its reasoned opinion, the Authority made some considerations regarding the critical aspects of the assignment of regional and local railway services with Article 34-octies of Decree-Law no. 179/2012, converted with amendments by Law no. 221/2012, given the inclusion in the service contract signed with Trenord S.r.l. of the continuous road substitute services, for which the aforementioned regulation instead provides for the obligation of a tender.</w:t>
      </w:r>
    </w:p>
    <w:p>
      <w:r>
        <w:t>On March 27, 2024, the Lombardy Region responded to the reasoned opinion, sending the resolution of the regional council no. XII/2100 of March 25, 2024, which established the assignment through a public tender of the supplementary road services to the continuous railway service, to be announced by June 30, 2025, with an award expected by the first half of 2026, the start of services from January 1, 2027, and lasting until the expiration of the current Service Contract with Trenord S.r.l. The Lombardy Region also resolved that from the same date the services in question will be removed from the service program under Trenord S.r.l. and that they will be separated from the PEF, as provided for by the current Service Contract.</w:t>
      </w:r>
    </w:p>
    <w:p>
      <w:r>
        <w:t>Therefore, having noted the initiatives taken by the Lombardy Region and the timeline indicated for carrying out the public tender procedure, in the meeting of April 10, 2024, the Authority decided not to appeal to the TAR Lombardia against the determination in question.</w:t>
      </w:r>
    </w:p>
    <w:p>
      <w:r>
        <w:t>Italian Competition Authority Weekly Bulletin</w:t>
        <w:br/>
        <w:t>of competition and the market Year XXXIV- No. 15 - 2024</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