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https://www.agcm.it/dotcmsDOC/bollettini/16-18.pdf</w:t>
      </w:r>
    </w:p>
    <w:p>
      <w:r>
        <w:t>Pages translated : 65</w:t>
      </w:r>
    </w:p>
    <w:p/>
    <w:p>
      <w:r>
        <w:rPr>
          <w:b/>
        </w:rPr>
        <w:t>[Pages 1–3]</w:t>
      </w:r>
    </w:p>
    <w:p>
      <w:r>
        <w:t>Bulletin</w:t>
        <w:br/>
        <w:t>Weekly</w:t>
        <w:br/>
        <w:t>Year XXVIII - No. 16</w:t>
        <w:br/>
        <w:t>Published on the website www.agcm.it</w:t>
        <w:br/>
        <w:t>April 30, 2018</w:t>
      </w:r>
    </w:p>
    <w:p>
      <w:r>
        <w:t>SUMMARY</w:t>
        <w:br/>
        <w:t>AGREEMENTS AND ABUSE OF DOMINANT POSITION 5</w:t>
        <w:br/>
        <w:t>I780B - CONCRETE MARKET IN VENETO - REDETERMINATION OF SANCTION</w:t>
        <w:br/>
        <w:t>Decision No. 27123 5</w:t>
        <w:br/>
        <w:t>CONCENTRATION OPERATIONS 11</w:t>
        <w:br/>
        <w:t>C12155 - SNAM/TEP ENERGY SOLUTION</w:t>
        <w:br/>
        <w:t>Decision No. 27119 11</w:t>
        <w:br/>
        <w:t>C12156 - MEDITERRANEAN TUGS/GESMAR MARITIME MANAGEMENT</w:t>
        <w:br/>
        <w:t>Decision No. 27120 14</w:t>
        <w:br/>
        <w:t>C12157 - BNP PARIBAS SECURITIES SERVICES/BRANCH OF BANCO BPM</w:t>
        <w:br/>
        <w:t>Decision No. 27121 17</w:t>
        <w:br/>
        <w:t>C12158 - IVS ITALIA-D.A.E.M.-SELLMAT-METHODO/NEWCO</w:t>
        <w:br/>
        <w:t>Decision No. 27122 20</w:t>
        <w:br/>
        <w:t>ACTIVITIES OF REPORTING AND CONSULTATION 23</w:t>
        <w:br/>
        <w:t>AS1500 - DRAFT LEGISLATIVE DECREE FOR THE IMPLEMENTATION OF THE EU DIRECTIVE</w:t>
        <w:br/>
        <w:t>ON PACKAGE TRAVEL AND RELATED TOURIST SERVICES 23</w:t>
        <w:br/>
        <w:t>UNFAIR COMMERCIAL PRACTICES 26</w:t>
        <w:br/>
        <w:t>PS10809 - PAYMENT CARDS.COM - SWEEP PLUS 2016</w:t>
        <w:br/>
        <w:t>Decision No. 27114 26</w:t>
        <w:br/>
        <w:t>PS10998 - SWITCH POWER - UNREQUESTED ACTIVATIONS</w:t>
        <w:br/>
        <w:t>Decision No. 27130 39</w:t>
        <w:br/>
        <w:t>PS11004 - VODAFONE - FIBER OFFERS</w:t>
        <w:br/>
        <w:t>Decision No. 27134 43</w:t>
        <w:br/>
        <w:t>PS10403B - TECNOMASTER.BIZ - FAILURE TO DELIVER</w:t>
        <w:br/>
        <w:t>Decision No. 27135 60</w:t>
        <w:br/>
        <w:t>VARIOUS 64</w:t>
        <w:br/>
        <w:t>APPOINTMENT OF THE DATA PROTECTION OFFICER</w:t>
        <w:br/>
        <w:t>Decision No. 27131 64</w:t>
      </w:r>
    </w:p>
    <w:p>
      <w:r>
        <w:t>BULLETIN NO. 16 OF APRIL 30, 2018 5</w:t>
        <w:br/>
        <w:t>AGREEMENTS AND ABUSE OF DOMINANT POSITION</w:t>
        <w:br/>
        <w:t>I780B - CONCRETE MARKET IN VENETO - REDETERMINATION OF SANCTION</w:t>
        <w:br/>
        <w:t>Decision No. 27123</w:t>
        <w:br/>
        <w:t>THE ANTITRUST AUTHORITY</w:t>
        <w:br/>
        <w:t>IN ITS MEETING of April 11, 2018;</w:t>
        <w:br/>
        <w:t>HEARD the Rapporteur Dr. Gabriella Muscolo;</w:t>
        <w:br/>
        <w:t>HAVING REGARD to the law of October 10, 1990, No. 287;</w:t>
        <w:br/>
        <w:t>HAVING REGARD to its resolution of October 22, 2014, by which the Guidelines on the methods of</w:t>
        <w:br/>
        <w:t>application of the criteria for quantifying administrative monetary penalties imposed by the Authority in</w:t>
        <w:br/>
        <w:t>application of Article 15, paragraph 1, of Law No. 287/90 (hereinafter, briefly, Guidelines) were adopted;</w:t>
        <w:br/>
        <w:t>HAVING REGARD to its decision No. 25801 of December 22, 2015, closing the investigation I780, by which</w:t>
        <w:br/>
        <w:t>the Authority, among other things, found that the companies SuperBeton S.p.A., F.lli Romor S.r.l., F.lli De Pra S.p.A. and</w:t>
        <w:br/>
        <w:t>Intermodale S.r.l. had engaged in a restrictive agreement contrary to Article 2 of Law No. 287/90, concerning the coordination of the commercial behavior of selling concrete, in the relevant market constituted by the province of Belluno between February 2013 and January 2014;</w:t>
        <w:br/>
        <w:t>HAVING REGARD that for the established violation, due to the seriousness and duration of the infringement, an administrative monetary penalty of 546,075 euros was imposed on the company F.lli De Pra S.p.A.</w:t>
        <w:br/>
        <w:t>HAVING REGARD to the judgment of the Regional Administrative Court for Lazio (hereinafter, TAR) No. 11887 of December 1, 2017, which partially accepted the appeal filed by F.lli De Pra S.p.A. and, as a result, annulled decision No. 25801 of December 22, 2015, only in the part concerning the determination of the sanction;</w:t>
        <w:br/>
        <w:t>HAVING REGARD, in particular, to the reasoning of the cited judgment, whereby the TAR, in partial acceptance of the appeal filed and “in light of the provisions of Article 134, paragraph 1, letter c), of the c.p.a., which recognizes in this matter an extended jurisdiction to the administrative judge,” set the parameters for determining the sanction to be imposed on the appellant, so that it is up to the Authority to concretely quantify the amount of the same, conforming to the indications provided in the referred judgment;</w:t>
        <w:br/>
        <w:t>CONSIDERING what was deemed by the TAR regarding the circumstance that “the Authority, following the two extensions, referred to the turnover of the company resulting from the merger rather than that of the company deemed responsible for the anticompetitive activity both with reference to the failure to separate, from the total turnover, that attributable to Calcestruzzi Dolomite. [...] in light of the fact that the anticompetitive behavior sanctioned was found solely in the conduct of Calcestruzzi Dolomite, the mere fact that the merger occurred during 2014 did not justify the extension of the calculation to the entire turnover of De Pra, since, with reference to the pre-existing size of the latter company, the conditions for applying the sanction were not met. The Authority should therefore have considered, up to the date of the merger, only the turnover of Calcestruzzi Dolomite and, after that date, a percentage of the turnover of the company resulting from the incorporation, corresponding to that represented by the turnover</w:t>
      </w:r>
    </w:p>
    <w:p>
      <w:r>
        <w:rPr>
          <w:b/>
        </w:rPr>
        <w:t>[Pages 4–6]</w:t>
      </w:r>
    </w:p>
    <w:p>
      <w:r>
        <w:t>6 BULLETIN NO. 16 OF APRIL 30, 2018</w:t>
      </w:r>
    </w:p>
    <w:p>
      <w:r>
        <w:t>of Calcestruzzi at the time of the merger. Finally, this amount should have been referred to [...] the limit of 10% referred to in Article 15, paragraph 2, of Law No. 287/90. It follows the necessity for a recalculation of the penalty based on the criteria indicated [...] and that "the amount of the monetary penalty imposed by the AGCM should be further reduced by 60%, a percentage that will be deducted from the re-quantified amount in acceptance of the complaint examined above regarding the erroneous consideration of the entire turnover of De Pra."</w:t>
      </w:r>
    </w:p>
    <w:p>
      <w:r>
        <w:t>HAVING REGARD to its provision No. 26751 of September 20, 2017, with which the Authority initiated a procedure for the recalculation of the penalty to be imposed on the company F.lli De Pra S.p.A., in contradiction with the aforementioned company, in application of the ruling of the TAR No. 11887 of December 1, 2017;</w:t>
      </w:r>
    </w:p>
    <w:p>
      <w:r>
        <w:t>HAVING REGARD to all the acts of the procedure;</w:t>
      </w:r>
    </w:p>
    <w:p>
      <w:r>
        <w:t>CONSIDERED the following:</w:t>
      </w:r>
    </w:p>
    <w:p>
      <w:r>
        <w:t>I. THE PARTY</w:t>
      </w:r>
    </w:p>
    <w:p>
      <w:r>
        <w:t>1. F.lli De Pra S.p.A. (hereinafter, De Pra) is a company based in the province of Belluno - operating in the sector of marketing construction materials. F.lli De Pra is owned by various individuals, representing more than half of the share capital, members of the De Pra family. As of October 31, 2014, it merged with Calcestruzzi Dolomiti S.p.A. (hereinafter, Calcestruzzi Dolomiti), a company already operating in the sector of marketing construction materials.</w:t>
      </w:r>
    </w:p>
    <w:p>
      <w:r>
        <w:t>The initiation of procedure I780 initially involved Calcestruzzi Dolomiti S.p.A. as a party presumably involved in the unlawful conduct. With a resolution of May 20, 2015, the continuation of the procedure against De Pra, as the merging company, was then ordered.</w:t>
      </w:r>
    </w:p>
    <w:p>
      <w:r>
        <w:t>The turnover of De Pra, as of December 31, 2014, was approximately 12.8 million euros.</w:t>
      </w:r>
    </w:p>
    <w:p>
      <w:r>
        <w:t>II. THE PREVIOUS DECISION OF THE AUTHORITY</w:t>
      </w:r>
    </w:p>
    <w:p>
      <w:r>
        <w:t>2. With its resolution No. 25801 of December 22, 2015 (hereinafter also the sanctioning provision), the Authority found that the companies SuperBeton S.p.A., F.lli Romor S.r.l., De Pra S.p.A. and Intermodale S.r.l. had engaged in a restrictive agreement contrary to Article 2 of Law No. 287/90, aimed at coordinating the commercial behavior of concrete sales in the relevant market constituted by the province of Belluno between February 2013 and January 2014.</w:t>
      </w:r>
    </w:p>
    <w:p>
      <w:r>
        <w:t>3. With the provision, the Authority imposed monetary penalties on all parties involved in the procedure; the penalty imposed on De Pra was 546,075 (five hundred forty-six thousand seventy-five euros).</w:t>
      </w:r>
    </w:p>
    <w:p>
      <w:r>
        <w:t>4. For the purposes of quantifying the penalty, the criteria and calculation methods set out in the Guidelines on sanctions were adopted. The Authority then proceeded to quantify the base amount of the penalty, defined as a percentage of 15% of the value of sales made in the relevant market by the undertaking party to the procedure in the last year of participation in the infringement (hereinafter, specific turnover) and the duration of the infringement.</w:t>
      </w:r>
    </w:p>
    <w:p>
      <w:r>
        <w:t>5. The company was then granted mitigating factors for qualified cooperation (10%) and for the implementation of the antitrust compliance program (5%).</w:t>
      </w:r>
    </w:p>
    <w:p>
      <w:r>
        <w:t>6. The amount of the penalty thus calculated was found to be below the maximum limit set by Article 15 of Law No. 287/90, corresponding to 10% of the total turnover achieved by the company worldwide in the last financial year closed prior to the notification of the warning (point 29 of the Guidelines on sanctions), namely the turnover of De Pra for 2014 of 1,280,168.4 (one million two hundred eighty thousand one hundred sixty-eight point four euros).</w:t>
      </w:r>
    </w:p>
    <w:p>
      <w:r>
        <w:t>To this end, the fact that the merger of Calcestruzzi Dolomiti into De Pra occurred at the end of October 2014 meant that the statutory limit was calculated based on the total turnover of the merging company (De Pra) in 2014, the year preceding the notification of the warning.</w:t>
      </w:r>
    </w:p>
    <w:p>
      <w:r>
        <w:t>III. THE RULING OF THE TAR OF LAZIO</w:t>
      </w:r>
    </w:p>
    <w:p>
      <w:r>
        <w:t>7. With ruling No. 11887/2017, the TAR accepted De Pra's arguments and criticized the manner in which the Authority identified, on the one hand, the calculation base of the statutory limit (total turnover of De Pra, merging Calcestruzzi Dolomiti S.p.A.) and, on the other hand, the percentage of 15% as the gravity factor of the infringement, pursuant to point 12 of the Guidelines on sanctions.</w:t>
      </w:r>
    </w:p>
    <w:p>
      <w:r>
        <w:t>8. Regarding the first aspect, the TAR held that the statutory limit should be commensurate with the turnover of Calcestruzzi Dolomiti S.p.A. until the date of the merger (October 31, 2014) and for the subsequent period of that same year to: "a percentage of the turnover resulting from the incorporation corresponding to that represented by the turnover of Calcestruzzi at the time of the merger."</w:t>
      </w:r>
    </w:p>
    <w:p>
      <w:r>
        <w:t>9. Regarding the second aspect mentioned above, the TAR held that "It is [..] not applicable, in this case, the reference, as a minimum value to consider, to 15% of the turnover value, established by Article 12 of the guidelines with reference only to serious agreements, a hypothesis not occurring here in light of the above observations and also considering that the companies involved in the anticompetitive practice represented approximately 50% of the operators, so that the agreement among them was capable of only partially conditioning the performance of the relevant market" and further "In the case at hand, the effects of the agreement, also considering the partial market percentage represented by the operators considered part of the agreement, are not specifically investigated, neither with reference to price rigidity nor with reference to the assignment of contracts, giving, on the contrary, the provision an appreciable index of deviation from the agreed methods" "These are [..] elements that, without certainly being able to condition, for the reasons extensively illustrated above, the assessment to be carried out in the verification of the existence of the unlawful act, could not, however, be overlooked in the quantification of the penalty to be imposed."</w:t>
      </w:r>
    </w:p>
    <w:p>
      <w:r>
        <w:t>10. Finally, the administrative judge further indicated that "the amount of the monetary penalty [must] be further reduced by 60%, a percentage that will be deducted from the re-quantified amount in acceptance of the complaint examined above regarding the erroneous consideration of the entire turnover of De Pra."</w:t>
      </w:r>
    </w:p>
    <w:p>
      <w:r>
        <w:t>11. The administrative judge did not proceed to re-determine the penalty in the ruling adopted but merely stated the criteria, as described above, to which the Authority is called to apply.</w:t>
      </w:r>
    </w:p>
    <w:p>
      <w:r>
        <w:t>IV. THE INSTRUCTION ACTIVITY</w:t>
      </w:r>
    </w:p>
    <w:p>
      <w:r>
        <w:t>12. With provision No. 27013 of January 31, 2018, the Authority initiated a procedure for the recalculation of the penalty to be imposed on the company De Pra, in contradiction with the aforementioned company, in execution of the ruling of the TAR of Lazio No. 11887/2017. The company, on January 5, 2018, even before the initiation of the present procedure, submitted a memorandum regarding the quantification of the penalty to be recalculated based on the aforementioned ruling of the TAR.</w:t>
      </w:r>
    </w:p>
    <w:p>
      <w:r>
        <w:t>13. During the procedure I780B, De Pra had the opportunity to exercise its right of defense, having been heard in a hearing on March 9, 2018. The company also submitted an additional written memorandum with supporting documentation on March 26, 2018.</w:t>
      </w:r>
    </w:p>
    <w:p>
      <w:r>
        <w:t>V. THE ARGUMENTS OF THE PARTY</w:t>
      </w:r>
    </w:p>
    <w:p>
      <w:r>
        <w:t>14. According to De Pra, the ruling of the TAR would be clear in redefining a new statutory limit pursuant to Article 15 of Law No. 287/90 and in imposing on the Authority the obligation to calculate the 60% reduction with respect to the penalty recalculated based on the new statutory limit.</w:t>
      </w:r>
    </w:p>
    <w:p>
      <w:r>
        <w:t>15. In De Pra's view, the new statutory limit corresponds to 10% of the amount resulting from the sum of the turnover of Calcestruzzi Dolomiti for the first 10 months of 2014 of 3,685,040 (three million six hundred eighty-five thousand forty euros), up to the date of incorporation into De Pra, and the turnover corresponding to the business unit of De Pra related to the marketing of concrete for the months of November and December 2014 of 605,140 (six hundred five thousand one hundred forty euros). The new statutory limit, thus calculated, would amount to 429,018 (four hundred twenty-nine thousand eighteen euros) (10% of 4,290,180 four million two hundred ninety thousand one hundred eighty euros).</w:t>
      </w:r>
    </w:p>
    <w:p>
      <w:r>
        <w:t>16. The 60% reduction of the penalty resulting from the new calculation of the statutory limit would bring the amount of the penalty to 171,607 (one hundred seventy-one thousand six hundred seven euros), an amount from which, according to the company, the mitigating factors recognized by the Authority to De Pra during the instruction procedure I780, equal to 10% for qualified cooperation and 5% for the implementation of the antitrust compliance program, should be deducted.</w:t>
      </w:r>
    </w:p>
    <w:p>
      <w:r>
        <w:t>17. The final penalty, as recalculated, would therefore correspond to 145,866 (one hundred forty-five thousand eight hundred sixty-six euros). This amount, moreover, has already been fully paid by De Pra. The company should rather be refunded the additional sums paid in excess.</w:t>
      </w:r>
    </w:p>
    <w:p>
      <w:r>
        <w:t>VI. EVALUATIONS</w:t>
      </w:r>
    </w:p>
    <w:p>
      <w:r>
        <w:t>18. The TAR, with ruling No. 11887/2017, recalling its jurisdiction with extended cognizance to the merits, deemed it appropriate to accept De Pra's criticisms regarding the relevant turnover for the identification of the statutory limit (ex Article 15 of Law No. 287/90) and the percentage of gravity of the infringement referred to in point 12 of the Guidelines, which the Authority had identified at 15% as the agreement was defined as "very serious."</w:t>
      </w:r>
    </w:p>
    <w:p>
      <w:r>
        <w:t>19. With reference to the calculation of the statutory limit, in execution of the ruling of the TAR, it was provided to sum the turnover of Calcestruzzi Dolomiti for 2014 of 3,685,040 (three million six hundred eighty-five thousand forty euros) with the actual turnover of the business unit of De Pra related to the marketing of concrete of 605,140 (six hundred five thousand one hundred forty euros) for the months of November and December 2014, as indicated by the Party. The amount of the new statutory limit is therefore equal to 429,018 (four hundred twenty-nine thousand eighteen euros) (10% of 4,290,180 – (four million two hundred ninety thousand one hundred eighty euros).</w:t>
      </w:r>
    </w:p>
    <w:p>
      <w:r>
        <w:t>20. The administrative judge also provided that a 60% reduction should be applied to the imposed penalty to take into account the fact that the gravity factor used by the Authority (15%) was not applicable to the Belluno cartel, in which De Pra was involved, as the extent of the agreement (participation of operators representing 50% of the market) did not justify the qualification of the agreement as very serious, also due to the lack of specific investigation of the effects of the agreement in the final provision.</w:t>
      </w:r>
    </w:p>
    <w:p>
      <w:r>
        <w:rPr>
          <w:b/>
        </w:rPr>
        <w:t>[Pages 7–9]</w:t>
      </w:r>
    </w:p>
    <w:p>
      <w:r>
        <w:t>BULLETIN NO. 16 OF APRIL 30, 2018 9</w:t>
      </w:r>
    </w:p>
    <w:p>
      <w:r>
        <w:t>21. The TAR has, in this regard, established that "the amount of the monetary penalty [must] be further reduced by 60%, a percentage that will be deducted from the re-quantified amount in acceptance of the complaint examined above regarding the erroneous consideration of the entire turnover of De Pra." The judge has, therefore, intended to re-determine the penalty based on a 60% reduction to be applied to the amount corresponding to the new statutory limit.</w:t>
      </w:r>
    </w:p>
    <w:p>
      <w:r>
        <w:t>22. De Pra then requests that, subsequent to the 60% reduction, the reductions for mitigating circumstances recognized to the company in the final provision of proceeding I780 be applied. This request cannot be accepted since the TAR does not make any reference to it in the judgment and the re-determination proposed therein is of a lump-sum nature and has been applied as such.</w:t>
      </w:r>
    </w:p>
    <w:p>
      <w:r>
        <w:t>24. Therefore, the following proceeds, in compliance with the aforementioned TAR judgment and based on what has been indicated above, to report in a table the new measurement of the penalty imposed by provision no. 25801 of December 22, 2015, against De Pra.</w:t>
      </w:r>
    </w:p>
    <w:p>
      <w:r>
        <w:t>Turnover Calcestruzzi Dolomiti 1/01/2014 - 31/10/2014 3,685,040€</w:t>
        <w:br/>
        <w:t>Turnover concrete De Pra November/December 2014 605,140€</w:t>
        <w:br/>
        <w:t>Total turnover 2014 re-determined based on TAR indication</w:t>
        <w:br/>
        <w:t>(turnover Calcestruzzi Dolomiti until October 31, 2014 + Turnover concrete De Pra November/December 2014) 4,290,180€</w:t>
        <w:br/>
        <w:t>New statutory limit (10% of the re-determined total turnover) 429,018€</w:t>
        <w:br/>
        <w:t>Final re-determined penalty (60% reduction on the amount of the "new" statutory limit) 171,607€</w:t>
      </w:r>
    </w:p>
    <w:p>
      <w:r>
        <w:t>26. In application of the aforementioned quantification parameters defined by the TAR judgment of December 1, 2017, no. 11887, the final amount of the penalty to be imposed on De Pra for the conduct established by provision no. 25801 of December 22, 2015, is equal to 171,607 (one hundred seventy-one thousand six hundred seven euros).</w:t>
      </w:r>
    </w:p>
    <w:p>
      <w:r>
        <w:t>All of the above having been stated and considered;</w:t>
      </w:r>
    </w:p>
    <w:p>
      <w:r>
        <w:t>CONSIDERED, therefore, that it is necessary to proceed, in compliance with the aforementioned TAR judgment, to re-determine the penalty to be imposed on F.lli De Pra S.p.A. for the violation already established in the amount of 171,607 euros (one hundred seventy-one thousand six hundred seven euros);</w:t>
      </w:r>
    </w:p>
    <w:p>
      <w:r>
        <w:t>CONSIDERED that the aforementioned re-determination of the penalty does not constitute acquiescence and, therefore, all determinations by the Authority remain unaffected as a result of the appeal against the aforementioned TAR judgment of Lazio no. 11887/2017, including the request for payment of any additional amounts due as a penalty and increases;</w:t>
      </w:r>
    </w:p>
    <w:p>
      <w:r>
        <w:t>10 BULLETIN NO. 16 OF APRIL 30, 2018</w:t>
      </w:r>
    </w:p>
    <w:p>
      <w:r>
        <w:t>RESOLUTION</w:t>
      </w:r>
    </w:p>
    <w:p>
      <w:r>
        <w:t>that the administrative monetary penalty to be applied to the company F.lli De Pra S.p.A. for the behavior attributed to it in the Authority's provision no. 25801 of December 22, 2015, is quantified at 171,607 (one hundred seventy-one thousand six hundred seven euros).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provision itself.</w:t>
      </w:r>
    </w:p>
    <w:p>
      <w:r>
        <w:t>This provision will be notified to the interested party and published in the Bulletin of the Authority for Competition and Market.</w:t>
      </w:r>
    </w:p>
    <w:p>
      <w:r>
        <w:t>THE SECRETARY GENERAL THE PRESIDENT</w:t>
      </w:r>
    </w:p>
    <w:p>
      <w:r>
        <w:t>Roberto Chieppa Giovanni Pitruzzella</w:t>
      </w:r>
    </w:p>
    <w:p>
      <w:r>
        <w:t>BULLETIN NO. 16 OF APRIL 30, 2018 11</w:t>
      </w:r>
    </w:p>
    <w:p>
      <w:r>
        <w:t>CONCENTRATION OPERATIONS</w:t>
      </w:r>
    </w:p>
    <w:p>
      <w:r>
        <w:t>C12155 - SNAM/TEP ENERGY SOLUTION</w:t>
      </w:r>
    </w:p>
    <w:p>
      <w:r>
        <w:t>Provision no. 27119</w:t>
      </w:r>
    </w:p>
    <w:p>
      <w:r>
        <w:t>THE AUTHORITY FOR COMPETITION AND MARKET</w:t>
      </w:r>
    </w:p>
    <w:p>
      <w:r>
        <w:t>IN ITS MEETING of April 11, 2018;</w:t>
      </w:r>
    </w:p>
    <w:p>
      <w:r>
        <w:t>HEARD the Rapporteur Dr. Gabriella Muscolo;</w:t>
      </w:r>
    </w:p>
    <w:p>
      <w:r>
        <w:t>VIEWED Law No. 287 of October 10, 1990;</w:t>
      </w:r>
    </w:p>
    <w:p>
      <w:r>
        <w:t>VIEWED the D.P.R. No. 217 of April 30, 1998;</w:t>
      </w:r>
    </w:p>
    <w:p>
      <w:r>
        <w:t>VIEWED the communication from Snam S.p.A., received on March 19, 2018;</w:t>
      </w:r>
    </w:p>
    <w:p>
      <w:r>
        <w:t>VIEWED the documentation on file;</w:t>
      </w:r>
    </w:p>
    <w:p>
      <w:r>
        <w:t>CONSIDERED the following:</w:t>
      </w:r>
    </w:p>
    <w:p>
      <w:r>
        <w:t>I. THE PARTIES</w:t>
      </w:r>
    </w:p>
    <w:p>
      <w:r>
        <w:t>1. Snam S.p.A. (hereinafter, "Snam") is a company active in the transportation, storage, and regasification of natural gas, controlled by the Cassa Depositi e Prestiti Group (hereinafter, "CDP"). Snam, also through wholly-owned subsidiaries, manages the national transportation network, nine storage sites, and a regasification terminal. In particular, Snam as Corporate holds - among others - total stakes in four operating companies (Snam Rete Gas S.p.A., Infrastrutture Trasporto Gas S.p.A., Stogit S.p.A., and Gnl Italia S.p.A.) and a minority stake inter alia in the company Adriatic LNG S.p.A., focused on the management and development of the businesses of transportation, dispatching, storage, and regasification of natural gas. In relation to its subsidiaries, Snam performs a role of strategic direction, management, coordination, and control and provides services to them.</w:t>
      </w:r>
    </w:p>
    <w:p>
      <w:r>
        <w:t>The CDP Group achieved a turnover in Italy in 2016 of approximately 15.5 billion euros.</w:t>
      </w:r>
    </w:p>
    <w:p>
      <w:r>
        <w:t>2. Tep Energy Solution S.r.l. (hereinafter, "Tep") is an ESCo ("Energy Service Company") that operates in the integrated energy services sector, through the design, implementation, and provision of services and systems for energy efficiency as well as consulting on energy efficiency and savings, primarily through projects aimed at obtaining Energy Efficiency Certificates (hereinafter, "TEE," also known as White Certificates), accredited by the Energy Services Manager ("GSE") S.p.A.</w:t>
      </w:r>
    </w:p>
    <w:p>
      <w:r>
        <w:t>Tep achieved a turnover in Italy in 2016 of approximately 37.2 million euros.</w:t>
      </w:r>
    </w:p>
    <w:p>
      <w:r>
        <w:rPr>
          <w:b/>
        </w:rPr>
        <w:t>[Pages 10–12]</w:t>
      </w:r>
    </w:p>
    <w:p>
      <w:r>
        <w:t>BULLETIN NO. 16 OF APRIL 30, 2018</w:t>
      </w:r>
    </w:p>
    <w:p>
      <w:r>
        <w:t>II. DESCRIPTION OF THE TRANSACTION</w:t>
      </w:r>
    </w:p>
    <w:p>
      <w:r>
        <w:t>3. The notification under examination concerns the acquisition by Snam S.p.A. (for itself or for a 100% subsidiary, hereinafter for convenience referred to as "Snam") of an 82% stake in the share capital of Tep Energy Solution S.r.l., from certain individual shareholders of the latter, thus becoming the majority shareholder. The transaction is accompanied by a non-compete agreement, for a period of 18 months, during which the parties exiting the corporate structure of Tep and any company controlled by them shall not, directly or indirectly, on their own behalf or on behalf of third parties, for consideration or free of charge, engage in activities in Italy that compete with the relevant activities of the company.</w:t>
      </w:r>
    </w:p>
    <w:p>
      <w:r>
        <w:t>III. QUALIFICATION OF THE TRANSACTION</w:t>
      </w:r>
    </w:p>
    <w:p>
      <w:r>
        <w:t>4. The notified transaction, as it involves the acquisition of control of a company, constitutes a concentration pursuant to Article 5, paragraph 1 letter b), of Law No. 287/90. It falls within the scope of application of Law No. 287/90 as the conditions of Article 1 of EC Regulation No. 139/04 are not met, and it is subject to the obligation of prior notification provided for by Article 16, paragraph 1, of the same law as the total turnover achieved, in the last financial year at the national level, by the group of companies involved was greater than 495 million euros and as the total turnover achieved, in the last financial year at the national level, by at least two of the companies involved was greater than 30 million euros.</w:t>
      </w:r>
    </w:p>
    <w:p>
      <w:r>
        <w:t>5. The non-compete agreement to which the exiting shareholders of Tep commit can be configured as an ancillary restriction to the concentration transaction.</w:t>
      </w:r>
    </w:p>
    <w:p>
      <w:r>
        <w:t>IV. ASSESSMENT OF THE CONCENTRATION</w:t>
      </w:r>
    </w:p>
    <w:p>
      <w:r>
        <w:t>The relevant market</w:t>
      </w:r>
    </w:p>
    <w:p>
      <w:r>
        <w:t>6. Considering the main activity of the company subject to acquisition, in terms of product, the market for consulting and design services in the field of energy efficiency comes to the fore. The services offered are aimed at domestic users, businesses, and public entities and involve a range of activities, including technical design, financing of energy interventions, monitoring and control of results achieved in terms of energy savings, etc. Such interventions, certified by the GSE, give rise to Energy Efficiency Certificates that attest to the achievement of energy savings through the application of efficient technologies and systems. In particular, the EECs are issued by the Energy Market Manager (“GME”) S.p.A. in favor of both ESCo (so-called “voluntary subjects”), electricity and natural gas distribution companies with more than 50,000 customers (so-called “obligated subjects”), and companies controlled by these latter, which can trade such certificates both through the market organized by the GME and through bilateral contracts. In this market, Snam does not operate, but has clarified for completeness that at the Group level in 2018, two acquisitions of companies operating in the relevant market were completed. In particular, in February 2018, Terna Plus S.r.l., a company of the CDP Group, acquired Avvenia The Energy Innovator S.r.l. (hereinafter, “Avvenia”), and in March 2018, Italgas, also controlled by CDP (of which Snam holds a minority stake of 13.50%), acquired Seaside S.r.l. (hereinafter, “Seaside”), both companies operating in the EEC market.</w:t>
      </w:r>
    </w:p>
    <w:p>
      <w:r>
        <w:t>7. As for the geographical dimension, the market for consulting and design services in the field of energy efficiency aimed at obtaining EECs can be considered national in scope, as there are no reciprocity agreements between Italy and other European countries regarding this energy efficiency support mechanism.</w:t>
      </w:r>
    </w:p>
    <w:p>
      <w:r>
        <w:t>Effects of the transaction</w:t>
      </w:r>
    </w:p>
    <w:p>
      <w:r>
        <w:t>8. According to the estimate produced by the Party, in 2017, Tep's market share in terms of EECs issued and traded was equal to or slightly below [1-5%]*, Avvenia's was 1.5% in terms of EECs issued and below 1% in terms of EECs traded, while Seaside recorded a share in terms of both EECs issued and traded below 1%.</w:t>
      </w:r>
    </w:p>
    <w:p>
      <w:r>
        <w:t>9. In light of the above considerations, the effects of the transaction in the relevant market of consulting and design services for energy efficiency interventions appear marginal.</w:t>
      </w:r>
    </w:p>
    <w:p>
      <w:r>
        <w:t>THEREFORE, IT IS CONSIDERED that the transaction under examination does not entail, pursuant to Article 6, paragraph 1, of Law No. 287/90, the establishment or strengthening of a dominant position in the relevant markets, such as to eliminate or substantially and durably reduce competition;</w:t>
      </w:r>
    </w:p>
    <w:p>
      <w:r>
        <w:t>IT IS ALSO CONSIDERED that the non-compete obligations between the parties are ancillary to this transaction only to the extent described and that the Authority reserves the right to assess, where the conditions exist, the aforementioned agreements that exceed the indicated limits;</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Competition and Market Authority.</w:t>
      </w:r>
    </w:p>
    <w:p>
      <w:r>
        <w:t>THE SECRETARY GENERAL THE PRESIDENT</w:t>
      </w:r>
    </w:p>
    <w:p>
      <w:r>
        <w:t>Roberto Chieppa Giovanni Pitruzzella</w:t>
      </w:r>
    </w:p>
    <w:p>
      <w:r>
        <w:t>* In this version, some data are omitted, as elements of confidentiality or secrecy of the information were deemed to exist.</w:t>
      </w:r>
    </w:p>
    <w:p>
      <w:r>
        <w:t>C12156 - MEDITERRANEAN TUGS/GESMAR MARITIME MANAGEMENT</w:t>
      </w:r>
    </w:p>
    <w:p>
      <w:r>
        <w:t>Provision No. 27120</w:t>
      </w:r>
    </w:p>
    <w:p>
      <w:r>
        <w:t>THE COMPETITION AND MARKET AUTHORITY</w:t>
      </w:r>
    </w:p>
    <w:p>
      <w:r>
        <w:t>IN ITS MEETING of April 11, 2018;</w:t>
      </w:r>
    </w:p>
    <w:p>
      <w:r>
        <w:t>HEARD the Rapporteur Dr. Gabriella Muscolo;</w:t>
      </w:r>
    </w:p>
    <w:p>
      <w:r>
        <w:t>HAVING REGARD to Law No. 287 of October 10, 1990;</w:t>
      </w:r>
    </w:p>
    <w:p>
      <w:r>
        <w:t>HAVING REGARD to the Presidential Decree No. 217 of April 30, 1998;</w:t>
      </w:r>
    </w:p>
    <w:p>
      <w:r>
        <w:t>HAVING REGARD to the communication from the company Rimorchiatori Mediterranei S.p.A., received on March 20, 2018;</w:t>
      </w:r>
    </w:p>
    <w:p>
      <w:r>
        <w:t>CONSIDERING the following:</w:t>
      </w:r>
    </w:p>
    <w:p>
      <w:r>
        <w:t>I. THE PARTIES</w:t>
      </w:r>
    </w:p>
    <w:p>
      <w:r>
        <w:t>1. Rimorchiatori Mediterranei S.p.A. (RM) is a jointly controlled company by Rimorchiatori Riuniti S.p.A., the holding company of the homonymous group, and Deutsche Alternative Asset Management (Global) Limited, part of the real estate investment management division of the banking and financial group Deutsche Bank AG. RM, in particular through its subsidiaries, offers port towing services and, to a marginal extent, auxiliary services and holds concessions in the ports of Genoa, Salerno, Ravenna, Ancona, Vasto, Ortona, Pescara, Trieste, Augusta, Syracuse, Catania, Pozzallo, Termoli, as well as in Malta, Colombia (at the Santa Marta terminal), and Norway (at the Florø terminal). The consolidated turnover achieved in 2016 worldwide by RM, including the turnover of Rimorchiatori Riuniti S.p.A. and the Deutsche Bank group, was approximately [40-50] billion euros, of which approximately [1-2] billion euros for sales in Italy.</w:t>
      </w:r>
    </w:p>
    <w:p>
      <w:r>
        <w:t>2. Gesmar Gestioni Marittime S.p.A. (Gesmar) is a jointly controlled company by RM and Fratelli Vitiello S.r.l. (Fratelli Vitiello), as both RM and Fratelli Vitiello hold a 50% stake in the share capital and have signed a specific shareholders' agreement, which provides, among other things, that the Board of Directors (CdA) of Gesmar, which is responsible for strategic decisions, is composed of an equal number of members, appointed equally by RM and Fratelli Vitiello, and that decisions are made by an absolute majority of the members of the CdA. Gesmar, also through its subsidiaries, carries out maritime towing activities with its own and third-party vessels, provides ancillary services including offshore towing and terminal towing, salvage activities, and marine pollution control, and holds concessions in the ports of Ravenna, Ancona, Vasto, Ortona, Pescara, Trieste, and Termoli. In 2016, Gesmar achieved a consolidated turnover worldwide of approximately [30-100] million euros, of which approximately [30-100] million euros for sales in Italy.</w:t>
      </w:r>
    </w:p>
    <w:p>
      <w:r>
        <w:t>1 See the Authority's provision of November 29, 2017, case C12132 Deutsche Alternative Asset Management-Rimorchiatori Riuniti/Rimorchiatori Mediterranei.</w:t>
      </w:r>
    </w:p>
    <w:p>
      <w:r>
        <w:t>2 See the Commission's consolidated communication on the criteria for jurisdiction under Regulation (EC) No. 139/2014 of the Council concerning the control of concentrations between undertakings, § 182, which states that "when two or more companies jointly control the undertaking concerned [...] the turnover of all the companies involved must be included."</w:t>
      </w:r>
    </w:p>
    <w:p>
      <w:r>
        <w:t>3 In this version, some data are omitted, as elements of confidentiality or secrecy of the information were deemed to exist.</w:t>
      </w:r>
    </w:p>
    <w:p>
      <w:r>
        <w:rPr>
          <w:b/>
        </w:rPr>
        <w:t>[Pages 13–15]</w:t>
      </w:r>
    </w:p>
    <w:p>
      <w:r>
        <w:t>BULLETIN NO. 16 OF APRIL 30, 2018 15</w:t>
      </w:r>
    </w:p>
    <w:p>
      <w:r>
        <w:t>II. DESCRIPTION OF THE TRANSACTION</w:t>
      </w:r>
    </w:p>
    <w:p>
      <w:r>
        <w:t>3. The notified concentration transaction consists of the acquisition by RM of exclusive control of Gesmar, currently under the joint control of RM and Fratelli Vitiello, to be realized through the purchase of 50% of the share capital currently held by Fratelli Vitiello; once the transaction is completed, the shareholders' agreement signed between RM and Fratelli Vitiello will be terminated.</w:t>
      </w:r>
    </w:p>
    <w:p>
      <w:r>
        <w:t>4. The contract provides for a non-compete obligation lasting three years on the part of the seller (Fratelli Vitiello and two partners), under which they commit, among other things, not to engage in activities that compete with those carried out by Gesmar or to acquire stakes in companies that provide port towing services.</w:t>
      </w:r>
    </w:p>
    <w:p>
      <w:r>
        <w:t>III. QUALIFICATION OF THE TRANSACTION</w:t>
      </w:r>
    </w:p>
    <w:p>
      <w:r>
        <w:t>5. The transaction involves the transition from joint control to exclusive control of a company and, therefore, constitutes a concentration pursuant to Article 5, paragraph 1, letter b), of Law No. 287/90. It falls within the scope of application of Law No. 287/90, as the conditions set out in Article 1, paragraphs 2 and 3 of EC Regulation No. 139/04 do not apply, and it is subject to the obligation of prior notification provided for by Article 16, paragraph 1, of the same law, as the total turnover achieved in the last financial year at the national level by the group of companies involved was over 495 million euros and that of the company whose acquisition is planned is over 30 million euros.</w:t>
      </w:r>
    </w:p>
    <w:p>
      <w:r>
        <w:t>6. The aforementioned non-compete agreement constitutes a restriction directly connected and necessary to the concentration, as it appears strictly functional to safeguarding the value of the acquired company, including goodwill, provided that it does not exceed a period of two years from the date of completion of the transaction, and to the extent that the geographical scope of the non-compete obligation is limited to the area where the seller provided the services in question prior to the transfer.</w:t>
      </w:r>
    </w:p>
    <w:p>
      <w:r>
        <w:t>IV. EVALUATION OF THE TRANSACTION</w:t>
      </w:r>
    </w:p>
    <w:p>
      <w:r>
        <w:t>7. The concentration transaction concerns the offering of technical-nautical services and ancillary services, as both companies are primarily active in providing port towing services - one of the so-called technical-nautical services provided and regulated by Royal Decree No. 327/1942 and Law No. 84/1994 - and other ancillary services, in various Italian ports and, in the case of the acquiring company, also foreign ports.</w:t>
      </w:r>
    </w:p>
    <w:p>
      <w:r>
        <w:t>Pursuant to Article 14, paragraph 1-bis, of Law No. 84/1994, port towing service is a service of general interest and access to the market is subject to obtaining a concession.</w:t>
      </w:r>
    </w:p>
    <w:p>
      <w:r>
        <w:t>8. For the purposes of this transaction, it is not necessary to arrive at a more precise definition of the relevant markets as the transaction in question solely determines the modification of the control relationships of Gesmar, through the transition from an original situation of joint control by RM and Fratelli Vitiello to a situation of exclusive control by RM.</w:t>
      </w:r>
    </w:p>
    <w:p>
      <w:r>
        <w:t>9. Consequently, the transaction in question does not appear to be likely to have a significant impact on the competitive balance of the relevant markets.</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CONSIDERING, also, that the non-compete agreement is accessory to this transaction only within the aforementioned temporal and geographical limits and that the Authority reserves the right to evaluate, where the conditions exist, the aforementioned agreement if it is realized beyond those limits;</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Competition and Market Authority.</w:t>
      </w:r>
    </w:p>
    <w:p>
      <w:r>
        <w:t>THE SECRETARY GENERAL THE PRESIDENT</w:t>
      </w:r>
    </w:p>
    <w:p>
      <w:r>
        <w:t>Roberto Chieppa Giovanni Pitruzzella</w:t>
      </w:r>
    </w:p>
    <w:p>
      <w:r>
        <w:t>BULLETIN NO. 16 OF APRIL 30, 2018 17</w:t>
      </w:r>
    </w:p>
    <w:p>
      <w:r>
        <w:t>C12157 - BNP PARIBAS SECURITIES SERVICES/BRANCH OF BANCO BPM</w:t>
      </w:r>
    </w:p>
    <w:p>
      <w:r>
        <w:t>Provision No. 27121</w:t>
      </w:r>
    </w:p>
    <w:p>
      <w:r>
        <w:t>THE COMPETITION AND MARKET AUTHORITY</w:t>
      </w:r>
    </w:p>
    <w:p>
      <w:r>
        <w:t>IN ITS MEETING of April 11, 2018;</w:t>
      </w:r>
    </w:p>
    <w:p>
      <w:r>
        <w:t>HEARD the Rapporteur Dr. Gabriella Muscolo;</w:t>
      </w:r>
    </w:p>
    <w:p>
      <w:r>
        <w:t>HAVING REGARD to Law No. 287 of October 10, 1990;</w:t>
      </w:r>
    </w:p>
    <w:p>
      <w:r>
        <w:t>HAVING REGARD to the communication from BNP Paribas Securities Services S.c.a., received on March 22, 2018;</w:t>
      </w:r>
    </w:p>
    <w:p>
      <w:r>
        <w:t>CONSIDERING the following:</w:t>
      </w:r>
    </w:p>
    <w:p>
      <w:r>
        <w:t>I. THE PARTIES</w:t>
      </w:r>
    </w:p>
    <w:p>
      <w:r>
        <w:t>1. BNP Paribas Securities Services S.C.A. (hereinafter also referred to as BNP2S) is part of the BNP Paribas group, active in providing banking and financial services. BNP2S provides banking and financial services and is authorized to carry out deposit, custody, and administration activities for securities and financial instruments. In Italy, BNP2S is also authorized to provide depositary bank services and correspondent bank services for mutual funds and SICAVs (Investment Companies with Variable Capital), which fall under the Collective Investment Undertakings – CIUs. BNP2S also offers liquidity management services for its clients.</w:t>
      </w:r>
    </w:p>
    <w:p>
      <w:r>
        <w:t>In 2016, the national turnover achieved by the BNP Paribas group, calculated pursuant to Article 16, paragraph 2, of Law No. 287/90 (one-tenth of the total assets of the balance sheet, excluding off-balance sheet accounts), amounted to approximately [10-20]1 billion euros.</w:t>
      </w:r>
    </w:p>
    <w:p>
      <w:r>
        <w:t>2. The subject of acquisition is the business branch of Banco BPM S.p.A. (hereinafter also referred to as the BPM Branch) active in providing depositary bank services, administration and accounting services concerning Collective Investment Undertakings (CIUs), including pension funds distributed by the network of Banco BPM S.p.A..</w:t>
      </w:r>
    </w:p>
    <w:p>
      <w:r>
        <w:t>The national turnover achieved by the BPM Branch in the last financial year, calculated pursuant to Article 16, paragraph 2, of Law No. 287/90 (one-tenth of the total assets of the balance sheet, excluding off-balance sheet accounts), amounted to approximately [100-495] million euros.</w:t>
      </w:r>
    </w:p>
    <w:p>
      <w:r>
        <w:t>II. DESCRIPTION OF THE TRANSACTION</w:t>
      </w:r>
    </w:p>
    <w:p>
      <w:r>
        <w:t>3. The transaction in question consists of the acquisition by BNP2S of exclusive control of the BPM Branch, which includes, in addition to some employment contracts, the agreements entered into concerning the provision of depositary bank services and fund administration, custody and administrative management services, securities lending and payment delegation, and the agreements of the payment agent.</w:t>
      </w:r>
    </w:p>
    <w:p>
      <w:r>
        <w:t>4. A non-compete agreement is also provided for, lasting 5 years, under which the seller commits not to provide depositary bank services to CIUs active in Italy.</w:t>
      </w:r>
    </w:p>
    <w:p>
      <w:r>
        <w:rPr>
          <w:b/>
        </w:rPr>
        <w:t>[Pages 16–18]</w:t>
      </w:r>
    </w:p>
    <w:p>
      <w:r>
        <w:t>18 BULLETIN NO. 16 OF APRIL 30, 2018</w:t>
      </w:r>
    </w:p>
    <w:p>
      <w:r>
        <w:t>III. QUALIFICATION OF THE TRANSACTION</w:t>
      </w:r>
    </w:p>
    <w:p>
      <w:r>
        <w:t>5. The notified transaction,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established by Article 16, paragraph 1, of the same law (as amended by Article 1, paragraph 177, of Law No. 124 of August 4, 2017, in force since August 29, 2017), as the total turnover, calculated pursuant to Article 16, paragraph 2, of Law No. 287/90, achieved in the last financial year at the national level by the group of companies involved exceeded 495 million euros, and the turnover achieved individually, at the national level, by at least two of them exceeds 30 million euros.</w:t>
      </w:r>
    </w:p>
    <w:p>
      <w:r>
        <w:t>6. The non-compete agreement described above can be qualified as ancillary to the notified concentration to the extent that it contains restrictions directly related to the execution of the transaction and necessary for it. In particular, in this case, the commitments undertaken by the seller benefit the buyer and respond to the need to ensure the transfer of the actual value of the business unit, provided that such agreement has a limited duration in time, not exceeding two years, and that such agreement is limited in terms of goods and geographically to the activities of the acquired business unit.</w:t>
      </w:r>
    </w:p>
    <w:p>
      <w:r>
        <w:t>IV. EVALUATION</w:t>
      </w:r>
    </w:p>
    <w:p>
      <w:r>
        <w:t>7. The transaction in question concerns the services of depositary banking. Under current regulations, the depositary bank is the entity to which the custody of financial instruments and liquid assets of a mutual fund must be entrusted. The depositary bank, therefore, provides services consisting of the custody and administrative management of the shares of the OICRs and the assets of the fund itself, as well as additional specific services in favor of the same OICRs. As previously noted in the Authority's precedents, depositary banking services partially overlap with those provided in the context of the custody and administrative management of financial instruments (the so-called custody services). The depositary bank also provides custody and administrative management services for pension fund resources. Moreover, due to both the specificities of the services offered and the peculiarities of the demand, depositary banking services can identify a specific product market.</w:t>
      </w:r>
    </w:p>
    <w:p>
      <w:r>
        <w:t>Regarding the geographical dimension of the market in question, it can be confined within national borders, due to the regulatory specificities of individual States.</w:t>
      </w:r>
    </w:p>
    <w:p>
      <w:r>
        <w:t>8. Based on the information provided by the parties, in the Italian market for depositary banking services, BNP2S held a market share of [25-30%] in 2017, while the market share attributable to the BMP Branch subject to acquisition was approximately [5-10%] during the same period; following the transaction, the market share attributable to BNP2S would be approximately [30-35%]. It is noteworthy that qualified competitors are present in the market, such as State Street Bank S.p.A. with a share of approximately [30-35%], Société Générale Securities Services S.p.A. with a share of approximately [10-15%], and Nexi S.p.A. which holds about [10-15%].</w:t>
      </w:r>
    </w:p>
    <w:p>
      <w:r>
        <w:t>Furthermore, the demand for depositary banking services consists of a large number of Asset Management Companies (SGR), which represent non-captive financial operators with respect to depositary banks, highly specialized and which, under current regulations, cannot be subject to exclusive agreements.</w:t>
      </w:r>
    </w:p>
    <w:p>
      <w:r>
        <w:t>Therefore, considering jointly the magnitude of the increase in market shares post-merger, the presence of qualified competitors active even at a supranational level, as well as the characteristics of the demand, depositary banking services, and the sector regulations, it is not believed that the concentration in question is likely to significantly alter the competitive structure of the relevant markets analyzed.</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CONSIDERING, also, that the non-compete agreement entered into between the parties is ancillary to this transaction within the limits described above and that the Authority reserves the right to evaluate, where the conditions exist, the aforementioned agreement that extends beyond the time and material scope indicated therein;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Roberto Chieppa Giovanni Pitruzzella</w:t>
      </w:r>
    </w:p>
    <w:p>
      <w:r>
        <w:rPr>
          <w:b/>
        </w:rPr>
        <w:t>[Pages 19–21]</w:t>
      </w:r>
    </w:p>
    <w:p>
      <w:r>
        <w:t>BULLETIN NO. 16 OF APRIL 30, 2018 21</w:t>
      </w:r>
    </w:p>
    <w:p>
      <w:r>
        <w:t>The total revenue generated in 2016, in Italy, by In-Pao, also through Sellmat, amounted to 34.8 million euros.</w:t>
      </w:r>
    </w:p>
    <w:p>
      <w:r>
        <w:t>4. Methodo S.r.l. (hereinafter, Methodo) is a company active in Italy, both directly and through its subsidiary Avet S.r.l., in the provision of vending services (in the OCS segment with systems different from the LP Nespresso). The share capital of Methodo is held 55% by En.daxi S.r.l.; the remaining share capital is held by In-Pao and Serafin with equal shares of 15% and by some individuals.</w:t>
      </w:r>
    </w:p>
    <w:p>
      <w:r>
        <w:t>The total revenue generated in 2016, in Italy, by En.daxi S.r.l., also through Methodo, amounted to 14.3 million euros.</w:t>
      </w:r>
    </w:p>
    <w:p>
      <w:r>
        <w:t>II. DESCRIPTION OF THE TRANSACTION</w:t>
      </w:r>
    </w:p>
    <w:p>
      <w:r>
        <w:t>5. The notified transaction consists of the establishment of a joint venture (hereinafter, Newco) to which IVS, DAEM, Sellmat, and Methodo (hereinafter the Parties) will contribute the business branches related to their distribution activities of OCS machines and pods, including all tangible and intangible assets related to the activity and contracts with customers; IVS will contribute the entire business related to N-Uno to Newco.</w:t>
      </w:r>
    </w:p>
    <w:p>
      <w:r>
        <w:t>6. Following the transaction, the share capital of Newco will be held 70% by IVS, 16% by DAEM, 8% by Sellmat, and 6% by Methodo.</w:t>
      </w:r>
    </w:p>
    <w:p>
      <w:r>
        <w:t>7. Through the transaction, the Parties intend to create a joint venture established until December 31, 2050, dedicated exclusively to the sale, marketing, and management of vending machines and OCS products of the Professional Nespresso line. To this end, the Parties undertake – for themselves and for the companies of their group – to contribute and transfer to Newco the OCS LP Nespresso business branches “that are and will be their property,” including the related contracts with customers (recital F and Article 2.1.ii of the Framework Agreement).</w:t>
      </w:r>
    </w:p>
    <w:p>
      <w:r>
        <w:t>III. QUALIFICATION OF THE TRANSACTION</w:t>
      </w:r>
    </w:p>
    <w:p>
      <w:r>
        <w:t>8. Due to the structure of the transaction and the provisions of the Framework Agreement, following the transaction, IVS, DAEM, Sellmat, and Methodo (hereinafter, collectively, parent companies) will be present in the same market where the joint venture will operate, namely that of managing automatic and semi-automatic vending machines for food and beverages (so-called vending).</w:t>
      </w:r>
    </w:p>
    <w:p>
      <w:r>
        <w:t>9. The parent companies, on one hand, will continue to operate, as independent companies, in the vending market, both regarding the provision of the management service of automatic vending machines and regarding the management service of semi-automatic OCS vending machines (different from those LP Nespresso); on the other hand, through Newco, they will be jointly active in offering the management service of semi-automatic OCS vending machines (specifically regarding LP Nespresso products).</w:t>
      </w:r>
    </w:p>
    <w:p>
      <w:r>
        <w:t>10. The presence of the parent companies in the same market where the joint venture will operate, together with the described provisions of the Framework Agreement regarding the relationships between Newco and the parent companies, leads to the conclusion that the transaction in question has as its main object and/or effect the coordination of the competitive behavior of the companies IVS, DAEM, Sellmat, and Methodo in the vending market and cannot be qualified as a concentration operation.</w:t>
      </w:r>
    </w:p>
    <w:p>
      <w:r>
        <w:t>11. Moreover, the transaction would not have been subject to the obligation of prior notification under Article 16, paragraph 1, of Law No. 287/90, as the requirement for total revenue exceeding 495 million euros generated in the last financial year at the national level by the group of companies involved is not satisfied.</w:t>
      </w:r>
    </w:p>
    <w:p>
      <w:r>
        <w:t>CONSIDERING, therefore, that the notified transaction, integrating a case in which cooperative aspects prevail, pursuant to Article 5, paragraph 3, of Law No. 287/90, does not constitute a concentration pursuant to Article 5, paragraph 1, of the aforementioned Law No. 287/90;</w:t>
      </w:r>
    </w:p>
    <w:p>
      <w:r>
        <w:t>CONSIDERING that any assessment by the Authority remains unaffected, pursuant to Article 2 of Law No. 287/90 and Article 101 TFEU, regarding the establishment of the joint venture;</w:t>
      </w:r>
    </w:p>
    <w:p>
      <w:r>
        <w:t>CONSIDERING also that the notified transaction would not have been subject to the obligation of prior notification under Article 16, paragraph 1, of Law No. 287/90;</w:t>
      </w:r>
    </w:p>
    <w:p>
      <w:r>
        <w:t>RESOLVES</w:t>
      </w:r>
    </w:p>
    <w:p>
      <w:r>
        <w:t>that there is no need to take action.</w:t>
      </w:r>
    </w:p>
    <w:p>
      <w:r>
        <w:t>The above conclusions will be communicated, pursuant to Article 16, paragraph 4, of Law No. 287/90, to the companies involved and to the Minister of Economic Development.</w:t>
      </w:r>
    </w:p>
    <w:p>
      <w:r>
        <w:t>This provision will be published in the Bulletin of the Competition and Market Authority.</w:t>
      </w:r>
    </w:p>
    <w:p>
      <w:r>
        <w:t>THE SECRETARY GENERAL THE PRESIDENT</w:t>
      </w:r>
    </w:p>
    <w:p>
      <w:r>
        <w:t>Roberto Chieppa Giovanni Pitruzzella</w:t>
      </w:r>
    </w:p>
    <w:p>
      <w:r>
        <w:t>BULLETIN NO. 16 OF APRIL 30, 2018 23</w:t>
      </w:r>
    </w:p>
    <w:p>
      <w:r>
        <w:t>ACTIVITY OF REPORTING AND CONSULTATION</w:t>
      </w:r>
    </w:p>
    <w:p>
      <w:r>
        <w:t>AS1500 - DRAFT LEGISLATIVE DECREE FOR THE IMPLEMENTATION OF THE EU DIRECTIVE ON PACKAGE TRAVEL AND RELATED TOURIST SERVICES</w:t>
      </w:r>
    </w:p>
    <w:p>
      <w:r>
        <w:t>Rome, March 22, 2018</w:t>
      </w:r>
    </w:p>
    <w:p>
      <w:r>
        <w:t>Presidency of the Council of Ministers</w:t>
      </w:r>
    </w:p>
    <w:p>
      <w:r>
        <w:t>Department for Legal and Legislative Affairs</w:t>
      </w:r>
    </w:p>
    <w:p>
      <w:r>
        <w:t>With reference to the request for an opinion formulated by your Department regarding the draft legislative decree for the implementation of Directive 2015/2302/EU of November 25, 2015, concerning package travel and related tourist services, approved, in preliminary session, at the meeting of the Council of Ministers on February 8, 2018, the Authority, at its meeting on March 21, 2018, intended to formulate the following observations.</w:t>
      </w:r>
    </w:p>
    <w:p>
      <w:r>
        <w:t>The text approved in the preliminary session presents some critical issues from the perspective of consumer protection that will be examined below.</w:t>
      </w:r>
    </w:p>
    <w:p>
      <w:r>
        <w:t>In the draft decree under examination, Article 51 octies states: “The Competition and Market Authority, ex officio or at the request of any subject or organization with an interest, ascertains violations of the provisions of this Chapter, inhibits their continuation, and eliminates their effects, availing itself of the tools, including sanctions, provided by Legislative Decree No. 206 of September 6, 2005.”</w:t>
      </w:r>
    </w:p>
    <w:p>
      <w:r>
        <w:t>Based on what is stated in the accompanying report, this provision aims to attribute to the Competition and Market Authority the competence for the application of administrative sanctions for violations of the provisions of Chapter I related to organized tourism contracts, referring to the provisions of the Consumer Code limited to the investigative powers and procedural methods by which the Authority must conduct the ascertainment of the violations in question. However, the text also refers to the sanctioning tools provided by Legislative Decree No. 206/2005 in Article 27, which, by virtue of the aforementioned reference, are therefore abstractly applicable to the violations of the provisions in question.</w:t>
      </w:r>
    </w:p>
    <w:p>
      <w:r>
        <w:t>On the other hand, Article 51 septies of the draft decree provides for a specific sanctioning framework for the violation of some of the new provisions, which, on one hand, raises interpretative and systematic doubts.</w:t>
      </w:r>
    </w:p>
    <w:p>
      <w:r>
        <w:t>In particular, the current text of Article 51 septies provides for a penalty from 1,000 to 5,000 euros for the professional who contravenes:</w:t>
      </w:r>
    </w:p>
    <w:p>
      <w:r>
        <w:t>- the contractual information obligations (Articles 34 and 35, paragraph 2);</w:t>
        <w:br/>
        <w:t>- the obligations related to the content of the contract and documents to be provided before the start of the package (Article 36);</w:t>
        <w:br/>
        <w:t>- the obligations related to the assignment of the sales contract to another traveler (Article 38, paragraph 3);</w:t>
        <w:br/>
        <w:t>- the obligations related to the case of modification of the sales conditions of the package travel, including the rules on price revision (Articles 39, paragraph 4 and 40, paragraph 4);</w:t>
      </w:r>
    </w:p>
    <w:p>
      <w:r>
        <w:rPr>
          <w:b/>
        </w:rPr>
        <w:t>[Pages 22–24]</w:t>
      </w:r>
    </w:p>
    <w:p>
      <w:r>
        <w:t>24 BULLETIN NO. 16 OF APRIL 30, 2018</w:t>
      </w:r>
    </w:p>
    <w:p>
      <w:r>
        <w:t>and, on the other hand, does not guarantee the application of effective, proportionate, and dissuasive sanctions, in violation of Article 25 of Directive 2015/2302/EU subject to transposition.</w:t>
      </w:r>
    </w:p>
    <w:p>
      <w:r>
        <w:t>In fact, from a systematic perspective, in resolving the interpretative doubts raised by the coexistence of a dual sanctioning regime – that of Article 27 of the Consumer Code and that introduced by Article 51 septies – in light of the principle of specialty established by Article 19 of the Consumer Code, it would not seem permissible to apply two sanctions for the same legal violation (protecting the same interest), resulting in that for the majority of violations contemplated by Article 51 septies, only the (very limited) sanctions provided by the same provision should apply.</w:t>
      </w:r>
    </w:p>
    <w:p>
      <w:r>
        <w:t>The (more severe) sanctions provided by the Consumer Code, in this context, would seem to find marginal application only where the conduct in question can be qualified as an unfair commercial practice, to the detriment of the effectiveness and deterrent effect of the sanctions for violations of the provisions regarding tourism.</w:t>
      </w:r>
    </w:p>
    <w:p>
      <w:r>
        <w:t>In fact, according to what has been clarified by the European Commission, even the (new) EU Directive No. 2015/2302 does not preclude the application of the directive on unfair commercial practices to travel packages and related services "in a complementary manner" to the specific provisions of EU Directive No. 2015/2302, "notably when professionals market additional services in a misleading or ambiguous manner."</w:t>
      </w:r>
    </w:p>
    <w:p>
      <w:r>
        <w:t>As for the second aspect, it should be noted that a large part of the violations provided for by Article 51 septies refers to breaches of informational or behavioral obligations that could abstractly be sanctioned under the rules on unfair commercial practices – consider, for example, the obstacles to exercising the right of withdrawal – and that, however, according to what is provided by Article 51 septies, would be subject to significantly lower sanctions, without any justification.</w:t>
      </w:r>
    </w:p>
    <w:p>
      <w:r>
        <w:t>Moreover, the solution identified in Article 51 septies appears to be subject to criticism from the perspective of unequal treatment, as the same behavior is punished less severely if carried out by a professional selling travel packages rather than by a professional selling a single (even additional) tourist service.</w:t>
      </w:r>
    </w:p>
    <w:p>
      <w:r>
        <w:t>It is recalled that, under the previous legislation on travel packages that did not provide for a specific sanctioning framework, the Authority's sanctioning interventions, based on the rules of the Consumer Code regarding unfair commercial practices, have concerned both informational aspects of communication in the tourism sector and profiles concerning the failure to comply with a series of behavioral obligations by online agencies and tour operators, such as, for example, those regarding the right to withdraw (Articles 40, 41, and 42); obligations of protection in the event of the Professional's insolvency in relation to related tourist services (Article 49, paragraph 2); from 2000 to 10,000 euros for the professional who violates the prohibition of misleading information (Article 37, paragraph 2); certain obligations imposed in the execution of the travel package (Article 42, paragraphs 7 and 8); the obligation to provide assistance (Article 45, paragraph 1); from 4000 to 20,000 euros for the professional who violates the obligation of insurance coverage (Article 47).</w:t>
      </w:r>
    </w:p>
    <w:p>
      <w:r>
        <w:t>2 See Guidelines for the implementation/application of Directive 2005/29/EC on unfair commercial practices, accompanying the Commission's communication to the European Parliament, the Council, the European Economic and Social Committee, and the Committee of the Regions, COM (2016)320.</w:t>
      </w:r>
    </w:p>
    <w:p>
      <w:r>
        <w:t>3 See, for example, case PS 10772 – Edreams – Online tourist services, decision of June 27, 2014, in which a total sanction for multiple violations of 690,000 euros was imposed; case PS680-Expedia, decision of December 16, 2011, in which a total sanction for multiple violations amounted to 255,000 euros; case PS1413 Sprintours – Promotion of travel packages, decision of January 27, 2010, in which a sanction of 70,000 euros was imposed on the professional; PS 1100- Aurum Hotels, decision of October 12, 2011, in which a sanction of 90,000 euros was imposed; PS 9075- Ferries.com, decision of July 19, 2013, in which a sanction of 10,000 euros was imposed; PS 1657 – Terme di Acireale – Failure to indicate VAT, decision of May 6, 2010, in which a sanction of 7,500 euros was imposed.</w:t>
      </w:r>
    </w:p>
    <w:p>
      <w:r>
        <w:t>25 BULLETIN NO. 16 OF APRIL 30, 2018</w:t>
      </w:r>
    </w:p>
    <w:p>
      <w:r>
        <w:t>for the reimbursement of the price paid by the consumer in the event of cancellation of travel packages and those concerning the unilateral modification of the contractual conditions of travel packages.</w:t>
      </w:r>
    </w:p>
    <w:p>
      <w:r>
        <w:t>For the reasons outlined, the Authority hopes that, while maintaining the current text of Article 51 octies, Article 51 septies will be removed from the provisions of the legislative decree under examination. The provision of Article 51 octies, as noted above, would indeed allow the Authority to ascertain violations of the provisions of Chapter I relating to organized tourism contracts, using not only the procedural framework of Article 27 of the Consumer Code but also the sanctioning regime provided therein, as occurred when new powers were assigned to the Authority in the context of the transposition of other Community Directives (see Article 66 of the Consumer Code in relation to the CRD Directive and Article 2, paragraph 3, letter e) of Legislative Decree No. 218/2017 in relation to the PSD2 Directive).</w:t>
      </w:r>
    </w:p>
    <w:p>
      <w:r>
        <w:t>This solution, in particular, in addition to resolving the issues of unequal treatment noted above, would entail the sanctionability of all violations of the rules provided in the draft decree, even where these cannot be subsumed under the cases of unfair commercial practices identified by Articles 20 et seq. of the Consumer Code, applying the sanctioning regime established by Article 27 of the Consumer Code, referenced by Article 51-octies.</w:t>
      </w:r>
    </w:p>
    <w:p>
      <w:r>
        <w:t>The regime established by Article 27, in fact, provides for a structured range of sanctions (between a minimum of 5,000 and a maximum of 5,000,000 euros, as well as the suspension of the business activity in cases of repeated violations), suitable to ensure the deterrent effectiveness of the sanctions applicable for violations of the examined regulations through their modulation based on the severity and size of the sanctioned subjects, as required by Article 25 of Directive 2015/2302/EU.</w:t>
      </w:r>
    </w:p>
    <w:p>
      <w:r>
        <w:t>The Authority hopes that the aforementioned observations will be duly considered during the approval of the legislative decree for the transposition of Directive 2015/2302/EU.</w:t>
      </w:r>
    </w:p>
    <w:p>
      <w:r>
        <w:t>This opinion will be published in the Bulletin referred to in Article 26 of Law No. 287/90, unless any reasons opposing publication are presented within 30 days from the receipt of this communication.</w:t>
      </w:r>
    </w:p>
    <w:p>
      <w:r>
        <w:t>THE PRESIDENT</w:t>
      </w:r>
    </w:p>
    <w:p>
      <w:r>
        <w:t>Giovanni Pitruzzella</w:t>
      </w:r>
    </w:p>
    <w:p>
      <w:r>
        <w:t>4 See, for example, Eden viaggi- Vacanze in Egitto, decision of November 19, 2014, in which a sanction of 550,000 euros was imposed on the professional.</w:t>
      </w:r>
    </w:p>
    <w:p>
      <w:r>
        <w:t>5 See, for example, Bluvacanze – Travel packages, decision of May 26, 2010, in which a sanction of 385,000 euros was imposed on the professional; PS233 – Todomondo Travel Offer, decision of December 10, 2009, in which a sanction of 100,000 euros was imposed; PS4912 - Phone and Go- Modification of travel programs, in which a sanction of 100,000 euros was imposed.</w:t>
      </w:r>
    </w:p>
    <w:p>
      <w:r>
        <w:t>26 BULLETIN NO. 16 OF APRIL 30, 2018</w:t>
      </w:r>
    </w:p>
    <w:p>
      <w:r>
        <w:t>UNFAIR COMMERCIAL PRACTICES</w:t>
      </w:r>
    </w:p>
    <w:p>
      <w:r>
        <w:t>PS10809 - PAYMENT CARDS.COM-SWEEP PLUS 2016</w:t>
      </w:r>
    </w:p>
    <w:p>
      <w:r>
        <w:t>Decision No. 27114</w:t>
      </w:r>
    </w:p>
    <w:p>
      <w:r>
        <w:t>THE COMPETITION AND MARKET AUTHORITY</w:t>
      </w:r>
    </w:p>
    <w:p>
      <w:r>
        <w:t>IN ITS MEETING of April 5, 2018;</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November 10, 2017, and the subsequent integrations sent on November 17, 2017, on December 11 and 13, 2017, as well as on March 5, 2018, through which the company Vimacom S.r.l. presented commitments pursuant to Article 27, paragraph 7, of the Consumer Code and Article 9 of the Regulation;</w:t>
      </w:r>
    </w:p>
    <w:p>
      <w:r>
        <w:t>VIEWED its communications of December 21, 2017, and January 24, 2018, by which, pursuant to Article 7, paragraph 3, and Article 16, paragraph 5, of the Regulation, the deadline for concluding the procedure was extended for the evaluation of the commitments proposed by the professional;</w:t>
      </w:r>
    </w:p>
    <w:p>
      <w:r>
        <w:t>VIEWED the acts of the procedure;</w:t>
      </w:r>
    </w:p>
    <w:p>
      <w:r>
        <w:t>I. THE PARTIES</w:t>
      </w:r>
    </w:p>
    <w:p>
      <w:r>
        <w:t>1. The company Vimacom S.r.l. (hereinafter Vimacom), as a professional, pursuant to Article 18, letter b), of the Consumer Code. The company, owner of the comparator website www.cartedipagamento.com, is active in the fields of IT, telematics and communications, advertising, and marketing, both on its own and on behalf of third parties. The financial data as of December 31, 2016, recorded revenues of approximately one million euros.</w:t>
      </w:r>
    </w:p>
    <w:p>
      <w:r>
        <w:t>2. The consumer association Codici.</w:t>
      </w:r>
    </w:p>
    <w:p>
      <w:r>
        <w:t>II. THE COMMERCIAL PRACTICE</w:t>
      </w:r>
    </w:p>
    <w:p>
      <w:r>
        <w:t>3. The procedure concerns the behavior exhibited by the professional consisting of the dissemination of commercial communications characterized by deficiencies and ambiguities in information regarding the services compared through the comparator website www.cartedipagamento.com, in relation to:</w:t>
      </w:r>
    </w:p>
    <w:p>
      <w:r>
        <w:rPr>
          <w:b/>
        </w:rPr>
        <w:t>[Pages 25–27]</w:t>
      </w:r>
    </w:p>
    <w:p>
      <w:r>
        <w:t>BULLETIN NO. 16 OF APRIL 30, 2018 27</w:t>
      </w:r>
    </w:p>
    <w:p>
      <w:r>
        <w:t>(i) informational omissions or, at the very least, incomplete or unclear information regarding the conditions and limits of use of the credit cards offered</w:t>
      </w:r>
    </w:p>
    <w:p>
      <w:r>
        <w:t>4. The comparator www.cartedipagamento.com, in the versions acquired on November 7 and 8, 2016, provided incomplete information or, at the very least, information that was difficult to access regarding the conditions and limits of use of the payment cards being compared, such as management fees and/or the monthly or annual usage fee of the Card, which are presented on the homepage according to the basic offer, while on subsequent web pages they are supplemented with additional and potential costs (such as costs for card replacement before the natural expiration of validity, or the monthly supplement per person in the case of a "Family", for family use)1.</w:t>
      </w:r>
    </w:p>
    <w:p>
      <w:r>
        <w:t>5. Furthermore, there was unclear information regarding the existence of insurance policies associated with the compared credit cards, of which information was only learned after several mouse scrolls on the page dedicated to the "Credit Card Comparison", after the "Comparative Table - How to Choose the Best Credit Card", and after the description of general information. The information regarding the existence of insurance coverage associated with the payment cards was not reported in the specific sheet of each card2.</w:t>
      </w:r>
    </w:p>
    <w:p>
      <w:r>
        <w:t>(ii) informational omissions regarding the identity and nature of the activity carried out by the professional and the compared subjects</w:t>
      </w:r>
    </w:p>
    <w:p>
      <w:r>
        <w:t>6. Each web page of the comparator site reported, at the bottom, and only after various mouse scrolling movements, the link "Contacts" whose landing page was limited to providing an email address (networkfinanza+cartedipagamento@gmail.com), without any name of the site owner, geographic address, and/or telephone contact being provided. Furthermore, the aforementioned section contained the warning that: “[...] Cartedipagamento.com does not issue credit cards, but is only an informational site aimed at offering an independent comparison service in the landscape of payment cards and micro payments”.</w:t>
      </w:r>
    </w:p>
    <w:p>
      <w:r>
        <w:t>(iii) informational omissions regarding the scope and criteria of comparison</w:t>
      </w:r>
    </w:p>
    <w:p>
      <w:r>
        <w:t>7. The site www.cartedipagamento.com, in comparing different debit and/or credit cards and highlighting the various types of payment cards compared, did not report the scope of comparison, as well as the indication of the market share compared when claims such as “The best prepaid cards of 2016 compared” were inserted. Statements of this nature were not supported by certain and objective parameters (such as market shares, sales volumes, etc.), from which to deduce the criteria on which the asserted supremacy was based. Similar arguments applied to the section “Card Ranking”, accompanied by the respective scores achieved by the cards mentioned therein, where the criteria by which the scores were assigned were not reported3.</w:t>
      </w:r>
    </w:p>
    <w:p>
      <w:r>
        <w:t>8. Furthermore, in the section dedicated to the “Comparison of Credit Cards”, the comparative table on the “Most Convenient Credit Card” reported only two cards4. The reference parameters for the choice of the two cards and for an easy calculation of the asserted savings did not emerge. Similar considerations applied to the section dedicated to the “ranking of the best-selling Cards”, where the data and sales volumes of each of the Cards reported were not indicated5.</w:t>
      </w:r>
    </w:p>
    <w:p>
      <w:r>
        <w:t>9. Finally, from the “Blog” section located on the homepage of the comparator, access was gained to the section “guide insights news”, corresponding to the entry “personal loans”, link “loan simulation”, ultimately landing in the section dedicated to personal loans with the “3 best proposals of 2016 compared”, without the criteria on which such a statement was based being provided. A saving was highlighted regarding car insurance, accessible from the homepage via the blog link, through the section “guide insights news”, as well as through the link “car insurance quote”, found on the web page dedicated, among other things, to insurance coverage. From the comparison between some of the main Companies compared, it emerged that in the entry “Average Savings”, percentages of savings were reported without adequately indicating the reference parameters against which such convenience was effective, as well as the criteria for quantifying such savings6.</w:t>
      </w:r>
    </w:p>
    <w:p>
      <w:r>
        <w:t>III. THE OUTCOMES OF THE PROCEEDING: THE PRESENTATION OF COMMITMENTS</w:t>
      </w:r>
    </w:p>
    <w:p>
      <w:r>
        <w:t>1) The procedure process</w:t>
      </w:r>
    </w:p>
    <w:p>
      <w:r>
        <w:t>10. In relation to the conduct described above, on July 3, 2017, the initiation of the investigation procedure no. PS/10809 was communicated, subsequently extended subjectively on September 29, 2017. In these proceedings, it was hypothesized that the practice of the company Vimacom S.r.l. could constitute a violation of Articles 20, 21, and 22 of the Consumer Code, in relation to the informational deficiencies regarding the various products and services compared.</w:t>
      </w:r>
    </w:p>
    <w:p>
      <w:r>
        <w:t>11. Concurrently with the communication of initiation and the subsequent subjective extension, in order to acquire useful knowledge elements for the evaluation of the commercial practice under examination, the professional was requested, pursuant to Article 27, paragraphs 3 and 4, of the Consumer Code and Article 12, paragraph 1, of the Regulation, to provide, among other things, information and related documentation on the role played by Vimacom in the design, implementation, and management of the comparator site www.cartedipagamento.com.</w:t>
      </w:r>
    </w:p>
    <w:p>
      <w:r>
        <w:t>12. The request for information also concerned the following aspects:</w:t>
        <w:br/>
        <w:t>- the criteria followed for the comparison process and/or the methods of calculating quotes for credit cards, car insurance policies, and personal loans;</w:t>
        <w:br/>
        <w:t>- the commercial relationships with the institutions and/or companies compared, as well as the related criteria for choosing the same operators;</w:t>
        <w:br/>
        <w:t>- the methods, criteria, and reference parameters on which the asserted savings are based, for example in calculating the advantages obtainable from the use of the cards proposed on the comparator site;</w:t>
        <w:br/>
        <w:t>- the reference parameters on which the scores achieved by the best cards of 2016 are based;</w:t>
        <w:br/>
        <w:t>- indications regarding the market shares of credit cards and other products and/or services subject to comparison.</w:t>
      </w:r>
    </w:p>
    <w:p>
      <w:r>
        <w:t>13. On September 11, 2017, the Notice of initiation of the investigation was published in the weekly Bulletin of the Authority no. 34/2017, as the initiation communication was not received by the recipient.</w:t>
      </w:r>
    </w:p>
    <w:p>
      <w:r>
        <w:t>14. On September 22, 2017, the consumer association Codici submitted a request to participate in the proceeding, accepted on October 2, 2017.</w:t>
      </w:r>
    </w:p>
    <w:p>
      <w:r>
        <w:t>15. On September 27, 2017, Vimacom responded to the request for information made concurrently with the initiation of the procedure, declaring to be the owner of the site www.cartedipagamento.com. Following this communication, the procedure was extended subjectively against it.</w:t>
      </w:r>
    </w:p>
    <w:p>
      <w:r>
        <w:t>16. On October 9 and November 10 and 17, 2017, the company Vimacom submitted defensive memoranda and a first version of the commitment form.</w:t>
      </w:r>
    </w:p>
    <w:p>
      <w:r>
        <w:t>17. The text of the commitments was subsequently supplemented by the professional with communications received on December 11 and 13, 2017, following the request for integration established by the Authority with communication sent on November 24, 2017.</w:t>
      </w:r>
    </w:p>
    <w:p>
      <w:r>
        <w:t>18. With communication on January 5, 2018, the date of conclusion of the investigative phase was communicated to the Parties pursuant to Article 16, paragraph 1, of the Regulation.</w:t>
      </w:r>
    </w:p>
    <w:p>
      <w:r>
        <w:t>19. On January 15, 2018, the company Vimacom submitted the concluding memoranda.</w:t>
      </w:r>
    </w:p>
    <w:p>
      <w:r>
        <w:t>20. On January 18, 2018, opinions were requested, pursuant to Article 27, paragraph 1bis, of the Consumer Code, from IVASS and the Bank of Italy.</w:t>
      </w:r>
    </w:p>
    <w:p>
      <w:r>
        <w:t>21. On January 25, 2018, the opinion was requested from the Authority for Guarantees in Communications, pursuant to Article 27, paragraph 6, of the Consumer Code.</w:t>
      </w:r>
    </w:p>
    <w:p>
      <w:r>
        <w:t>22. On February 19, 2018, the opinion of the Authority for Guarantees in Communications was received.</w:t>
      </w:r>
    </w:p>
    <w:p>
      <w:r>
        <w:t>23. On February 20, 2018, the opinion of IVASS was received.</w:t>
      </w:r>
    </w:p>
    <w:p>
      <w:r>
        <w:t>24. On February 27, 2018, the Bank of Italy transmitted its opinion.</w:t>
      </w:r>
    </w:p>
    <w:p>
      <w:r>
        <w:t>25. With communication on March 5, 2018, the company Vimacom produced a new version of the commitments following further revisions and modifications made to the website www.cartedipagamento.com as a result of the opinion expressed by IVASS.</w:t>
      </w:r>
    </w:p>
    <w:p>
      <w:r>
        <w:t>2) The elements acquired in the investigation and the commitments of the professional</w:t>
      </w:r>
    </w:p>
    <w:p>
      <w:r>
        <w:t>26. The company Vimacom is the sole holder of the domain name of the comparator site www.cartedipagamento.com.7</w:t>
      </w:r>
    </w:p>
    <w:p>
      <w:r>
        <w:t>27. From the documentation produced by the professional8, it appears that the site in question is not a quote generator but a platform for selling advertising space for payment card providers.</w:t>
      </w:r>
    </w:p>
    <w:p>
      <w:r>
        <w:t>28. Contracts have been found between Vimacom and some service companies concerning the sale of advertising space on the comparator site.</w:t>
      </w:r>
    </w:p>
    <w:p>
      <w:r>
        <w:t>29. With reference, however, to the pages dedicated to car insurance policies and personal loans, according to Vimacom's statements, it appears that they were part of a project to expand the site, subsequently abandoned by the company.</w:t>
      </w:r>
    </w:p>
    <w:p>
      <w:r>
        <w:t>30. With notes received on November 10, 2017, and subsequent integrations on December 11 and 13, 2017, as well as finally with communication on March 5, 2018, the professional presented a proposal for commitments, pursuant to Article 27, paragraph 7, of the Consumer Code and Article 9 of the Regulation.</w:t>
      </w:r>
    </w:p>
    <w:p>
      <w:r>
        <w:t xml:space="preserve">31. In particular, these commitments – which in their final version are attached to this provision and constitute an integral part thereof – provide for: </w:t>
        <w:br/>
        <w:t>7 Doc. 7: Communication of October 9, 2017, in which the company clarified that “The site www.cartedipagamento.com is managed exclusively by Vimacom, which was the sole creator and implementer. The company owns the domain and is the only subject authorized to use it and to make changes to the site subject to this proceeding.”</w:t>
        <w:br/>
        <w:t>8 Doc. 15.</w:t>
      </w:r>
    </w:p>
    <w:p>
      <w:r>
        <w:rPr>
          <w:b/>
        </w:rPr>
        <w:t>[Pages 28–30]</w:t>
      </w:r>
    </w:p>
    <w:p>
      <w:r>
        <w:t>30 BULLETIN NO. 16 OF APRIL 30, 2018</w:t>
      </w:r>
    </w:p>
    <w:p>
      <w:r>
        <w:t>COMMITMENT NO. 1: INFORMATION ON THE ECONOMIC CONDITIONS OF SOME PRODUCTS/OFFERS ADVERTISED ON THE COMPARISON SITE</w:t>
      </w:r>
    </w:p>
    <w:p>
      <w:r>
        <w:t>(i) ensure that the summary tables published on the website www.cartedipagamento.com contain a detailed description of all the economic conditions of the examined cards, the name of the relevant company, and a direct link to the insurance contract of any policy associated with the card or, if the contract has not been published online by the third party offering the policy, to the information sheet of the card containing a description of the insurance coverage offered;</w:t>
      </w:r>
    </w:p>
    <w:p>
      <w:r>
        <w:t>(ii) remove from the homepage any reference to the base rate or the economic conditions of the cards mentioned therein;</w:t>
      </w:r>
    </w:p>
    <w:p>
      <w:r>
        <w:t>(iii) continue to update the comparison tables of the cards at frequent and regular intervals, ensuring full visibility of all information related to the economic conditions of the payment cards.</w:t>
      </w:r>
    </w:p>
    <w:p>
      <w:r>
        <w:t>32. In particular, the Professional commits to clearly indicate, at the bottom of each table, not only the date of the last update but also the source of the data reported in the table itself (e.g., "the official Hype site," "the official [...] DeutscheBank, Poste Italiane"). Vimacom S.r.l. also commits to ensuring that all data related to the economic conditions are clearly reported in the tables and are easily accessible without the need for any "scrolling."</w:t>
      </w:r>
    </w:p>
    <w:p>
      <w:r>
        <w:t>33. Furthermore, the Professional commits to clarify in all tables reported on the website www.cartedipagamento.com and in all sheets dedicated to each payment card whether, according to the information sheet, the card is associated with an insurance policy. In this case, the Professional commits to inserting a link in the table itself that allows the user to access the insurance contract (or, if such contract has not been published online by the third party offering the insurance policy, to the information sheet of the card) containing costs and conditions of the insurance coverage.</w:t>
      </w:r>
    </w:p>
    <w:p>
      <w:r>
        <w:t>COMMITMENT NO. 2: ON THE NATURE OF THE COMPARISON SUBJECT AND THE ONE WITH WHOM THE CONTRACT IS CONCLUDED</w:t>
      </w:r>
    </w:p>
    <w:p>
      <w:r>
        <w:t>(i) provide complete information on the identity of the entity managing the site;</w:t>
      </w:r>
    </w:p>
    <w:p>
      <w:r>
        <w:t>(ii) remove any links or references to third-party comparison sites;</w:t>
      </w:r>
    </w:p>
    <w:p>
      <w:r>
        <w:t>(iii) adopt all necessary measures to ensure consumers receive a response within 7 days for general inquiries and within 48 hours for more urgent matters.</w:t>
      </w:r>
    </w:p>
    <w:p>
      <w:r>
        <w:t>34. Vimacom S.r.l. has removed from the page http://www.cartedipagamento.com/contatti.htm the invitation to contact the issuing company in case of problems with their payment card.</w:t>
      </w:r>
    </w:p>
    <w:p>
      <w:r>
        <w:t>35. The Professional has also published on the "Contacts" page of the website www.cartedipagamento.com its corporate name (Vimacom S.r.l.), its VAT number, the address of its registered office (Via Carlo Dossi 80, 00137 Rome), an email address (staff@cartedipagamento.com), and a telephone number. The Professional has also registered on the website www.whois.com the name and contacts of the current domain holder (Vimacom S.r.l.).</w:t>
      </w:r>
    </w:p>
    <w:p>
      <w:r>
        <w:t>36. Vimacom S.r.l. commits not to publish on the website www.cartedipagamento.com links to third-party sites that offer quotes or services for calculating costs and charges of payment cards, insurance policies, and loans, and to ensure a prompt response to emails and user inquiries even during the summer period. To this end, the Professional has significantly increased the resources dedicated to managing the site.</w:t>
      </w:r>
    </w:p>
    <w:p>
      <w:r>
        <w:t>37. Finally, the Professional has committed to publish on the website www.cartedipagamento.com (and to update regularly) information regarding the existence of a commercial relationship between Vimacom S.r.l. and certain companies active in the payment card sector.</w:t>
      </w:r>
    </w:p>
    <w:p>
      <w:r>
        <w:t>BULLETIN NO. 16 OF APRIL 30, 2018</w:t>
      </w:r>
    </w:p>
    <w:p>
      <w:r>
        <w:t>COMMITMENT NO. 3: SCOPE AND CRITERIA FOR COMPARISON</w:t>
      </w:r>
    </w:p>
    <w:p>
      <w:r>
        <w:t>(i) remove from the website www.cartedipagamento.com all references to "the best prepaid cards," to a "card ranking," to scores assigned to individual cards, to "the most convenient credit card," and to "the best-selling cards";</w:t>
      </w:r>
    </w:p>
    <w:p>
      <w:r>
        <w:t>(ii) remove any reference to an "average savings" concerning the services examined;</w:t>
      </w:r>
    </w:p>
    <w:p>
      <w:r>
        <w:t>(iii) remove any reference or link to third-party sites that offer online quotes (in relation to car insurance, personal loans, or any other product or service);</w:t>
      </w:r>
    </w:p>
    <w:p>
      <w:r>
        <w:t>(iv) remove from the website www.cartedipagamento.com all references to "the best card for you," to "the ideal card," to "the best prepaid card for you," to generic "extra bonuses," to the "average savings" obtainable through quotes (of car insurance costs, personal loans, or any other product or service), or to percentages of "average savings" on insurance costs;</w:t>
      </w:r>
    </w:p>
    <w:p>
      <w:r>
        <w:t>(v) indicate in each of the tables reported on the site that the list of cards and services described is merely illustrative;</w:t>
      </w:r>
    </w:p>
    <w:p>
      <w:r>
        <w:t>(vi) include in each of the tables reported on the site a brief description of the criteria and objective parameters (e.g., novelty, presence of innovative features or functionalities, existence of advertising agreements, user interest, relevance to the subject matter, etc.) on which the selection of the compared cards is based;</w:t>
      </w:r>
    </w:p>
    <w:p>
      <w:r>
        <w:t>(vii) remove the interactive link "how to choose the best prepaid card for you" from the "Prepaid Card Comparison" page and standardize the information contained in the "Prepaid Card Comparison" page with that reported in the "Credit Card Comparison" page;</w:t>
      </w:r>
    </w:p>
    <w:p>
      <w:r>
        <w:t>(viii) ensure that, in the presence of interactive links that redirect to a detailed page, the information and the list of cards and services reported on the starting page always correspond to those contained in the detailed page, if they address the same topics.</w:t>
      </w:r>
    </w:p>
    <w:p>
      <w:r>
        <w:t>38. The Professional has therefore committed to clarify that the tables published on the site constitute a "guide to informed choice" and that references to specific payment cards are for illustrative purposes only. The Professional also commits to explicitly state in all tables published on the site the criteria and objective parameters on which the selection of the compared cards and services is based. Finally, with particular reference to the web pages (http://www.cartedipagamento.com/prestitipersonali.htm, and http://www.cartedipagamento.com/preventivo-assicurazione-auto.htm), the Professional has removed any reference to potential savings and commits to provide consumers solely with advice regarding the opportunity to request quotes from reliable operators.</w:t>
      </w:r>
    </w:p>
    <w:p>
      <w:r>
        <w:t>DEADLINE FOR IMPLEMENTATION OF COMMITMENTS</w:t>
      </w:r>
    </w:p>
    <w:p>
      <w:r>
        <w:t>39. Vimacom S.r.l. has already implemented the proposed commitments. Their validity is not subject to a final deadline.</w:t>
      </w:r>
    </w:p>
    <w:p>
      <w:r>
        <w:t>IV. OPINION OF THE BANK OF ITALY</w:t>
      </w:r>
    </w:p>
    <w:p>
      <w:r>
        <w:t>40. Since the commercial practice subject to this order concerns the financial sector, with particular reference to payment cards, on January 18, 2018, an opinion was requested from the Bank of Italy, pursuant to and for the effects of Article 27, paragraph 1-bis, of the Consumer Code, introduced by Article 1, paragraph 6, letter a), of Legislative Decree No. 21/2014.</w:t>
      </w:r>
    </w:p>
    <w:p>
      <w:r>
        <w:t>41. In an opinion received on February 27, 2018, the Bank of Italy considered that "the commitments proposed by the professional in relation to the comparison, promotion, and marketing of banking and financial products on its site do not fall within the scope of the current legal and regulatory provisions regarding the transparency of banking and financial operations and the fairness of relations between intermediaries and clients." Therefore, the Bank of Italy did not find "any reasons against the determinations reserved for this Authority."</w:t>
      </w:r>
    </w:p>
    <w:p>
      <w:r>
        <w:t>V. OPINION OF IVASS</w:t>
      </w:r>
    </w:p>
    <w:p>
      <w:r>
        <w:t>42. Since the commercial practice subject to this order concerns the insurance sector, on January 18, 2018, an opinion was requested from the Institute for the Supervision of Insurance (IVASS), pursuant to and for the effects of Article 27, paragraph 1-bis, of the Consumer Code, introduced by Article 1, paragraph 6, letter a), of Legislative Decree No. 21/2014.</w:t>
      </w:r>
    </w:p>
    <w:p>
      <w:r>
        <w:t>43. In an opinion received on February 20, 2018, the aforementioned Institute made some considerations regarding each contested profile.</w:t>
      </w:r>
    </w:p>
    <w:p>
      <w:r>
        <w:t>a) On informational omissions regarding the economic conditions of some products/offers advertised on the comparison site</w:t>
      </w:r>
    </w:p>
    <w:p>
      <w:r>
        <w:t>44. The corrective measures implemented by the comparison site in the version submitted for opinion concerning insurance policies, which involved the inclusion in the specific sheet of each card of the possible presence of insurance coverage associated with it and the name of the company marketing the product, appear only partially responsive to overcoming the issues raised in the proceedings. In this regard, IVASS found that on the "Credit Card Comparison" page, the prospectus including the payment card of a credit institution under the "insurance coverage" section contains a link that redirects not to an insurance document but to the "Information Sheet of the Credit Card" and not to the policy associated with that payment instrument. IVASS therefore deemed further enhancements of the comparison site necessary to address the identified criticality.</w:t>
      </w:r>
    </w:p>
    <w:p>
      <w:r>
        <w:t>b) Absence of the identity and nature of the comparison subject and those compared</w:t>
      </w:r>
    </w:p>
    <w:p>
      <w:r>
        <w:t>45. In relation to this complaint, the aforementioned Institute highlighted that no aspects related to the insurance sector are involved.</w:t>
      </w:r>
    </w:p>
    <w:p>
      <w:r>
        <w:t>c) Absence of the comparison scope</w:t>
      </w:r>
    </w:p>
    <w:p>
      <w:r>
        <w:t>46. Regarding the strictly insurance aspects, the Institute for the Supervision of Insurance observed that in certain subsections in the "Blog" section, passing through the "guide in-depth news" section and after the link "car insurance quote," in the comparison between some of the compared companies, certain statements related to the "Average Savings" persist, without adequately indicating the reference parameters against which such convenience is effective, as well as the criteria for quantifying such savings. IVASS also noted that the use of the term "quote" could lead the user to believe that the professional offers a quoting service. Regarding this latter point, in order to dispel the above interpretative uncertainty, IVASS deemed it appropriate to include a wording such as "useful advice for requesting a car insurance quote." Finally, the aforementioned Institute found in the "car insurance quote" section the improper use of claims of alleged superiority through the expression: "[...] among the best insurance companies," referring to a specific insurance company, without indicating the comparison parameters among the various insurance companies that substantiate such a claim.</w:t>
      </w:r>
    </w:p>
    <w:p>
      <w:r>
        <w:rPr>
          <w:b/>
        </w:rPr>
        <w:t>[Pages 31–33]</w:t>
      </w:r>
    </w:p>
    <w:p>
      <w:r>
        <w:t>BULLETIN NO. 16 OF APRIL 30, 2018 33</w:t>
      </w:r>
    </w:p>
    <w:p>
      <w:r>
        <w:t>VI. OPINION OF THE AUTHORITY FOR GUARANTEES IN COMMUNICATIONS</w:t>
      </w:r>
    </w:p>
    <w:p>
      <w:r>
        <w:t>47. Since the commercial practice subject to this order was disseminated via the Internet, on January 25, 2018, the opinion was requested from the Authority for Guarantees in Communications, pursuant to Article 27, paragraph 6, of the Consumer Code.</w:t>
      </w:r>
    </w:p>
    <w:p>
      <w:r>
        <w:t>48. In an opinion received on February 19, 2018, the aforementioned Authority expressed its view that “the Internet allows for increasingly accurate profiling of users, from which depends the ability to reach specific consumer targets, directing targeted messages to them, with increasing levels of personalization” and that “when users use the Internet, they provide information so that their profile (as a consumer) can be used by operators to offer them personalized services.” The Authority for Guarantees in Communications also stated that “with reference to the case at hand, the consumer, influenced by the information disseminated via the Internet regarding the products offered for sale on the professional's site, ‘cartedipagamento.com’, could then actually proceed to purchase one of the credit cards compared, thereby concretely developing the full promotional potential of online communication.” The aforementioned Authority concluded in its opinion that “based on the documentation in the records, in this case and considering the conduct under examination by the Authority, for the reasons and in the terms argued, the Internet is a suitable tool to significantly influence the realization of the commercial practice for which this Authority's opinion is requested.”</w:t>
      </w:r>
    </w:p>
    <w:p>
      <w:r>
        <w:t>VII. EVALUATION OF THE COMMITMENTS</w:t>
      </w:r>
    </w:p>
    <w:p>
      <w:r>
        <w:t>49. It is noted that the comparator site www.Cartedipagamento.com appears to be a web space that serves as a showcase for payment instruments and means, rather than a true site that provides quotes, nor is prior registration required, with the entry of personal data.</w:t>
      </w:r>
    </w:p>
    <w:p>
      <w:r>
        <w:t>50. The Authority believes that the commitments proposed by the professional are suitable to remedy the possible illegitimacy profiles of the commercial practice contested in the initiation communication of July 3, 2017, and in the subsequent subjective extension of September 29, 2017.</w:t>
      </w:r>
    </w:p>
    <w:p>
      <w:r>
        <w:t>51. Considering the suitability of the commitments produced, the following is noted.</w:t>
      </w:r>
    </w:p>
    <w:p>
      <w:r>
        <w:t> Commitment No. 1: information on the economic conditions of some products/offers advertised on the comparator site</w:t>
      </w:r>
    </w:p>
    <w:p>
      <w:r>
        <w:t>52. This is a commitment that removes the identified critical issues subject to the initiation of the investigation, providing the comparator site with greater informational completeness regarding the characteristics of the payment cards compared and allowing interested consumers to acquire adequate information in order to express their individual preferences, considering that the professional:</w:t>
        <w:br/>
        <w:t>- has included in the comparison tables all data related to the economic conditions to which the cards are subject, visible without any scrolling movement, in addition to direct links to the information sheet of the issuing institutions of the cards;</w:t>
        <w:br/>
        <w:t>- has removed any reference to the base rate of the cards mentioned on the homepage (now only the names of the cards recently launched on the market and links that redirect the user directly to the websites of the issuing companies of the payment cards are displayed);</w:t>
        <w:br/>
        <w:t>- has committed to keeping the tables updated at frequent and regular intervals, ensuring full visibility of all information related to the economic conditions of the payment cards.</w:t>
      </w:r>
    </w:p>
    <w:p>
      <w:r>
        <w:t>53. It is also noted that the text of the Form produced last in March 2018, in line with the opinion of IVASS, also includes the professional's commitment to include on the site www.cartedipagamento.com, in each detail sheet of each payment card, a link that redirects the user to the insurance contract associated with the card, where available. Alternatively, if the contract is not published online by the third party offering the insurance policy, and is therefore not available to the comparator (as these are contents pertaining to third parties with which it has no contractual relationship), the information sheet of the card containing costs and conditions of the insurance coverage will be included.</w:t>
      </w:r>
    </w:p>
    <w:p>
      <w:r>
        <w:t> Commitment No. 2: on the nature of the comparator and the one with whom the contract is concluded</w:t>
      </w:r>
    </w:p>
    <w:p>
      <w:r>
        <w:t>54. The second commitment presented by the company is such as to eliminate the contested criticalities at the outset regarding the possible lack of transparency about the identity of the entity responsible for managing and updating the site www.cartedipagamento.com, not only through the inclusion of the identifying data of the company owning the comparative platform but also through the correct registration of the domain name.</w:t>
      </w:r>
    </w:p>
    <w:p>
      <w:r>
        <w:t>55. In fact, the “contacts” link located at the bottom of the homepage of the site leads to a page that correctly includes the reference data of the managing company of the site (company name, registered office, and telephone number). This measure appears to remedy the contested informational gaps regarding the identity and qualification of the professional.</w:t>
      </w:r>
    </w:p>
    <w:p>
      <w:r>
        <w:t> Commitment No. 3: scope and criteria for comparison</w:t>
      </w:r>
    </w:p>
    <w:p>
      <w:r>
        <w:t>56. The measure consisting of the total removal of references to superiority claims (such as, for example, the statements: “best prepaid cards,” “most convenient credit card,” as well as references to “most sold cards” and “card rankings,” with the respective scores attributed to each of them), as well as the elimination of any links to other quoting and/or comparison sites, is suitable to restore an objective and truthful comparison of the payment instruments compared. The company has then included in the comparative tables the clarification that the list of payment cards reported therein concerns some “examples of credit cards,” thus specifying in each table that it is a merely illustrative list of cards, and indicating the criteria and objective parameters (such as, for example, novelty, presence of innovative features or functionalities, existence of advertising agreements, interest expressed by users, relevance to the subject matter) on which the selection of the compared cards is based. Furthermore, before each comparative and illustrative table, a link has been inserted redirecting to a subsequent landing page with the list of companies with which there is a commercial relationship for advertising insertion. In this way, the professional has removed any element that could lead to possible misunderstanding regarding the representativeness of the comparisons made.</w:t>
      </w:r>
    </w:p>
    <w:p>
      <w:r>
        <w:t>57. Finally, by eliminating any reference by the professional to a possible savings and to terms that would imply the possibility of obtaining quotes on the page http://www.cartedipagamento.com/preventivo-assicurazione-auto.htm, the professional has committed, in line with the opinion of IVASS, to eliminate any remaining informational criticality in the section dedicated to insurance.</w:t>
      </w:r>
    </w:p>
    <w:p>
      <w:r>
        <w:t>58. In light of the above considerations, it is believed that the commitments presented meet the requirements set forth in Article 27, paragraph 7, of the Consumer Code.</w:t>
      </w:r>
    </w:p>
    <w:p>
      <w:r>
        <w:t>BULLETIN NO. 16 OF APRIL 30, 2018 35</w:t>
      </w:r>
    </w:p>
    <w:p>
      <w:r>
        <w:t>THEREFORE CONSIDERED, that the commitments presented by the company Vimacom S.r.l., in the terms outlined above, are suitable to eliminate the possible profiles of unfairness of the commercial practice subject to investigation;</w:t>
      </w:r>
    </w:p>
    <w:p>
      <w:r>
        <w:t>CONSIDERED to make the aforementioned commitments mandatory for the company Vimacom S.r.l.;</w:t>
      </w:r>
    </w:p>
    <w:p>
      <w:r>
        <w:t>CONSIDERED, therefore, that the procedure can be closed without establishing the infringement;</w:t>
      </w:r>
    </w:p>
    <w:p>
      <w:r>
        <w:t>RESOLVES</w:t>
      </w:r>
    </w:p>
    <w:p>
      <w:r>
        <w:t>a) to make mandatory, for the company Vimacom S.r.l., pursuant to Article 27, paragraph 7, of the Consumer Code and Article 9, paragraph 2, letter a), of the Regulation, the commitments proposed by the same company last on March 5, 2018, as described in the declaration attached to this order;</w:t>
      </w:r>
    </w:p>
    <w:p>
      <w:r>
        <w:t>b) to close the procedure without establishing the infringement, pursuant to Article 27, paragraph 7, of the Consumer Code and Article 9, paragraph 2, letter a), of the Regulation;</w:t>
      </w:r>
    </w:p>
    <w:p>
      <w:r>
        <w:t>c) that the company Vimacom S.r.l.,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Parties that is incomplete, inaccurate, or misleading.</w:t>
      </w:r>
    </w:p>
    <w:p>
      <w:r>
        <w:t>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activity for a period not exceeding thirty days.</w:t>
      </w:r>
    </w:p>
    <w:p>
      <w:r>
        <w:t>This order will be notified to the interested parties and published in the Bulletin of the Authority for Competition and the Market.</w:t>
      </w:r>
    </w:p>
    <w:p>
      <w:r>
        <w:t>THE SECRETARY GENERAL THE PRESIDENT</w:t>
      </w:r>
    </w:p>
    <w:p>
      <w:r>
        <w:t>Roberto Chieppa Giovanni Pitruzzella</w:t>
      </w:r>
    </w:p>
    <w:p>
      <w:r>
        <w:rPr>
          <w:b/>
        </w:rPr>
        <w:t>[Pages 34–36]</w:t>
      </w:r>
    </w:p>
    <w:p>
      <w:r>
        <w:t>36 BULLETIN NO. 16 OF APRIL 30, 2018</w:t>
      </w:r>
    </w:p>
    <w:p>
      <w:r>
        <w:t>ANNEX 1</w:t>
      </w:r>
    </w:p>
    <w:p>
      <w:r>
        <w:t>STATEMENT OF COMMITMENTS</w:t>
      </w:r>
    </w:p>
    <w:p>
      <w:r>
        <w:t>In the context of proceeding no. PS10809, initiated by the Authority for the Protection of Competition and the Market on July 3, 2017, with subsequent subjective extension on September 29, 2017, concerning the commercial conduct of Vimacom S.r.l., carried out through the website www.cartedipagamento.com, regarding the comparison of credit cards and payment instruments, Vimacom S.r.l., pursuant to and for the effects of Article 27, paragraph 7, of the "Consumer Code" (Legislative Decree No. 206 of September 6, 2005 and subsequent amendments) commits, starting from the date of communication of the Authority's provision, to implement the following measures in the manner and within the timeframes indicated below:</w:t>
      </w:r>
    </w:p>
    <w:p>
      <w:r>
        <w:t>COMMITMENT NO. 1: INFORMATION ON THE ECONOMIC CONDITIONS OF SOME PRODUCTS/OFFERS ADVERTISED ON THE COMPARISON SITE</w:t>
      </w:r>
    </w:p>
    <w:p>
      <w:r>
        <w:t>The commitment proposed by the Professional consists of:</w:t>
        <w:br/>
        <w:t>(i) ensuring that the summary tables published on the website www.cartedipagamento.com contain a detailed description of all the economic conditions of the examined cards, the name of any insurer, and a direct link to the insurance contract of the policy possibly associated with the card or, if the contract has not been published online by the third party offering the policy, to the information sheet of the card containing a description of the insurance coverage offered,</w:t>
        <w:br/>
        <w:t>(ii) removing from the homepage any reference to the base rate or the economic conditions of the cards mentioned therein,</w:t>
        <w:br/>
        <w:t>(iii) continuing to update the tables at frequent and regular intervals, ensuring full visibility of all information related to the economic conditions of the payment cards.</w:t>
      </w:r>
    </w:p>
    <w:p>
      <w:r>
        <w:t>In particular, the Professional commits to clearly indicate, at the bottom of each table, not only the date of the last update but also the source of the data reported in the table itself (e.g. "the official Hype website", "the official [...] DeutscheBank, Poste Italiane"). Vimacom S.r.l. also commits to ensuring that all data related to the economic conditions are clearly reported in the tables and are easily accessible without the need for any "scrolling" movement.</w:t>
      </w:r>
    </w:p>
    <w:p>
      <w:r>
        <w:t>Finally, the Professional commits to clarify in all tables reported on the website www.cartedipagamento.com and in all dedicated sheets for each payment card whether, based on the information sheet, the card is associated with an insurance policy. When the card is associated with a policy, the Professional commits to inserting a link in the table itself that allows the user to open the insurance contract (or, if such contract has not been published online by the third party offering the insurance policy, the information sheet of the card) containing costs and conditions of the insurance coverage.</w:t>
      </w:r>
    </w:p>
    <w:p>
      <w:r>
        <w:t>COMMITMENT NO. 2: ON THE NATURE OF THE COMPARISON SUBJECT AND THE ONE WITH WHOM THE CONTRACT IS CONCLUDED</w:t>
      </w:r>
    </w:p>
    <w:p>
      <w:r>
        <w:t>The commitment proposed by Vimacom S.r.l. consists of:</w:t>
        <w:br/>
        <w:t>(i) providing complete information on the identity of the entity managing the site,</w:t>
        <w:br/>
        <w:t>(ii) removing any links or references to third-party comparison sites,</w:t>
        <w:br/>
        <w:t>(iii) adopting all necessary measures to ensure a response within 7 days for general inquiries and within 48 hours for more urgent matters.</w:t>
      </w:r>
    </w:p>
    <w:p>
      <w:r>
        <w:t>BULLETIN NO. 16 OF APRIL 30, 2018 37</w:t>
      </w:r>
    </w:p>
    <w:p>
      <w:r>
        <w:t>Initially, it is noted that Vimacom S.r.l. has removed from the page http://www.cartedipagamento.com/contatti.htm the invitation to contact the issuing company in case of problems with their payment card.</w:t>
      </w:r>
    </w:p>
    <w:p>
      <w:r>
        <w:t>The Professional has also published, on the "Contacts" page of the website www.cartedipagamento.com, its corporate name (Vimacom S.r.l.), its VAT number, the address of its registered office (Via Carlo Dossi 80, 00137 Rome), an email address (staff@cartedipagamento.com), and a telephone contact. The Professional has also registered on the website www.whois.com the name and contacts of the current domain holder (Vimacom S.r.l.).</w:t>
      </w:r>
    </w:p>
    <w:p>
      <w:r>
        <w:t>Vimacom S.r.l. commits not to publish on the website www.cartedipagamento.com links to third-party sites offering quotes or services for calculating costs and charges of payment cards, insurance policies, and loans, and to ensure a prompt response to emails and user inquiries even during the summer period. To this end, the Professional has significantly increased the resources dedicated to managing the site.</w:t>
      </w:r>
    </w:p>
    <w:p>
      <w:r>
        <w:t>Finally, the Professional commits to publish on the website www.cartedipagamento.com (and to update regularly) information regarding the existence of a commercial relationship between Vimacom S.r.l. and certain companies active in the payment card sector.</w:t>
      </w:r>
    </w:p>
    <w:p>
      <w:r>
        <w:t>COMMITMENT NO. 3: SCOPE AND CRITERIA FOR COMPARISON</w:t>
      </w:r>
    </w:p>
    <w:p>
      <w:r>
        <w:t>The commitment proposed by Vimacom S.r.l. consists of:</w:t>
        <w:br/>
        <w:t>(i) eliminating from the website www.cartedipagamento.com all references to "the best prepaid cards," to a "card ranking," to scores attributed to individual cards, to "the most convenient credit card," and to "the best-selling cards";</w:t>
        <w:br/>
        <w:t>(ii) eliminating any reference to an "average savings" concerning the examined services;</w:t>
        <w:br/>
        <w:t>(iii) eliminating any reference or link to third-party sites offering online quotes (regarding car insurance, personal loans, or any other product or service);</w:t>
        <w:br/>
        <w:t>(iv) eliminating from the website www.cartedipagamento.com all references to "the best card for you," to "the ideal card," to "the best prepaid card for you," to generic "extra bonuses," to the "average savings" obtainable through quotes (of car insurance costs, personal loans, or any other product or service) or to percentages of "average savings" on insurance costs;</w:t>
        <w:br/>
        <w:t>(v) indicating in each of the tables published on the site that the list of cards and services described is merely illustrative;</w:t>
        <w:br/>
        <w:t>(vi) inserting in each of the tables published on the site a brief description of the criteria and objective parameters (e.g. novelty, presence of innovative features or functionalities, existence of advertising agreements, interest expressed by users, relevance to the subject of the articles, etc.) on which the selection of the compared cards is based;</w:t>
        <w:br/>
        <w:t>(vii) removing the interactive link "how to choose the best prepaid card for you" from the "Prepaid Card Comparison" page and aligning the indications contained in the "Prepaid Card Comparison" page with those reported in the "Credit Card Comparison" page;</w:t>
        <w:br/>
        <w:t>(viii) ensuring that, in the presence of interactive links redirecting to a detailed page, the information and the list of cards and services reported on the starting page always correspond to those contained in the detailed page, if they address the same topics.</w:t>
      </w:r>
    </w:p>
    <w:p>
      <w:r>
        <w:t>The Professional thus commits to clarify that the tables published on the site constitute a "guide to informed choice," that references to specific payment cards are merely illustrative. The Professional also commits to explicitly state in all tables published on the site the criteria and objective parameters on which the selection of the compared cards and services is based.</w:t>
      </w:r>
    </w:p>
    <w:p>
      <w:r>
        <w:t>Finally, with particular reference to the pages http://www.cartedipagamento.com/prestitipersonali.htm and http://www.cartedipagamento.com/preventivo-assicurazione-auto.htm, the Professional commits to remove any reference to potential savings and to provide exclusively advice to consumers regarding the opportunity to request quotes from reliable operators.</w:t>
      </w:r>
    </w:p>
    <w:p>
      <w:r>
        <w:t>DEADLINE FOR IMPLEMENTATION OF COMMITMENTS</w:t>
      </w:r>
    </w:p>
    <w:p>
      <w:r>
        <w:t>Vimacom S.r.l. has already implemented the commitments proposed herein. Their validity is not subject to a final deadline.</w:t>
      </w:r>
    </w:p>
    <w:p>
      <w:r>
        <w:rPr>
          <w:b/>
        </w:rPr>
        <w:t>[Pages 37–39]</w:t>
      </w:r>
    </w:p>
    <w:p>
      <w:r>
        <w:t>BULLETIN NO. 16 OF APRIL 30, 2018 39</w:t>
      </w:r>
    </w:p>
    <w:p>
      <w:r>
        <w:t>PS10998 - SWITCH POWER - UNREQUESTED ACTIVATIONS</w:t>
      </w:r>
    </w:p>
    <w:p>
      <w:r>
        <w:t>Order No. 27130</w:t>
      </w:r>
    </w:p>
    <w:p>
      <w:r>
        <w:t>THE COMPETITION AND MARKET AUTHORITY</w:t>
      </w:r>
    </w:p>
    <w:p>
      <w:r>
        <w:t>IN ITS MEETING of April 24, 2018;</w:t>
      </w:r>
    </w:p>
    <w:p>
      <w:r>
        <w:t>HEARD the Rapporteur Dr. Gabriella Muscolo;</w:t>
      </w:r>
    </w:p>
    <w:p>
      <w:r>
        <w:t>HAVING REGARD TO Part II, Title III, and Part III, Title III, Chapter 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documents of the proceeding;</w:t>
      </w:r>
    </w:p>
    <w:p>
      <w:r>
        <w:t>HAVING REGARD TO the communication initiating proceeding PS10998 of April 11, 2018, notified to the company Switch Power S.r.l. on April 17, 2017, with which the violation of Articles 20, 24, 25, paragraph 1, letter d), 26, letter f), and 66-quinquies, as well as Articles 49, 51, 52, 53, 54, and 55 of the Consumer Code was contested.</w:t>
      </w:r>
    </w:p>
    <w:p>
      <w:r>
        <w:t>HAVING REGARD TO the Authority's resolution of April 11, 2018, which authorized the inspection, pursuant to Article 27, paragraphs 2 and 3, of the Consumer Code, at the registered office of Switch Power S.r.l.</w:t>
      </w:r>
    </w:p>
    <w:p>
      <w:r>
        <w:t>CONSIDERING the following:</w:t>
      </w:r>
    </w:p>
    <w:p>
      <w:r>
        <w:t>I. THE PARTIES</w:t>
      </w:r>
    </w:p>
    <w:p>
      <w:r>
        <w:t>1. The parties to the proceeding are: Switch Power S.r.l., as a professional, pursuant to Article 18, letter b), of the Consumer Code; AltroConsumo and Adiconsum Veneto Region, associations responsible for the protection of the rights and interests of consumers and users, as complainants.</w:t>
      </w:r>
    </w:p>
    <w:p>
      <w:r>
        <w:t>II. FACTS</w:t>
      </w:r>
    </w:p>
    <w:p>
      <w:r>
        <w:t>2. According to information acquired for the application of the Consumer Code and the numerous reports received by the Authority from September 2017 to April 2018, the company Switch Power S.r.l. (hereinafter also referred to as the professional), active in the electricity and gas market, allegedly concluded contracts for the activation of electricity supply without a corresponding manifestation of will from the consumer or the consumer's signature on the contract and charged costs for the activation of the unrequested supply, improperly withdrawing them from the customers' bank accounts.</w:t>
      </w:r>
    </w:p>
    <w:p>
      <w:r>
        <w:t>3. Furthermore, it has been reported that the professional does not respond to a high number of complaints, cancellations, and refund requests from consumers who complain about unauthorized charges on their bank accounts for the activation costs of the unrequested electricity supply.</w:t>
      </w:r>
    </w:p>
    <w:p>
      <w:r>
        <w:t>4. On April 11, 2018, the PS10998 investigative proceeding was therefore initiated against Switch Power, pursuant to Article 27, paragraph 3, of the Consumer Code, as well as pursuant to Article 6 of the Regulation, in order to verify the existence of unfair commercial practices, in violation of Articles 20, 24, 25, paragraph 1, letter d), 26, letter f), and 66-quinquies, as well as Articles 49, 51, 52, 53, 54, and 55 of the Consumer Code.</w:t>
      </w:r>
    </w:p>
    <w:p>
      <w:r>
        <w:t>5. In particular, the contested behaviors consist of: i) the conclusion of distance contracts and activation of electricity supplies (outbound teleselling), in the absence of a corresponding manifestation of will from the consumer or as a result of misleading information, informational omissions, and undue conditioning; ii) the creation of obstacles to the exercise of contractual rights by the user; iii) the improper and unauthorized use of technical and personal data regarding existing supplies; iv) the violation of consumer rights in contracts, regarding the concrete methods adopted by Switch Power in the conclusion and execution of distance negotiated contracts.</w:t>
      </w:r>
    </w:p>
    <w:p>
      <w:r>
        <w:t>6. On April 17, 2018, inspections were carried out at the registered office of Switch Power to acquire documentation useful to prove the existence of the behaviors subject to the proceeding.</w:t>
      </w:r>
    </w:p>
    <w:p>
      <w:r>
        <w:t>7. From the inspection checks, it emerged that the professional offers, among various services, the supply of electricity through a so-called "rechargeable" mode. The model provides for an initial recharge of 130 euros, including activation costs of the supply, amounting to 30 euros, and a credit for future electricity consumption, amounting to 100 euros.</w:t>
      </w:r>
    </w:p>
    <w:p>
      <w:r>
        <w:t>8. The documents show that Switch Power relies on external companies both for carrying out its commercial activity, including the promotion of the rechargeable offer and the acquisition of customers in the free market, and for managing post-contractual activities, including handling complaints.</w:t>
      </w:r>
    </w:p>
    <w:p>
      <w:r>
        <w:t>9. During the inspection checks, it emerged that the so-called outbound teleselling procedure consists of the following phases: i) the consumer is contacted by telephone by call center operators who, through misleading information, obtain consent for the recording of the call; ii) following this recording, just a few days later, Switch Power withdraws 130 euros from the consumers' bank accounts; iii) after the charge, if no requests for reconsideration/cancellation are received from the consumers, the professional proceeds to send the paper supply contract.</w:t>
      </w:r>
    </w:p>
    <w:p>
      <w:r>
        <w:t>10. The inspection checks reveal that the professional is aware of the methods by which the call center operators acquire consumers' consent for the recording of the call, namely through severely misleading information regarding the identity of the professional and the purpose of the call, as well as through the exploitation of customers' personal data (including POD, personal data, IBAN).</w:t>
      </w:r>
    </w:p>
    <w:p>
      <w:r>
        <w:t>11. From the documentation acquired, it emerges that consumers are led to believe that the offer comes from their current supplier, namely Enel Energia, without understanding that the proposal concerns the conclusion of a new supply contract with Switch Power. Indeed, a significant number of consumers, following the charge, request the return of the improperly withdrawn amount, claiming that they never consented to the conclusion of a new contract with Switch Power for the supply of electricity, nor did they ever receive a paper copy of the signed contract.</w:t>
      </w:r>
    </w:p>
    <w:p>
      <w:r>
        <w:t>12. Despite the issues that have emerged and the difficulties encountered in managing contracts concluded by telephone by call center operators, the evidence shows that Switch Power continues to rely on the same operators for the conclusion of supply contracts and to collect amounts, withdrawing them directly from consumers' bank accounts.</w:t>
      </w:r>
    </w:p>
    <w:p>
      <w:r>
        <w:t>III. EVALUATIONS</w:t>
      </w:r>
    </w:p>
    <w:p>
      <w:r>
        <w:t>13. The elements described above lead to the conclusion that the contested behaviors of the professional appear to be in violation of Articles 20, 24, 25, paragraph 1, letter d), 26, letter f), and 66-quinquies, as well as Articles 49, 51, 52, 53, 54, and 55 of the Consumer Code.</w:t>
      </w:r>
    </w:p>
    <w:p>
      <w:r>
        <w:t>14. Based on the above, it appears that the professional adopts methods for concluding contracts that seem aggressive, disregarding the rights of consumers, who would be induced to respond to the call and provide their consent due to false and severely misleading information regarding the identity of the professional and the content of the offer; and this is facilitated by the possession and improper use of consumers' confidential data related to the existing supply (POD and personal data).</w:t>
      </w:r>
    </w:p>
    <w:p>
      <w:r>
        <w:t>15. Furthermore, although the new supply contract cannot be considered validly concluded, the professional, again due to the possession and improper use of consumers' confidential data related to their IBAN codes, immediately charges the activation costs of the supply to their bank accounts, as well as an amount as an advance on future consumption.</w:t>
      </w:r>
    </w:p>
    <w:p>
      <w:r>
        <w:t>16. From the perspective of periculum in mora, it is worth noting that the behaviors in question are still ongoing and are characterized by a high degree of offensiveness as they are capable, during the proceeding, of involving other consumers in the misleading and aggressive commercial offer of Switch Power, and of suffering the undue withdrawal from their bank accounts of the activation costs of the unrequested supply, thereby limiting their freedom of choice and behavior.</w:t>
      </w:r>
    </w:p>
    <w:p>
      <w:r>
        <w:t>CONSIDERING that there are extreme gravity, urgency, and non-deferrable needs for the precautionary measure of the Authority pursuant to Article 27, paragraph 3, of the Consumer Code and Article 8, paragraph 3, of the Regulation, consisting of:</w:t>
        <w:br/>
        <w:t>- the current nature of the contested behaviors;</w:t>
        <w:br/>
        <w:t>- the high number of consumers involved (several thousand);</w:t>
        <w:br/>
        <w:t>- the significant amount improperly withdrawn from bank accounts by the professional, capable of causing considerable economic harm to them;</w:t>
        <w:br/>
        <w:t>- as well as the professional's awareness of the irregularities found in the customer acquisition procedure;</w:t>
      </w:r>
    </w:p>
    <w:p>
      <w:r>
        <w:t>ORDERS</w:t>
      </w:r>
    </w:p>
    <w:p>
      <w:r>
        <w:t>pursuant to Article 27, paragraph 3, of the Consumer Code and Article 8, paragraph 3, of the Regulation, that the company Switch Power S.r.l.:</w:t>
        <w:br/>
        <w:t>a) suspend any activity aimed at concluding distance contracts and activating electricity supplies (outbound teleselling), in the absence of a corresponding manifestation of will from the consumer, or as a result of misleading information, informational omissions, and undue conditioning;</w:t>
        <w:br/>
        <w:t>b) suspend any activity aimed at charging activation and recharge costs to consumers' bank accounts for the unrequested supply, until the contract is validly concluded;</w:t>
        <w:br/>
        <w:t>c) within 7 days from the communication of this order, submit written statements and documents for the purpose of confirming the aforementioned measure;</w:t>
      </w:r>
    </w:p>
    <w:p>
      <w:r>
        <w:rPr>
          <w:b/>
        </w:rPr>
        <w:t>[Pages 40–42]</w:t>
      </w:r>
    </w:p>
    <w:p>
      <w:r>
        <w:t>42 BULLETIN NO. 16 OF APRIL 30, 2018</w:t>
      </w:r>
    </w:p>
    <w:p>
      <w:r>
        <w:t>d) within 5 days from the communication of this order, communicate to the Authority the execution of this suspension order and the related methods, by sending a detailed report illustrating the measures adopted.</w:t>
      </w:r>
    </w:p>
    <w:p>
      <w:r>
        <w:t>Pursuant to Article 8, paragraph 3, of the Regulation, the Board, after evaluating the defensive arguments of the Parties, may confirm the provisional suspension of the commercial practice.</w:t>
      </w:r>
    </w:p>
    <w:p>
      <w:r>
        <w:t>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activity for a period not exceeding thirty days.</w:t>
      </w:r>
    </w:p>
    <w:p>
      <w:r>
        <w:t>This order will be communicated to the interested parties and published in the Bulletin of the Authority for Competition and the Market.</w:t>
      </w:r>
    </w:p>
    <w:p>
      <w:r>
        <w:t>Against this order, an appeal may be filed with the TAR of Lazio, pursuant to Article 135, paragraph 1, letter b), of the Code of Administrative Procedure (Legislative Decree July 2,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THE ACTING SECRETARY GENERAL THE PRESIDENT</w:t>
        <w:br/>
        <w:t>Roberto Chieppa Gabriella Muscolo</w:t>
      </w:r>
    </w:p>
    <w:p>
      <w:r>
        <w:t>BULLETIN NO. 16 OF APRIL 30, 2018</w:t>
      </w:r>
    </w:p>
    <w:p>
      <w:r>
        <w:t>PS11004 - VODAFONE-FIBER OFFERS</w:t>
        <w:br/>
        <w:t>Order no. 27134</w:t>
        <w:br/>
        <w:t>THE AUTHORITY FOR COMPETITION AND THE MARKET</w:t>
        <w:br/>
        <w:t>IN ITS MEETING of April 18, 2018;</w:t>
        <w:br/>
        <w:t>HEARD the Rapporteur Professor Michele Ainis;</w:t>
        <w:br/>
        <w:t>VIEWING Part II, Title III, of Legislative Decree September 6, 2005, no. 206, containing the "Consumer Code" and subsequent amendments (hereinafter, Consumer Code or also CdC);</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documents of the proceeding;</w:t>
      </w:r>
    </w:p>
    <w:p>
      <w:r>
        <w:t>I. THE PARTIES</w:t>
      </w:r>
    </w:p>
    <w:p>
      <w:r>
        <w:t>1. Vodafone Italia S.p.A. (hereinafter also Vodafone), as a Professional, pursuant to Article 18, letter b), of the Consumer Code, having its registered office in Milan and operating in the electronic communications sector; as of March 31, 2017, it reported a turnover of 6.2 billion euros (resulting from the last approved and published financial statement).</w:t>
        <w:br/>
        <w:t>2. Telecom Italia S.p.A. (hereinafter, also Telecom), operating in the electronic communications sector.</w:t>
      </w:r>
    </w:p>
    <w:p>
      <w:r>
        <w:t>II. THE COMMERCIAL PRACTICE</w:t>
      </w:r>
    </w:p>
    <w:p>
      <w:r>
        <w:t>3. The proceeding concerns the behavior carried out by the Professional consisting of having used, in relation to the advertising campaigns "IPERFIBRA", "IPERFIBRA FAMILY", "VODAFONE ONE" and other similar offers, claims aimed at emphasizing the achievement of maximum performance in terms of speed and reliability of the connection while failing to inform consumers immediately and adequately about the characteristics of the transmission technology used and the related limitations as well as the actual potential of the fiber service offered (including actual browsing speed, available services, and limits arising from the geographical development of the network). Furthermore, in the commercial offers of fiber connectivity, adequate visibility was not given to the additional option, which is chargeable after an initial free period, that allows obtaining the maximum advertised speed.</w:t>
      </w:r>
    </w:p>
    <w:p>
      <w:r>
        <w:t>III. THE OUTCOMES OF THE PROCEEDING</w:t>
      </w:r>
    </w:p>
    <w:p>
      <w:r>
        <w:t>1) The course of the proceeding</w:t>
      </w:r>
    </w:p>
    <w:p>
      <w:r>
        <w:t>4. In relation to the conduct described above, on November 22, 2017, Vodafone was notified of the initiation of the PS11004 investigative proceeding for possible violation of Articles 20, 21, and 22 of the Consumer Code.</w:t>
        <w:br/>
        <w:t>5. At the outset, the misleading nature of the conduct described in subsection II) was particularly hypothesized as Vodafone's fiber offer, as formulated, immediately conveyed the idea of maximum service performance while simultaneously omitting to indicate its usability limitations, which would lead consumers to believe they could always or at least ordinarily achieve the advertised peak performance. More specifically, this representation would have led users to believe that by paying the advertised price, they could enjoy a highly reliable internet connection at maximum speed as it was developed entirely in fiber optic, up to their property unit. This circumstance, however, is not always the case.</w:t>
        <w:br/>
        <w:t>6. On December 6, 2017, Telecom Italia S.p.A. was notified of the acceptance of the request for participation in the proceeding received on December 1, 2017.</w:t>
        <w:br/>
        <w:t>7. With a letter received on December 15, 2017, Vodafone responded to the request for information contained in the initiation communication, with defensive observations.</w:t>
        <w:br/>
        <w:t>8. On January 8, 2018, pursuant to Article 27, paragraph 7, of the Consumer Code, Vodafone submitted commitments aimed at removing the unfairness profiles of the contested commercial practice.</w:t>
        <w:br/>
        <w:t>9. The proposed commitments, consisting of informational improvements to the advertising communications, were rejected by the Authority in its meeting of February 7, 2018, as they related to conduct that, if established, could constitute cases of "manifestly unfair and serious" commercial practices, for which Article 27, paragraph 7, of the Consumer Code could not find application. The outcome of the Board's evaluation was communicated to the Professional on February 8, 2018.</w:t>
        <w:br/>
        <w:t>10. During the proceeding, on January 26, 2018, a hearing of Vodafone was held at its request.</w:t>
        <w:br/>
        <w:t>11. On February 16 and 19, 2018, the date of conclusion of the investigative phase was communicated, respectively, to Vodafone and Telecom, pursuant to Article 16, paragraph 1, of the Regulation.</w:t>
        <w:br/>
        <w:t>12. On March 9, 2018, Vodafone submitted its final memorandum, subsequently supplemented with a communication received on April 12, 2018.</w:t>
        <w:br/>
        <w:t>13. On March 12, 2018, a request for an opinion was sent to the Authority for Guarantees in Communications, pursuant to Article 27, paragraphs 1 bis and 6, of the Consumer Code.</w:t>
      </w:r>
    </w:p>
    <w:p>
      <w:r>
        <w:t>2) The evidence acquired</w:t>
      </w:r>
    </w:p>
    <w:p>
      <w:r>
        <w:t>14. During the investigative proceeding, documentary evidence was acquired that confirms and specifies the allegations regarding the conduct carried out by Vodafone. In addition to the official acquisitions of documents in the proceedings (in particular posters, telepromotions, advertisements, informational brochures, and web pages), further elements were acquired in response to requests for information and hearings.</w:t>
        <w:br/>
        <w:t>15. In particular, the methods by which, during the observed period, Vodafone advertised fiber connectivity offers through ordinary communication channels (e.g., TV, posters, internet, below the line), the duration of each promotional campaign, and the existence of limitations affecting connection performance based on the technology used were confirmed and specified.</w:t>
        <w:br/>
        <w:t>16. On this last point, limiting factors of the FTTC technology compared to FTTH emerged, arising from the use of copper pairs rather than fiber optic cable up to the user's property unit. In particular, the informational section, called "Vodafone FIBER OPTIC,"</w:t>
      </w:r>
    </w:p>
    <w:p>
      <w:r>
        <w:rPr>
          <w:b/>
        </w:rPr>
        <w:t>[Pages 43–45]</w:t>
      </w:r>
    </w:p>
    <w:p>
      <w:r>
        <w:t>BULLETIN NO. 16 OF APRIL 30, 2018 45</w:t>
      </w:r>
    </w:p>
    <w:p>
      <w:r>
        <w:t>inserted by the operator on its website, in the final phase of the investigation, states that “the advantage of fiber optic cable to the home compared to copper cable is linked to the fact that the optical network offers the possibility of transporting many more pieces of information than traditional copper cables, allowing the customer to achieve higher browsing speeds. […] Furthermore, the performance of fiber optic connectivity has the advantage of being immune to all types of interference and to any weather events, nor is it affected by the distance between the customer's home and the exchange or the number of customers connected to it” (emphasis added). The Professional specifies that, on the other hand, in the FTTC architecture, “the length of the copper line affects the performance of the connection: the shorter the copper wire between the cabinet and the home, the greater the speed that the customer can achieve” and that the performance resulting from the use of FTTC technology is affected by electromagnetic interference caused by the pairs of other customers connected to the same cabinet (so-called crosstalk) with effects also on speed. Vodafone also specifies that the FTTC network is more prone to electrical faults and degradation due to the oxidation of the material used (copper).</w:t>
      </w:r>
    </w:p>
    <w:p>
      <w:r>
        <w:t>17. The company, during the hearing, also stated that “the consumer user is more sensitive to performance differences compared to the business user. Businesses, for example, unlike consumers, are not so attentive to the different timing in the delivery of emails. Consumers, moreover, make extensive use of content uploads. Consumers, in summary, pay particular attention to performance, for example, consider the quality needs when watching a high-definition movie when they have a specific 50-inch 4K television, the same goes for the speed of downloading movies.”</w:t>
      </w:r>
    </w:p>
    <w:p>
      <w:r>
        <w:t>18. From the investigative evidence, it has finally emerged that Vodafone predominantly uses FTTC technology compared to FTTH. In fact, based on what Vodafone itself stated, in contrast to the emphasis on achieving peak performance that characterizes the promotional campaigns described above, the company currently guarantees in Italy a limited geographical coverage in FTTH technology, approximately equal to [10-15%]* of the total number of residential units reached by ultra-broadband. Furthermore, the percentage of Vodafone customers who activated an FTTH connection, as of November 2017, is about [10-15%] of the total contracts for the provision of ultra-broadband internet services.</w:t>
      </w:r>
    </w:p>
    <w:p>
      <w:r>
        <w:t>3) Advertising Campaigns</w:t>
      </w:r>
    </w:p>
    <w:p>
      <w:r>
        <w:t>19. In light of what was acquired during the investigation, below are described, distinguished by communication channel, some exemplary advertising messages disseminated by Vodafone from at least October 2016 to the entire year of 2017, which present the characteristics highlighted above.</w:t>
      </w:r>
    </w:p>
    <w:p>
      <w:r>
        <w:t>4 In the final memorandum, received on March 9, 2018 (DOC.47), Vodafone communicated that it had inserted a specific page on its website that informs users about the factors limiting browsing speed (DOC.47 and related attachments). The insertion of this information also results from the official acquisition of the pages of the Vodafone website on February 16, 2018 (DOC. 39 and related attachments).</w:t>
      </w:r>
    </w:p>
    <w:p>
      <w:r>
        <w:t>5 DOC.32 – Hearing of Vodafone held on January 26, 2018.</w:t>
      </w:r>
    </w:p>
    <w:p>
      <w:r>
        <w:t>* In this version, some data are omitted, as elements of confidentiality or secrecy of the information were deemed to exist.</w:t>
      </w:r>
    </w:p>
    <w:p>
      <w:r>
        <w:t>6 DOC.19 and related attachments – Response to request for information with defensive observations.</w:t>
      </w:r>
    </w:p>
    <w:p>
      <w:r>
        <w:t>7 DOC.19 and related attachments – Response to request for information with defensive observations.</w:t>
      </w:r>
    </w:p>
    <w:p>
      <w:r>
        <w:t>8 DOC.47 and related attachments – Memorandum received from Vodafone on March 9, 2018.</w:t>
      </w:r>
    </w:p>
    <w:p>
      <w:r>
        <w:t>46 BULLETIN NO. 16 OF APRIL 30, 2018</w:t>
      </w:r>
    </w:p>
    <w:p>
      <w:r>
        <w:t>i. Billboards</w:t>
      </w:r>
    </w:p>
    <w:p>
      <w:r>
        <w:t>20. The advertising campaign for Vodafone's fiber offer was carried out in various Italian cities through the posting of posters characterized by the claims “IperFibra”, “IperFibra 1 Gigabit”, “IperFibra up to 1 Gigabit”, “download a movie in HD in 16 seconds” at the promotional price “Starting from 20 euros” and, in a note, in barely legible characters, the indication “to check technology, coverage and other info go to vodafone.it”, without any immediate warning regarding the possible limitations to which the offer is subject. If present, the reference to the cities where the maximum browsing speed can be reached is included in notes that are also poorly visible.</w:t>
      </w:r>
    </w:p>
    <w:p>
      <w:r>
        <w:t>ii. Operator's website</w:t>
      </w:r>
    </w:p>
    <w:p>
      <w:r>
        <w:t>21. Vodafone advertised its fiber internet connectivity offer on its website using the claims “IperFibra, up to 1 Gigabit per second” and similar ones, as well as focusing on the promotional price “from 20 euros every 4 weeks”. Alongside the aforementioned claims, it was indicated, in small characters, “speed 1 Gigabit per second available only in areas covered by FTTH on Family offers”. In a screen that appeared after clicking the link “Discover”, it was read in a note, with barely visible characters, “Offer valid in areas covered by FTTH and FTTC MAKE technology until November 30, unless extended. Speed 1 Gigabit per second available only in Milan, Bologna, Turin, Bari, Catania, Cagliari, Perugia, Venice, Naples, Padua, Palermo, and Genoa in areas covered by FTTH”.</w:t>
      </w:r>
    </w:p>
    <w:p>
      <w:r>
        <w:t>22. Only by clicking the button “all offer details”, which appeared after identifying, through a specific verification tool, the offers available for a specific geographical address, a screen appeared with the Tab titled “Costs and details” selected. In this screen, the offer “IperFibra” was distinguished from the offer “IperFibra Family”. If the test was conducted on an address reached by fiber with speeds up to 1 Gigabit/second, it was found that the first offer would allow browsing up to 300 Megabits/second at a cost of 20 euros every 4 weeks; the second, up to 1 Gigabit/second at a cost of 25 euros every 4 weeks. If, on the other hand, the test was conducted on an address reached by fiber with speeds up to 100 Megabits, it was found that the first offer would allow browsing up to 50 Megabits/second at a cost of 25 euros every 4 weeks; the second, up to 100 Megabits/second at a cost of 30 euros. A note, the content of which was fully readable only by scrolling the page, provided some explanations about the technological limitations that affect the actual browsing speed, with the following wording “the browsing speeds of the individual offers are the maximum; the actual ones depend on network coverage, capacity, technology available in your area (FTTH, FTTC), the degree of network congestion, the capacity of the server to which you are connected, the distance of the access network that separates the customer's location from the exchange or the cabinet to which the telephone line is connected, and any use of the Wi-Fi connection”. The same note also provided some information about the network architecture (“Fiber connections are provided, depending on the different network architectures present in the territory, through: FTTH technology ‘Fiber to the Home’: maximum speed up to 1 Gigabit per second in download, which allows a Fiber connection up to the customer's home; FTTC technology ‘Fiber to the Cabinet’: maximum speed up to 100 Megabits per second in download”). For more information, the note finally referred to the web page dedicated to each offer (“further insights on the characteristics of the services offered, on quality indicators and the updated list of cities covered in Fiber are available on vodafone.it, in the pages dedicated to the offers”).</w:t>
      </w:r>
    </w:p>
    <w:p>
      <w:r>
        <w:t>23. The same note mentioned above, in addition to repeating that the maximum speed up to 1 Gigabit/300 Megabits was available only in some cities, specified that the maximum speeds of each offer were achievable thanks to the “Fiber Speed” option (“speed up to 1 Gigabit/300/100/50 Megabits in download and respectively 200/20/20/10 Megabits in upload with ‘Fiber Speed’. If you disable ‘Fiber Speed’ the speed will be reduced to up to 20 Megabits in download and respectively up to 10/10/3/3 Megabits in upload”). This option, initially free, would become, after 12 renewals, chargeable, incurring a cost, in the long term, of an additional €5 every 4 weeks, with automatic renewal, unless deactivated.</w:t>
      </w:r>
    </w:p>
    <w:p>
      <w:r>
        <w:t>24. Some information about technical limitations and the maximum speed option for a fee was also provided, through another route, even if the consumer consulted the comparison tables of ADSL and IperFibra rates visible by clicking the link “compare all offers”, located at the bottom of each of the pages advertising internet connectivity services. In particular, on the landing page of the aforementioned link, it was indicated that the IperFibra plan allowed browsing at speeds up to 300 Megabits, while the IperFibra Family offer reached a speed of up to 1 Gigabit, at the costs of 20 and 25 euros every 4 weeks, respectively.</w:t>
      </w:r>
    </w:p>
    <w:p>
      <w:r>
        <w:t>25. A note written in very small characters and placed at the bottom of the comparison offers web page, visible by scrolling through the entire content of the same page, stated, in the same terms represented above, that the maximum speed up to 1 Gigabit/300 Megabits was available only in some cities and specified that the maximum speeds of each offer were achievable thanks to the “Fiber Speed” option.</w:t>
      </w:r>
    </w:p>
    <w:p>
      <w:r>
        <w:t>26. Vodafone's fiber offer is still advertised on the operator's website in ways that are entirely similar to those described so far, except for the novelty of the recent insertion of the specific web page, already mentioned above, that informs the user about the factors limiting browsing speed.</w:t>
      </w:r>
    </w:p>
    <w:p>
      <w:r>
        <w:t>iii. Below the line</w:t>
      </w:r>
    </w:p>
    <w:p>
      <w:r>
        <w:t>27. The July 2017 version of the brochure “Vodafone Home Offers”, distributed at Vodafone sales points, until at least the end of September 2017, features, on page 4, the image of Italy crossed by fiber and prominently displays the text “Vodafone IperFibra, the evolution of Fiber”. In smaller characters, it is announced that “Vodafone IperFibra has arrived and has already reached over 530 cities throughout Italy. In Milan, Bologna, Turin, Perugia, Bari, Cagliari, Venice, Catania, Naples, Padua, and Palermo with IperFibra you can browse up to 1 Gigabit per second”. On page 5, the “IperFibra” offer is advertised through the claims “Power has a new home, yours”, “AT FULL SPEED Browse at maximum speed, download music in seconds, upload photos and videos in an instant”, “THE WHOLE FAMILY CONNECTED […] the whole family can connect to the internet simultaneously at maximum speed”, “MAXIMUM STABILITY FOR GAMING AND VIDEO”. On page 6, the text “THE ADVANTAGES OF BEING AN IPERFIBRA/ADSL CUSTOMER” appears prominently, followed by the texts “BROWSE AT FULL SPEED WITH THE VODAFONE STATION REVOLUTION”, “Speed up to 1 Gigabit per second”, “Modem with ultra-fast Wi-Fi”. On page 8, under the highlighted text “IperFibra”, some characteristics of the “IperFibra Family” and “IperFibra” offers are indicated. In particular, next to the entry.</w:t>
      </w:r>
    </w:p>
    <w:p>
      <w:r>
        <w:rPr>
          <w:b/>
        </w:rPr>
        <w:t>[Pages 46–48]</w:t>
      </w:r>
    </w:p>
    <w:p>
      <w:r>
        <w:t>48 BULLETIN NO. 16 OF APRIL 30, 2018</w:t>
      </w:r>
    </w:p>
    <w:p>
      <w:r>
        <w:t>“HyperFiber” is indicated, for the first offer, “up to 1 Gigabit per second/100 Megabits per second”, for the second offer, “up to 300/50 Megabits per second”. The prominently displayed costs are, respectively, €30 and €25 every 4 weeks. In a footnote, in very small print, it is stated “[…] HyperFiber Speed: Fiber Speed free for 12 renewals, then €5 every 4 weeks. If you deactivate Fiber Speed, the download speed will be up to 20 Mbps. HyperFiber up to 1 Gigabit/300 Megabits per second available in Milan, Bologna, Turin, Perugia, Bari, Catania, Cagliari, Venice, Naples, Padua, and Palermo. For all info go to page 18. To check coverage, speed, and technology in your area, ask the retailer or go to vodafone.it […]”.</w:t>
      </w:r>
    </w:p>
    <w:p>
      <w:r>
        <w:t>28. The section “To learn more”, separated from the pages dedicated to individual offers, as it is located at the end of the brochure (page 18), and written in very small and dense characters, addresses various topics providing more detailed information about the services offered. In particular, information is provided on the quality of Vodafone ADSL and Fiber service: “the browsing speeds of the individual offers are the maximum; the actual speeds depend on network coverage (Fiber or ADSL), capacity, technology available in your area (FTTH, FTTC for Fiber and Vodafone fixed network/non-Vodafone fixed network for ADSL), the degree of network congestion, the capacity of the server to which you are connected, the distance of the access network that separates the customer's location from the central office or cabinet to which the telephone line is connected, and any use of the WIFI connection. Vodafone Fiber Technology: Fiber connections are provided, depending on the different network architectures present in the territory, through:</w:t>
        <w:br/>
        <w:t>- FTTH “Fiber to the Home” technology: maximum speed up to 1 Gigabit per second in download, which allows a Fiber connection up to the customer's home;</w:t>
        <w:br/>
        <w:t>- FTTC “Fiber to the Cabinet” technology: maximum speed up to 100 Megabits per second in download.</w:t>
        <w:br/>
        <w:t>Further insights into the characteristics of the services offered, quality indicators, and the updated list of cities covered by Fiber are available on vodafone.it, in the pages dedicated to the offers”.</w:t>
      </w:r>
    </w:p>
    <w:p>
      <w:r>
        <w:t>29. In the same section, information is also provided on “HyperFiber Speed” specifying that “with Fiber Speed you can browse up to 1 Gigabit/300/100/50 Megabits per second in download and respectively up to 200/20/20/10 Megabits per second in upload. If you deactivate Fiber Speed, the speed will be reduced to up to 20 Megabits per second in download and respectively up to 10/10/3/3 Megabits per second in upload. Fiber Speed is free for the first 12 renewals, then it automatically renews at €5 more every 4 weeks unless deactivated. Fiber up to 1 Gigabit/300 Megabits per second is only available in Milan, Bologna, Turin, Perugia, Bari, Catania, Cagliari, Venice, Naples, Padua, and Palermo”.</w:t>
      </w:r>
    </w:p>
    <w:p>
      <w:r>
        <w:t>30. Similar methods and content in the presentation of fiber connectivity offers are present in the subsequent versions of the informational brochure, dated October and December 2017.</w:t>
      </w:r>
    </w:p>
    <w:p>
      <w:r>
        <w:t>iv Television commercials</w:t>
      </w:r>
    </w:p>
    <w:p>
      <w:r>
        <w:t>31. The television commercials and telepromotions aired during 2017 advertise Vodafone's internet connectivity offer using the claims “HyperFiber”, “today speed is everything […] now at home we have Vodafone HyperFiber”, “everything was too slow […] now at home there is Vodafone HyperFiber”, “Vodafone HyperFiber is the first in Italy to have reached an HYPER speed, up to 1 Gigabit per second”, “we can download a movie in 16 seconds”, “everyone in the family can connect at maximum speed”,</w:t>
      </w:r>
    </w:p>
    <w:p>
      <w:r>
        <w:t>12 DOC.1 - Report received from Telecom Italia S.p.A. on July 31, 2017; DOC.2 and related attachments – Attachments to the report referred to in DOC.1; DOC.4 and related attachment – Integration of Telecom report; DOC.5 and related attachments - Minutes of the acquisition of documents in the proceedings dated November 15, 2017; DOC.19 and related attachments – Response to the request for information with defensive observations; DOC.47 and related attachments – Memorandum received from Vodafone on March 9, 2018.</w:t>
      </w:r>
    </w:p>
    <w:p>
      <w:r>
        <w:t>BULLETIN NO. 16 OF APRIL 30, 2018 49</w:t>
      </w:r>
    </w:p>
    <w:p>
      <w:r>
        <w:t>“choose the speed, choose Vodafone HyperFiber”, “starting from €20 Vodafone HyperFiber, up to 1 Gigabit per second”, “this is not Fiber, it is HyperFiber up to 1 Gigabit from €25, call 180, because a better network improves life”.</w:t>
      </w:r>
    </w:p>
    <w:p>
      <w:r>
        <w:t>32. At the end of some telepromotions, a voiceover reads the following message written in red in very large and visible characters “VODAFONE HYPERFIBER is available ALL OVER ITALY up to 100 MEGABITS per second and in MANY Italian CITIES you can browse up to 1 GIGABIT per second […], you have a WIFI 4 TIMES more powerful so EVERYONE in the family can connect SIMULTANEOUSLY at HYPER SPEED […] starting from €20 […]”. The above message is accompanied by the image (which scrolls quickly) of Italy with the generic location of 11 points on the peninsula where it would be possible to browse at 1 Gigabit. In the fast-scrolling notes overlay, among other information, it reads “[…] Vodafone HyperFiber available in more than 1000 cities in Italy. […] For 12 renewals in FTTH technology with HyperFiber you can browse up to 300 Megabits at €20 and with HyperFiber Family you can browse up to 1 Gigabit at €25 then respectively €25 and €30. In FTTC technology you can browse up to 50/100 Megabits. After 12 renewals, Fiber Speed automatically renews at €5 more every 4 weeks. If you deactivate Fiber Speed, the speed will be reduced to 20 Megabits in download and 10 Megabits in upload […]”.</w:t>
      </w:r>
    </w:p>
    <w:p>
      <w:r>
        <w:t>33. In other telepromotions, also based on the claim “HyperFiber”, the cities where HyperFiber at 1 Gigabit is available are indicated in a note that remains visible for a few seconds, and it is specified “fiber in FTTH technology. For technology, coverage, and other info go to vodafone.it”.</w:t>
      </w:r>
    </w:p>
    <w:p>
      <w:r>
        <w:t>34. In the television commercials, an overlay note states “UP TO 1 GIGABIT IN MILAN, BOLOGNA, AND TURIN. HyperFiber Speed: Fiber Speed free for 12 renewals. Then automatic renewal at €5 every 4 weeks, unless deactivated. Offer with minimum contractual commitment and early termination fee. To check technology, coverage, and learn all the details of the offer call 180 or go to vodafone.it”.</w:t>
      </w:r>
    </w:p>
    <w:p>
      <w:r>
        <w:t>35. Finally, it is noted that in addition to the aforementioned modification of the website, Vodafone, with a supplementary memorandum of April 12, 2018, communicated that it has also modified some informational content of the “below the line” material and television commercials.</w:t>
      </w:r>
    </w:p>
    <w:p>
      <w:r>
        <w:t>4) The defensive arguments of the professional</w:t>
      </w:r>
    </w:p>
    <w:p>
      <w:r>
        <w:t>Preliminary considerations</w:t>
      </w:r>
    </w:p>
    <w:p>
      <w:r>
        <w:t>36. Vodafone preliminarily presents two orders of considerations, concerning: a) the legitimate reliance arising from the outcome of the moral suasion procedure - initiated by the Authority in March 2015 and concluded with an archiving in May of the same year - concerning the misleading nature of the advertising campaign for the fiber optic service offer, called “Vodafone Fiber”; b) the changed regulatory framework in the electronic communications sector.</w:t>
      </w:r>
    </w:p>
    <w:p>
      <w:r>
        <w:t>37. With reference to point a), Vodafone believes that the practice subject to this procedure and the related disputes are similar to those subject to the aforementioned moral suasion. The company highlights, in particular, that, even on that occasion, the Authority had contested to Vodafone the lack of information in the commercial communications advertising fiber optic internet connectivity services with specific reference to the technical characteristics of the network and the related limitations. The company argues that it has followed the Authority's invitation to remove possible unfairness profiles, adopting informative methods regarding the characteristics of the “Vodafone Fiber” offer that coincided with those subsequently adopted regarding the “HyperFiber” offer subject to this procedure. Following the moral suasion, the Authority archived the intervention request directed against Vodafone, finding that the possible profiles of misleading nature of the commercial practice under investigation had been removed. Vodafone concludes by stating that “since this is now identical conduct to that previously considered ‘lawful’, it does not deserve different treatment, being qualified as unfair”.</w:t>
      </w:r>
    </w:p>
    <w:p>
      <w:r>
        <w:t>38. In relation to point b), Vodafone states that “the subject matter and the very definitions of the physical infrastructures for internet connection are still under discussion in the regulatory context, as there is currently no fully outlined and clear framework”. More specifically, the company highlights that only at the end of 2017 did the legislative amendment intervene that imposes specific informational obligations on companies operating in the electronic communications sector regarding the characteristics of the physical infrastructure used for the provision of related services. This norm, which introduced paragraph 1-bis in the text of Article 71 of Legislative Decree No. 259/2003 containing the Electronic Communications Code, has, moreover, entrusted AGCOM with the issuance of a specific regulation aimed at defining specific technical elements contained in the primary norm. Vodafone also highlights that “if only now the legislator has provided for a penalty for conduct that does not comply with the criteria that will be established by AGCOM, it means that such conduct, to date, can only be considered lawful”.</w:t>
      </w:r>
    </w:p>
    <w:p>
      <w:r>
        <w:t>39. The company concludes by asserting that the contested advertising campaigns, concerning the year 2017, date back to a period “subsequent to the aforementioned orientation expressed by the Authority with communication on May 7, 2015 and prior, not only to the start of regulatory activity […] but also to the primary legislative intervention […]”, concluding that “given the above, it is evident that the case in question moves between two poles (conceptual, as well as temporal), which, upon closer inspection, exclude any profile of illegitimacy and/or in any case of ‘manifest gravity and unfairness’ […]”.</w:t>
      </w:r>
    </w:p>
    <w:p>
      <w:r>
        <w:t>On the conduct subject to investigation</w:t>
      </w:r>
    </w:p>
    <w:p>
      <w:r>
        <w:t>40. With specific reference to the claim “HyperFiber”, Vodafone believes that “the hyperbole used in the name of the commercial service offer, as well as in the commercial communication, serves to differentiate this internet connection offer from previous ones […]. The connection speeds achieved today by Vodafone's fiber services are indeed significantly higher than in the past, both in areas covered by FTTH technology (where the connection speed now reaches the maximum speed of 1 Gigabit), and in those covered by FTTC technology (available in a wider territorial area). The hyperbole has the sole purpose, therefore, of drawing users' attention to the improvement of the fiber optic service provided by Vodafone; it is, upon closer inspection, a measure that is absolutely ‘innocuous’, limited to creating simple curiosity in the end user (and not deception about the quality of the service)”. The company estimates,</w:t>
      </w:r>
    </w:p>
    <w:p>
      <w:r>
        <w:rPr>
          <w:b/>
        </w:rPr>
        <w:t>[Pages 49–51]</w:t>
      </w:r>
    </w:p>
    <w:p>
      <w:r>
        <w:t>BULLETIN NO. 16 OF APRIL 30, 2018 51</w:t>
      </w:r>
    </w:p>
    <w:p>
      <w:r>
        <w:t>Furthermore, there should be no "uncertainty or opacity regarding the type of technology used" nor should there be "reliance by consumers regarding the (certain) availability of a fully fiber connection." Vodafone states that "in every commercial communication it is clearly indicated (with methods calibrated to the medium used) that the connection with speeds of up to 1 Gigabit is available only in certain cities" and adds that "once the territorial coverage of the service has been verified (the area of interest can be reached by FTTH or FTTC technology, depending on the case), the customer is fully informed about the characteristics of the internet connectivity offer and the performance of the service. Moreover, it is only at this moment that - it is reiterated, once the actual territorial coverage has been verified - clear, correct, and complete information regarding the service offered can be provided to the consumer."</w:t>
      </w:r>
    </w:p>
    <w:p>
      <w:r>
        <w:t>41. [Omissis]17.</w:t>
      </w:r>
    </w:p>
    <w:p>
      <w:r>
        <w:t>42. Regarding the signage, the company believes that "even within the limited information of an advertising display," users are clearly informed about the browsing speed and the cost of the fiber offer. Regarding the first aspect, through the wording "the maximum speed of up to 1 Gigabit is available only in certain cities, those reached by FTTH technology"; regarding the cost of the offer, through the phrases "to the price of the service, starting from 20 Euros, an activation fee must be added (as well as that for early termination)" and "the displayed price is a promotional price, with a limited duration (subject to an increase of 5 Euros at the end of the promotion)." Vodafone also emphasizes that "the consumer is invited to consult the website for any information on the availability of the service, as well as on the price, in their territorial area."</w:t>
      </w:r>
    </w:p>
    <w:p>
      <w:r>
        <w:t>43. With reference to the web channel, Vodafone highlights that the links "Discover the offers" and "Check availability," located on the homepage of its website, would represent "a visual cue to invite the user to immediately indicate the activation address, so as to receive information related to the offer." The company adds that "once this simple procedure is completed, the user is provided, in a clear and understandable manner, with all the information (visually well highlighted) necessary for the activation of the service." Vodafone believes, in any case, that there is "no profile of misleadingness, nor any omission, since the consumer cannot activate an offer different from that available in their territorial area."</w:t>
      </w:r>
    </w:p>
    <w:p>
      <w:r>
        <w:t>44. Also regarding the brochures presenting the internet connection service offers, Vodafone believes that they present "the main information related to the Iperfibra Offer, both regarding the connection speed and regarding the components of the service price." Specifically referring to the "stylized representation of Italy crossed by a beam of light," the company believes that no profile of misleadingness can be attributed to this graphic representation "since these are beams of light that traverse, without any particular meaning or reference, the peninsula." According to Vodafone, this image does not imply the exclusive use of fiber optic (i.e., FTTH technology). The company adds, finally, that "the service offered by the proponent is on fiber optic infrastructure and in no communication or advertising message is there any deception that the technology is only FTTH (let alone in the context of this graphic representation)."</w:t>
      </w:r>
    </w:p>
    <w:p>
      <w:r>
        <w:t>45. Regarding the commercials and telepromotions, Vodafone reiterates the adequacy of the information concerning browsing speed and the main components of the price, highlighting, moreover, the existence of the "reference to the operator's website" written, in the company's opinion, "in the main claim" and "in very large characters."</w:t>
      </w:r>
    </w:p>
    <w:p>
      <w:r>
        <w:t>17 [Omissis].</w:t>
      </w:r>
    </w:p>
    <w:p>
      <w:r>
        <w:t>52 BULLETIN NO. 16 OF APRIL 30, 2018</w:t>
      </w:r>
    </w:p>
    <w:p>
      <w:r>
        <w:t>46. Finally, regarding the disputes concerning the representation, in commercial offers, of additional options, free during the promotional period and subsequently paid, Vodafone states that the prices indicated in the advertising campaigns are promotional and that "this promotion is presented in the form of an 'option' (so-called 'Fiber Speed' or 'Iperfibra Speed'). If the consumer wishes to maintain the same price at the end of the first year, they can choose to deactivate this 'option' (resulting in a decrease in internet connection speeds)."</w:t>
      </w:r>
    </w:p>
    <w:p>
      <w:r>
        <w:t>IV. OPINION OF THE AUTHORITY FOR GUARANTEES IN COMMUNICATIONS</w:t>
      </w:r>
    </w:p>
    <w:p>
      <w:r>
        <w:t>47. Since the conduct subject to this order concerns the telecommunications sector and has been disseminated through telecommunications means (particularly via television spots and the internet), on March 12, 2018, the opinion was requested from the Authority for Guarantees in Communications, pursuant to Article 27, paragraphs 1-bis and 6, of the Consumer Code.</w:t>
      </w:r>
    </w:p>
    <w:p>
      <w:r>
        <w:t>48. In an opinion received on April 13, 2018, AGCOM notes that the conduct subject to the opinion "concerns the misleading nature of the information offered to users within advertising campaigns for the provision of internet connection services and does not appear to be directly attributable to the regulatory framework of the electronic communications sector." In particular, the Authority considers that the consumer "may have been led to make economic decisions by the presence of potentially misleading information regarding the actual availability of the advertised fiber optic internet connection." The Authority also believes that "the use of the internet, along with that of the television medium, is functional, facilitates, and significantly amplifies the realization of the described commercial practice for which the opinion is requested."</w:t>
      </w:r>
    </w:p>
    <w:p>
      <w:r>
        <w:t>V. CONCLUDING EVALUATIONS</w:t>
      </w:r>
    </w:p>
    <w:p>
      <w:r>
        <w:t>49. As a preliminary matter, it is deemed appropriate to make some clarifications regarding the considerations made by Vodafone concerning the legitimate reliance generated as a result of moral suasion and the changed regulatory framework.</w:t>
      </w:r>
    </w:p>
    <w:p>
      <w:r>
        <w:t>50. On the first issue, it is noted that the Authority, in 2015, expressed itself regarding a specific promotional campaign, called "Vodafone Fiber," carried out by the operator to advertise its fiber optic connectivity service offer during the reference period of that intervention. In this regard, it is highlighted that fiber technology, around which the entire digital ecosystem revolves, is in continuous and rapid evolution18, attracting, moreover, significant public and private investments. Accordingly, the maximum browsing speed offered and advertised by Vodafone has increased from 300 Megabits (in 2015) to 1 Gigabit (the current maximum value) and the related claims have progressively focused, almost exclusively, on the exaltation of the "ultra-speed" of the connection and on the use of the emphatic term "IperFibra," rather than on the simple indication of the offer in "fiber."</w:t>
      </w:r>
    </w:p>
    <w:p>
      <w:r>
        <w:t>51. In this perspective, the promotional campaign subject to this proceeding, related to the offer of the internet connection service using the claim "IperFibra," which therefore emphasizes a particular speed and performance quality, is different and not comparable to the entirely generic one called "Vodafone Fiber" that was ongoing in 2015. The new "IperFibra" campaign, in fact, precisely because of the terminology used, does not refer solely to the technology ("fiber") but evokes a specific performance claim connected to the evolution of the service that has characterized the new market context.</w:t>
      </w:r>
    </w:p>
    <w:p>
      <w:r>
        <w:t>52. For the reasons stated above, it is believed that the diversity of Vodafone's commercial communications, moreover in a changed reference context, renders the outcome of the previous moral suasion intervention outdated. In the current scenario, characterized, evidently, by a strong acceleration of the process of user migration to ultra-broadband offers and the corresponding expectation as well as need for a maximum quality internet connection to be able to enjoy increasingly sophisticated digital services, it becomes, without a doubt, increasingly relevant to provide consumers with clear and immediate information about the transmission technologies used and their related performances, from the very first phase of contact with the customer.</w:t>
      </w:r>
    </w:p>
    <w:p>
      <w:r>
        <w:t>53. Regarding the changed regulatory framework, it is noted that, as specified in point II, this order concerns the ascertainment of the misleading nature and omission of the information provided by Vodafone in the advertising campaigns related to the commercial offer of fiber optic connectivity; this in light of the use by the Professional of claims aimed at emphasizing the achievement of maximum performance in terms of speed and reliability of the connection.</w:t>
      </w:r>
    </w:p>
    <w:p>
      <w:r>
        <w:t>54. This ascertainment - aimed at verifying the completeness and correctness of the information provided regarding the characteristics and limits of the offers and the suitability to alter the behavior of the average consumer - completely disregards the amendment of the Electronic Communications Code.</w:t>
      </w:r>
    </w:p>
    <w:p>
      <w:r>
        <w:t>55. Given that the provisions of the Consumer Code regarding the completeness, clarity, and correctness of advertising communications have not been modified by the legislator, it is believed that, following the entry into force of Article 71, paragraph 1-bis, of the Electronic Communications Code, no situation of regulatory uncertainty has arisen. Conversely, the legislator has entrusted the Regulatory Authority19 with the task of defining the technical characteristics and corresponding names of the different types of physical infrastructure, "identifying as complete fiber optic infrastructure the infrastructure that ensures the fiber connection up to the customer's real estate unit," in order to guarantee greater protection for users of telephone services, television networks, and electronic communications, in terms of clarity and transparency of information. The norm, moreover, reiterates that "[c]onstitutes an unfair commercial practice, pursuant to the Consumer Code, as per Legislative Decree No. 206 of September 6, 2005, any communication to the public of the offer of electronic communication services that does not comply with the technical characteristics defined by the Authority for Guarantees in Communications."</w:t>
      </w:r>
    </w:p>
    <w:p>
      <w:r>
        <w:t>56. Clarifying the above, in light of the evidentiary findings, the unfairness of the commercial practice described in point II should be confirmed, as illustrated below.</w:t>
      </w:r>
    </w:p>
    <w:p>
      <w:r>
        <w:t>i. Signage</w:t>
      </w:r>
    </w:p>
    <w:p>
      <w:r>
        <w:t>57. The use of claims "IperFibra," "IperFibra 1 Gigabit," "IperFibra up to 1 Gigabit," "download a movie in HD in 16 seconds," and similar, implying the guarantee of achieving the maximum connection speed, without further specifications, has proven capable of misleading consumers into believing they are purchasing, at the advertised price, a service that would allow, in all circumstances, to browse at maximum speed due to the fiber optic connection up to their real estate unit (home or office) when, on the contrary, there could be technical limitations to the performance of the connection and to the</w:t>
      </w:r>
    </w:p>
    <w:p>
      <w:r>
        <w:t>19 On February 26, 2018, the Authority for Guarantees in Communications (Agcom) put out for public consultation the draft measure for defining the technical characteristics and corresponding names of the different types of physical infrastructure used for the provision of telephone services, television networks, and electronic communications, pursuant to Article 19-quinquiesdecies of Decree-Law No. 148 of October 16, 2017 (Resolution No. 33/18/CONS of January 30, 2018).</w:t>
      </w:r>
    </w:p>
    <w:p>
      <w:r>
        <w:rPr>
          <w:b/>
        </w:rPr>
        <w:t>[Pages 52–54]</w:t>
      </w:r>
    </w:p>
    <w:p>
      <w:r>
        <w:t>54 BULLETIN NO. 16 OF APRIL 30, 2018</w:t>
      </w:r>
    </w:p>
    <w:p>
      <w:r>
        <w:t>services available essentially derived from the type of transmission technology available and actually used (FTTC, FTTH, other). The user was not informed of the need to activate an additional option, initially free and subsequently for a fee, in order to navigate at the maximum advertised speed.</w:t>
      </w:r>
    </w:p>
    <w:p>
      <w:r>
        <w:t>58. The reference to the operator's website for obtaining more information was, moreover, not very visible and somewhat generic, not constituting an alert that would induce the user to verify the type of service, the related technical limitations, and therefore the actual potential/functionality of the connection in the location of interest, but merely an invitation to obtain complementary clarifications regarding the main claims.</w:t>
      </w:r>
    </w:p>
    <w:p>
      <w:r>
        <w:t>ii. Operator's website</w:t>
      </w:r>
    </w:p>
    <w:p>
      <w:r>
        <w:t>59. With reference to the promotion of fiber offers, after capturing consumers' attention using claims such as "HyperFiber, up to 1 Gigabit per second" and similar, aimed at highlighting the maximum performance of fiber optics, along with the promotional price "from 20 euros every 4 weeks," Vodafone provided potential customers with only partial indications regarding the limits of the offers themselves through, moreover, barely visible notes, especially at the initial moment of "hooking" the consumer.</w:t>
      </w:r>
    </w:p>
    <w:p>
      <w:r>
        <w:t>60. In particular, given that the claim "HyperFiber" referred to a specific performance boast, it is also noteworthy that some explanations regarding the differences between FTTH and FTTC technology were provided exclusively in notes, written in very small characters, which were not readily and immediately accessible as they were not directly reachable from the web pages where the fiber offers were advertised and could only be read by scrolling to the end of the web page in which they were located.</w:t>
      </w:r>
    </w:p>
    <w:p>
      <w:r>
        <w:t>61. Finally, it is observed that the claims present on the pages advertising the fiber offers or the immediate vicinity of those claims did not contain clear references to the fact that the maximum connection speeds could only be obtained by activating an additional option available for free for a limited time and then for a fee. The consumer was therefore not immediately informed of the actual cost to be paid in order to benefit from the advertised service.</w:t>
      </w:r>
    </w:p>
    <w:p>
      <w:r>
        <w:t>iii. Below the line</w:t>
      </w:r>
    </w:p>
    <w:p>
      <w:r>
        <w:t>62. The promotional campaign for the "Vodafone HyperFiber" offer conducted through brochures is misleading for reasons similar to those outlined with reference to the two previous communication channels. In particular, in light of the claim regarding the maximum browsing speed, the indications, which were also partial, regarding the characteristics/limitations of the offer and the level of available performance, where present, were provided in a barely visible manner as they could only be found in the "Learn more" section located on the last two pages of the brochure, separately, therefore, from the presentation of the individual offers, among numerous other pieces of information of a different nature and without adequate graphic prominence in favor of the consumer.</w:t>
      </w:r>
    </w:p>
    <w:p>
      <w:r>
        <w:t>63. It is also noted that neither the claims promoting the "HyperFiber" offer, present on the first pages of the brochure, nor the informational content placed in the immediate vicinity of the claims indicated in any way that the maximum connection speed could only be obtained by activating an additional option. The relevant information was provided, with little clarity and prominence, in the "Learn more" section located on the last two pages of the brochure.</w:t>
      </w:r>
    </w:p>
    <w:p>
      <w:r>
        <w:t>64. Finally, similarly to what has already been noted with reference to the advertisements, the references to the operator's website were, in addition to being not very visible, also quite generic, not constituting an alert that would induce the user to verify the type of service, the related limitations, and therefore the actual potential/functionality of the connection in the location of interest, but merely an invitation to obtain complementary clarifications regarding the main claims.</w:t>
      </w:r>
    </w:p>
    <w:p>
      <w:r>
        <w:t>iv. Television spots and telepromotions</w:t>
      </w:r>
    </w:p>
    <w:p>
      <w:r>
        <w:t>65. In light of the main claims that suggested the achievement of peak speed performance, it is noted that in the spots and telepromotions, there was a lack of a clear and immediate reference to the existing limitations.</w:t>
      </w:r>
    </w:p>
    <w:p>
      <w:r>
        <w:t>66. Similarly to what was observed for the advertisements and below the line advertising, also with reference to the spots and telepromotions, the reference to the operator's website was, in addition to being not very visible - as it was represented in tiny characters in texts that scrolled very quickly in overlay or in notes that appeared on the screen for a few seconds - also quite generic, not constituting an alert that would induce the user to verify the type of service, the related limitations, and therefore the actual potential/functionality of the connection in the location of interest, but merely an invitation to obtain complementary clarifications regarding the main claims.</w:t>
      </w:r>
    </w:p>
    <w:p>
      <w:r>
        <w:t>67. Also with respect to this type of advertising, the Professional used a claim that led one to believe that the maximum performance of the service always existed and omitted a clear reference that would indicate that the maximum connection speed could only be obtained by activating an additional option available for free for a limited time and then for a fee.</w:t>
      </w:r>
    </w:p>
    <w:p>
      <w:r>
        <w:t>68. With reference, then, to all means of communication, the indication, where present, of the cities reached by fiber does not appear to adequately inform the user about the existence of limits related to the offers and to avoid confusing effects regarding the fact that they can confidently purchase, at the specific address of interest, a connection service at the speed and with the technology emphasized in the advertising claims.</w:t>
      </w:r>
    </w:p>
    <w:p>
      <w:r>
        <w:t>69. Finally, regarding the perceived performance differences between FTTC and FTTH by the user, it is believed, [omitted], that these are largely demonstrated using the "Fixed Line Speed Test," located in a section of the operator's website. This tool allows, in fact, to simulate download times of different types of files (for example, video or music), highlighting the significant differences between downloads at a speed of 1 Gigabit (FTTH) and downloads at lower speeds (200, 100, and 50 Megabits). The "Speed Test," suitable for informing the user about performance differences based on the technology used, is, in any case, only reachable following links placed in not very visible positions without adequate prominence in favor of the consumer.</w:t>
      </w:r>
    </w:p>
    <w:p>
      <w:r>
        <w:t>Conclusions</w:t>
      </w:r>
    </w:p>
    <w:p>
      <w:r>
        <w:t>70. In light of the evidence presented, it is clear that Vodafone has engaged in conduct in violation of Articles 21 and 22 of the Consumer Code. The company has, in fact, used claims, specifically "HyperFiber," that led the consumer to believe they could achieve maximum performance by resorting to a performance boast that is not always existent and has omitted, or not adequately highlighted, information about the characteristics of the promoted offer as "HyperFiber," the geographical coverage limits of the various network solutions, the differences in available services and performance based on the infrastructure used to provide the fiber connection. As a result of this misleading and omissive conduct, the consumer, in light of the use of claims that emphasize maximum performance, was not placed in a position to identify the elements that characterize, in concrete terms, the offer, particularly from the perspective of the actual performance related to the technology underlying the different types of offers; that is, the end user was not able to know essential elements in order to make an informed choice.</w:t>
      </w:r>
    </w:p>
    <w:p>
      <w:r>
        <w:t>71. Furthermore, it should be added that across communication means other than the website, the Professional omitted an adequate reminder of the need to verify the actual functionality of the offer in the user's area of interest.</w:t>
      </w:r>
    </w:p>
    <w:p>
      <w:r>
        <w:t>72. All the aforementioned advertising campaigns also omitted or indicated insufficiently clearly that in order to achieve the maximum advertised speeds, it was necessary to activate an additional paid option (free only for a limited time). This circumstance has, therefore, nullified the indication of the price of the offer contained in the main claims.</w:t>
      </w:r>
    </w:p>
    <w:p>
      <w:r>
        <w:t>73. The misleading and omissive conduct described above assumes particular relevance considering the economic sector involved, characterized by rapidly and radically changing consumer models and user needs in light of an increasing offer of digital services (for example, cloud computing, internet of things, virtual and augmented reality, artificial intelligence, as well as social networks, games, video and audio streaming, voice and IP messaging applications, high-definition video conferencing, various online public and private services). As confirmed in the community strategy of the "Gigabit Society," the use of such services requires increasingly higher quality and responsiveness of the network, of which the consumer must be adequately informed along with the types of services they can benefit from for each advertised internet connectivity offer. The absence of clear and comprehensive information on these profiles prevents the consumer from making an informed commercial decision regarding the purchase of the fiber offer and leads them or is likely to lead them to make a commercial decision that they would not have otherwise made.</w:t>
      </w:r>
    </w:p>
    <w:p>
      <w:r>
        <w:t>74. The commercial practice in question also contrasts with the professional diligence that can legitimately be expected from an operator in the relevant sector. In particular, it should be emphasized that no normal degree of correctness, competence, and attention that could reasonably be expected in the conduct under examination was found on the part of Vodafone, considering the characteristics of the activity carried out and the fact that the Professional represents an important operator in the context of the relevant Italian market, having recorded a growing market position in recent times.</w:t>
      </w:r>
    </w:p>
    <w:p>
      <w:r>
        <w:t>75. In conclusion, in the advertising campaigns related to the commercial offer of fiber optic connectivity, Vodafone, in light of the use of claims aimed at emphasizing the achievement of maximum performance in terms of speed and reliability of the connection, has failed to adequately inform consumers about the real characteristics of the service offered and the related limitations; moreover, it has not given adequate visibility to the additional option, which is paid after an initial period of free service, that allows for obtaining the maximum advertised speed.</w:t>
      </w:r>
    </w:p>
    <w:p>
      <w:r>
        <w:t>76. In light of the investigative findings and the considerations that precede, therefore, the commercial practice in question is deemed unfair pursuant to Articles 20, paragraph 2, 21, and 22 of the Consumer Code.</w:t>
      </w:r>
    </w:p>
    <w:p>
      <w:r>
        <w:rPr>
          <w:b/>
        </w:rPr>
        <w:t>[Pages 55–57]</w:t>
      </w:r>
    </w:p>
    <w:p>
      <w:r>
        <w:t>BULLETIN NO. 16 OF APRIL 30, 2018 57</w:t>
      </w:r>
    </w:p>
    <w:p>
      <w:r>
        <w:t>VI. QUANTIFICATION OF THE SANCTION</w:t>
      </w:r>
    </w:p>
    <w:p>
      <w:r>
        <w:t>77. Pursuant to Article 27, paragraph 9, with the order that prohibits the unfair commercial practice, the Authority imposes an administrative monetary penalty ranging from 5,000 to 5,000,000 euros, taking into account the severity and duration of the violation.</w:t>
      </w:r>
    </w:p>
    <w:p>
      <w:r>
        <w:t>78.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79. With regard to the severity of the violation, consideration is given, in the case at hand, to the particular nature of the unfairness profile characterized by particularly significant informational deficiencies and deeply deceptive nature regarding innovative and highly technological services (of ultra-broadband internet connectivity).</w:t>
      </w:r>
    </w:p>
    <w:p>
      <w:r>
        <w:t>80. The severity also arises from the position of severe informational asymmetry in which the consumer finds themselves when purchasing services whose characteristics, of a complex nature, are not clear and immediately understandable to the user.</w:t>
      </w:r>
    </w:p>
    <w:p>
      <w:r>
        <w:t>81. Always with regard to the severity of the conduct, the economic relevance of the Professional is considered, a highly recognized operator in the relevant Italian market.</w:t>
      </w:r>
    </w:p>
    <w:p>
      <w:r>
        <w:t>82. Finally, the degree of dissemination of the practice is relevant, widespread, through the internet and the main means of communication, throughout the national territory.</w:t>
      </w:r>
    </w:p>
    <w:p>
      <w:r>
        <w:t>83. As for the duration of the violation, from the available elements in the records, it is evident that the commercial practice subject to this proceeding has been in place since at least October 2016 and is still ongoing.</w:t>
      </w:r>
    </w:p>
    <w:p>
      <w:r>
        <w:t>84. Based on these elements, considering the particular severity and duration of the commercial practice, it is deemed appropriate to set the base amount of the applicable administrative monetary penalty for Vodafone Italia S.p.A. at 4,600,000 € (four million six hundred thousand euros).</w:t>
      </w:r>
    </w:p>
    <w:p>
      <w:r>
        <w:t>85. In consideration of the fact that there are, in this case, the following circumstances: an aggravating factor related to recidivism, as the Professional has already been the recipient of orders confirming violations of the Consumer Code; the other, mitigating, as the Professional, although not removing all aspects of misleadingness, has made some modifications to the information on fiber offers, it is deemed appropriate to determine the amount of the sanction at 4,600,000 € (four million six hundred thousand euros).</w:t>
      </w:r>
    </w:p>
    <w:p>
      <w:r>
        <w:t>THEREFORE, CONSIDERING, in accordance with the opinion of the Authority for Communications Guarantees, based on and within the limits of the considerations set forth above, that the commercial practice subject to this proceeding is deemed unfair pursuant to Articles 20, paragraph 2, 21, and 22 of the Consumer Code, as contrary to professional diligence and capable of appreciably distorting the economic behavior of the average consumer, in relation to the services offered by the Professional;</w:t>
      </w:r>
    </w:p>
    <w:p>
      <w:r>
        <w:t>58 BULLETIN NO. 16 OF APRIL 30, 2018</w:t>
      </w:r>
    </w:p>
    <w:p>
      <w:r>
        <w:t>RESOLUTION</w:t>
      </w:r>
    </w:p>
    <w:p>
      <w:r>
        <w:t>a) that the commercial practice described in point II of this order, carried out by the company Vodafone Italia S.p.A., constitutes, for the reasons and within the limits set forth in the reasoning, an unfair commercial practice pursuant to Articles 20, paragraph 2, 21, and 22 of the Consumer Code, and prohibits its continuation;</w:t>
      </w:r>
    </w:p>
    <w:p>
      <w:r>
        <w:t>b) to impose on the company Vodafone Italia S.p.A. an administrative monetary penalty of 4,600,000 € (four million six hundred thousand euros);</w:t>
      </w:r>
    </w:p>
    <w:p>
      <w:r>
        <w:t>c) that the Professional communicates to the Authority, within one hundred twenty days from the notification of this order, the initiatives taken in compliance with the injunction referred to in point a).</w:t>
      </w:r>
    </w:p>
    <w:p>
      <w:r>
        <w:t>The administrative penalty imposed must be paid within thirty days from the notification of this order,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order will be notified to the interested parties and published in the Bulletin of the Authority for Competition and the Market.</w:t>
      </w:r>
    </w:p>
    <w:p>
      <w:r>
        <w:t>Pursuant to Article 27, paragraph 12, of the Consumer Code, in case of non-compliance with the order, the Authority applies an administrative monetary penalty ranging from 10,000 to 5,000,000 euros. In cases of repeated non-compliance, the Authority may order the suspension of business activity for a period not exceeding thirty days.</w:t>
      </w:r>
    </w:p>
    <w:p>
      <w:r>
        <w:t>BULLETIN NO. 16 OF APRIL 30, 2018 59</w:t>
      </w:r>
    </w:p>
    <w:p>
      <w:r>
        <w:t>Against this order, an appeal may be filed with the TAR of Lazio, pursuant to Article 135, paragraph 1, letter b), of the Code of Administrative Procedure (Legislative Decree July 2, 2010, No. 104), within sixty days from the date of notification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order itself.</w:t>
      </w:r>
    </w:p>
    <w:p>
      <w:r>
        <w:t>f.f. THE SECRETARY GENERAL THE PRESIDENT</w:t>
      </w:r>
    </w:p>
    <w:p>
      <w:r>
        <w:t>Serena Stella Giovanni Pitruzzella</w:t>
      </w:r>
    </w:p>
    <w:p>
      <w:r>
        <w:rPr>
          <w:b/>
        </w:rPr>
        <w:t>[Pages 58–60]</w:t>
      </w:r>
    </w:p>
    <w:p>
      <w:r>
        <w:t xml:space="preserve">60 BULLETIN NO. 16 OF APRIL 30, 2018  </w:t>
        <w:br/>
        <w:t xml:space="preserve">PS10403B - TECNOMASTER.BIZ - FAILURE TO DELIVER  </w:t>
        <w:br/>
        <w:t xml:space="preserve">Provision No. 27135  </w:t>
        <w:br/>
        <w:t xml:space="preserve">THE AUTHORITY FOR THE GUARANTEE OF COMPETITION AND THE MARKET  </w:t>
        <w:br/>
        <w:t xml:space="preserve">IN ITS MEETING of April 24, 2018;  </w:t>
        <w:br/>
        <w:t xml:space="preserve">HEARD the Rapporteur Dr. Gabriella Muscolo;  </w:t>
        <w:br/>
        <w:t xml:space="preserve">HAVING REGARD TO Part II, Title III, and Part III, Title III, Chapter I, of Legislative Decree No. 206 of September 6, 2005, and subsequent amendments (hereinafter, the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Directive 2000/31/EC of the European Parliament and of the Council of June 8, 2000, concerning certain legal aspects of information society services, in particular electronic commerce, in the internal market ("E-commerce Directive");  </w:t>
        <w:br/>
        <w:t xml:space="preserve">HAVING REGARD TO Legislative Decree No. 70 of April 9, 2003, implementing Directive 2000/31/EC concerning certain legal aspects of information society services, in particular electronic commerce, in the internal market;  </w:t>
        <w:br/>
        <w:t xml:space="preserve">HAVING REGARD TO the documents of the proceeding;  </w:t>
        <w:br/>
        <w:t xml:space="preserve">HAVING REGARD TO the communication initiating proceeding PS10403B of November 8, 2017, aimed at verifying the existence of unfair commercial practices in violation of Articles 21 letter b), 24, 25 letter d) and e), 49 paragraph 1 letters h), and v), 56 paragraph 1, 66-bis of the Consumer Code.  </w:t>
        <w:br/>
        <w:t xml:space="preserve">CONSIDERING the following:  </w:t>
        <w:br/>
        <w:t xml:space="preserve">I. FACT  </w:t>
        <w:br/>
        <w:t xml:space="preserve">1. According to reports received by the Authority since April 2017 and some information acquired ex officio for the application of the Consumer Code, Tecnomaster.Biz S.p.A. (VAT No. 04041880719) (hereinafter also referred to as "party" or "professional") has engaged in an unfair commercial practice consisting of imposing various difficulties on consumers regarding the exercise of certain contractual rights. It appears that the professional, following a significant number of transactions, has failed to deliver the products ordered on the site tecnomaster.biz in a significant number of cases and has not responded, in an equally significant number of cases, to reminders and requests, first for fulfillment and then for reimbursement, from consumers, who rarely manage to obtain the fulfillment of the obligation or the refund of the price paid.  </w:t>
        <w:br/>
        <w:t xml:space="preserve">2. Based on the information acquired in the documents, on March 28, 2018, the investigative proceeding PS10403B was initiated, pursuant to Article 27, paragraph 3, of the Consumer Code, as well as pursuant to Article 6 of the Regulation, in order to verify the existence of unfair commercial practices in violation of Articles 21 letter b), 24, 25 letter d) and e), 49 paragraph 1 letters h), and v), 56 paragraph 1, 66-bis of the Consumer Code.  </w:t>
        <w:br/>
        <w:t xml:space="preserve">3. Concurrently with the initiation communication, the professional was invited, pursuant to Article 8, paragraph 2, of the Regulation, to submit written statements and documents within 10 days of receipt, for the purpose of evaluating the prerequisites for the provisional suspension of the practices, pursuant to Article 27, paragraph 3, of the Consumer Code.  </w:t>
        <w:br/>
        <w:t xml:space="preserve">4. On April 12, 2018, inspections were carried out to acquire documentation useful to prove the existence of the behaviors subject to the proceeding at the professional's premises.  </w:t>
        <w:br/>
        <w:t xml:space="preserve">5. This verification activity took place at the company's legal headquarters and allowed for the ascertainment that the professional from January 2017 to February 2018 received 5,579 orders. Of these, 2,728 were fulfilled, 1,243 were canceled, and 1,608 are still pending, thus without any refund having been made.  </w:t>
        <w:br/>
        <w:t xml:space="preserve">6. Regarding customers who made payments without receiving the ordered goods, the legal representative of the company emphasized that such defaults were caused by liquidity problems.  </w:t>
        <w:br/>
        <w:t xml:space="preserve">7. As for the method of promoting the goods offered on the company website, the professional clarified that the company operates exclusively in dropshipping and therefore the term "available" indicated on the site should be understood with reference to the presence of the product in the warehouses of wholesalers and suppliers of Tecnomaster.biz since there are no products destined for online buyers at the company's warehouses.  </w:t>
        <w:br/>
        <w:t xml:space="preserve">Complaint Management  </w:t>
        <w:br/>
        <w:t xml:space="preserve">8. Regarding the management of complaints, from a summary examination of the 8,195 emails present in the mailbox info@tecnomaster.biz and, in part, related to "conversations" that took place with consumers and managed by the Party, it emerges that the professional follows a recurring method: upon the first complaint, he requests the administrative details of the order and reassures the buyer regarding the delivery of the ordered good. Subsequently, in response to the numerous further complaints, he states that the delays are due to administrative problems and/or delays in the shipment of products. Finally, following the buyer's request for a refund, he replicates the same strategy and ultimately does not proceed with the refund.  </w:t>
        <w:br/>
        <w:t xml:space="preserve">II. MEMORIES OF THE PARTIES  </w:t>
        <w:br/>
        <w:t xml:space="preserve">9. The professional did not submit any defensive memory in order to provide evaluation elements regarding the provisional suspension of the activity pursuant to Article 27 paragraph 3 of the Consumer Code.  </w:t>
        <w:br/>
        <w:t xml:space="preserve">III. EVALUATIONS  </w:t>
        <w:br/>
        <w:t xml:space="preserve">10. From the perspective of fumus boni iuris, the elements described above lead to believe that the unfair commercial practice described exists prima facie, in violation of the provisions of the Consumer Code.  </w:t>
        <w:br/>
        <w:t xml:space="preserve">11. As emerges from the reports and the inspection findings, the behavior of the professional is characterized by particular seriousness given that he proceeds to sell products of which he not only does not have availability at the time of the transaction, but does not proceed to order and ship to consumers in a reasonable time.  </w:t>
        <w:br/>
        <w:t xml:space="preserve">12. The number of orders canceled by consumers compared to those received, as well as the extremely high number of buyers to be refunded, is well above any physiological and contingent procurement difficulty, incompatible with the offer to consumers of consumer goods and with the promotional initiatives that the professional undertakes to establish credibility with consumers.  </w:t>
        <w:br/>
        <w:t xml:space="preserve">13. But there is more. There are countless pieces of evidence in the documents regarding delays, standard responses, evasive, elusive answers provided by the professional to consumers precisely to hinder them in their recovery of the amounts unlawfully retained by the professional.  </w:t>
        <w:br/>
        <w:t xml:space="preserve">14. From the perspective of periculum in mora, it is worth noting that the conduct described above is characterized by a high degree of offensiveness as the site tecnomaster.biz is suitable, during the course of the proceeding, also considering the exponential growth of online sales and the characteristics of the offer advertised by the professional - electronic products at particularly attractive prices - to reach a large number of consumers who might decide to purchase the products and simultaneously pay the price, without however receiving the purchased goods and therefore unable to recover the amounts paid.  </w:t>
        <w:br/>
        <w:t xml:space="preserve">15. In light of all the above, considering the current nature of the conduct proven by the uninterrupted flow of reports and inspection evidence, the website in question appears capable of inducing consumers to make a commercial decision that they would not otherwise take, such as making purchases for unavailable products, with the consequence of paying an amount for products that are not regularly delivered and, due to the conduct of the professional, which makes it particularly difficult and complex to recover the amounts paid.  </w:t>
        <w:br/>
        <w:t xml:space="preserve">THEREFORE, IT IS CONSIDERED that from the examination of the documents of the proceeding emerge elements that support the necessity to act with particular urgency in order to prevent the above-described commercial practice from continuing to be carried out during the course of the substantive proceeding;  </w:t>
        <w:br/>
        <w:t xml:space="preserve">ORDERS  </w:t>
        <w:br/>
        <w:t xml:space="preserve">pursuant to Article 27, paragraph 3, of the Consumer Code and Article 8, paragraph 1, of the Regulation, that the company Tecnomaster.Biz S.p.A. (VAT No. 04041880719):  </w:t>
        <w:br/>
        <w:t xml:space="preserve">a) within three days from the communication of this provision, suspend any activity aimed at selling, through the website tecnomaster.biz, unavailable products as well as the advance charging of fees for products that are not in stock at the professional's warehouses or otherwise ready for delivery;  </w:t>
        <w:br/>
        <w:t xml:space="preserve">b) communicate to the Authority the execution of this suspension provision and the related methods within ten days from the receipt of this provision, sending a detailed report illustrating the measures adopted.  </w:t>
        <w:br/>
        <w:t xml:space="preserve">Pursuant to Article 27, paragraph 12, of the Consumer Code, in case of non-compliance with this resolution, the Authority shall apply an administrative monetary penalty ranging from 10,000 to 5,000,000 euros. In cases of repeated non-compliance, the Authority may order the suspension of business activity for a period not exceeding thirty days.  </w:t>
        <w:br/>
        <w:t xml:space="preserve">This provision will be communicated to the interested parties pursuant to Article 19 of the Regulation and published in the Bulletin of the Authority for the Guarantee of Competition and the Market.  </w:t>
        <w:b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communication of the provision itself.</w:t>
      </w:r>
    </w:p>
    <w:p>
      <w:r>
        <w:rPr>
          <w:b/>
        </w:rPr>
        <w:t>[Pages 61–63]</w:t>
      </w:r>
    </w:p>
    <w:p>
      <w:r>
        <w:t>BULLETIN NO. 16 OF APRIL 30, 2018 63</w:t>
      </w:r>
    </w:p>
    <w:p>
      <w:r>
        <w:t>It is reminded that, pursuant to Article 8, paragraph 4, of the Regulation, this suspension decision must be executed immediately by the professional and that the appeal against the suspension order of the Authority does not suspend its execution.</w:t>
      </w:r>
    </w:p>
    <w:p>
      <w:r>
        <w:t xml:space="preserve">THE SECRETARY GENERAL f.f. THE PRESIDENT  </w:t>
        <w:br/>
        <w:t>Roberto Chieppa Gabriella Muscolo</w:t>
      </w:r>
    </w:p>
    <w:p>
      <w:r>
        <w:t>64 BULLETIN NO. 16 OF APRIL 30, 2018</w:t>
      </w:r>
    </w:p>
    <w:p>
      <w:r>
        <w:t xml:space="preserve">VARIOUS  </w:t>
        <w:br/>
        <w:t xml:space="preserve">APPOINTMENT OF THE DATA PROTECTION OFFICER  </w:t>
        <w:br/>
        <w:t>Provision No. 27131</w:t>
      </w:r>
    </w:p>
    <w:p>
      <w:r>
        <w:t xml:space="preserve">THE AUTHORITY FOR THE GUARANTEE OF COMPETITION AND THE MARKET  </w:t>
        <w:br/>
        <w:t xml:space="preserve">IN ITS MEETING of April 5, 2018;  </w:t>
        <w:br/>
        <w:t xml:space="preserve">HAVING REGARD to Law No. 287 of October 10, 1990, containing "Rules for the protection of competition and the market";  </w:t>
        <w:br/>
        <w:t xml:space="preserve">HAVING REGARD to the Regulation concerning the organization and functioning of the Authority for the Guarantee of Competition and the Market, approved by resolution No. 26614 of May 24, 2017 and the structure of the Authority outlined in the aforementioned Regulation;  </w:t>
        <w:br/>
        <w:t xml:space="preserve">HAVING REGARD to Regulation (EU) 2016/679 of the European Parliament and of the Council of April 27, 2016 "on the protection of natural persons with regard to the processing of personal data, and on the free movement of such data, and repealing Directive 95/46/EC (General Data Protection Regulation)" (hereinafter GDPR), in force since May 24, 2016, and applicable from May 25, 2018;  </w:t>
        <w:br/>
        <w:t xml:space="preserve">HAVING REGARD, in particular, to Articles 37 to 39 of the GDPR, which introduce the figure of the Data Protection Officer (hereinafter DPO),  </w:t>
        <w:br/>
        <w:t xml:space="preserve">and, specifically, regarding the designation of the DPO:  </w:t>
        <w:br/>
        <w:t xml:space="preserve">- Article 37, paragraph 1, letter a) provides for the obligation for the data controller or processor to designate the DPO "when the processing is carried out by a public authority or body, except for judicial authorities when acting in their judicial capacity";  </w:t>
        <w:br/>
        <w:t xml:space="preserve">- Article 37, paragraph 5) requires that "The data protection officer is designated on the basis of professional qualities, in particular, expert knowledge of data protection law and practices, and the ability to perform the tasks referred to in Article 39";  </w:t>
        <w:br/>
        <w:t xml:space="preserve">- Article 37, paragraph 6) provides that "the data protection officer may be an employee of the data controller or processor or may fulfill his tasks based on a service contract";  </w:t>
        <w:br/>
        <w:t xml:space="preserve">- Recital 97 indicates that "the necessary level of expert knowledge should be determined by the data processing operations carried out and the protection required for the personal data processed by the data controller or processor";  </w:t>
        <w:br/>
        <w:t xml:space="preserve">HAVING REGARD to the Authority's resolution of April 22, 2015, No. 25440b, regarding the appointment of the Data Protection Officer;  </w:t>
        <w:br/>
        <w:t xml:space="preserve">CONSIDERING that the Authority for the Guarantee of Competition and the Market is required to designate the DPO as mandated, falling within the case provided for by Article 37, paragraph 1, letter a) of the GDPR;  </w:t>
        <w:br/>
        <w:t xml:space="preserve">CONSIDERING that the DPO must possess expert knowledge of data protection law and practices, and the ability to perform the tasks referred to in Article 39 of the GDPR;  </w:t>
        <w:br/>
        <w:t xml:space="preserve">CONSIDERING the outcome of the internal analysis for identifying, among the managerial staff and high-level officials, the possible candidates possessing the level of expert knowledge and the skills required by Article 37, paragraph 5 of the GDPR, and who are not in situations of conflict of interest with the position to be filled;  </w:t>
        <w:br/>
        <w:t xml:space="preserve">CONSIDERING that, as evidenced by her personal curriculum, Dr. Ermelinda Ciaralli, currently head of the Evaluation and Strategic Control Body, has a statistical background and has worked as a systems analyst and business process analyst in private companies, as well as having held responsible roles in various investigative departments of the Authority;  </w:t>
        <w:br/>
        <w:t xml:space="preserve">THEREFORE CONSIDERING, with regard to the DPO position, that Dr. Ermelinda Ciaralli, due to her rank, as well as her specific experience and expertise in IT and the institutional processes of the Authority, is suitable for the position;  </w:t>
        <w:br/>
        <w:t>CONSIDERING to appoint, upon the proposal of the Secretary General, Dr. Ermelinda Ciaralli, who meets the necessary characteristics required by Article 37, paragraph 5 of the GDPR and who is not in a situation of conflict of interest with the position to be filled and the tasks and functions to be performed;</w:t>
      </w:r>
    </w:p>
    <w:p>
      <w:r>
        <w:t xml:space="preserve">RESOLVES  </w:t>
        <w:br/>
        <w:t xml:space="preserve">to appoint Dr. Ermelinda Ciaralli, a permanent official of the Authority, as the Data Protection Officer (DPO) for the Authority for the Guarantee of Competition and the Market.  </w:t>
        <w:br/>
        <w:t xml:space="preserve">The aforementioned, in compliance with the provisions of Article 39, paragraph 1, of the GDPR, is entrusted with the following tasks and functions, to be carried out in full autonomy and independence:  </w:t>
        <w:br/>
        <w:t xml:space="preserve">a) to inform and provide advice to the data controller or processor as well as to employees executing the processing regarding the obligations arising from the GDPR, as well as from other national or Union provisions relating to data protection;  </w:t>
        <w:br/>
        <w:t xml:space="preserve">b) to monitor compliance with the GDPR, other national or Union provisions relating to data protection as well as the policies of the data controller or processor regarding personal data protection, including the allocation of responsibilities, awareness-raising and training of staff participating in the processing and related control activities;  </w:t>
        <w:br/>
        <w:t xml:space="preserve">c) to provide, if requested, an opinion regarding the data protection impact assessment and to monitor its performance pursuant to Article 35 of the GDPR;  </w:t>
        <w:br/>
        <w:t xml:space="preserve">d) to cooperate with the Data Protection Authority;  </w:t>
        <w:br/>
        <w:t xml:space="preserve">e) to act as a contact point with the Data Protection Authority for issues related to processing, including the prior consultation referred to in Article 36, and to carry out, if necessary, consultations regarding any other matter;  </w:t>
        <w:br/>
        <w:t xml:space="preserve">f) to maintain a record of processing activities.  </w:t>
        <w:br/>
        <w:t xml:space="preserve">The tasks of the Data Protection Officer relate to all data processing carried out by the Authority for the Guarantee of Competition and the Market.  </w:t>
        <w:br/>
        <w:t>Dr. Ermelinda Ciaralli, for the performance of her functions as DPO, may make use of units of personnel of the Authority with specialized skills in personal data processing, in the IT field and/or in the legal field, which, as necessary, must support the DPO for activities more specifically related to these areas.</w:t>
      </w:r>
    </w:p>
    <w:p>
      <w:r>
        <w:rPr>
          <w:b/>
        </w:rPr>
        <w:t>[Pages 64–65]</w:t>
      </w:r>
    </w:p>
    <w:p>
      <w:r>
        <w:t>66 BULLETIN NO. 16 OF APRIL 30, 2018</w:t>
      </w:r>
    </w:p>
    <w:p>
      <w:r>
        <w:t>Dr. Ermelinda Ciaralli will not be assigned activities or tasks that are in conflict or in potential conflict of interest with the functions of the Data Protection Officer.</w:t>
      </w:r>
    </w:p>
    <w:p>
      <w:r>
        <w:t>The name and contact details of the DPO will be made available on the intranet and on the Authority's website and communicated to the Guarantor for the protection of personal data.</w:t>
      </w:r>
    </w:p>
    <w:p>
      <w:r>
        <w:t>The Secretary General is mandated to carry out the actions resulting from this resolution.</w:t>
      </w:r>
    </w:p>
    <w:p>
      <w:r>
        <w:t>This resolution will be published in the Bulletin of the Competition and Market Authority and on the institutional website in the "Transparent Authority" section.</w:t>
      </w:r>
    </w:p>
    <w:p>
      <w:r>
        <w:t>THE SECRETARY GENERAL THE PRESIDENT</w:t>
      </w:r>
    </w:p>
    <w:p>
      <w:r>
        <w:t>Roberto Chieppa Giovanni Pitruzzella</w:t>
      </w:r>
    </w:p>
    <w:p>
      <w:r>
        <w:t>Competition and Market Authority Weekly Bulletin Year XXVIII - No. 16 - 2018</w:t>
      </w:r>
    </w:p>
    <w:p>
      <w:r>
        <w:t>Editorial Coordination Giulia Antenucci</w:t>
      </w:r>
    </w:p>
    <w:p>
      <w:r>
        <w:t>Editorial Staff Sandro Cini, Valerio Ruocco, Simonetta Schettini, Manuela Villani</w:t>
      </w:r>
    </w:p>
    <w:p>
      <w:r>
        <w:t>Competition and Market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