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https://www.agcm.it/dotcmsdoc/bollettini/2021/16-21.pdf</w:t>
      </w:r>
    </w:p>
    <w:p>
      <w:r>
        <w:t>Pages translated : 102</w:t>
      </w:r>
    </w:p>
    <w:p/>
    <w:p>
      <w:r>
        <w:rPr>
          <w:b/>
        </w:rPr>
        <w:t>[Pages 1–3]</w:t>
      </w:r>
    </w:p>
    <w:p>
      <w:r>
        <w:t>Bulletin</w:t>
        <w:br/>
        <w:t>Weekly</w:t>
        <w:br/>
        <w:t>Year XXXI - No. 16</w:t>
        <w:br/>
        <w:t>Published on the website www.agcm.it</w:t>
        <w:br/>
        <w:t>April 19, 2021</w:t>
      </w:r>
    </w:p>
    <w:p>
      <w:r>
        <w:t>SUMMARY</w:t>
        <w:br/>
        <w:t>AGREEMENTS AND ABUSE OF DOMINANT POSITION 5</w:t>
        <w:br/>
        <w:t>I835 - WATER METER MARKET</w:t>
        <w:br/>
        <w:t>Decision No. 28592 5</w:t>
        <w:br/>
        <w:t>CONCENTRATION OPERATIONS 7</w:t>
        <w:br/>
        <w:t>C12357 - PHOENIX TOWER INTERNATIONAL HOLDCO/TOWERTEL</w:t>
        <w:br/>
        <w:t>Decision No. 28621 7</w:t>
        <w:br/>
        <w:t>C12360 - 2I RETE GAS/GAS DISTRIBUTION INFRASTRUCTURE</w:t>
        <w:br/>
        <w:t>Decision No. 28622 16</w:t>
        <w:br/>
        <w:t>C12367 - MOWGLI-JAKALA HOLDING/JAKALA</w:t>
        <w:br/>
        <w:t>Decision No. 28623 44</w:t>
        <w:br/>
        <w:t>C12354 - TELECOM ITALIA/BT ITALIA BUSINESS BRANCHES</w:t>
        <w:br/>
        <w:t>Decision No. 29627 48</w:t>
        <w:br/>
        <w:t>ACTIVITIES OF REPORTING AND CONSULTATION 63</w:t>
        <w:br/>
        <w:t>AS1733 - MUNICIPALITY OF MANDURIA (TA) - EXTENSION OF PUBLIC DOMAIN CONCESSIONS FOR TOURIST-RECREATIONAL PURPOSES 63</w:t>
        <w:br/>
        <w:t>AS1734 - ASSIGNMENT OF PUBLIC POSTAL SERVICES BY ACQUA PUBBLICA SABINA 68</w:t>
        <w:br/>
        <w:t>UNFAIR COMMERCIAL PRACTICES 70</w:t>
        <w:br/>
        <w:t>PS11824 - TROTEC-ANTICOVID PURIFIER</w:t>
        <w:br/>
        <w:t>Decision No. 28618 70</w:t>
        <w:br/>
        <w:t>PS11785 - POLTRONESOFÀ-DIFFERENT OFFERS</w:t>
        <w:br/>
        <w:t>Decision No. 29626 80</w:t>
      </w:r>
    </w:p>
    <w:p>
      <w:r>
        <w:t>BULLETIN NO. 16 OF APRIL 19, 2021 5</w:t>
        <w:br/>
        <w:t>AGREEMENTS AND ABUSE OF DOMINANT POSITION</w:t>
        <w:br/>
        <w:t>I835 - WATER METER MARKET</w:t>
        <w:br/>
        <w:t>Decision No. 28592</w:t>
        <w:br/>
        <w:t>THE ANTITRUST AUTHORITY</w:t>
        <w:br/>
        <w:t>IN ITS MEETING of February 23, 2021;</w:t>
        <w:br/>
        <w:t>HEARD the Rapporteur, Dr. Gabriella Muscolo;</w:t>
        <w:br/>
        <w:t>HAVING REGARD to Article 101 of the Treaty on the Functioning of the European Union (TFEU);</w:t>
        <w:br/>
        <w:t>HAVING REGARD to Law No. 287 of October 10, 1990;</w:t>
        <w:br/>
        <w:t>HAVING REGARD to Regulation No. 1/2003 of the Council of December 16, 2002, concerning the application of the competition rules set out in Articles 81 and 82 of the EC Treaty (now Articles 101 and 102 TFEU);</w:t>
        <w:br/>
        <w:t>HAVING REGARD to the Presidential Decree No. 217 of April 30, 1998;</w:t>
        <w:br/>
        <w:t>HAVING REGARD to the Commission Communication on cooperation within the network of competition authorities, of April 27, 2004;</w:t>
        <w:br/>
        <w:t>HAVING REGARD to its decision of October 29, 2019, No. 27963, which initiated an investigation, pursuant to Article 14 of Law No. 287/90, against the companies G2 Misuratori S.r.l., Itron Italia S.p.A., Maddalena S.p.A. and WaterTech S.p.A.;</w:t>
        <w:br/>
        <w:t>HAVING REGARD to its decision of June 10, 2020, No. 28260, by which the investigation was subjectively extended to the companies Sensus Italia S.r.l. a Socio Unico, Sensus Metering Systems (LuxCo 3) Sàrl, ARAD Ltd and Itron Inc.;</w:t>
        <w:br/>
        <w:t>HAVING REGARD to all the acts of the proceeding;</w:t>
        <w:br/>
        <w:t>CONSIDERING the complexity of the case under analysis and the subsequent need to conduct further investigative deepening that made it necessary to acquire additional documentation through interaction with multiple parties, as well as the need to proceed with a thorough analysis of the entire volume of evidence collected;</w:t>
        <w:br/>
        <w:t>CONSIDERING the necessity to guarantee the Parties the broadest exercise of their rights of defense and contradiction;</w:t>
        <w:br/>
        <w:t>THEREFORE CONSIDERED necessary to defer the deadline for the conclusion of the proceeding, currently set for March 23, 2021;</w:t>
        <w:br/>
        <w:t>RESOLVES</w:t>
        <w:br/>
        <w:t>to extend the deadline for the conclusion of the proceeding to July 31, 2021.</w:t>
      </w:r>
    </w:p>
    <w:p>
      <w:r>
        <w:rPr>
          <w:b/>
        </w:rPr>
        <w:t>[Pages 4–6]</w:t>
      </w:r>
    </w:p>
    <w:p>
      <w:r>
        <w:t>6 BULLETIN NO. 16 OF APRIL 19, 2021</w:t>
      </w:r>
    </w:p>
    <w:p>
      <w:r>
        <w:t>This provision will be notified to the interested parties and published in the Bulletin of the Authority for the Guarantee of Competition and the Market.</w:t>
      </w:r>
    </w:p>
    <w:p>
      <w:r>
        <w:t>THE SECRETARY GENERAL for THE PRESIDENT</w:t>
        <w:br/>
        <w:t>Filippo Arena the Member</w:t>
        <w:br/>
        <w:t>Michele Ainis</w:t>
      </w:r>
    </w:p>
    <w:p>
      <w:r>
        <w:t>BULLETIN NO. 16 OF APRIL 19, 2021 7</w:t>
      </w:r>
    </w:p>
    <w:p>
      <w:r>
        <w:t>CONCENTRATION OPERATIONS</w:t>
      </w:r>
    </w:p>
    <w:p>
      <w:r>
        <w:t>C12357 - PHOENIX TOWER INTERNATIONAL HOLDCO/TOWERTEL</w:t>
      </w:r>
    </w:p>
    <w:p>
      <w:r>
        <w:t>Provision No. 28621</w:t>
      </w:r>
    </w:p>
    <w:p>
      <w:r>
        <w:t>THE AUTHORITY FOR THE GUARANTEE OF COMPETITION AND THE MARKET</w:t>
      </w:r>
    </w:p>
    <w:p>
      <w:r>
        <w:t>IN ITS MEETING of March 30, 2021;</w:t>
      </w:r>
    </w:p>
    <w:p>
      <w:r>
        <w:t>HEARD the Rapporteur Professor Michele Ainis;</w:t>
      </w:r>
    </w:p>
    <w:p>
      <w:r>
        <w:t>SEEN Regulation (EC) No. 139/2004;</w:t>
      </w:r>
    </w:p>
    <w:p>
      <w:r>
        <w:t>SEEN Law No. 287 of October 10, 1990;</w:t>
      </w:r>
    </w:p>
    <w:p>
      <w:r>
        <w:t>SEEN Presidential Decree No. 217 of April 30, 1998;</w:t>
      </w:r>
    </w:p>
    <w:p>
      <w:r>
        <w:t>SEEN the communication from the companies Phoenix Tower International Holdco, LLC, received on January 26, 2021;</w:t>
      </w:r>
    </w:p>
    <w:p>
      <w:r>
        <w:t>SEEN the request for information, sent on February 10, 2021, with consequent interruption of the deadlines pursuant to Article 5, paragraph 3, of Presidential Decree No. 217 of April 30, 1998;</w:t>
      </w:r>
    </w:p>
    <w:p>
      <w:r>
        <w:t>SEEN the additional information sent by the company Phoenix Tower International Holdco, LLC and received on February 16, 2021;</w:t>
      </w:r>
    </w:p>
    <w:p>
      <w:r>
        <w:t>SEEN the opinion of the Authority for Guarantees in Communications received on March 24, 2021;</w:t>
      </w:r>
    </w:p>
    <w:p>
      <w:r>
        <w:t>SEEN the documentation on file;</w:t>
      </w:r>
    </w:p>
    <w:p>
      <w:r>
        <w:t>CONSIDERED the following:</w:t>
      </w:r>
    </w:p>
    <w:p>
      <w:r>
        <w:t>I. THE PARTIES</w:t>
      </w:r>
    </w:p>
    <w:p>
      <w:r>
        <w:t>1. Phoenix Tower International Holdco, LLC (hereinafter "Phoenix" or "PTI") is a company under U.S. law controlled by Phoenix Tower US Holdings L.P., the holding company of the PTI group (hereinafter "PTI Group"). The PTI Group is a private group active in the infrastructure sector for wireless, currently holding and managing a portfolio of approximately 9,000 towers, 986 km of fiber optic, as well as other infrastructure for the wireless sector and related sites in 16 countries located in the United States, South America, and the European Union (France and Ireland). The PTI Group is not currently active in Italy. The controlling shareholder of Phoenix is Blackstone PTI Fund L.P., a U.S. fund managed and/or assisted by affiliated companies of The Blackstone Group Inc. (hereinafter "Blackstone"). None of the portfolio companies of Blackstone are active in the telecommunications sector in Italy. In 2019, Blackstone generated a total global revenue of approximately [70-80]* billion euros, of which approximately [20-30] generated in Europe and approximately [504-1,000] million euros generated in Italy. * In this version, some data are omitted, as elements of confidentiality or secrecy of the information were deemed to exist.</w:t>
      </w:r>
    </w:p>
    <w:p>
      <w:r>
        <w:t>8 BULLETIN NO. 16 OF APRIL 19, 2021</w:t>
      </w:r>
    </w:p>
    <w:p>
      <w:r>
        <w:t>2. Towertel S.p.A. (hereinafter, "Towertel" or "the target") is a wholly-owned subsidiary of EI Towers S.p.A. (hereinafter, "Ei Towers"), which is ultimately controlled by F2i – Third Fund for Infrastructure (hereinafter "Third Fund F2i"). The Third Fund F2i is a reserved closed-end alternative investment fund, established and managed by F2i SGR S.p.A. (hereinafter "F2i SGR"). The target is active in providing integrated infrastructure services to telecommunications operators exclusively in Italy. As of the closing date, Towertel will manage a portfolio of approximately [2,500-5,000] sites for the provision of passive infrastructure hosting services, distributed throughout the national territory. Approximately [0-2,500] of the Towertel sites also offer hosting services to broadcasting operators and represent "hybrid" sites, primarily hosting telecommunications operators and, to a lesser extent, broadcasting operators. In 2019, Towertel generated revenue in Italy of approximately [31-100] million euros, of which approximately [31-100] million euros from contracts with mobile operators and tower companies.</w:t>
      </w:r>
    </w:p>
    <w:p>
      <w:r>
        <w:t>II. DESCRIPTION OF THE OPERATION</w:t>
      </w:r>
    </w:p>
    <w:p>
      <w:r>
        <w:t>3. The operation consists of the acquisition, by Phoenix, through a wholly-owned subsidiary, of the entire share capital of Towertel1.</w:t>
      </w:r>
    </w:p>
    <w:p>
      <w:r>
        <w:t>4. On December 23, 2020, EI Towers, Phoenix, and Phoenix Towers International Development, LLC (hereinafter, "PTID") entered into a sale and purchase agreement, pursuant to which PTID will acquire the entire share capital of Towertel from EI Towers. However, in implementation of PTID's right to designate one of the companies it directly or indirectly controls as the purchaser, the concentration operation will be executed through JV NewCo, an Italian company that will be established prior to the closing. The share capital of JV NewCo will be held by PTI TopCo (with a share of [80-90%]), a company wholly controlled by PTI to be established, and by F2i TLC 2 S.p.A. ([10-20%], hereinafter "TLC2"). By the date of completion of the operation, PTI TopCo and TLC2 will sign a shareholders' agreement in their capacity as shareholders of JV NewCo.</w:t>
      </w:r>
    </w:p>
    <w:p>
      <w:r>
        <w:t>5. Pursuant to the shareholders' agreement, TLC2 will hold only rights to protect its minority stake, while Phoenix will exercise decisive influence over JV NewCo, as it will be able to independently decide on all matters of strategic importance for JV NewCo.</w:t>
      </w:r>
    </w:p>
    <w:p>
      <w:r>
        <w:t>6. In particular, the Shareholders' Agreement provides as follows:</w:t>
        <w:br/>
        <w:t>- [omitted].</w:t>
      </w:r>
    </w:p>
    <w:p>
      <w:r>
        <w:t>7. Upon completion of the Operation, therefore, Phoenix will exercise exclusive control over JV NewCo, indirectly through PTI TopCo. Pursuant to the shareholders' agreement, JV NewCo and Towertel will subsequently be merged through a reverse merger, with Towertel as the surviving entity. Therefore, upon completion of the Operation, PTI TopCo will directly hold a controlling stake in Towertel.</w:t>
      </w:r>
    </w:p>
    <w:p>
      <w:r>
        <w:t>8. Regarding the portfolio of passive infrastructure sites of the target, the Operation will entail the following:</w:t>
        <w:br/>
        <w:t>1 The concentration operation is also subject to the so-called Golden Power regulation pursuant to Decree-Law No. 21 of March 15, 2012, as converted into law and subsequently amended, by the Presidency of the Council of Ministers.</w:t>
      </w:r>
    </w:p>
    <w:p>
      <w:r>
        <w:rPr>
          <w:b/>
        </w:rPr>
        <w:t>[Pages 7–9]</w:t>
      </w:r>
    </w:p>
    <w:p>
      <w:r>
        <w:t>BULLETIN NO. 16 OF APRIL 19, 2021 9</w:t>
        <w:br/>
        <w:t>- Phoenix will acquire control of [0-2,500] owned sites, held and/or managed by Towertel (hereinafter also referred to as "TW Sites") and will offer hosting services to third-party tenants (also defined as "tenants") with a specific focus on the telecommunications sector;</w:t>
        <w:br/>
        <w:t>- Towertel and EI Towers will enter into a Marketing Agreement (hereinafter also "MA") which [omitted].</w:t>
        <w:br/>
        <w:t>9. Furthermore, [omitted].</w:t>
        <w:br/>
        <w:t>10. The Parties believe that these provisions are directly connected and necessary to the operation for the following reasons:</w:t>
        <w:br/>
        <w:t>a) the Marketing Agreement would constitute an integral part of the operation as it allows Phoenix to achieve the full value of the transferred assets: in the absence of the provisions of the Marketing Agreement, Phoenix/Towertel would lose access [omitted] and the pre-existing business relationships with telecommunications operators/tenants of such sites would be interrupted;</w:t>
        <w:br/>
        <w:t>b) the material and geographical scope of the provisions is limited to the activities carried out by the target and the area in which it is active and concerns only agreements with telecommunications operators in Italy;</w:t>
        <w:br/>
        <w:t>c) the duration of the relevant clauses would be in line with the rationale of the individual clauses and the entire Operation, as well as with industry practice. Contractual agreements in the sectors in question are normally long-term; accordingly, the provision of a long-term exclusivity agreement is necessary and justified to preserve the goodwill of Towertel. Similarly, cooperation agreements among industry operators are the norm in the sector to extract the full value from telecommunications infrastructures;</w:t>
        <w:br/>
        <w:t>d) these provisions would reflect the logic of the operation, as they allow EI Towers and Towertel to focus on their respective core businesses, namely the provision of hospitality services, maintenance, and value-added services to television and FM/DAB radio operators (EI Towers) and the provision of hospitality services to telecommunications operators/tenants (Towertel). [omitted]. However, the Marketing Agreement allows Towertel to access portions of such sites in order to preserve pre-existing business relationships and/or create new ones exclusively in the telecommunications sector.</w:t>
        <w:br/>
        <w:t>11. Finally, [omitted].</w:t>
        <w:br/>
        <w:t>III. QUALIFICATION OF THE OPERATION</w:t>
        <w:br/>
        <w:t>12. The notified operation, aimed at acquiring exclusive control of a company, constitutes a concentration pursuant to Article 5, paragraph 1, letter b), of Law No. 287/90. It falls within the scope of application of Law No. 287/90, as the conditions set out in Article 1 of Regulation (EC) No. 139/04 do not apply, and is subject to the obligation of prior notification provided for by Article 16, paragraph 1, of the same law, as at the time of notification, the total turnover achieved at the national level by the aggregate of the companies involved exceeds the threshold of 504 million euros and the total turnover achieved individually at the national level by at least two of the companies involved exceeds 31 million euros.</w:t>
        <w:br/>
        <w:t>13. The above-described Marketing Agreement does not constitute an ancillary restriction to the concentration operation.</w:t>
      </w:r>
    </w:p>
    <w:p>
      <w:r>
        <w:t>10 BULLETIN NO. 16 OF APRIL 19, 2021</w:t>
        <w:br/>
        <w:t>IV. ASSESSMENT OF THE CONCENTRATION</w:t>
        <w:br/>
        <w:t>The sector of passive telecommunications infrastructures</w:t>
        <w:br/>
        <w:t>14. Due to the activities carried out by Towertel, the concentration in question concerns the sector of infrastructures dedicated to the hospitality of telecommunications broadcasting facilities, consisting of vertical infrastructures (towers, poles, masts) suitable for hosting the antennas of network operators and buildings equipped for the hospitality of transmitting devices.</w:t>
        <w:br/>
        <w:t>15. Passive telecommunications infrastructures include the structures on which telecommunications electronic equipment is installed. Such assets include all elements necessary for a cell (mobile or wireless), except for telecommunications electronic equipment (the so-called "active infrastructures"), and include towers, rooftops, and other infrastructural assets, such as, for example, civil works, poles, pylons, masts, fences, shelters, service racks, foundations, batteries, electrical and air conditioning systems, – in some cases – electricity supply contracts, conduits, and security systems on the structures, aircraft warning lights, lightning protection systems, leased land, and owned properties.</w:t>
        <w:br/>
        <w:t>16. The offer of hospitality services includes making space available on the passive infrastructure, for which customers pay a fee to the supplier. Mobile network operators (MNOs) install Radio Access Network (RAN) equipment such as antennas, radios, and baseband units on passive infrastructures for the transmission of mobile signals. The combination of passive infrastructure and active networks allows the MNO to provide voice and data transmission services. Figure 1 below describes the supply chain relationships within the sector.</w:t>
        <w:br/>
        <w:t>Figure 1: Vertical relationships in the telecommunications sector.</w:t>
        <w:br/>
        <w:t>Source: the Parties.</w:t>
        <w:br/>
        <w:t>17. Passive infrastructures were originally built for self-production use (captive use, i.e., intra-group sales of hospitality services generated by the self-supply of MNOs at the companies managing their own infrastructures) by network operators for their own MNOs, but an independent offer of hospitality services to third parties (non-captive offer, i.e., sales generated from services offered to third-party telecommunications operators) has progressively developed. Historically, and until about three years ago, three main tower companies operated nationally (also in the form of mere internal divisions), owned or controlled by an MNO:</w:t>
        <w:br/>
        <w:t>- INWIT S.p.A. (hereinafter "INWIT"), fully controlled by TIM S.p.A. (hereinafter "TIM");</w:t>
        <w:br/>
        <w:t>- the internal division of Vodafone, which managed the sites owned by Vodafone Italia S.p.A.;</w:t>
        <w:br/>
        <w:t>- the internal division of Wind Tre S.p.A., which since 2019 has become CK Hutchinson Networks Italia S.p.A. (hereinafter also referred to as "CKHNI"), also involved in a concentration operation2.</w:t>
        <w:br/>
        <w:t>18. The MNO operator Iliad also carried out limited activity as a tower company. In 2019, Iliad sold its passive infrastructure business to the Spanish group headed by Cellnex Telecom S.A., which operates in Italy through the company Cellnex Italia S.p.A. (hereinafter "Cellnex")3. In 2020, TIM and Vodafone merged their tower company activities into INWIT4, thus creating the largest tower company in Italy, primarily for captive use by their respective MNO operators.</w:t>
        <w:br/>
        <w:t>19. Although residual compared to the main television transmission activity, EI Towers, through Towertel, and Rai Way S.p.A. also offer mobile passive infrastructure services.</w:t>
        <w:br/>
        <w:t>20. With specific regard to non-captive services, the European Commission (hereinafter, the "Commission") has recently noted that, as a result of outsourcing the management of previously captive sites to third parties, MNOs enter into long-term contracts lasting between 6 and 15 years, potentially renewable for the same duration, with independent tower companies5. In this context, furthermore, in order to maintain a certain degree of control over the key network input constituted by the site, the MNO, when transferring its business branch holding the passive infrastructures, usually reserves preferential access treatment over them or veto rights over the asset6.</w:t>
        <w:br/>
        <w:t>21. As for the production capacity of the national sector, the limitations imposed by environmental regulation in terms of maximum electromagnetic wave emissions from individual plants are relevant. From a regulatory perspective, in fact, there are constraints related to the limits of electromagnetic fields (hereinafter "EMF"). The Italian EMF regulation (20 V/m7 or 6 V/m depending on the measurement points provided by law), stricter than that provided at the European level, applies.</w:t>
      </w:r>
    </w:p>
    <w:p>
      <w:r>
        <w:rPr>
          <w:b/>
        </w:rPr>
        <w:t>[Pages 10–12]</w:t>
      </w:r>
    </w:p>
    <w:p>
      <w:r>
        <w:t>12 BULLETIN NO. 16 OF APRIL 19, 2021</w:t>
      </w:r>
    </w:p>
    <w:p>
      <w:r>
        <w:t>regardless of the type of use of the antennas and may determine a limitation on the number of mobile phone operators hosted at each site, thus adding a possible capacity limitation to those already potentially resulting from the presence of historical operators at the site. Additionally, certain limits also exist by virtue of the local or regional regulatory framework (or due to its interpretation) which sometimes hinders market players from extending their presence in certain areas, as previously noted by the Authority.</w:t>
      </w:r>
    </w:p>
    <w:p>
      <w:r>
        <w:t>22. Further limitations on production capacity arise from the structural peculiarities of numerous Italian cities – characterized by the presence of historic centers and ancient villages – where the installation of large or high-power facilities is not permitted due to environmental and landscape constraints imposed by national and local legislation. For this reason, on the same passive infrastructures, co-location of active infrastructure devices from different MNOs (the so-called co-siting) is possible, especially in municipalities with a population of less than 35,000 inhabitants.</w:t>
      </w:r>
    </w:p>
    <w:p>
      <w:r>
        <w:t>The relevant markets</w:t>
      </w:r>
    </w:p>
    <w:p>
      <w:r>
        <w:t>23. Regarding the definition of the relevant markets, it is necessary to recall that, according to the guidelines of the Authority, it is believed that, from a commodity perspective, the market for mobile telecommunications infrastructures is distinct from the market for infrastructures intended for the hosting of other types of devices and, in particular, from the markets for television broadcasting infrastructures and radio broadcasting infrastructures.</w:t>
      </w:r>
    </w:p>
    <w:p>
      <w:r>
        <w:t>24. In fact, it is necessary to consider the peculiar characteristics of the transmission signal for the identification of sites and infrastructures suitable for hosting transmission devices. In particular, the transmission of the signal through a mobile cellular network is characterized by bidirectionality and low power, and it is therefore necessary to use a large number of sites predominantly located in high-density residential areas. In contrast, the television signal is directional, so it is necessary to consider the orientation of the receiving antennas. Mobile and radio signals are omnidirectional and, therefore, their positioning is not relevant, but rather their proximity to receiving devices. The technical differences found in radio, television, and mobile signals necessitate the use of different infrastructures, which can only be considered marginally substitutable.</w:t>
      </w:r>
    </w:p>
    <w:p>
      <w:r>
        <w:t>8 See, inter alia: AS1551 – Obstacles to the installation of mobile telecommunications and broadband wireless access systems and to the development of telecommunications networks in 5G technologies in Bulletin 49/2018 of December 21, 2018; AS1691 – Obstacles to the installation of telecommunications systems in 5G wireless technology in Bulletin 33/2020 of August 6, 2020.</w:t>
      </w:r>
    </w:p>
    <w:p>
      <w:r>
        <w:t>9 European Commission, Decision of March 6, 2020, Case M.9674 – Vodafone Italia/TIM/INWIT JV, paragraph 40: “[d]ue to the architectural configuration of Italian cities, with several historical buildings, often space on sites is limited or the use for telecommunications purposes is restricted”.</w:t>
      </w:r>
    </w:p>
    <w:p>
      <w:r>
        <w:t>10 See European Commission, Decision of March 6, 2020, Case M.9674 – Vodafone Italia/TIM/INWIT JV, paragraph 65: “In Italy, all MNOs are engaged in some level of passive sharing or co-location of sites. In particular, since 2007, the Parties [TIM and Vodafone Italia] have a number of passive sharing arrangements, mainly in municipalities with a population of up to 35,000 inhabitants (and in certain cases up to 50,000 inhabitants)”.</w:t>
      </w:r>
    </w:p>
    <w:p>
      <w:r>
        <w:t>11 See, e.g., provision no. 23117 of December 14, 2011, C11205 – Elettronica Industriale/Digital Multimedia Technologies; provision no. 25452 of April 30, 2015, C11987 – EI Towers/Rai Way; provision no. 25359 of March 10, 2015, C12179 – F2i S.G.R./EI Towers; provision no. 27315 of September 13, 2018.</w:t>
      </w:r>
    </w:p>
    <w:p>
      <w:r>
        <w:t>BULLETIN NO. 16 OF APRIL 19, 2021 13</w:t>
      </w:r>
    </w:p>
    <w:p>
      <w:r>
        <w:t>25. Regarding the previous EU cases, the Commission recently analyzed the relevant commodity market in the INWIT decision, concerning the joint venture between TIM and Vodafone Italia for the management and use of INWIT infrastructures.</w:t>
      </w:r>
    </w:p>
    <w:p>
      <w:r>
        <w:t>26. In relation to the commodity market for mobile telecommunications infrastructures, the Commission, although leaving the commodity definition of the market open, considered a possible distinction between the provision of hospitality services on macro-sites and micro-sites. Regarding these segments, the Commission considered an additional distinction between non-captive sales and captive sales, without, however, identifying distinct markets on that basis. Finally, the quantitative analysis also examined the segments of services offered on macro-sites in areas characterized by a population greater (or less) than 35,000 inhabitants.</w:t>
      </w:r>
    </w:p>
    <w:p>
      <w:r>
        <w:t>27. Regarding the possibility of distinguishing further segments based on customer type, the Commission left the market definition open, considering both (i) a general market for hospitality services on macro-sites to customers other than television and radio broadcasters, and (ii) distinct markets for hospitality services on macro-sites to: (a) MNOs, (b) Fixed Wireless Access (“FWA”) operators, and (c) other telecommunications operators.</w:t>
      </w:r>
    </w:p>
    <w:p>
      <w:r>
        <w:t>28. From a geographical perspective, the established national and EU practice considers the relevant markets to be of national scope. In fact, these activities are governed by national regulatory regimes and the TowerTel infrastructures subject to acquisition are located throughout the national territory, meeting the demand for national and local hospitality. However, also in the decision regarding the INWIT case, the European Commission, based on observations received from third parties, also considered the position of the parties in local geographical areas, particularly at the municipal level.</w:t>
      </w:r>
    </w:p>
    <w:p>
      <w:r>
        <w:t>12 See European Commission Decision of March 6, 2020, COMP/M.9674 – Vodafone Italia/TIM/INWIT JV.</w:t>
      </w:r>
    </w:p>
    <w:p>
      <w:r>
        <w:t>13 See European Commission, decision M.9674 – Vodafone Italia/TIM/INWIT JV of March 6, 2020, paragraphs 37 and 38: macro-sites include two types of sites that differ based on the area subject to installation, namely “ground-based towers” located on land, and “rooftop towers” present on the tops of buildings, while micro-sites include so-called small cells and distributed antenna systems, used complementarily to macro-sites to ensure reliable coverage in buildings and densely populated urban areas. From a technical perspective, macro-sites are used to achieve homogeneous coverage, while the distribution of small cells is used to address specific capacity needs within a limited area, often a public place (outdoors or indoors) or in particularly crowded areas.</w:t>
      </w:r>
    </w:p>
    <w:p>
      <w:r>
        <w:t>14 See European Commission, decision M.9674 – Vodafone Italia/TIM/INWIT JV of March 6, 2020, Table 11-13 and paragraph 153: “Based on the market reconstruction, the Commission notes that affected markets would arise in relation to the supply of hospitality services to MNOs under any possible market reconstruction, with the exclusion of the market reconstruction that excludes captive sales and sales of the Parties to each other at national level and in the areas with more than 35,000 inhabitants. In the same market reconstruction which excludes captive sales and sales of the Parties to each other in areas with less than 35,000 inhabitants, the Parties’ combined market shares would be below the 25% threshold set out at paragraph 18 of the Horizontal Merger Guidelines at which a concentration may be presumed to be compatible with the internal market. With the exception of a few years, in all other market reconstructions, the Parties’ combined market shares are above 40% and in several years also above the 50% threshold set out at paragraph 17 of the Horizontal Merger Guidelines at which a dominant market position may be considered to exist”.</w:t>
      </w:r>
    </w:p>
    <w:p>
      <w:r>
        <w:t>15 See European Commission Decision of March 6, 2020, COMP/M.9674 – Vodafone Italia/TIM/Inwit JV, paragraph 160: “Thus, based on the third party’s submission, in 3,400 cities the Parties’ combined market shares would be above 50% and in 1,400 […] the Parties’ combined market shares would be above 60%. More in detail, based on the third party submission the situation in the Italian cities with more than 50,000 inhabitants where the Joint Venture will have a market share above 50% and the HHI will be over 3000 post-Transaction would be the one illustrated in the following table”.</w:t>
      </w:r>
    </w:p>
    <w:p>
      <w:r>
        <w:t>14 BULLETIN NO. 16 OF APRIL 19, 2021</w:t>
      </w:r>
    </w:p>
    <w:p>
      <w:r>
        <w:t>The effects of the operation</w:t>
      </w:r>
    </w:p>
    <w:p>
      <w:r>
        <w:t>29. The concentration operation under examination, consisting of the indirect acquisition by Phoenix of exclusive control of Towertel, concerns the market for passive telecommunications infrastructures, of national geographical scope, due to the activities carried out by the target company.</w:t>
      </w:r>
    </w:p>
    <w:p>
      <w:r>
        <w:t>30. With reference to the Marketing Agreement between the Parties (see above), it – by virtue of the type of agreement, the clauses contained, and the duration provided – cannot be considered an ancillary restriction to the concentration as it grants Towertel a privileged buyer status.</w:t>
      </w:r>
    </w:p>
    <w:p>
      <w:r>
        <w:t>31. Regarding the effects of the concentration operation, it is noted, first of all, that there are no overlaps between the activities of Blackstone's portfolio companies and Towertel, as none of Blackstone's portfolio companies is active in the telecommunications sector in Italy. This also applies to Phoenix, which is active in providing hospitality services on passive infrastructure sites, but not in Italy. Consequently, the operation does not appear likely to alter the structure of the market and the related competitive conditions, as it merely replaces the current controlling entity of Towertel, namely EI Towers, with Phoenix.</w:t>
      </w:r>
    </w:p>
    <w:p>
      <w:r>
        <w:t>32. Secondly, the presence of the Parties in the relevant market for passive telecommunications infrastructures at the national level is not significant, regardless of the commodity market definition adopted. In fact, Towertel is estimated to hold market shares of approximately [5-10%], well below those of more established operators at the national level, both in terms of sites at their disposal and regarding the variety and breadth of clientele, such as INWIT, Cellnex Italia, and CKHNI.</w:t>
      </w:r>
    </w:p>
    <w:p>
      <w:r>
        <w:t>33. For these reasons, the concentration operation does not appear likely to create or strengthen a dominant position in the relevant markets, such as to eliminate or substantially and durably reduce competition.</w:t>
      </w:r>
    </w:p>
    <w:p>
      <w:r>
        <w:t>V. THE OPINION OF THE AUTHORITY FOR GUARANTEES IN COMMUNICATIONS</w:t>
      </w:r>
    </w:p>
    <w:p>
      <w:r>
        <w:t>34. On February 23, 2021, the Authority for Guarantees in Communications (hereinafter “AGCOM”) was requested, pursuant to Article 1, paragraph 6, letter c), no. 11, of Law No. 249 of July 31, 1997, to express an opinion regarding the concentration operation in question.</w:t>
      </w:r>
    </w:p>
    <w:p>
      <w:r>
        <w:t>35. On March 24, 2021, the requested opinion was received. AGCOM first noted that its competencies do not specifically pertain to the markets for passive radiocommunications infrastructures, that is, to the mere activities of construction, installation, and management of infrastructures (sites and plants), as well as to the related hospitality services of the broadcasting plants of network operators and for mobile telecommunications and the ancillary services offered by tower companies. These companies, in fact, not being qualified as network operators pursuant to Article 2, letter d), of Legislative Decree No. 177 of July 31, 2005, are not registered in the Register of Communication Operators (ROC) maintained by AGCOM.</w:t>
      </w:r>
    </w:p>
    <w:p>
      <w:r>
        <w:t>16 See Communication from the Commission on restrictions directly connected and necessary to concentrations (2005/C 56/03), paragraph 34 “Both supply and purchase obligations that provide for fixed quantities, possibly accompanied by a variation clause, are considered directly connected to the realization of the concentration and necessary for it. However, obligations that involve unlimited quantities or exclusivity or that confer a privileged supplier or buyer status are not necessary for the realization of the concentration.”</w:t>
      </w:r>
    </w:p>
    <w:p>
      <w:r>
        <w:rPr>
          <w:b/>
        </w:rPr>
        <w:t>[Pages 13–15]</w:t>
      </w:r>
    </w:p>
    <w:p>
      <w:r>
        <w:t>BULLETIN NO. 16 OF APRIL 19, 2021 15</w:t>
      </w:r>
    </w:p>
    <w:p>
      <w:r>
        <w:t>36. AGCOM also recalled that a positive opinion was rendered on the draft decision of the Authority regarding the authorization of the concentration operation (C12179) consisting of the acquisition of exclusive control of the company EI Towers S.p.A. by the company F2i S.G.R. S.p.A., an operation concerning the same relevant markets. Regarding the case at hand, AGCOM highlighted that, through the concentration operation, EI Towers exits the capital of Towertel and is replaced by a subject not active in the Italian market.</w:t>
      </w:r>
    </w:p>
    <w:p>
      <w:r>
        <w:t>37. As for the identification of the relevant markets, AGCOM noted that it appears to be shareable and in line with previous antitrust cases and its own orientation.</w:t>
      </w:r>
    </w:p>
    <w:p>
      <w:r>
        <w:t>38. In light of this, AGCOM expressed, for the aspects of its competence, a positive opinion regarding the acquisition of Towertel by Phoenix.</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Marketing Agreement described above does not constitute the subject of this resolution, as it does not constitute an ancillary restriction to the concentration operation in question.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The measure will be published in the Bulletin of the Competition and Market Authority.</w:t>
      </w:r>
    </w:p>
    <w:p>
      <w:r>
        <w:t>THE DEPUTY SECRETARY GENERAL THE PRESIDENT</w:t>
      </w:r>
    </w:p>
    <w:p>
      <w:r>
        <w:t>Serena Stella Roberto Rustichelli</w:t>
      </w:r>
    </w:p>
    <w:p>
      <w:r>
        <w:t>16 BULLETIN NO. 16 OF APRIL 19, 2021</w:t>
      </w:r>
    </w:p>
    <w:p>
      <w:r>
        <w:t>C12360 - 2I Rete Gas/Gas Distribution Infrastructure</w:t>
      </w:r>
    </w:p>
    <w:p>
      <w:r>
        <w:t>Provision No. 28622</w:t>
      </w:r>
    </w:p>
    <w:p>
      <w:r>
        <w:t>THE COMPETITION AND MARKET AUTHORITY</w:t>
      </w:r>
    </w:p>
    <w:p>
      <w:r>
        <w:t>IN ITS MEETING of March 30, 2021;</w:t>
      </w:r>
    </w:p>
    <w:p>
      <w:r>
        <w:t>HEARD the Rapporteur Professor Michele Ainis;</w:t>
      </w:r>
    </w:p>
    <w:p>
      <w:r>
        <w:t>VIEWED Law No. 287 of October 10, 1990;</w:t>
      </w:r>
    </w:p>
    <w:p>
      <w:r>
        <w:t>VIEWED Regulation (EC) No. 139/2004;</w:t>
      </w:r>
    </w:p>
    <w:p>
      <w:r>
        <w:t>VIEWED the communication from the company 2i Rete Gas S.p.A., received on February 10, 2021;</w:t>
      </w:r>
    </w:p>
    <w:p>
      <w:r>
        <w:t>VIEWED its resolution of February 23, 2021, which initiated an investigation, pursuant to Article 16, paragraph 4, of Law No. 287/1990, against the companies 2i Rete Gas S.p.A. and Infrastrutture Distribuzione Gas S.p.A.;</w:t>
      </w:r>
    </w:p>
    <w:p>
      <w:r>
        <w:t>VIEWED the communication of the findings of the investigation, sent to the Parties on March 23, 2021;</w:t>
      </w:r>
    </w:p>
    <w:p>
      <w:r>
        <w:t>VIEWED the final briefs and communications received from 2i Rete Gas S.p.A., on March 16 and 26, 2021, and the communication from IDG, received on March 26, 2021;</w:t>
      </w:r>
    </w:p>
    <w:p>
      <w:r>
        <w:t>VIEWED the documentation on file;</w:t>
      </w:r>
    </w:p>
    <w:p>
      <w:r>
        <w:t>CONSIDERED the following;</w:t>
      </w:r>
    </w:p>
    <w:p>
      <w:r>
        <w:t>I. THE PARTIES</w:t>
      </w:r>
    </w:p>
    <w:p>
      <w:r>
        <w:t>1. 2i Rete Gas S.p.A. (hereinafter also "2iRG" or "2I Rete Gas") is a company active, with the homonymous group established together with its subsidiaries, in the management of the natural gas distribution service for civil and industrial uses and, to a lesser extent, of LPG throughout the national territory. In particular, with reference to the natural gas distribution activity, 2iRG is the concessionaire of the gas distribution service in over 2,100 Italian municipalities. 2iRG achieved a worldwide turnover of over [1-2]* billion euros in 2019, entirely realized in Italy.</w:t>
      </w:r>
    </w:p>
    <w:p>
      <w:r>
        <w:t>2. Infrastrutture Distribuzione Gas S.p.A. (hereinafter also "IDG") is a company of the Edison group, primarily active in the management of the natural gas distribution service. In particular, in this sector, IDG operates in 5 regions (Abruzzo, Emilia-Romagna, Lombardy, Veneto, and Lazio) and approximately 60 municipalities. The worldwide turnover achieved by IDG in 2019 is approximately [31-100] million euros, entirely realized in Italy.</w:t>
      </w:r>
    </w:p>
    <w:p>
      <w:r>
        <w:t>II. DESCRIPTION OF THE OPERATION</w:t>
      </w:r>
    </w:p>
    <w:p>
      <w:r>
        <w:t>3. The notified concentration operation (hereinafter also "the operation" or "the concentration") consists of the acquisition of exclusive control of IDG by 2iRG, through the purchase by the latter of 100% of the shares of the capital of the former.</w:t>
      </w:r>
    </w:p>
    <w:p>
      <w:r>
        <w:t>* In this version, some data have been omitted, as elements of confidentiality and secrecy of the information were deemed to exist.</w:t>
      </w:r>
    </w:p>
    <w:p>
      <w:r>
        <w:t>BULLETIN NO. 16 OF APRIL 19, 2021 17</w:t>
      </w:r>
    </w:p>
    <w:p>
      <w:r>
        <w:t>4. The operation is accompanied by a framework agreement for transitional services (hereinafter also AST), between IDG, Edison, and Edison Stoccaggio S.p.A1, pursuant to which the latter will continue to provide for a transitional period from the date of closing - [omitted] - a series of technical, IT, and administrative services in favor of IDG, functional to ensuring the continuity of its operations.</w:t>
      </w:r>
    </w:p>
    <w:p>
      <w:r>
        <w:t>III. QUALIFICATION OF THE OPERATION</w:t>
      </w:r>
    </w:p>
    <w:p>
      <w:r>
        <w:t>5. The operation in question, as it involves the acquisition of exclusive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interested companies exceeded 504 million euros and the total turnover achieved individually in Italy in the last financial year by at least two of the interested companies exceeded 31 million euros.</w:t>
      </w:r>
    </w:p>
    <w:p>
      <w:r>
        <w:t>6. The provisions contained in the AST accompanying the operation can be considered directly connected to it and therefore qualify as ancillary restrictions to the operation2.</w:t>
      </w:r>
    </w:p>
    <w:p>
      <w:r>
        <w:t>IV. INITIATION OF THE PROCEDURE AND INVESTIGATIVE ACTIVITY</w:t>
      </w:r>
    </w:p>
    <w:p>
      <w:r>
        <w:t>7. Following the notification of the concentration operation, the Authority initiated, on February 23, 2021, an investigation pursuant to Article 16, paragraph 4, of Law No. 287/90, against the companies 2I Rete Gas and IDG (hereinafter also jointly "the Parties"), believing that the operation could lead to the establishment or strengthening of a dominant position in the markets of future tenders related to the natural gas distribution service in the following four Minimum Territorial Areas (hereinafter also "ATEM"): Como 2, Pavia 3, Rovigo, and Rome 4.</w:t>
      </w:r>
    </w:p>
    <w:p>
      <w:r>
        <w:t>8. On February 26, 2021, in order to acquire useful elements for the evaluation of the concentration, a request for information was sent to the main operators active in the gas distribution sector in the ATEMs subject to initiation and in the neighboring ones, as well as to the main operators at the national level (so-called market test)3, all of whom provided feedback4.</w:t>
      </w:r>
    </w:p>
    <w:p>
      <w:r>
        <w:t>9. During the procedure, the company 2I Rete Gas exercised its right of access on March 2 and 10, 20215.</w:t>
      </w:r>
    </w:p>
    <w:p>
      <w:r>
        <w:t xml:space="preserve">1 The involvement of Edison Stoccaggio is only foreseen for certain IT activities. </w:t>
        <w:br/>
        <w:t xml:space="preserve">2 See European Commission, Communication from the Commission on restrictions directly related and necessary to concentrations (2005/C 56/03), paras. 32-35. </w:t>
        <w:br/>
        <w:t xml:space="preserve">3 See documents 4 to 21 inclusive. </w:t>
        <w:br/>
        <w:t xml:space="preserve">4 See documents 6, 8, 9, 10, 11, 12, 14, 15, 16, 17, 18, 19, and 27.1 (summary document of the responses to questions no. 3, 4, and 5 of the so-called market test). Although one of the companies receiving the request did not respond, it was found to belong to a group whose parent company, however, sent the requested information. </w:t>
        <w:br/>
        <w:t>5 See documents 7 and 30.</w:t>
      </w:r>
    </w:p>
    <w:p>
      <w:r>
        <w:rPr>
          <w:b/>
        </w:rPr>
        <w:t>[Pages 16–18]</w:t>
      </w:r>
    </w:p>
    <w:p>
      <w:r>
        <w:t>BULLETIN NO. 16 OF APRIL 19, 2021</w:t>
      </w:r>
    </w:p>
    <w:p>
      <w:r>
        <w:t>The company was also heard in a hearing on March 12, 2021, and submitted a defense brief on March 16, 2021.</w:t>
      </w:r>
    </w:p>
    <w:p>
      <w:r>
        <w:t>Following the receipt of the Communication of the findings of the investigation (hereinafter also "CRI"), finally, 2I Rete Gas submitted an additional defense brief on March 26, 2021.</w:t>
      </w:r>
    </w:p>
    <w:p>
      <w:r>
        <w:t>V. THE FINDINGS OF THE INVESTIGATION</w:t>
      </w:r>
    </w:p>
    <w:p>
      <w:r>
        <w:t>V.1. The context and characteristics of the operation</w:t>
      </w:r>
    </w:p>
    <w:p>
      <w:r>
        <w:t>10. The operation under examination reflects the strategy of the Edison group to divest the gas distribution activity in Italy, carried out through the company IDG. [Omitted].</w:t>
      </w:r>
    </w:p>
    <w:p>
      <w:r>
        <w:t>11. Due to the operations of the Parties involved in the transaction, it affects various markets in the natural gas distribution sector, specifically:</w:t>
        <w:br/>
        <w:t>a) the markets of natural gas distribution in the respective concession areas;</w:t>
        <w:br/>
        <w:t>b) the markets of tenders for the awarding of natural gas distribution concessions.</w:t>
      </w:r>
    </w:p>
    <w:p>
      <w:r>
        <w:t>12. With reference to the market of natural gas distribution in the respective concession areas, as it is a service carried out under a legal monopoly regime, the operation results in the mere substitution of one operator with another and, therefore, has not been deemed problematic.</w:t>
      </w:r>
    </w:p>
    <w:p>
      <w:r>
        <w:t>13. With reference, instead, to the markets of future tenders for the awarding of natural gas distribution concessions in the ATEMs where the Parties are present in terms of delivery points of gas served (hereinafter also "PDR"), in line with similar previous concentration operations, possible competitive issues have been identified that led to the initiation of the procedure.</w:t>
      </w:r>
    </w:p>
    <w:p>
      <w:r>
        <w:t>V.2. The relevant markets</w:t>
      </w:r>
    </w:p>
    <w:p>
      <w:r>
        <w:t>14. The natural gas distribution service consists of carrying out various activities related to the management of the local low-pressure gas transport network, such as: maintenance and upgrading of plants, emergency management, physical and commercial balancing, reading, managing and updating installed meters, as well as carrying out technical performance and safety checks on the final customers' plants. This service is carried out, by law, under a legal monopoly based on a concession and, therefore, the only form of possible competition in this activity is related to participation in tenders for the awarding of expired concessions (so-called competition for the market).</w:t>
      </w:r>
    </w:p>
    <w:p>
      <w:r>
        <w:t>15. By virtue of the current regulatory framework and as already stated in numerous previous decisions of the Authority, each of the future ATEM tenders represents a distinct market. The markets related to the future tenders for the awarding of the natural gas distribution service concession in the ATEMs of the municipalities where the Parties, and mainly the acquired company, currently act as outgoing managers are affected by the operation. It is with respect to these tenders that the expected degree of competition is likely to be impacted by the operation itself.</w:t>
      </w:r>
    </w:p>
    <w:p>
      <w:r>
        <w:t>16. In line with this approach, 2I Rete Gas provided an estimate of the percentage of delivery points of gas (PDR) currently managed by the Parties, with reference to the ATEMs where the acquiring company is active and where, therefore, overlaps between the Parties could occur. Among these, in the initiation decision, the Authority deemed it necessary to conduct further investigation for the ATEMs of Como 2, Pavia 3, Rome 4, and Rovigo, as the operation was judged likely to have potentially detrimental effects on the contestability of the same in the tender process. In this decision, the relevant markets are thus represented by the future tenders related to these ATEMs.</w:t>
      </w:r>
    </w:p>
    <w:p>
      <w:r>
        <w:t>17. The following tables show the shares, in terms of PDR, held by the main operators (i.e., companies with a percentage of at least 5% of the PDR) within the ATEMs under investigation.</w:t>
      </w:r>
    </w:p>
    <w:p>
      <w:r>
        <w:t>Table 1 - ATEM of Como 2</w:t>
        <w:br/>
        <w:t>Distribution Company   PDR Share</w:t>
        <w:br/>
        <w:t>2iRG [70-75%]</w:t>
        <w:br/>
        <w:t>IDG [1-5%]</w:t>
        <w:br/>
        <w:t>Multiutility del Nord S.p.A. [15-20%]</w:t>
        <w:br/>
        <w:t>Source: Estimates from the notifying Party and MISE data</w:t>
      </w:r>
    </w:p>
    <w:p>
      <w:r>
        <w:t>Table 2 - ATEM of Pavia 3</w:t>
        <w:br/>
        <w:t>Distribution Company   PDR Share</w:t>
        <w:br/>
        <w:t>2iRG [70-75%]</w:t>
        <w:br/>
        <w:t>IDG [5-10%]</w:t>
        <w:br/>
        <w:t>Condotte Nord S.p.A. [15-20%]</w:t>
        <w:br/>
        <w:t>Source: Estimates from the notifying Party and MISE data</w:t>
      </w:r>
    </w:p>
    <w:p>
      <w:r>
        <w:t>Table 3 - ATEM of Rome 4</w:t>
        <w:br/>
        <w:t>Distribution Company   PDR Share</w:t>
        <w:br/>
        <w:t>2iRG [40-45%]</w:t>
        <w:br/>
        <w:t>IDG [20-25%]</w:t>
        <w:br/>
        <w:t>Italgas Reti S.p.A. [30-35%]</w:t>
        <w:br/>
        <w:t>Source: Estimates from the notifying Party and MISE data</w:t>
      </w:r>
    </w:p>
    <w:p>
      <w:r>
        <w:t>Table 4 - ATEM of Rovigo</w:t>
        <w:br/>
        <w:t>Distribution Company   PDR Share</w:t>
        <w:br/>
        <w:t>2iRG [30-35%]</w:t>
        <w:br/>
        <w:t>IDG [10-15%]</w:t>
        <w:br/>
        <w:t>AP Reti Gas S.p.A. [35-40%]</w:t>
        <w:br/>
        <w:t>Italgas Reti S.p.A. [15-20%]</w:t>
        <w:br/>
        <w:t>Source: Estimates from the notifying Party and MISE data</w:t>
      </w:r>
    </w:p>
    <w:p>
      <w:r>
        <w:t>V.3. The objections at the initiation stage</w:t>
      </w:r>
    </w:p>
    <w:p>
      <w:r>
        <w:t>18. In its application practice, the Authority has estimated the expected degree of competition in future ATEM tenders (and the impact of the concentration operations under evaluation on it) starting from an analysis of the incentives to participate in the ATEM tenders revealed by the operators. According to the information collected by the Authority during past investigations, for these tenders, companies in the sector attribute significant importance to the role of outgoing manager, that is, the manager of at least some of the municipal concessions grouped in the ATEM for which the tender is being conducted. In particular, the main drivers that have been found to influence a company's interest in participating in an ATEM tender are: a) their previous presence.</w:t>
      </w:r>
    </w:p>
    <w:p>
      <w:r>
        <w:t>From the recent investigations conducted by the Authority on these markets, it has clearly emerged that the vast majority of operators consider being present in an ATEM an advantage capable of influencing companies' strategies in participating in tenders both positively (inducing them to focus on the ATEM tenders in which they are already present) and negatively (inducing them to consider the ATEMs where a strong outgoing manager is present as less contestable and, therefore, not foresee participation in the related tenders). The importance of presence, and the consistency of that presence, in the ATEM is linked not only to the usual informational asymmetries that arise in the tender process between outgoing managers and aspiring new entrants but also to the fact that it creates a financial barrier represented by the obligation, for the winner of the tender, to reimburse the so-called VIR (residual value of investments) to the outgoing managers. The financial effort required from the winning operator of the tender obviously decreases as the number of PDR served by them in the ATEM increases.</w:t>
      </w:r>
    </w:p>
    <w:p>
      <w:r>
        <w:rPr>
          <w:b/>
        </w:rPr>
        <w:t>[Pages 19–21]</w:t>
      </w:r>
    </w:p>
    <w:p>
      <w:r>
        <w:t>BULLETIN NO. 16 OF APRIL 19, 2021 21</w:t>
      </w:r>
    </w:p>
    <w:p>
      <w:r>
        <w:t>in the ATEM; b) the perceived degree of contestability for the ATEM (initially dependent on the percentage held by the main outgoing operator over the total PDR of the ATEM); as well as c) certain characteristics of each hypothetical competitor, such as their possible presence in the surrounding geographical area or, more generally, their size (and financial capacity).</w:t>
      </w:r>
    </w:p>
    <w:p>
      <w:r>
        <w:t>19. That said, the Authority, in its interventions, identified two possible restrictive effects on future ATEM tenders resulting from a concentration among natural gas distribution companies: a) the alteration of the expected market structure with the disappearance of a potential participant in the tender and the consequent strengthening of the post-merger entity, an effect particularly likely when the operation brings under the same decision-making center two operators each with a significant prior presence in the ATEM; and b) the reduction in the perceived level of contestability of the ATEM, leading to a withdrawal of third parties from participating in the tender. This second effect is possible when the operation, while not eliminating a potential competitor, significantly strengthens the position of the incumbent as the main outgoing operator of the ATEM.</w:t>
      </w:r>
    </w:p>
    <w:p>
      <w:r>
        <w:t>20. In light of the application practice, as well as the configuration of the existing managements in the ATEMs where the Parties are currently present, at the start of the investigation, the Authority identified possible critical issues of the operation, likely to lead to the establishment or strengthening of a dominant position, with reference to the future markets of four ATEM tenders (Rome 4, Rovigo, Como 2, and Pavia 3).</w:t>
      </w:r>
    </w:p>
    <w:p>
      <w:r>
        <w:t>21. Specifically regarding the ATEM of Rome 4, the Authority noted that the operation was likely to bring two important operators currently present in the aforementioned ATEM under a single decision-making center - moreover, with rather symmetrical positions - which, in the absence of the concentration, would have likely been two of the three main contenders for the award of the related tender. Following the operation, the joint presence of the Parties in terms of PDR in this ATEM would be, moreover, greater than [65-70%], resulting in the establishment of an operator with a competitive advantage sufficient to discourage participation in the tender even from potential third competitors, thus significantly reducing its contestability.</w:t>
      </w:r>
    </w:p>
    <w:p>
      <w:r>
        <w:t>22. With regard to the ATEM of Rovigo, in the initiation provision, the Authority considered that the acquired company, while currently serving a not particularly high percentage of PDR (equal to [10-15%] of the total), could have considered participating in the tender with interest, due to the relatively balanced structure of the ATEM, in which three other operators are present with significant shares (in addition to 2iRG, also AP Reti Gas S.p.A. and Italgas Reti S.p.A.), but none predominant (in fact, the main one does not reach [35-40%] of the total PDR). The Authority thus initiated the procedure to verify whether the operation would lead to the disappearance of a potential participant in the tender and with it a substantial reduction in the expected competition in the future market for this ATEM tender.</w:t>
      </w:r>
    </w:p>
    <w:p>
      <w:r>
        <w:t>23. Finally, regarding the ATEMs of Como 2 and Pavia 3, in each of which the acquirer has a very strong prior presence (greater than [70-75%] of the total PDR) and the acquired company has a very small but not insignificant share (less than [1-5%] in the ATEM of Como 2 and equal to [5-10%] in the ATEM of Pavia 3), in the initiation provision, the Authority, while recognizing that the operation would not directly lead to the disappearance of a potential competitor for the related ATEM tenders, hypothesized that it could, however, strengthen the already significant incumbent 2iRG, creating a disincentive for third operators to participate in the related tenders.</w:t>
      </w:r>
    </w:p>
    <w:p>
      <w:r>
        <w:t>22 BULLETIN NO. 16 OF APRIL 19, 2021</w:t>
      </w:r>
    </w:p>
    <w:p>
      <w:r>
        <w:t>V.4. The investigative deepening</w:t>
      </w:r>
    </w:p>
    <w:p>
      <w:r>
        <w:t>1. The so-called market test on the competitive impact of the operation and its outcomes</w:t>
      </w:r>
    </w:p>
    <w:p>
      <w:r>
        <w:t>24. On February 26, 2021, a request for information (so-called market test) was sent to 13 companies active in the sector (identified based on their presence in the ATEMs subject to investigation or in neighboring ATEMs or, in any case, based on their characteristics and company size). The objective of this activity was, first of all, to verify whether the operators' assessments regarding the elements considered at the time of formulating the participation strategy for the ATEM tenders expressed in previous investigative proceedings are still valid, acquiring, if not, any new positions from companies in the sector. Secondly, the market test aimed to acquire the intentions of operators regarding the four ATEMs subject to investigation.</w:t>
      </w:r>
    </w:p>
    <w:p>
      <w:r>
        <w:t>25. The responses from companies in the sector to the market test first confirmed that a significant strategic importance is still recognized to the role of outgoing operator in the municipalities belonging to the ATEM, both with regard to the incentive derived from being outgoing operators in a significant number of municipalities in the ATEM, and with regard to the disincentive arising from the presence, in an ATEM, of an incumbent holding a predominant share of the current natural gas distribution concessions.</w:t>
      </w:r>
    </w:p>
    <w:p>
      <w:r>
        <w:t>26. In particular, regarding the criteria that guide the selection of the ATEMs in which to submit their applications, of the twelve companies that responded to the request for information, six stated that the main criterion is that of prior presence in the ATEM, and another three stated that they consider a plurality of criteria that also include prior presence.</w:t>
      </w:r>
    </w:p>
    <w:p>
      <w:r>
        <w:t>14 As mentioned, only 12 of the 13 companies provided feedback, but the company that did not respond is still part of a corporate group that did respond to the request for information.</w:t>
      </w:r>
    </w:p>
    <w:p>
      <w:r>
        <w:t>15 The questionnaire specifically addressed the following aspects:</w:t>
        <w:br/>
        <w:t>1. the assessment of the comparative relevance assigned by sector operators to the following factual elements for the purpose of deciding whether or not to participate in an ATEM tender: a) prior presence in the ATEM with a significant percentage of PDR (i.e., greater than 50% of the total) or otherwise with a relevant presence; b) absence in the ATEM of an outgoing operator with a percentage of around or greater than 70-80% of the total PDR; c) significant or predominant prior presence in neighboring or adjacent ATEMs (i.e., not bordering but close) to the one subject to tender; d) other elements deemed to constitute, in relation to the specific tender, competitive advantages or barriers to participation (for example, financial, organizational barriers, and so on);</w:t>
        <w:br/>
        <w:t>2. the identification of interventions suitable to overcome the possible disincentive to participate in ATEM tenders characterized by the prior presence of an outgoing operator with a significant (i.e., greater than 50%) or predominant (i.e., 70/80% or greater) share;</w:t>
        <w:br/>
        <w:t>3. the factors that guide companies' decisions regarding participation in ATEM tenders, as well as the tenders on which they intend to focus their attention, specifying whether they include those subject to investigation and, in that case, whether the concentration operation under examination could eliminate interest in participating;</w:t>
        <w:br/>
        <w:t>4. whether, in the opinion of the interviewees, there are other operators different from those currently active in the distribution of natural gas in Italy interested in participating with competitive offers in such tenders.</w:t>
      </w:r>
    </w:p>
    <w:p>
      <w:r>
        <w:t>16 The responses to the market test, on this point, therefore confirm the position taken by the Authority in its previous proceedings (Cf., inter alia, C12125 – 2I Rete Gas/Nedgia and C12294 – A2A/Ambiente Energia Brianza, cited).</w:t>
      </w:r>
    </w:p>
    <w:p>
      <w:r>
        <w:t>17 Cf., docs. 6, 8, 9, 12, 16, and 17, as summarized in doc. 27.1. Of these, one stated that prior presence must be greater than 50% of the PDR, while another looks at possible synergies due to the potential performance of activities other than natural gas distribution in the territories of the ATEM.</w:t>
      </w:r>
    </w:p>
    <w:p>
      <w:r>
        <w:t>18 In addition to this, the management of other services in the ATEM, the proximity of the ATEM to other managed areas, the degree of fragmentation of the ATEM, and the extent of their presence or that of competitors in the territory, the number of ongoing competitive procedures, and attention to a portfolio logic were mentioned. Cf., docs. 11, 18, and 19, as summarized in doc. 27.1.</w:t>
      </w:r>
    </w:p>
    <w:p>
      <w:r>
        <w:t>BULLETIN NO. 16 OF APRIL 19, 2021 23</w:t>
      </w:r>
    </w:p>
    <w:p>
      <w:r>
        <w:t>Two companies, on the other hand, stated that they evaluate the contestability of the ATEM, and only one did not provide any response, stating, more generally, that it has not yet defined its participation strategy for the tenders.</w:t>
      </w:r>
    </w:p>
    <w:p>
      <w:r>
        <w:t>27. The responses to the question regarding the geographical areas in which the company's interest in participating in future ATEM tenders is concentrated indicate that of the twelve responding companies, as many as nine expressed interest in participating in the tenders in the ATEMs where they are already present. In contrast, only two companies stated that they want to participate in ATEM tenders throughout the national territory; of these, one believes it must first verify the compatibility of participation with the publication dates of the calls, and the other believes it can only submit its application in territories where there are no strong market concentrations. One last company, as mentioned, finally stated that it has not yet defined its participation strategy for the tenders.</w:t>
      </w:r>
    </w:p>
    <w:p>
      <w:r>
        <w:t>28. The strong prior presence of a competitor in an ATEM constitutes, for the interviewees, an obstacle to participating in a tender, specifically with regard to the financial barrier created by the legal obligation for new entrants to pay the outgoing operator the residual value of the distribution network and the existing information asymmetries between the incumbent and the newcomer. Among the factors likely to discourage participation in ATEM tenders, however, the market test also suggests general factors such as the imbalance created by the presence of larger operators who may have both more substantial financial resources (linked to more favorable credit) and economic margins (derived from the ability to utilize resources not employed in ATEMs they control widely) or the uncertainties arising from the regulatory and sector regulation, considered very complex and discriminatory.</w:t>
      </w:r>
    </w:p>
    <w:p>
      <w:r>
        <w:t>29. Regarding the possible presence of foreign operators interested in participating in ATEM tenders, the market test does not reveal unequivocal evidence from which it can be deduced that sector operators expect the arrival of concrete offers in the tenders from foreign entities or otherwise different from those already engaged in distribution, thus confirming what emerged.</w:t>
      </w:r>
    </w:p>
    <w:p>
      <w:r>
        <w:t>19 Cf., docs. 14 and 15, as summarized in doc. 27.1.</w:t>
      </w:r>
    </w:p>
    <w:p>
      <w:r>
        <w:t>20 Cf., doc. 10, as summarized in doc. 27.1.</w:t>
      </w:r>
    </w:p>
    <w:p>
      <w:r>
        <w:t>21 Cf., docs. 6, 8, 9, 12, 14, 16, 17, 18, and 19, as summarized in doc. 27.1. Five of them stated that they are also interested in neighboring ATEMs (cf. docs. 9, 14, 16, 17, and 18, as summarized in doc. 27.1) and one does not exclude a priori the possibility of participating in tenders in other territories (cf. doc. 19, as summarized in doc. 27.1).</w:t>
      </w:r>
    </w:p>
    <w:p>
      <w:r>
        <w:t>22 Cf. docs. 11 and 15, as summarized in doc. 27.1.</w:t>
      </w:r>
    </w:p>
    <w:p>
      <w:r>
        <w:t>23 Cf., doc. 10, as summarized in doc. 27.1.</w:t>
      </w:r>
    </w:p>
    <w:p>
      <w:r>
        <w:t>24 Cf., doc. 11.</w:t>
      </w:r>
    </w:p>
    <w:p>
      <w:r>
        <w:t>25 Cf., doc. 14.</w:t>
      </w:r>
    </w:p>
    <w:p>
      <w:r>
        <w:t>26 Cf., doc. 14.</w:t>
      </w:r>
    </w:p>
    <w:p>
      <w:r>
        <w:t>27 Cf., docs. 11 and 18. To overcome the disincentive arising from the significant or predominant presence of an incumbent operator, some companies referred to the new provisions regarding participation in ATI (cf. docs. 6, 14, and 15); others to the need to eliminate the informational, financial, and organizational barriers enjoyed by outgoing operators (cf. docs. 10, 15, 18, and 19) and others still to structural measures capable of impacting market conditions to allow the growth of operators able to compete with market players (cf. doc. 15).</w:t>
      </w:r>
    </w:p>
    <w:p>
      <w:r>
        <w:rPr>
          <w:b/>
        </w:rPr>
        <w:t>[Pages 22–24]</w:t>
      </w:r>
    </w:p>
    <w:p>
      <w:r>
        <w:t>24 BULLETIN NO. 16 OF APRIL 19, 2021</w:t>
      </w:r>
    </w:p>
    <w:p>
      <w:r>
        <w:t>from the market tests conducted in previous investigative proceedings. Many of the operators interviewed, moreover, did not provide any feedback to the question.</w:t>
      </w:r>
    </w:p>
    <w:p>
      <w:r>
        <w:t>30. The requests for information contained in the market test were also aimed at verifying the specific interest of operators in the ATEMs under investigation and the impact of the transaction on the latter, in terms of its effect on the incentives to participate in future tenders for the award of the gas distribution service in the ATEMs under investigation. Below, the outcomes of the market test regarding each ATEM are briefly illustrated.</w:t>
      </w:r>
    </w:p>
    <w:p>
      <w:r>
        <w:t>ATEM Rovigo</w:t>
      </w:r>
    </w:p>
    <w:p>
      <w:r>
        <w:t>31. Regarding the interest in participating in the tender for the ATEM of Rovigo prior to the transaction (pre-merger), of the twelve companies that responded to the request for information, four stated that they were interested, while three others indicated that they had not yet decided regarding participation in that tender, with one of them reserving a check upon the issuance of the tender. Of the remaining, four declared that they were not interested, and a fifth did not respond precisely.</w:t>
      </w:r>
    </w:p>
    <w:p>
      <w:r>
        <w:t>32. With reference to the impact of the transaction on the interest in participating in the ATEM tender of Rovigo, five companies out of twelve responded that the transaction does not influence their incentives to participate or not participate in it, two others responded in the same sense but also specified that the transaction does, however, lead to a reduction in competition. Three other companies responded that the transaction would change their decision, but in two cases based their response on imprecise factual assumptions, and two did not respond precisely on the point. In particular, of the four companies that had expressed interest in participating before the transaction, three stated that it leads them to change their decision, but one of these claims to do so because the post-merger entity would hold more than 50% of the total PDR of the ATEM, while the joint percentage of the Parties does not reach [40-45%], and another states that the reason is that the incumbent would exceed 20% of the total PDR, a threshold that is indeed already exceeded prior to the merger by only 2iRG. None of the three companies that stated they had not yet decided whether to participate in the tender indicated that the transaction would have any influence on that decision.</w:t>
      </w:r>
    </w:p>
    <w:p>
      <w:r>
        <w:t>ATEM Como 2</w:t>
      </w:r>
    </w:p>
    <w:p>
      <w:r>
        <w:t>33. Regarding the pre-merger interest in the ATEM, six of the twelve companies that responded to the request for information stated that they were not interested in the ATEM of Como 2, one of these because 2iRG's position is too strong even before the transaction. Three, on the other hand, stated that they were interested in participating, two others responded that they had not yet defined their participation strategy for the tenders, and one last company did not respond precisely to the question regarding this ATEM.</w:t>
      </w:r>
    </w:p>
    <w:p>
      <w:r>
        <w:t>34. With reference to the impact of the transaction on the interest in participating in the ATEM tender of Como 2, of the three companies that declared their interest in participating in the tender for this ATEM, only one states that the transaction represents a disincentive because it strengthens the incumbent, while the other two declare that it does not affect their incentives to participate in the tender, although noting in one case that the transaction has negative effects on competition and in the other that behavioral measures would be appropriate. For six other companies, the transaction does not influence their strategies regarding the decision to participate or not participate in the tender, while the remaining do not respond precisely or have not made specific assessments regarding the ATEM.</w:t>
      </w:r>
    </w:p>
    <w:p>
      <w:r>
        <w:t>ATEM Pavia 3</w:t>
      </w:r>
    </w:p>
    <w:p>
      <w:r>
        <w:t>35. Regarding the pre-merger interest in the ATEM, four of the twelve companies that responded to the request for information expressed their interest in participating in this tender, one of which specified, however, that it is a non-priority interest. Five others stated that they were not interested, one of these because 2iRG holds, even before the transaction, too strong a position. Two other companies state that they have not yet decided on their participation strategies for the tenders, and one, finally, does not respond precisely to the question.</w:t>
      </w:r>
    </w:p>
    <w:p>
      <w:r>
        <w:t>36. With reference to the impact of the transaction on the interest in participating in the ATEM tender of Pavia 3, of the four companies that declared their interest in participating in the tender, two claim that the transaction negatively affects their incentives to participate, while the other two state that they will not change their intentions, although noting in one case that it has negative effects on competition and in the other that behavioral measures would be appropriate. Five other companies state that the transaction has no impact on their decision to participate or not participate in the tender, two do not respond precisely regarding this ATEM, and the last one, finally, states that it has not yet made the necessary assessments regarding participation or not in the tender for this ATEM.</w:t>
      </w:r>
    </w:p>
    <w:p>
      <w:r>
        <w:t>ATEM Roma 4</w:t>
      </w:r>
    </w:p>
    <w:p>
      <w:r>
        <w:t>37. Regarding the pre-merger interest in the ATEM, only two companies among the twelve interviewed that provided a response expressed interest in participating in the tender for this ATEM, while seven stated, on the contrary, that they were not interested. Two other companies claimed that they still needed to define their participation strategies for the tenders, and one did not respond precisely to the question regarding this ATEM.</w:t>
      </w:r>
    </w:p>
    <w:p>
      <w:r>
        <w:t>38. With reference to the impact of the transaction on the interest in participating in the ATEM tender of Roma 4, of the two companies that declared their interest in participating in the tender, one, while noting that the transaction reduces competition, stated that it does not change its incentives to participate in the tender, while the other claims that the transaction is strongly disincentivizing for it. Even the company that did not respond precisely to the question about its intention to participate in the tender claims, however, to believe that the transaction creates a consolidation of a dominant position that undermines competition in the tender and disincentivizes participation. Seven companies, on the other hand, stated that the transaction does not affect their intentions regarding this tender in any way; another did not respond on the point, and one last company, finally, stated that it has not made specific assessments regarding this ATEM.</w:t>
      </w:r>
    </w:p>
    <w:p>
      <w:r>
        <w:t>2. Documentation produced by the Parties</w:t>
      </w:r>
    </w:p>
    <w:p>
      <w:r>
        <w:t>39. Attached to the minutes of the hearing of March 12, 2021, 2IRG produced an excerpt of the industrial plan of IDG for the period 2020-2023, approved on February 6, 2020, consisting of a single slide [omitted].</w:t>
      </w:r>
    </w:p>
    <w:p>
      <w:r>
        <w:t>40. Attached to the communication of March 26, 2021 (and thus after the receipt of the Communication of the Findings of the Investigation), the Party produced a new version of the excerpt from the same strategic plan of IDG, in which the slide already attached to the minutes of March 12 is preceded by two additional slides, [omitted].</w:t>
      </w:r>
    </w:p>
    <w:p>
      <w:r>
        <w:t>VI. THE ARGUMENTS OF THE PARTIES</w:t>
      </w:r>
    </w:p>
    <w:p>
      <w:r>
        <w:t>41. During the investigation, 2I Rete Gas argued, in the hearing of March 12, 2021, and in the two written briefs of March 16 and 26, 2021, that the transaction, in its opinion, would not be likely to lead to the establishment or strengthening of a dominant position in the future markets of the tenders related to the concession of the gas distribution service of the ATEMs of Rovigo, Como 2, Pavia 3, and Roma 4. More specifically, 2I Rete Gas claims that the concentration would not lead to the elimination of potential likely competitors nor to a disincentivizing effect on the participation of third parties in the ATEM tenders due to the strengthening of the position of the outgoing operator. Moreover, according to 2I Rete Gas, the outcomes of the market test would have highlighted the interest of both local operators and potential foreign operators to participate in the ATEM tenders.</w:t>
      </w:r>
    </w:p>
    <w:p>
      <w:r>
        <w:t>42. With specific reference to the effects of the concentration in the ATEM of Rovigo, 2I Rete Gas has filed in the records an excerpt of the industrial plan of IDG for the period 2020-2023, approved on February 6, 2020, from which it would emerge that [omitted]. In the brief of March 26, 2I Rete Gas reiterated the full validity of the document as evidence of IDG's strategic intentions, albeit in the form of an excerpt from a broader industrial plan.</w:t>
      </w:r>
    </w:p>
    <w:p>
      <w:r>
        <w:t>43. In any case, the conclusions drawn regarding the absence of effects of the transaction on the tender for the ATEM of Rovigo would be confirmed by the fact that the acquired has an absolutely minority presence in that ATEM, and, as a result of the transaction, the post-merger percentage of PDR of 2I Rete Gas would still be below the critical threshold considered a matter of concern by the Authority in numerous precedents. Furthermore, both in the ATEM in question and in the neighboring ones, there are numerous and qualified competing operators, with significant market shares, such as AP Reti Gas S.p.A. and Italgas Reti S.p.A. (in the ATEM of Rovigo), Inrete Distribuzione Gas S.p.A. and Gigas Rete S.r.l. (in the neighboring ATEMs). It follows that it would not be possible to attribute to the transaction disincentivizing effects on the participation of third parties in the future ATEM tender.</w:t>
      </w:r>
    </w:p>
    <w:p>
      <w:r>
        <w:t>44. Regarding the ATEMs of Como 2 and Pavia 3, 2I Rete Gas represented that the concentration results in a marginal increase in the already high percentage of PDR held.</w:t>
      </w:r>
    </w:p>
    <w:p>
      <w:r>
        <w:rPr>
          <w:b/>
        </w:rPr>
        <w:t>[Pages 25–27]</w:t>
      </w:r>
    </w:p>
    <w:p>
      <w:r>
        <w:t>BULLETIN NO. 16 OF APRIL 19, 2021 27</w:t>
      </w:r>
    </w:p>
    <w:p>
      <w:r>
        <w:t>pre-merger by 2I Rete Gas in each of them (greater than [70-75%] of the total PDR). Therefore, recalling the Authority's precedents in this regard, the Company stated that it does not seem possible to hypothesize a disincentivizing effect on the participation of other competitors in the tenders of the two aforementioned ATEM as a specific outcome of the implementation of the operation under examination.</w:t>
      </w:r>
    </w:p>
    <w:p>
      <w:r>
        <w:t>45. The absence of disincentivizing effects on the participation of third parties in the tenders in the mentioned ATEM should be appreciated, according to 2I Rete Gas, also and above all in light of the main variables considered relevant, at the start of the investigation, for future competition, namely, in addition to the previous presence in the ATEM or in one or more neighboring ATEMs to the one subject to allocation, also the characteristics of hypothetical competitors in terms of their size and financial capacity and their tender strategies.</w:t>
      </w:r>
    </w:p>
    <w:p>
      <w:r>
        <w:t>46. On this point, 2I Rete Gas recalls, in its brief, that both the ATEM in question and the neighboring ones are characterized by the presence of significant and qualified competing operators, such as Condotte Nord S.p.A., Italgas Reti S.p.A., Multiutility del Nord S.p.A., Erogasmet S.p.A., Reti Più S.p.A., some of which are of national relevance and have financial capacity comparable to that of 2I Rete Gas. These elements lead to the conclusion that these subjects could well be interested in participating in the relevant ATEM tenders without such interest being significantly affected by the (limited) consequences of the operation. In fact, in both ATEMs, the results of the market test show that several competitors continue to consider these Areas - although characterized by a high degree of concentration - contestable despite the operation.</w:t>
      </w:r>
    </w:p>
    <w:p>
      <w:r>
        <w:t>47. Finally, with reference to the ATEM of Rome 4, 2I Rete Gas - replicating the defensive thesis advanced regarding the ATEM of Rovigo and based on the document extracted from IDG's strategic plan - argued that IDG [omitted].</w:t>
      </w:r>
    </w:p>
    <w:p>
      <w:r>
        <w:t>48. Secondly, the Company recalled the significant relevance, both in the ATEM of Rome 4 and in the neighboring ATEMs, of the presence of a competing operator of absolute importance, such as the company Italgas Reti S.p.A., for which it must be assumed that the incentives to participate in the future ATEM tender remain unchanged even after the operation. From a different perspective, indeed, the increase in PDR achieved by 2I Rete Gas as a result of the operation would increase the level of contestability of the ATEM in question, making 2I Rete Gas a more credible competitor compared to the first national operator. The scenario presented, according to 2I Rete Gas, seems to be supported by the results of the market test, which revealed that two companies have nonetheless expressed interest in participating in this ATEM tender regardless of the concentration. Assuming that one of the two is Italgas, an operator already present in the ATEM with a significant percentage, it must be deduced that the other could be an operator not active in the territory. Therefore, also for the ATEM of Rome 4, it is reasonable to hypothesize that the aggregation does not produce anticompetitive effects as it is not suitable to disincentivize any competing operators from participating in the tender related to the assignment of the gas distribution service in the mentioned ATEM.</w:t>
      </w:r>
    </w:p>
    <w:p>
      <w:r>
        <w:t>49. However, regarding the consequences of the operation on the market of the future tender for the ATEM Rome 4, already during the hearing on March 12 and in the brief of March 16, 2I Rete Gas, while asserting that the operation would not cause any competitive issues concerning this ATEM, declared its willingness to adopt behavioral measures, on the assumption that these would be suitable to "overcome the alleged disincentivizing effect of the operation." Furthermore, in the brief of March 16, the Company also declared its willingness, should the Authority deem structural divestment measures necessary to sterilize the anticompetitive effects of the operation, to present commitments in this regard.</w:t>
      </w:r>
    </w:p>
    <w:p>
      <w:r>
        <w:t>50. Finally, in the brief submitted on March 26, 2021, following the receipt of the CRI, 2I Rete Gas, while continuing to contest the existence of restrictive effects of the operation concerning the future tender for the ATEM of Rome 4, presented detailed divestment measures, deemed by the Party to be overall suitable to resolve the competitive issues highlighted regarding this ATEM.</w:t>
      </w:r>
    </w:p>
    <w:p>
      <w:r>
        <w:t>VII. EFFECTS OF THE OPERATION</w:t>
      </w:r>
    </w:p>
    <w:p>
      <w:r>
        <w:t>VII.1. Premise</w:t>
      </w:r>
    </w:p>
    <w:p>
      <w:r>
        <w:t>51. As repeatedly stated by the Authority in its previous decisions, the ATEM tenders are characterized by the existence of specific incentives or disincentives, mainly linked to the importance of the role played by the outgoing operator, which can drastically affect the landscape of expected participants, potentially making the market structure critical from a competitive perspective. In this context, the subjects active in the territory of an ATEM, who hold significant shares of the total PDR, will be important outgoing operators and thus expected participants in the tender of particular relevance, the number of which is crucial to define the level of competition in the market represented by the future tender for the ATEM itself. For this reason, in the Authority's application practice, operations following which two subjects present with significant shares of the total PDR in the same ATEM were brought under the same control have consistently been subject to intervention with the imposition, in numerous cases, of structural measures or even prohibition.</w:t>
      </w:r>
    </w:p>
    <w:p>
      <w:r>
        <w:t>52. In this context, the initiation provision hypothesized, as mentioned, that the operation could have restrictive effects on competition in the markets of future tenders for the award of the gas distribution service in the ATEMs of Rovigo, Pavia 3, Como 2, and Rome 4. Specifically, it was represented that the operation could modify the structure of the offer through a significant reduction in the number of expected participants in the tender (for the ATEMs of Rovigo and Rome 4) and/or significantly reduce the degree of contestability of the ATEM perceived by third parties potentially interested, resulting in a contraction of the number of expected participants in the tender (for the ATEMs of Como 2, Pavia 3, and Rome 4).</w:t>
      </w:r>
    </w:p>
    <w:p>
      <w:r>
        <w:t>53. As will be illustrated in detail, the findings of the investigation allow us to conclude that, for the ATEMs Como 2, Pavia 3, and Rovigo, the competitive concerns expressed at the start of the investigation are not confirmed. Conversely, for the sole ATEM of Rome 4, it has emerged that the operation generates serious competitive issues.</w:t>
      </w:r>
    </w:p>
    <w:p>
      <w:r>
        <w:t>VII.2. The effects on the tenders for the ATEM Como 2 and Pavia 3</w:t>
      </w:r>
    </w:p>
    <w:p>
      <w:r>
        <w:t>54. With reference to the two markets of future tenders for the ATEMs of Como 2 and Pavia 3, from the examination of the elements collected during the investigation, it emerges that the notified concentration is not suitable to produce the restrictive effects on competition hypothesized in the initiation provision, consisting of a significant reduction in the degree of contestability of the ATEM perceived by third parties potentially interested, resulting in a contraction of the number of expected participants in the tender.</w:t>
      </w:r>
    </w:p>
    <w:p>
      <w:r>
        <w:t>55. Even before the operation, these two ATEMs were characterized by the predominant presence of one of the Parties (the acquiring company 2I Rete Gas with a percentage, in terms of managed PDR, greater than [70-75%] in each of the ATEMs). At the same time, in the same ATEMs, the contribution of the operation to the percentage of PDR held by the post-merger entity is limited. In this context, the market test confirmed that, as already established in similar cases analyzed in the past by the Authority, the very high presence already held by one of the Parties pre-merger and the limited increase in the percentage of PDR due to the concentration mean that the real and perceived conditions of contestability of the ATEM are not influenced by the operation itself (i.e., they are not merger-specific).</w:t>
      </w:r>
    </w:p>
    <w:p>
      <w:r>
        <w:t>56. In particular, among all the operators who responded to the Authority's request, only one stated that the operation could affect its decision to participate (or not participate) in the tender for the ATEM Como 2 and only two for the ATEM Pavia 3. These are very low numbers, which testify that in similar cases companies usually decide even before the operation not to participate in the tender due to the high prior presence of the incumbent or, conversely, if they declare themselves nonetheless willing to participate in the tender, it is because they make that decision regardless of the high level of presence of the incumbent, with the consequence that the slight increase of the latter is in fact irrelevant to their participation strategies in the tender.</w:t>
      </w:r>
    </w:p>
    <w:p>
      <w:r>
        <w:t>57. For these reasons, it can be concluded that the operation is not able to negatively impact competition expected in the tenders for the ATEM Como 2 and Pavia 3.</w:t>
      </w:r>
    </w:p>
    <w:p>
      <w:r>
        <w:t>VII.3. The effects on the tender for the ATEM of Rovigo</w:t>
      </w:r>
    </w:p>
    <w:p>
      <w:r>
        <w:t>58. Similarly, for the tender related to the ATEM of Rovigo, the investigation conducted leads to the conclusion that the notified concentration is not suitable to produce the restrictive effects on competition hypothesized in the initiation provision, consisting of a modification of the structure of the offer that entails a significant reduction in the number of expected participants in the tender.</w:t>
      </w:r>
    </w:p>
    <w:p>
      <w:r>
        <w:t>59. However, this conclusion is not supported in any way by the document produced by the Party attached to the minutes of the hearing of March 12, 2021, namely an excerpt from a strategic plan of IDG approved in February 2020 [omitted]. The document, in fact, is completely devoid of probative value, [omitted].</w:t>
      </w:r>
    </w:p>
    <w:p>
      <w:r>
        <w:t>60. In any case, as stated, the other elements collected during the investigation do not allow us to conclude that, due to the operation, the number of expected participants in the tender for the ATEM of Rovigo will be significantly reduced and therefore the competition in the tender affected by the operation.</w:t>
      </w:r>
    </w:p>
    <w:p>
      <w:r>
        <w:t>61. In this sense, also due to the articulated structure of the ATEM, in which there is no incumbent present in a predominant manner and from the responses to the market test, a picture is deduced.</w:t>
      </w:r>
    </w:p>
    <w:p>
      <w:r>
        <w:rPr>
          <w:b/>
        </w:rPr>
        <w:t>[Pages 28–30]</w:t>
      </w:r>
    </w:p>
    <w:p>
      <w:r>
        <w:t>30 BULLETIN NO. 16 OF APRIL 19, 2021</w:t>
      </w:r>
    </w:p>
    <w:p>
      <w:r>
        <w:t>a rather lively participation expected in this tender: in fact, in addition to 2iRG, four other companies have expressed interest in submitting their offer for this ATEM and three others have stated that they have not yet made a definitive decision. Furthermore, in cases where the proposed concentration is indicated as a possible reason for modifying the aforementioned incentives, regardless of any opportunistic responses, in at least two cases such an assessment is based on incorrect factual elements, as illustrated in the section regarding the results of the market test. Therefore, regardless of [omitted], the acquisition of IDG by 2iRG does not appear to be suitable to significantly reduce the number of expected participants in the tender, which remains sufficient to ensure an adequate level of competition in that market.</w:t>
      </w:r>
    </w:p>
    <w:p>
      <w:r>
        <w:t>62. For these reasons, the operation is not suitable to negatively impact the expected competition significantly, even with regard to the tender for the ATEM of Rovigo.</w:t>
      </w:r>
    </w:p>
    <w:p>
      <w:r>
        <w:t>VII.4. The effects on the tender for ATEM Rome 4</w:t>
      </w:r>
    </w:p>
    <w:p>
      <w:r>
        <w:t>63. The investigation conducted leads to different conclusions than those preceding, regarding the effects of the operation on the future market of the ATEM tender of Rome 4, for which evident restrictive effects on competition are highlighted in the tender determined by the realization of the operation.</w:t>
      </w:r>
    </w:p>
    <w:p>
      <w:r>
        <w:t>64. The evidence on record allows us to state - in full consistency with the Authority's application practice39 - that with respect to ATEM Rome 4, the operation results in the reunification under a single decision-making center of two of the three operators currently active in it, both with a presence in terms of percentage of the total PDR ([40-45%] 2iRG and [20-25%] IDG) such as to make them significant outgoing managers at the time of the announcement of the future ATEM tender. As such, in the absence of the operation, the two companies could have independently participated in the tender for ATEM Rome 4. In other words, the operation results, firstly, in a significant structural effect, consisting of the elimination of one of the three expected competitors in the tender with a consequent reduction in competition. Secondly, the operation, by bringing together more than [65-70%] of the PDR in the post-merger entity, is likely to strengthen the main outgoing manager, already a primary operator at the national level, and is therefore suitable to discourage the participation of third parties, further reducing the level of competition in the market for the future ATEM tender.</w:t>
      </w:r>
    </w:p>
    <w:p>
      <w:r>
        <w:t>65. The investigation confirmed the concerns raised in the initiation measure regarding the effects of the operation on the market for the future tender for ATEM Rome 4, particularly with regard to the structural effect of reducing a potential competitor. The market test demonstrated that the landscape of expected competitors in the tender is still very narrow, given that only two of the twelve subjects interviewed expressed interest in participating in the tender in the absence of the operation, and one of them stated that the realization of the operation would lead them to change their mind. The reduction from three to two of the outgoing managers who represent, according to the constant interpretation of the Authority, qualified expected participants in the tender, thus severely impacts the structure of the market, without a widespread interest from industry operators in this tender emerging, suitable to compensate for the aforementioned effect40. Moreover, the operation itself, causing a strong strengthening of the incumbent manager, may further reduce the already scarce interest shown by companies in the sector for the ATEM Rome 441.</w:t>
      </w:r>
    </w:p>
    <w:p>
      <w:r>
        <w:t>66. Regarding the structural effect of the operation, the Parties limited themselves to contesting it by again referring only to the excerpt of IDG's industrial plan from which it would emerge that [omitted]. However, as extensively illustrated earlier in the section dedicated to the effects of the operation on the market for the tender for ATEM Rovigo, the document in question does not meet the minimum requirements for it to be attributed, in this case, adequate evidentiary value. [Omitted].</w:t>
      </w:r>
    </w:p>
    <w:p>
      <w:r>
        <w:t>67. On the other hand, as already noted by the Authority in a previous case concerning the same 2iRG42, [omitted]. In fact, once the selling company has decided to pursue the strategy of selling a significant outgoing manager of an ATEM, the latter could well be acquired by operators or third-party financiers in relation to the other (or others) already significantly present in the same ATEM. In such an eventuality, it would be possible to maintain three independent outgoing managers, accredited candidates for participation in the future ATEM tender, thus preserving the pre-existing structure of the market for the future ATEM tender43.</w:t>
      </w:r>
    </w:p>
    <w:p>
      <w:r>
        <w:t>68. In conclusion, with regard to ATEM Rome 4 - contrary to what was claimed by 2I Rete Gas, most recently on March 26, 2021 - the concentration results, in addition to strengthening the merger entity, which will hold a percentage of PDR exceeding [65-70%] of the total and far exceeding that held by the main competitor, also and above all a direct and prominent structural competitive restriction, consisting of the elimination of one of the very few expected competitors in the tender and the only subject, besides the third incumbent of the ATEM (Italgas), that could be considered a qualified competitor, as an outgoing manager for a significant portion ([20-25%]) of the PDR of the ATEM.</w:t>
      </w:r>
    </w:p>
    <w:p>
      <w:r>
        <w:t>Conclusions on the effects of the operation</w:t>
      </w:r>
    </w:p>
    <w:p>
      <w:r>
        <w:t>69. The operation subject to investigation appears, in light of the arguments that precede, likely to strengthen or constitute a dominant position in the market for the future tender for the allocation of the natural gas distribution service in the only ATEM of Rome 4. In particular, in this context, the concentration produces the dual effect of strengthening the position of the outgoing manager of the post-merger entity and determining a significant structural effect consisting of the reduction from three to two of the most accredited potential participants in the tender itself. For these reasons, the concentration as communicated on February 10, 2021, is not suitable to be authorized, pursuant to Article 6, paragraph 2, of Law No. 287/90.</w:t>
      </w:r>
    </w:p>
    <w:p>
      <w:r>
        <w:t>VIII THE CORRECTIVE, STRUCTURAL, AND BEHAVIORAL MEASURES PROPOSED BY 2i Rete Gas AFTER RECEIVING THE COMMUNICATION OF THE FINDINGS OF THE INVESTIGATION</w:t>
      </w:r>
    </w:p>
    <w:p>
      <w:r>
        <w:t>70. In the CRI, sent to the parties following the results of the market test and the investigative activity conducted, the harmful effects on competition arising from the operation concerning only ATEM Rome 4 were highlighted. Such effects, in previous cases, have been removed solely through the adoption of structural measures44, under penalty of prohibition of the operation45.</w:t>
      </w:r>
    </w:p>
    <w:p>
      <w:r>
        <w:t>71. Following the receipt of the CRI, 2I Rete Gas submitted, on March 26, 2021, regarding only ATEM Rome 4, a package of cumulative measures, of a dismissive and behavioral nature, described below46:</w:t>
        <w:br/>
        <w:t>i) the divestiture47 of at least 27,500 PDR, chosen from those of 2I Rete Gas or IDG (hereinafter also the "Divestiture");</w:t>
        <w:br/>
        <w:t>ii) the deferral of the remaining share of VIR of 2I Rete Gas and IDG not subject to divestiture for a maximum period of 3 years or, alternatively, the recognition to the incoming manager of compensation;</w:t>
        <w:br/>
        <w:t>iii) the transitional service agreement ("TSA") measure, or a service contract on the remaining share of PDR held by 2I Rete Gas and IDG in ATEM Rome 4, not subject to divestiture;</w:t>
        <w:br/>
        <w:t>iv) the employment measure on the remaining share of PDR of 2I Rete Gas and IDG, not subject to divestiture;</w:t>
        <w:br/>
        <w:t>v) the informational measure on the remaining share of PDR of 2I Rete Gas and IDG, not subject to divestiture (the measures from ii) to v) are cumulatively referred to hereinafter as "behavioral measures").</w:t>
      </w:r>
    </w:p>
    <w:p>
      <w:r>
        <w:t>The Divestiture</w:t>
      </w:r>
    </w:p>
    <w:p>
      <w:r>
        <w:t>72. The divestiture will be carried out with transparent, competitive, and adequately publicized selection procedures and open to suitable and qualified operators. In particular, operators with competitive strength, profitability, and activities in competition with the Parties will be allowed to participate in the procedure. Furthermore, in order to ensure the effectiveness of the measure in question and thus allow the concrete emergence of a third operator capable of participating in the ATEM tender of 44 See C11990 - SEL - Società Elettrica Altoatesina/Azienda Energetica, and C12125 - 2iReteGas/Nedgia, cited. 45 See C11878 - Italgas - Acegas-APS/Isontina Reti GI, cited. 46 See, doc. 42. 47 The divestiture will include the concessions, the plants, and the personnel responsible for managing such plants as well as all the assets that contribute to their current management.</w:t>
      </w:r>
    </w:p>
    <w:p>
      <w:r>
        <w:rPr>
          <w:b/>
        </w:rPr>
        <w:t>[Pages 31–33]</w:t>
      </w:r>
    </w:p>
    <w:p>
      <w:r>
        <w:t>BULLETIN NO. 16 OF APRIL 19, 2021 33</w:t>
      </w:r>
    </w:p>
    <w:p>
      <w:r>
        <w:t>In ATEM Rome 4, it is expressly excluded that the purchaser may be an operator with a share of PDR exceeding 10% of the ATEM itself.</w:t>
      </w:r>
    </w:p>
    <w:p>
      <w:r>
        <w:t>73. The divestiture procedure designed by 2I Rete Gas is structured as follows:</w:t>
        <w:br/>
        <w:t>a) the company will publish (on its website, in the main specialized sector newspapers, in at least one primary national newspaper, and in one primary international financial newspaper) a notice to submit an expression of interest within a period of two months from the notification of the closure of the procedure;</w:t>
        <w:br/>
        <w:t>b) interested parties may submit their expression of interest within [omitted] from the publication of the notice, subsequently access a virtual data room to acquire the necessary information on the assets subject to acquisition and submit a binding offer within a period of [omitted];</w:t>
        <w:br/>
        <w:t>c) within 5 days from the expiration of the term referred to in the previous point, 2I Rete Gas will send a copy of the binding offers received to the Authority, which may express its opinion within the following 15 days on the suitability of the potential purchasers;</w:t>
        <w:br/>
        <w:t>d) after the deadline for evaluations submitted to the Authority, 2I will have a period of [omitted] to conclude the preliminary agreement and initiate the handover process. If the signing of the divestiture does not occur within the indicated times, 2I Rete Gas commits to offer behavioral measures on the total PDR held by the Parties in ATEM Rome 4.</w:t>
      </w:r>
    </w:p>
    <w:p>
      <w:r>
        <w:t>74. The transfer will be made at a minimum price equal to [omitted]. If no binding offer equal to or greater than this minimum price is submitted by a suitable purchaser, the obligation of 2I Rete Gas to divest the assets will lose effectiveness, and thus the behavioral measures will automatically become effective.</w:t>
      </w:r>
    </w:p>
    <w:p>
      <w:r>
        <w:t>The VIR deferral measure and the compensation measure</w:t>
      </w:r>
    </w:p>
    <w:p>
      <w:r>
        <w:t>75. With the VIR deferral measure, 2I Rete Gas commits to allow the successful bidder of the future ATEM tender to pay, in the event that the divestiture measure is implemented, a portion of the VIR of the ATEM - relating to the PDR of 2I Rete Gas and the PDR acquired from IDG not subject to divestiture or, in the event that the divestiture measure is not implemented, to all the PDR of 2I Rete Gas and IDG acquired - in a deferred manner, at the end of a period of 3 years from the date of actual takeover of management. In particular, the new operator would be granted access to the networks at the time of the actual transfer of management and would immediately take over the management of all the plants, fully receiving the corresponding tariff; the transfer of ownership of the networks and the plants subject to deferral would be conditional upon the full payment of the VIR. In other words, as a result of the measure, the new operator would enter into possession of the networks at the same moment as it would normally have taken over following the award, that is, at the time of the actual handover, without any constraints for distribution and measurement activities, even in the absence of an immediate full payment of the VIR, of which, in part, deferred payment would be allowed.</w:t>
      </w:r>
    </w:p>
    <w:p>
      <w:r>
        <w:t>76. 2I Rete Gas specified that the deferral of the payment of the VIR would be granted under conditions that the Party deems advantageous for a period of three years. In particular, the interest rate applied would be equal to the sum of the Margin and the Reference Midswap Rate, namely 0.20% (20 basis points) + the 10-year Midswap Rate (EUSA10 CMPN Curncy), providing for a minimum rate of 0%, published on the Bloomberg page at the date of signing the contract, currently equal to a total of 0.02%, which based on the forward curves of the currently available Midswap Rate could reach a maximum value not exceeding 0.6%.</w:t>
      </w:r>
    </w:p>
    <w:p>
      <w:r>
        <w:t>77. In the event that the incoming operator waives the VIR deferral measure, 2I Rete Gas will grant it the compensation measure. In particular, the incoming operator will be entitled to compensation equal to the result of the product of the amount of the waived deferral (the VIR) and an annual interest rate equal to the sum of a spread of 180 basis points (i.e., 1.80%) and the 10-year Midswap rate at that date (EUSA 10 CMPN Curncy) for a total, calculated as of today, equal to approximately 1.8%. This amount, at current rates, would be equal, over 3 years of deferral, to approximately 5.4% of the VIR.</w:t>
      </w:r>
    </w:p>
    <w:p>
      <w:r>
        <w:t>The TSA measure</w:t>
      </w:r>
    </w:p>
    <w:p>
      <w:r>
        <w:t>78. With this measure, 2I Rete Gas commits to signing, with the incoming operator, a TSA with a duration of twelve months aimed at facilitating the takeover of the network management by the successful bidder of the tender. A term-sheet containing the fees and the main contractual conditions of the TSA would be made public in view of the aforementioned tenders, so as to allow for evaluation by potential bidders. Without prejudice to the transfer to the successful bidder of the management of the network and personnel - along with the related information, data, and documents - the TSA may include activities related to the know-how pertaining to the concessions put up for tender and related, more specifically, to the knowledge and skills necessary to manage the service in a specific area. The TSA will concern the set of technical support and information systems activities related to the gas distribution service through the network, necessary to enable the most effective migration of the new perimeter of managed PDRs, within the organization of the new operator, including, for example: a) activities aimed at ensuring the migration of data and processes for the takeover of the service and the management of the plants; b) support activities for the management, operation, maintenance of the plants and the physical operations of activation, deactivation, suspension, and reactivation; c) support activities for the management of natural gas meters and measurement data.</w:t>
      </w:r>
    </w:p>
    <w:p>
      <w:r>
        <w:t>79. The fee for the service, except for the migration activities that will be provided free of charge, should refer to market prices and in any case would not exceed the proportional share of the tariff fees recognized by ARERA, attributable in proportion to the services actually performed within the distribution, measurement, and marketing activities, where applicable.</w:t>
      </w:r>
    </w:p>
    <w:p>
      <w:r>
        <w:t>The employment measure</w:t>
      </w:r>
    </w:p>
    <w:p>
      <w:r>
        <w:t>80. The proposed measure provides for the self-reduction of the hiring burdens of the employees of the outgoing operator who, due to the social clause included in the tenders, should be hired by the incoming operator. In particular, pursuant to Article 2 of the Ministerial Decree of April 21, 2011, the personnel responsible for the management of the plants subject to tender and a portion of the personnel performing central support functions for the distribution and measurement activities of the plants themselves are subject to direct and immediate transfer to the incoming operator, with the safeguarding of the individual economic conditions in enjoyment, with regard to fixed and ongoing treatments and to the institutions related to seniority of service. If the total number of employees results in a number of managed PDRs per employee lower than the threshold value of 1/1,500, the outgoing operator must justify it to the contracting authority based on local specificities.</w:t>
      </w:r>
    </w:p>
    <w:p>
      <w:r>
        <w:t>81. The measure provides for the commitment of 2I Rete Gas to allow the incoming operator to hire a number of employees of the outgoing operator subject to direct transfer to the new operator, even in a number lower than the threshold of one employee for every 1,500 PDRs provided for by the Ministerial Decree and equal to one employee for every 2,000 PDRs, with the option also to waive the transfer of those employees indicated by the outgoing operator as related to central functions. Employees identified by the outgoing operator as subject to direct transfer, but not requested by the incoming operator, would remain employed by the outgoing operator under the same individual economic conditions in enjoyment, with regard to fixed and ongoing treatments and to the institutions related to seniority of service.</w:t>
      </w:r>
    </w:p>
    <w:p>
      <w:r>
        <w:t>The informational measure</w:t>
      </w:r>
    </w:p>
    <w:p>
      <w:r>
        <w:t>82. 2iRG has finally made itself available to provide all potential bidders with data relating to the characteristics of the plants in addition to those provided for by Articles 4 and 5 of Ministerial Decree 226/2011, the transmission of which to the Contracting Authorities is mandatory. Specifically, the additional informational measures presented by 2iRG are as follows: i) network maps in electronic format according to the tracks and formats provided by SINFI (National Federated Infrastructure Information System, MISE Decree May 11, 2016); ii) integration of the cartographic information with the year of installation of the individual pipelines; iii) making available (in addition to the information already provided today and limited to the type of reduction plant - single line or double line and to the capacity -) the list of equipment of the individual reduction plants (primary and secondary cabins); iv) historical growth curve of end customers/PDRs as available; v) list of connection requests to the gas network not yet fulfilled or not fulfillable as of the date of issuance of the tender or the date closest to it; vi) details regarding leakages indicating the part of the plant on which the leakage has been identified (buried network, buried connection, aerial connection, meter, etc.) and the year in which they were detected in the last three years; vii) daily trend of hourly flows of primary reduction plants related to the consumption quarter; viii) calculation sheets related to the last available three years of the values of the Kt parameter for the state of cathodic protection of steel networks; ix) information on the status of ongoing campaigns for the replacement of electronic meters, indicating the technology (P-P/P-M).</w:t>
      </w:r>
    </w:p>
    <w:p>
      <w:r>
        <w:t>The effects on the operation of the measures presented by 2i Rete Gas</w:t>
      </w:r>
    </w:p>
    <w:p>
      <w:r>
        <w:t>83. As extensively illustrated in the preceding sections, with regard to ATEM Rome 4, the investigation has concluded that the operation results in the elimination of one of the main competitors capable of contending for the award of the management of the area in the relative tender. With respect to this Area, therefore, the remedies suitable for resolving competitive criticalities must aim primarily at recreating an entity that represents a significant outgoing operator and thus has the potential to effectively participate in such tenders, similar to the entity that, due to the concentration, ceases to be independent. In this sense, the corrective measures of the operation</w:t>
      </w:r>
    </w:p>
    <w:p>
      <w:r>
        <w:rPr>
          <w:b/>
        </w:rPr>
        <w:t>[Pages 34–36]</w:t>
      </w:r>
    </w:p>
    <w:p>
      <w:r>
        <w:t>36 BULLETIN NO. 16 OF APRIL 19, 2021</w:t>
        <w:br/>
        <w:t>must maximize the likelihood of additional bids being submitted for the ATEM tender, also through the possibility of an immediate entry of third parties into the current management through divestment measures.</w:t>
      </w:r>
    </w:p>
    <w:p>
      <w:r>
        <w:t>84. In identifying appropriate divestment measures in this case, it is necessary to consider the peculiarities of the markets involved, similarly to what has been done in the past by the Authority. The case in question, in fact, concerns future markets that do not yet exist, and the declared objective of such measures must be the ability to ensure an adequate level of competition not in the current management of the asset (which, in itself, represents a natural monopoly), but in future area tenders. Additionally, there is another peculiarity of the sector, represented by the existing regulation, which guarantees companies holding assets - and therefore also potential future buyers of the concessions transferred by 2iRG - to receive substantial payoffs (the VIR, which is generally even higher than the RAB tariff) in the event of non-award or even non-participation or total disinterest in the tender, that is, in the future market in which the Authority is called upon to protect competition.</w:t>
      </w:r>
    </w:p>
    <w:p>
      <w:r>
        <w:t>85. These characteristics lead to the consideration of the possibility that the assets subject to divestment may be acquired by a party that has, at least in the medium term, solely speculative purposes, in the sense that it intends to wait for the tenders to take place and collect the VIR of the plants (yielding an amount) rather than engage in the complex activity of participating in the area tenders; such a party, moreover, given the certainty of collecting the VIR following the tenders, would have an easy time raising the capital to finance such a speculative operation. If the assets subject to transfer were purchased by an operator to achieve these purposes, the main objective of the divestments in this case, consisting of reconstituting a potential participant in the tenders, would be undermined.</w:t>
      </w:r>
    </w:p>
    <w:p>
      <w:r>
        <w:t>86. It seems reasonable to hypothesize that the risk of a speculative acquisition is greater in cases where - in the face of the disinterest of operators willing to invest in the asset in order to use it as a starting point to build a participation strategy in the tender and thus willing to offer a market price - the sale price gradually decreases until it reaches, in the abstract, zero, as provided in the standard divestment procedures in concentration operations. For this reason, as the sale price decreases, the risk that the divestment measure does not bring any competitive benefit to the tenders or only brings a marginal one increases proportionally, and the measure itself may end up being both disproportionate and ineffective with respect to its competitive objective.</w:t>
      </w:r>
    </w:p>
    <w:p>
      <w:r>
        <w:t>87. In order to seize the opportunities offered by the divestment measure, which in the presence of a suitable buyer can fundamentally resolve the competitive restrictions of the operation, and at the same time remedy the negative consequences arising from the risks of speculative acquisitions, for the ATEM of Rome 4, the Party has proposed a structured measure, consisting, in the first instance, of a divestment of assets conditioned upon reaching a reserve price, supplemented by detailed behavioral measures on the PDRs of the Parties not subject to divestment. If the divestment with a reserve price does not materialize, only the behavioral measures on all PDRs of the ATEM of Rome 4 held by the Parties would apply.</w:t>
      </w:r>
    </w:p>
    <w:p>
      <w:r>
        <w:t>88. In particular, in derogation from the normal procedure which provides that the divestment of assets occurs without the identification of a reserve price, the divestment of the PDR share of the ATEM proposed by 2I Rete Gas occurs with the establishment of a reserve price, greater than zero, the amount of which, on the one hand, appears reasonable and proportionate to incentivize the maximum number of valid bids possible and, on the other hand, is defined in relation to the tariff valuation. This amount has been set for the present proceeding [omitted]. Below this price, 2iRG reserves the right to reject the offer, committing, once the absence of buyers willing to pay at least the predetermined minimum price is ascertained, to implement particularly relevant behavioral measures.</w:t>
      </w:r>
    </w:p>
    <w:p>
      <w:r>
        <w:t>89. In other words, in the specific context of this operation, the set of proposed behavioral measures must be read as a unified whole as an integral part of the "atypical" divestment commitment designed in this case. The proposed remedies are indeed aimed at ensuring as complete a set as possible of measures intended to ensure the greatest possible participation in the tender, in light of the interest of operators potentially with different characteristics.</w:t>
      </w:r>
    </w:p>
    <w:p>
      <w:r>
        <w:t>90. In order to achieve the described result, it is noted that, with reference to the ATEM of Rome 4, 2iRG has proposed to carry out a divestment, in the manner described above, of a portion of the PDRs of that Area corresponding in fact to that subject to acquisition, a circumstance that would eliminate any competitive issues related to that territory and would allow for the reconstitution, in the hands of the buyer of the identified business branch, of a subject capable of effectively competing for the tenders in a manner comparable to the Parties in the pre-merger scenario.</w:t>
      </w:r>
    </w:p>
    <w:p>
      <w:r>
        <w:t>91. 2iRG has also provided, in addition to the divestment measure, behavioral measures to be applied to the remaining part of the PDR not subject to divestment, which can increase competition in the tender both by facilitating the success of the divestment measure as they make the divested assets more attractive, and by attracting bids from third parties, even where they are currently not present in the ATEM. These include, in particular:</w:t>
        <w:br/>
        <w:t>(a) a measure to defer the VIR for an extended duration of three years which, at the beneficiary's choice, could convert into compensation on the value of the VIR;</w:t>
        <w:br/>
        <w:t>(b) a contractual measure aimed at facilitating the takeover of the network management by the successful bidder of the tender;</w:t>
        <w:br/>
        <w:t>(c) an employment measure aimed at alleviating the burdens imposed by the social clause;</w:t>
        <w:br/>
        <w:t>(d) an informational measure aimed at sharing further useful information with potential participants in the tender.</w:t>
      </w:r>
    </w:p>
    <w:p>
      <w:r>
        <w:t>92. Furthermore, in the event that the divestment measure proves ineffective due to the absence of buyers interested in paying at least the reserve price, 2I Rete Gas commits to applying the aforementioned behavioral measures to the total PDRs held by the Parties in the ATEM of Rome 4. In this way, the attractiveness of the ATEM for potential third-party operators would still be increased through the maximization of the scope of the behavioral measures.</w:t>
      </w:r>
    </w:p>
    <w:p>
      <w:r>
        <w:t>93. The proposed measures must be deemed suitable to overcome the restrictive effects caused by the operation in relation to the future tender for the ATEM of Rome 4. They indeed provide, in the first instance, for the divestment of a number of PDRs corresponding to those subject to acquisition, adequately designed to minimize the risk of speculative acquisitions that would not lead to the reconstitution of a potential competitor for the future ATEM tender. In the absence of market conditions suitable to achieve this last objective, the corrective measures proposed by the Party also provide for the implementation of incisive behavioral measures, which will increase the attractiveness of the ATEM and thus may enhance the incentives for third operators to participate in the related tender.</w:t>
      </w:r>
    </w:p>
    <w:p>
      <w:r>
        <w:t>IX. CONCLUSIONS</w:t>
      </w:r>
    </w:p>
    <w:p>
      <w:r>
        <w:t>94. The remedies proposed by 2iRG, in the form summarized above, are deemed suitable to compensate for the restrictive effects on competition of the communicated operation, which, as evidenced by the investigation, would have resulted in the creation or strengthening of a dominant position in the market for the concession of the natural gas distribution service in the ATEM of Rome 4, while significantly strengthening the position of the post-merger entity and also determining a serious structural change, consisting of the reduction from three to two of the number of outgoing operators who could represent qualified participants in the ATEM tender.</w:t>
      </w:r>
    </w:p>
    <w:p>
      <w:r>
        <w:t>95. The divestment remedies presented for the ATEM of Rome 4, to be read together with the proposed behavioral measures, are deemed suitable to eliminate both the anticompetitive effects established during the investigation. The integrated method proposed for the divestment remedy, with the identification, in derogation from the standard procedure, of a minimum reserve price and the simultaneous assumption of the obligation to adopt enhanced behavioral measures in case of failure of the divestment procedure appears necessary and adequate in this case, given the peculiar characteristics of the markets involved (future tender markets) and the regulation of the sector.</w:t>
      </w:r>
    </w:p>
    <w:p>
      <w:r>
        <w:t>96. All things considered, it can be concluded that, provided that the remedies described above are adopted, the concentration operation can be authorized, pursuant to Article 6, paragraph 2, of Law No. 287/90.</w:t>
      </w:r>
    </w:p>
    <w:p>
      <w:r>
        <w:t>CONSIDERING that the operation in question is likely to determine, pursuant to Article 6, paragraph 1, of Law No. 287/1990, the creation or strengthening of a dominant position, such as to eliminate or substantially and durably reduce competition in the ATEM of Rome 4;</w:t>
      </w:r>
    </w:p>
    <w:p>
      <w:r>
        <w:t>CONSIDERING it necessary to prescribe to the company 2i Rete Gas S.p.A., pursuant to Article 6, paragraph 2, of Law No. 287/1990, measures aimed at preventing such consequences, eliminating the distorting effects caused by the realization of the concentration in question;</w:t>
      </w:r>
    </w:p>
    <w:p>
      <w:r>
        <w:t>CONSIDERING that the operation in question is authorized subject to the full and effective execution of all measures prescribed in this provision;</w:t>
      </w:r>
    </w:p>
    <w:p>
      <w:r>
        <w:t>CONSIDERING, furthermore, that the service agreement (TSA) accompanying the operation can be qualified as accessory to the communicated concentration, insofar as it contains restrictions directly related to the realization of the operation and necessary for it;</w:t>
      </w:r>
    </w:p>
    <w:p>
      <w:r>
        <w:rPr>
          <w:b/>
        </w:rPr>
        <w:t>[Pages 37–39]</w:t>
      </w:r>
    </w:p>
    <w:p>
      <w:r>
        <w:t>BULLETIN NO. 16 OF APRIL 19, 2021 39</w:t>
      </w:r>
    </w:p>
    <w:p>
      <w:r>
        <w:t>RESOLUTION</w:t>
      </w:r>
    </w:p>
    <w:p>
      <w:r>
        <w:t>to authorize the notified concentration operation, provided that 2i Rete Gas S.p.A. fully and effectively implements the following measures, pursuant to Article 6, paragraph 2, of Law No. 287/1990:</w:t>
      </w:r>
    </w:p>
    <w:p>
      <w:r>
        <w:t>A. Divestiture Measures</w:t>
      </w:r>
    </w:p>
    <w:p>
      <w:r>
        <w:t>1) 2i Rete Gas S.p.A. must transfer control, both de facto and de jure, of the activities corresponding to at least 27,500 PDR within the ATEM of Rome 4, including the concessions, the plants, and the personnel assigned to such plants, as well as all assets that contribute to their current management or that are necessary to ensure their profitability and competitiveness;</w:t>
      </w:r>
    </w:p>
    <w:p>
      <w:r>
        <w:t>2) the transfer must take place through transparent, competitive, and adequately publicized procedures, open to suitable and qualified operators;</w:t>
      </w:r>
    </w:p>
    <w:p>
      <w:r>
        <w:t>3) the transfer must occur based on a minimum price not communicated to the market, equal to [omitted];</w:t>
      </w:r>
    </w:p>
    <w:p>
      <w:r>
        <w:t>4) 2i Rete Gas S.p.A. must provide sufficient information about the assets subject to transfer, to allow potential buyers to assess their value and presumed commercial capacity;</w:t>
      </w:r>
    </w:p>
    <w:p>
      <w:r>
        <w:t>5) 2i Rete Gas S.p.A. must preserve the economic operability, marketability, and competitiveness of the assets subject to the transfers, in accordance with good commercial practice, during the period between the date of authorization of the Operation and the full validity and effectiveness of their transfer;</w:t>
      </w:r>
    </w:p>
    <w:p>
      <w:r>
        <w:t>6) 2i Rete Gas S.p.A. may not reacquire control of the transferred assets until the relevant tender has been awarded;</w:t>
      </w:r>
    </w:p>
    <w:p>
      <w:r>
        <w:t>7) 2i Rete Gas S.p.A. must transfer the aforementioned assets within the ATEM Rome 4 to a single entity, which must meet the following requirements:</w:t>
        <w:br/>
        <w:t>i) be independent, also from an economic and commercial point of view, from 2i Rete Gas S.p.A. and from the companies connected to it, as well as from the individuals at the top of its control chain;</w:t>
        <w:br/>
        <w:t>ii) possess the financial means, proven relevant expertise, as well as the incentive and capacity to maintain and develop the transferred activities; in particular, only operators capable of maintaining and developing the transferred activity as a profitable competitive force for participation in future tenders will be admitted to the procedure;</w:t>
        <w:br/>
        <w:t>iii) the acquisition of the transferred activity by a proposed buyer must not create, in turn, competitive restrictions; to ensure that the divestiture measure is suitable to "reconstitute a third party capable of participating in the tender," the buyer may not be an operator who, at the date of the expression of interest referred to in point 8-ii), is already present directly or through controlled or affiliated companies in the ATEM in question with a percentage of PDR exceeding 10%, and must commit not to resell the acquired assets to a subject with such last characteristics until the relevant tender has been awarded;</w:t>
      </w:r>
    </w:p>
    <w:p>
      <w:r>
        <w:t>8) the transfer of the activities referred to in the previous points must occur with the following methods and timelines:</w:t>
        <w:br/>
        <w:t>i) 2i Rete Gas S.p.A., within a period of two months from the notification of this provision, must publish a notice to collect expressions of interest, which must indicate all the terms of the procedure, as per the subsequent points ii), iii), and iv). This notice must be published, in addition to being on the website of 2i Rete Gas S.p.A., in the main specialized trade newspapers as well as in at least one primary national newspaper and one primary international economic-financial newspaper. The Authority must be informed of this publication within seven days following the publication itself, [omitted];</w:t>
      </w:r>
    </w:p>
    <w:p>
      <w:r>
        <w:t>ii) interested parties must submit a first expression of interest within [omitted] from the date of publication of the notice in all prescribed modalities;</w:t>
      </w:r>
    </w:p>
    <w:p>
      <w:r>
        <w:t>iii) parties that have submitted a first expression of interest will have the right to access a virtual data room, containing the information set of the assets subject to acquisition and may conduct a site visit; they will then have a period of [omitted], starting from the deadline referred to in the previous point ii), to submit a binding offer;</w:t>
      </w:r>
    </w:p>
    <w:p>
      <w:r>
        <w:t>iv) 2i Rete Gas S.p.A., within 5 days from the deadline referred to in the previous point iii), must send to the Authority a copy of the binding offers received for evaluation, within the subsequent fifteen days, of the suitability of potential buyers;</w:t>
      </w:r>
    </w:p>
    <w:p>
      <w:r>
        <w:t>v) after the deadline referred to in the previous point iv), the conclusion of the preliminary agreement and the start of the handover process must occur within a period of [omitted];</w:t>
      </w:r>
    </w:p>
    <w:p>
      <w:r>
        <w:t>vi) upon expiration of this period, or in cases where the deadlines referred to in the previous points ii) and iii) have elapsed fruitlessly or, in any case, in the event of failure to identify a suitable buyer, 2i Rete Gas S.p.A. must submit a final report on the outcome of the divestiture procedures to the Authority and provide corresponding information to the market according to the publicity methods indicated in the previous point i). In the event of failure of the divestiture measure, the report to the Authority and the information to the market must also contain the commitment of 2i Rete Gas S.p.A. to adopt, in the ATEM or in the ATEMs affected by the failure to divest, the behavioral measures referred to in the subsequent point B, concerning the total activities of 2i Rete Gas S.p.A. and Infrastrutture Distribuzione Gas S.p.A. in the same ATEM.</w:t>
      </w:r>
    </w:p>
    <w:p>
      <w:r>
        <w:t>B. Behavioral Measures in Case of Failure to Divest for the ATEM of Rome 4</w:t>
      </w:r>
    </w:p>
    <w:p>
      <w:r>
        <w:t>1. 2i Rete Gas S.p.A. must allow the winning operator of the tender to benefit, for a maximum period of three years from the date of actual takeover of the service management, from the deferral of payment of the total VIR related to all concessions held in ATEM Rome 4 by 2i Rete Gas S.p.A. and IDG S.p.A., with the application of an interest rate equal to the sum of Margin and Reference Midswap Rate, namely 0.20% (20 basis points) + Ten-Year Midswap Rate (EUSA10 CMPN Curncy) providing for a minimum rate of 0%, published on the Bloomberg page at the date of signing the contract (so-called "VIR deferral measure").</w:t>
      </w:r>
    </w:p>
    <w:p>
      <w:r>
        <w:t>As an alternative to the described deferral, 2i Rete Gas S.p.A. must allow the winning operator of this tender to benefit from compensation, the value of which is equal to the result of the product between the amount of the waived deferral (the VIR) and an annual interest rate equal to the sum of a spread of 180 basis points (i.e., 1.80%) and the Ten-Year Midswap Rate at that date (EUSA10 CMPN Curncy), for a total, calculated as of today, equal to approximately 1.8%. This amount, at current rates, would be equal - over the thirty-six months of deferral - to approximately 5.4% of the VIR.</w:t>
      </w:r>
    </w:p>
    <w:p>
      <w:r>
        <w:t>2. 2i Rete Gas S.p.A. must allow the winning operator of the tender for ATEM Rome 4 to enter into, under market conditions and in any case not exceeding the share of tariff fees recognized by ARERA for similar services, a service contract (Transitional Service Agreement, hereinafter "TSA") with a duration of one year, aimed at facilitating the takeover in the management of the network in all concessions held in ATEM Rome 4 by 2i Rete Gas S.p.A. and IDG S.p.A. (so-called "TSA measure"). To this end, 2i Rete Gas S.p.A. must publish (in the manner provided in the subsequent point 5), the term-sheet containing the fees and the main contractual conditions of the TSA, which include activities related to the know-how pertaining to the concessions put up for tender and related, in particular, to the knowledge and skills necessary to manage the service in a specific area, namely concerning the set of technical support and information systems activities related to the gas distribution service through the network, necessary to allow the most effective migration of the new perimeter of PDR managed within the organization of the new operator, for example: the activities functional to ensure the migration of data and processes for the takeover of the service and the management of the plants; the support activities for the management, operation, maintenance of the plants and the physical operations of activation, deactivation, suspension, and reactivation; the support activities for the management of natural gas meters and measurement data; within the TSA, the provision of migration services by 2i Rete Gas S.p.A. will be provided free of charge;</w:t>
      </w:r>
    </w:p>
    <w:p>
      <w:r>
        <w:t>3. 2i Rete Gas S.p.A. must allow the winning operator of the tender, for ATEM Rome 4 and for all concessions held in ATEM Rome 4 by 2i Rete Gas S.p.A. and IDG S.p.A., to hire a number of employees from the outgoing operator, who pursuant to Article 2 of the Ministerial Decree of April 21, 2011, containing "Provisions for managing the social effects related to the new assignments of gas distribution concessions," are mandatorily subject to direct transfer to the new operator (i.e., personnel responsible for managing the plants subject to tender and a portion of the personnel performing central support functions for the distribution and measurement activities of the plants), in a measure lower than the threshold of one employee for every 1,500 PDR provided for by the aforementioned Ministerial Decree and equal, instead, to one employee for every 2,000 PDR, with the option, moreover, to waive the transfer of those employees indicated by the outgoing operator as related to central functions. 2i Rete Gas S.p.A. must also ensure that employees identified as subject to direct transfer, but not requested by the incoming operator, remain under its employment under the same individual economic conditions currently enjoyed, with regard to fixed and ongoing treatments and the provisions related to seniority (so-called "employment measure");</w:t>
      </w:r>
    </w:p>
    <w:p>
      <w:r>
        <w:t>4. 2i Rete Gas S.p.A., with reference to ATEM Rome 4 and for all concessions held in ATEM Rome 4 by 2i Rete Gas S.p.A. and IDG S.p.A., must make available, subject to legal information obligations, to any requesting party the data and information described below: i) the network maps in electronic format according to the tracks and formats provided by SINFI (National Federated Information System of Infrastructures); ii) the integration of the mapping information with the year of installation of the individual pipelines; iii) the list of equipment of the individual reduction plants (primary and secondary cabins), in addition to the information already provided today and limited to the type of reduction plant, single line or double line and capacity; iv) the historical growth curve of end customers/PDR as far as available; v) the list of connection requests to the gas network not yet fulfilled or not fulfillable as of the date of issuance of the tender or the date closest to it; vi) details on leakages indicating the part of the plant on which the leakage was identified (for example, underground network, underground connection, aerial connection, meter) and the year in which they were detected in the last three years; vii) the daily trend of hourly flows of the reduction plants.</w:t>
      </w:r>
    </w:p>
    <w:p>
      <w:r>
        <w:rPr>
          <w:b/>
        </w:rPr>
        <w:t>[Pages 40–42]</w:t>
      </w:r>
    </w:p>
    <w:p>
      <w:r>
        <w:t>42 BULLETIN NO. 16 OF APRIL 19, 2021</w:t>
      </w:r>
    </w:p>
    <w:p>
      <w:r>
        <w:t>primary related to the consumption quarter; viii) the calculation sheets related to the last available three-year period of the values of the Kt parameter for the cathodic protection status of the steel networks; and ix) the information on the status of ongoing campaigns for the replacement of electronic meters, indicating the technology, P-P/P-M (so-called "informative measure");</w:t>
      </w:r>
    </w:p>
    <w:p>
      <w:r>
        <w:t>5. The applicability of the aforementioned behavioral measures (including the term-sheet related to the TSA measure referred to in point 2) must be communicated to the market by 2i Rete Gas S.p.A. within fifteen days from the date of publication in the Official Gazette of the call for tenders for the award of natural gas distribution concessions in the ATEMs affected by such measures, with the forms of publicity provided in point A.-8)-i).</w:t>
      </w:r>
    </w:p>
    <w:p>
      <w:r>
        <w:t>C. Behavioral measures applied to the activities of the Parties in the ATEM of Rome 4 not subject to the divestment measure</w:t>
      </w:r>
    </w:p>
    <w:p>
      <w:r>
        <w:t>1. With reference to the set of activities of the Parties within the ATEM of Rome 4, related to the PDR not subject to the divestment measure referred to in the previous point A, 2i Rete Gas S.p.A. must allow the winning operator of the relevant area tenders to benefit, also cumulatively:</w:t>
        <w:br/>
        <w:t>i) from the so-called measure of the deferral of the VIR or, alternatively to the deferral, the recognition to the incoming operator of compensation, under conditions similar to those indicated in point B.-1);</w:t>
        <w:br/>
        <w:t>ii) from the so-called TSA measure;</w:t>
        <w:br/>
        <w:t>iii) from the so-called employment measure;</w:t>
        <w:br/>
        <w:t>iv) from the so-called informative measure.</w:t>
      </w:r>
    </w:p>
    <w:p>
      <w:r>
        <w:t>2. The applicability of the aforementioned behavioral measures (including the term-sheet related to the so-called TSA measure) must be communicated to the market by 2i Rete Gas S.p.A. within fifteen days from the date of publication in the Official Gazette of the call for tenders for the award of natural gas distribution concessions in the ATEM of Rome 4, with the forms of publicity provided in point A.-8)-i).</w:t>
      </w:r>
    </w:p>
    <w:p>
      <w:r>
        <w:t>In addition to the obligations referred to in point A.-8)-vi), 2i Rete Gas S.p.A. must submit a detailed report on compliance with the behavioral measures referred to in points B and C by December 31 of each year until the award of the ATEM of Rome 4 tender affected by the aforementioned measures.</w:t>
      </w:r>
    </w:p>
    <w:p>
      <w:r>
        <w:t>The prescribed corrective measures will come into effect from the notification of this authorization decision for the concentration.</w:t>
      </w:r>
    </w:p>
    <w:p>
      <w:r>
        <w:t>This decision will be notified to the interested parties and published in the Bulletin of the Competition and Market Authority.</w:t>
      </w:r>
    </w:p>
    <w:p>
      <w:r>
        <w:t>Against this decision, an appeal may be submitted to the TAR of Lazio, pursuant to Article 135, paragraph 1, letter b), of the Code of Administrative Procedure (Legislative Decree No. 104 of July 2, 2010), within sixty days from the date of notification of the decision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decision itself.</w:t>
      </w:r>
    </w:p>
    <w:p>
      <w:r>
        <w:t>THE DEPUTY SECRETARY GENERAL THE PRESIDENT</w:t>
      </w:r>
    </w:p>
    <w:p>
      <w:r>
        <w:t>Serena Stella Roberto Rustichelli</w:t>
      </w:r>
    </w:p>
    <w:p>
      <w:r>
        <w:t>44 BULLETIN NO. 16 OF APRIL 19, 2021</w:t>
      </w:r>
    </w:p>
    <w:p>
      <w:r>
        <w:t>C12367 - MOWGLI-JAKALA HOLDING/JAKALA</w:t>
      </w:r>
    </w:p>
    <w:p>
      <w:r>
        <w:t>Decision No. 28623</w:t>
      </w:r>
    </w:p>
    <w:p>
      <w:r>
        <w:t>THE COMPETITION AND MARKET AUTHORITY</w:t>
      </w:r>
    </w:p>
    <w:p>
      <w:r>
        <w:t>IN ITS MEETING of March 30, 2021;</w:t>
      </w:r>
    </w:p>
    <w:p>
      <w:r>
        <w:t>HEARD the Rapporteur Professor Michele Ainis;</w:t>
      </w:r>
    </w:p>
    <w:p>
      <w:r>
        <w:t>VIEWED Law No. 287 of October 10, 1990;</w:t>
      </w:r>
    </w:p>
    <w:p>
      <w:r>
        <w:t>VIEWED the D.P.R. No. 217 of April 30, 1998;</w:t>
      </w:r>
    </w:p>
    <w:p>
      <w:r>
        <w:t>VIEWED the communication from the companies Mowgli S.p.A. and Jakala Holding S.p.A. received on March 16, 2021;</w:t>
      </w:r>
    </w:p>
    <w:p>
      <w:r>
        <w:t>VIEWED the documentation on file;</w:t>
      </w:r>
    </w:p>
    <w:p>
      <w:r>
        <w:t>CONSIDERED the following:</w:t>
      </w:r>
    </w:p>
    <w:p>
      <w:r>
        <w:t>I. THE PARTIES</w:t>
      </w:r>
    </w:p>
    <w:p>
      <w:r>
        <w:t>1. Mowgli S.p.A. (hereinafter Mowgli) is a newly established company for the purpose of carrying out the operation under examination. It is wholly owned by the ARDIAN Buyout Fund VII B, SLP managed by Ardian France S.A. (hereinafter Ardian France), a French private equity fund management company.</w:t>
      </w:r>
    </w:p>
    <w:p>
      <w:r>
        <w:t>In 2019, Ardian France achieved a total revenue, calculated taking into account the revenue of the companies in its portfolio, of approximately [10 – 20]* billion euros, of which [10 – 20] billion in the European Union and [2 – 3] billion in Italy.</w:t>
      </w:r>
    </w:p>
    <w:p>
      <w:r>
        <w:t>2. Jakala Holding S.p.A. (hereinafter JH) is a holding company that holds stakes, among others, in Jakala S.p.A.</w:t>
      </w:r>
    </w:p>
    <w:p>
      <w:r>
        <w:t>The main shareholder of JH is Akela S.r.l., which, in turn, is 46.7% owned by Matteo De Brabant (hereinafter MDB)1, the founder of the target company Jakala S.p.A., who currently serves as the CEO of JH.</w:t>
      </w:r>
    </w:p>
    <w:p>
      <w:r>
        <w:t>The revenue generated in 2020 by JH is [less than one million euros].</w:t>
      </w:r>
    </w:p>
    <w:p>
      <w:r>
        <w:t>3. Jakala S.p.A. (hereinafter Jakala) is a company that offers, also through its subsidiaries, consulting and marketing services focused on the use of innovative technological solutions and data.</w:t>
      </w:r>
    </w:p>
    <w:p>
      <w:r>
        <w:t>The activities of Jakala and its subsidiaries (hereinafter Jakala Group) target large companies active in various sectors.</w:t>
      </w:r>
    </w:p>
    <w:p>
      <w:r>
        <w:t>Jakala is owned by JH, which holds a 42.98% stake in the capital, as well as by minority shareholders.</w:t>
      </w:r>
    </w:p>
    <w:p>
      <w:r>
        <w:t>The revenue generated in 2020 by the group of companies headed by Jakala was [100 - 200] million euros.</w:t>
      </w:r>
    </w:p>
    <w:p>
      <w:r>
        <w:t>* In this version, some data are omitted, as elements of confidentiality or secrecy of the information were deemed to exist.</w:t>
      </w:r>
    </w:p>
    <w:p>
      <w:r>
        <w:t>1 MDB directly holds a 45% stake in the capital of JH and an additional stake of 2.6%, indirectly, through a company (Cikai S.r.l.) under his control.</w:t>
      </w:r>
    </w:p>
    <w:p>
      <w:r>
        <w:rPr>
          <w:b/>
        </w:rPr>
        <w:t>[Pages 43–45]</w:t>
      </w:r>
    </w:p>
    <w:p>
      <w:r>
        <w:t>BULLETIN NO. 16 OF APRIL 19, 2021 45</w:t>
      </w:r>
    </w:p>
    <w:p>
      <w:r>
        <w:t>II. DESCRIPTION OF THE OPERATION</w:t>
      </w:r>
    </w:p>
    <w:p>
      <w:r>
        <w:t>4. The operation consists of the following phases:</w:t>
        <w:br/>
        <w:t>i. Mowgli will purchase from the current shareholders of Jakala - through a corporate vehicle under Italian law specifically established for the operation (BidCo) - the shares representing the entire share capital of Jakala;</w:t>
        <w:br/>
        <w:t>ii. some of the current shareholders and managers of Jakala (including JH) will reinvest part of the proceeds obtained, depending on the case, from the sale of their participation or from the redemption by Jakala of the financial instruments they hold, becoming part of the share capital of BidCo by subscribing to the capital increase of the latter;</w:t>
        <w:br/>
        <w:t>iii. as a result of the transactions described above, the share capital of BidCo will be divided among Mowgli (which will hold a share between 60% and 69%), JH (which will hold a share between 25% and 28%), the managers, and the other shareholders of Jakala participating in the operation;</w:t>
        <w:br/>
        <w:t>iv. finally, following the execution of the operation, BidCo, through a reverse merger with Jakala, will create the post-merger company Jakala.</w:t>
      </w:r>
    </w:p>
    <w:p>
      <w:r>
        <w:t>5. The post-merger Jakala will be subject to the joint control of Mowgli and JH. This is in consideration of what is provided for in the Co-investment Agreement and Shareholders' Agreement (hereinafter Shareholders' Agreement) signed by the Parties regarding the composition and the decision-making quorums of the board of directors of post-merger Jakala.</w:t>
      </w:r>
    </w:p>
    <w:p>
      <w:r>
        <w:t>6. In particular, the board of directors of post-merger Jakala will be composed of 9 members, of which:</w:t>
        <w:br/>
        <w:t>- 5 designated by Mowgli,</w:t>
        <w:br/>
        <w:t>- 3 designated by JH; among these will be MDB who will assume the role of executive chairman;</w:t>
        <w:br/>
        <w:t>- a CEO, already identified by the Parties; the Shareholders' Agreement also provides that, in the event of the revocation of the latter, the CEO of post-merger Jakala will be chosen by MDB from the two candidates selected by Mowgli, if MDB is still the chairman of the company, or, if he is no longer, will be chosen by Mowgli from the two candidates selected by MDB (in the latter case, the CEO will also have the delegations provided for the role of chairman of post-merger Jakala).</w:t>
      </w:r>
    </w:p>
    <w:p>
      <w:r>
        <w:t>7. Furthermore, the Shareholders' Agreement, in providing that MDB holds the position of executive chairman of post-merger Jakala for an initial period of three years renewable for the entire duration of the Agreement itself, establishes that this position cannot be revoked without the consent of JH (unless for just cause) and grants MDB the power of veto on various matters including budget and business plan, as well as on investment decisions whose value exceeds certain thresholds.</w:t>
      </w:r>
    </w:p>
    <w:p>
      <w:r>
        <w:t>8. In summary, the articulation of the provisions of the aforementioned Shareholders' Agreement outlines a framework in which JH will be able to exercise, through MDB - one of the directors representing it on the board of directors of post-merger Jakala - and as long as he holds the position of executive chairman, a decisive influence regarding the definition of the strategic directions of the Jakala Group, thanks to the veto rights recognized to MDB on matters such as (among others) budget, business plan, and investments. This assessment appears to be confirmed by the provision of the Shareholders' Agreement according to which, due to MDB's role in the Jakala Group, for the entire duration of the Agreement itself, post-merger Jakala will be "the exclusive vehicle of MDB and JH for any activity related to the business of the Jakala group."</w:t>
      </w:r>
    </w:p>
    <w:p>
      <w:r>
        <w:t>9. It is also noted that the Shareholders' Agreement provides, for JH and MDB, a non-competition obligation regarding the activities of the Jakala Group and the territories in which the companies of the Group operate. The duration of the non-competition agreement extends for the entire duration of the Shareholders' Agreement - or, if earlier, the date on which JH ceases to hold shares in BidCo or post-merger Jakala - and in any case for a period of 2 years following the sale by JH of its participation in post-merger Jakala. In particular, JH and MDB undertake not to:</w:t>
        <w:br/>
        <w:t>- [omitted].</w:t>
      </w:r>
    </w:p>
    <w:p>
      <w:r>
        <w:t>III. QUALIFICATION OF THE OPERATION</w:t>
      </w:r>
    </w:p>
    <w:p>
      <w:r>
        <w:t>10. The communicated operation, as it involves the acquisition of joint control of a company, constitutes a concentration, pursuant to Article 5, paragraph 1, letter b), of Law No. 287/90. It falls within the scope of application of Law No. 287/90, as the conditions set out in Article 1 of Regulation (EC) No. 139/04 do not apply, and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individually, in the last financial year at the national level, by at least two of the companies involved was over 31 million euros.</w:t>
      </w:r>
    </w:p>
    <w:p>
      <w:r>
        <w:t>11. The aforementioned non-competition agreement can be qualified as ancillary to the communicated concentration to the extent that it contains restrictions directly related to the realization of the operation and necessary for it.</w:t>
      </w:r>
    </w:p>
    <w:p>
      <w:r>
        <w:t>IV. ASSESSMENT OF THE CONCENTRATION</w:t>
      </w:r>
    </w:p>
    <w:p>
      <w:r>
        <w:t>12. The operation concerns the marketing and communication services sector, in which the Jakala Group offers, to clients active in various commodity sectors, services focused on the use of innovative technological solutions and data.</w:t>
      </w:r>
    </w:p>
    <w:p>
      <w:r>
        <w:t>13. The European Commission has examined this sector in the context of the assessment of certain concentration operations, defining, from a commodity perspective, a relevant market extended to a multitude of services (including advertising, consulting, event management, communication), without considering it necessary to proceed to a precise segmentation of the same, also in consideration of the fact that the involvement of digital resources increasingly blurs the distinction between the different activities involved in the provision of the service. From a geographical perspective, the Commission has defined a relevant market of national scope, while noting "a trend towards globalization, particularly in relation to international clients."</w:t>
      </w:r>
    </w:p>
    <w:p>
      <w:r>
        <w:t>14. Even in the present case, it does not appear necessary to arrive at a precise definition of the relevant market as the activities of none of the companies belonging to Ardian France overlap, either from a commodity perspective or from a geographical perspective, with that of Jakala.</w:t>
      </w:r>
    </w:p>
    <w:p>
      <w:r>
        <w:t>15. The communicated operation results in the mere replacement of one operator with another, nor is it likely to produce vertical effects, since it does not lead to any integration between the activities of Jakala and the companies present in the portfolio of Ardian France.</w:t>
      </w:r>
    </w:p>
    <w:p>
      <w:r>
        <w:t>THEREFORE, CONSIDERING that the operation in question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DEPUTY SECRETARY GENERAL THE PRESIDENT</w:t>
      </w:r>
    </w:p>
    <w:p>
      <w:r>
        <w:t>Serena Stella Roberto Rustichelli</w:t>
      </w:r>
    </w:p>
    <w:p>
      <w:r>
        <w:rPr>
          <w:b/>
        </w:rPr>
        <w:t>[Pages 46–48]</w:t>
      </w:r>
    </w:p>
    <w:p>
      <w:r>
        <w:t xml:space="preserve">BULLETIN NO. 16 OF APRIL 19, 2021  </w:t>
        <w:br/>
        <w:t xml:space="preserve">C12354 - TELECOM ITALIA/BRANCHES OF BT ITALIA  </w:t>
        <w:br/>
        <w:t xml:space="preserve">Provision No. 29627  </w:t>
        <w:br/>
        <w:t>THE ANTITRUST AUTHORITY</w:t>
      </w:r>
    </w:p>
    <w:p>
      <w:r>
        <w:t xml:space="preserve">IN ITS MEETING of April 13, 2021;  </w:t>
        <w:br/>
        <w:t xml:space="preserve">HEARD the Rapporteur Professor Michele Ainis;  </w:t>
        <w:br/>
        <w:t xml:space="preserve">HAVING REGARD to Law No. 287 of October 10, 1990;  </w:t>
        <w:br/>
        <w:t xml:space="preserve">HAVING REGARD to Presidential Decree No. 217 of April 30, 1998;  </w:t>
        <w:br/>
        <w:t xml:space="preserve">HAVING REGARD to the communication from Telecom Italia S.p.A., received on January 22, 2021;  </w:t>
        <w:br/>
        <w:t xml:space="preserve">HAVING REGARD to the observations received on February 1, 2021, from Colt Technologies Services S.p.A., Wind Tre S.p.A., Irideos S.p.A., and, on February 2, 2021, from Fastweb S.p.A., Vodafone Italia S.p.A., and the Italian Association of Internet Providers;  </w:t>
        <w:br/>
        <w:t xml:space="preserve">HAVING REGARD to the requests for information sent on February 11, 2021, to Colt Technologies Services S.p.A., Fastweb S.p.A., Irideos S.p.A., Tiscali Italia S.p.A., Vodafone Italia S.p.A., and Wind Tre S.p.A.;  </w:t>
        <w:br/>
        <w:t xml:space="preserve">HAVING REGARD to the request for information sent on February 17, 2021, to Telecom Italia S.p.A. with the consequent interruption of the deadlines pursuant to Article 5, paragraph 3, of Presidential Decree No. 217 of April 30, 1998;  </w:t>
        <w:br/>
        <w:t xml:space="preserve">HAVING REGARD to the information received: on February 19, 2021, from Colt Technologies Services S.p.A., Fastweb S.p.A., and Irideos S.p.A.; on February 22, 2021, from Wind Tre S.p.A.; Vodafone Italia S.p.A.; on March 1, from Vodafone Italia S.p.A. and Tiscali Italia S.p.A.;  </w:t>
        <w:br/>
        <w:t xml:space="preserve">HAVING REGARD to the information received on March 19, 2021, from Telecom Italia S.p.A.;  </w:t>
        <w:br/>
        <w:t xml:space="preserve">HAVING REGARD to the documentation on file;  </w:t>
        <w:br/>
        <w:t>CONSIDERED the following:</w:t>
      </w:r>
    </w:p>
    <w:p>
      <w:r>
        <w:t xml:space="preserve">I. THE PARTIES  </w:t>
        <w:br/>
        <w:t xml:space="preserve">1. Telecom Italia S.p.A. (hereinafter also "TIM") is the parent company of the TIM Group, active in Italy and abroad in the Information &amp; Communication Technology sector. In Italy, TIM provides, among other things, telecommunications services on fixed and mobile networks, both at the wholesale and retail levels. TIM holds controlling interests in Infrastrutture Wireless Italiane S.p.A. - INWIT, jointly controlled with Vodafone Italia S.p.A., which operates in the sector of passive infrastructure for mobile telephony, broadcasting, radio, other wireless services, and private mobile networks, as well as in Flash Fiber S.r.l., which operates in the promotion and realization of ultra-broadband infrastructural networks in FTTH architecture, jointly controlled with Fastweb S.p.A.  </w:t>
        <w:br/>
        <w:t>1 In this regard, see the proceeding I850 - FIBERCOP AGREEMENTS initiated by the Authority with resolution of December 21, 2020 concerning the transfer of TIM's secondary network to the company Fibercop.</w:t>
      </w:r>
    </w:p>
    <w:p>
      <w:r>
        <w:t xml:space="preserve">BULLETIN NO. 16 OF APRIL 19, 2021  </w:t>
        <w:br/>
        <w:t xml:space="preserve">In 2020, the TIM Group generated, globally, 15.805 billion Euros, of which 12.905 billion Euros were generated in Italy.  </w:t>
        <w:br/>
        <w:t xml:space="preserve">2. BT Italia S.p.A. ("BT Italia"), controlled by British Telecommunications Plc, is a virtual fixed and mobile telecommunications operator, primarily active in providing communication services to businesses and public administrations. The three branches of business subject to this operation are currently part of BT Italia and are active in providing:  </w:t>
        <w:br/>
        <w:t xml:space="preserve">i) telecommunications services to public administrations ("Public Administration Branch");  </w:t>
        <w:br/>
        <w:t xml:space="preserve">ii) telecommunications services to small and medium enterprises ("SMB Branch"); and  </w:t>
        <w:br/>
        <w:t xml:space="preserve">iii) contact and call center services (the "Atlanet Branch").  </w:t>
        <w:br/>
        <w:t>In 2019, the three branches subject to transfer (collectively, the Target Branches) generated, entirely in Italy, a revenue of approximately [31-100] * million Euros.</w:t>
      </w:r>
    </w:p>
    <w:p>
      <w:r>
        <w:t xml:space="preserve">II. DESCRIPTION OF THE OPERATION  </w:t>
        <w:br/>
        <w:t xml:space="preserve">II.1 The Target Branches  </w:t>
        <w:br/>
        <w:t xml:space="preserve">3. Pursuant to the Preliminary Business Transfer Agreement (the "Contract"), signed by the Parties on December 9, 2020, the Operation involves TIM's acquisition of ownership of the Target Branches as identified:  </w:t>
        <w:br/>
        <w:t xml:space="preserve">i) the PA Branch, engaged in the design, sale, management, and contract management of telecommunications services to central and local public administrations in Italy. The PA Branch substantially includes: the existing contracts between BT Italia and the relevant clients, consisting of central and local public administrations; contracts with suppliers; agreements related to temporary groupings of companies; employment contracts between BT Italia and certain employees; contracts with agents; certain tangible and intangible assets (e.g., software licenses) used to carry out the activity. The PA Branch is predominantly active in fixed network telecommunications services (voice and connectivity), while mobile telecommunications services do not appear to be significant. The PA Branch almost entirely includes the services offered by BT to the public administration in Italy;  </w:t>
        <w:br/>
        <w:t xml:space="preserve">ii) the SMB Branch, engaged in the promotion, sale, and management of telecommunications services primarily on fixed networks to small and medium enterprises in Italy. The SMB Branch substantially includes contracts with clients, consisting of small and medium enterprises; contracts with suppliers; employment contracts between BT Italia and the relevant employees; contracts with agents; tangible and intangible assets used to carry out the activity.  </w:t>
        <w:br/>
        <w:t>iii) Atlanet Branch, which provides contact and call center services, primarily in support of the activities of the SMB Branch, through the contact center in Palermo. The Atlanet Branch is, according to the Parties, an activity to be considered substantially captive, as it is dedicated to the clients of the SMB Branch.</w:t>
      </w:r>
    </w:p>
    <w:p>
      <w:r>
        <w:t xml:space="preserve">II.2 Non-Competition Clauses  </w:t>
        <w:br/>
        <w:t xml:space="preserve">4. The Contract provides for the clauses described below, which the Parties qualify as ancillary restrictions to the operation, aimed at preserving the value of the clients and the assets transferred. In summary, these clauses, the scope of which is limited to the Italian territory, consist of the obligation on BT:  </w:t>
        <w:br/>
        <w:t xml:space="preserve">i) not to provide retail telecommunications services on fixed and mobile networks, including connectivity services, and IT services in Italy to clients represented by public administrations and small and medium enterprises (under 100 employees), served in the last 12 months prior to the signing of the Contract;  </w:t>
        <w:br/>
        <w:t xml:space="preserve">ii) not to hold interests exceeding 5% in companies that carry out such activities, except for the exceptions agreed in the Contract itself.  </w:t>
        <w:br/>
        <w:t>The non-competition obligation for IT services has a duration of 2 years, while the non-competition obligation for fixed and mobile telecommunications services has a duration of 5 years, subject to the possibility for BT to participate, after the second year from the closing of the Operation, in tender procedures in which BT Italia, alone or jointly with other non-telco operators, is awarded contracts for the provision of multidisciplinary services (including telecommunications services), provided that the portion attributable to telecommunications services does not exceed 15% of the total value of the awarded contract.</w:t>
      </w:r>
    </w:p>
    <w:p>
      <w:r>
        <w:t xml:space="preserve">III. QUALIFICATION OF THE OPERATION  </w:t>
        <w:br/>
        <w:t xml:space="preserve">5. The communicated operation constitutes a concentration, pursuant to Article 5, paragraph 1, letter b), of Law No. 287/90, as it involves the acquisition of parts of an enterprise. It is subject to the obligation of prior notification provided for by Article 16, paragraph 1, of Law No. 287/90, as the total revenue generated in the last financial year at the national level by the group of companies involved was over 504 million euros and as the total revenue generated individually at the national level by at least two of the companies involved was over 31 million euros.  </w:t>
        <w:br/>
        <w:t>6. The non-competition agreements described in paragraph II.2 will be subject to further examination during the investigation to assess their ancillary nature with respect to the notified operation.</w:t>
      </w:r>
    </w:p>
    <w:p>
      <w:r>
        <w:t xml:space="preserve">IV. THE INFORMATION ACQUIRED  </w:t>
        <w:br/>
        <w:t>7. Following the notification of this operation, the Authority acquired the information illustrated below from the main telecommunications operators, namely Vodafone Italia S.p.A., Wind Tre S.p.A., Fastweb S.p.A., Tiscali S.p.A., Irideos S.p.A., Colt Technologies Services S.p.A., and the Italian Association of Internet Providers (AIIP). Furthermore, the Authority acquired additional information from TIM following the sending of a specific request for information pursuant to Article 5, paragraph 3 of Presidential Decree 217/1998.</w:t>
      </w:r>
    </w:p>
    <w:p>
      <w:r>
        <w:t xml:space="preserve">IV.1 The PA Branch and the non-competition agreement  </w:t>
        <w:br/>
        <w:t>8. The PA Branch includes "substantially the existing contracts between BT Italia and the relevant clients, contracts with suppliers, agreements related to temporary groupings of companies and contracts of</w:t>
      </w:r>
    </w:p>
    <w:p>
      <w:r>
        <w:rPr>
          <w:b/>
        </w:rPr>
        <w:t>[Pages 49–51]</w:t>
      </w:r>
    </w:p>
    <w:p>
      <w:r>
        <w:t>BULLETIN NO. 16 OF APRIL 19, 2021 51</w:t>
      </w:r>
    </w:p>
    <w:p>
      <w:r>
        <w:t>The PA Branch includes "substantially the existing contracts between BT Italia and the related customers, contracts with suppliers, agreements related to temporary groupings of companies, and employment contracts between BT Italia and certain employees." In particular, it includes approximately 340 contracts concluded as a result of several important public tenders and involves numerous public administrations of national and local relevance:</w:t>
      </w:r>
    </w:p>
    <w:p>
      <w:r>
        <w:t>- 115 executive contracts concluded following the second tender conducted by Consip for the awarding of connectivity services of the Public Connectivity System (so-called SPC2 tender), which expire in 2023 (including 36 contracts with municipalities);</w:t>
        <w:br/>
        <w:t>- 1 contract related to the SPC1 tender, in technical extension for 6 months;</w:t>
        <w:br/>
        <w:t>- 4 executive contracts concluded following the second tender conducted by Consip for the conclusion of a framework agreement pursuant to Article 54, paragraph 3, of Legislative Decree No. 50/2016, concerning the design of the network and the provision of connectivity services of the International Network of the PA, as well as security services, VoIP, advanced communication, and professional services (so-called S-RIPA2 tender), some of which expire in 2024;</w:t>
        <w:br/>
        <w:t>- 3 executive contracts concluded following the tender conducted by Consip for the conclusion of a framework agreement with multiple economic operators for the awarding of specific contracts concerning fixed telephony services in favor of the PA (so-called TF5 tender), which expire in 2021;</w:t>
        <w:br/>
        <w:t>- 47 contracts with other clients (including municipalities, foundations, institutions, health companies), with expiration between 2020 and 2025.</w:t>
      </w:r>
    </w:p>
    <w:p>
      <w:r>
        <w:t>The above-mentioned contracts represent over 90% of the value of the contracts subject to transfer.</w:t>
      </w:r>
    </w:p>
    <w:p>
      <w:r>
        <w:t>9. More specifically, Table 1 below summarizes some of the main tenders involved in this operation, namely those affected by a takeover of TIM from BT in the management of the related public clients. It should be noted that the auction base of the 3 tenders indicated below is approximately 3.5 billion Euros and the total value of the contracts concluded by BT in these areas is approximately [100-504] million Euros. It should also be noted that in all three tenders indicated below, TIM participated but was not awarded.</w:t>
      </w:r>
    </w:p>
    <w:p>
      <w:r>
        <w:t>10. The previously described non-competition agreement "applies to general categories of clients," namely to the set "of Italian public administrations"; for the entire period covered by the non-competition clause, BT "will cease to be an alternative operator." Furthermore, regarding the five-year duration of the agreement in relation to retail telecommunications services on fixed and mobile networks, it is justified, according to TIM, "[omitted]."</w:t>
      </w:r>
    </w:p>
    <w:p>
      <w:r>
        <w:t>IV.2 The position of competitors</w:t>
      </w:r>
    </w:p>
    <w:p>
      <w:r>
        <w:t>11. The information acquired from operators provided elements on the possible specificity of the offer of fixed telephony and connectivity services to the PA compared to private business clients. Irideos notes, in fact, that "the demand from the Public Administration has peculiar characteristics that determine a certain autonomy compared to the business world. While, in general terms, regarding the technical-operational aspects of fixed network telecommunications services, the differences between the services offered to companies and those offered to the PA are not significantly different – assuming equal size and degree of technological evolution of the client – the competitive dynamics of the two sub-markets present appreciable differences. These differences depend, first and foremost, on the specific procurement channels that the PAs are required to use, namely tenders and competitive procedures that are comparable..." Colt also confirmed that the provision of services to the PA has peculiarities compared to the remaining business clientele as it requires "a dedicated internal structure within the company, specialized in the correct management of all the procedures necessary for participation in the awarding procedures for the various supplies, which have varying dimensions." Additionally, in services for the PA, a factor that is often decisive is the capillarity of the network, unlike the offer to the remaining business clientele. In summary, the main factors of differentiation in the offer of services to the PA compared to the offer to private business clients appear to consist mainly of: i) the peculiar methods of acquiring goods and services by the PA, governed by a very complex regulatory framework that significantly conditions the activities of operators; ii) the necessity, also as a result of the legal regime, for the operator to have a dedicated commercial structure; iii) the necessity of possessing high financial solidity given the typical tender requirements (for example, the payment of a security deposit) and the particularly long times within which the PA pays the due fees; iv) the limited margin for negotiation regarding the technical characteristics required by the PA. Furthermore, operators have noted a substantial homogeneity of competitive dynamics on a national scale, without distinctions between central administrations (PAC) and local administrations (PAL).</w:t>
      </w:r>
    </w:p>
    <w:p>
      <w:r>
        <w:t>12. In the offer of telecommunications services, operators distinguished between fixed telephony services, for which the main competitive variable is price, and connectivity services where the most significant competitive factor is represented by proprietary infrastructure; however, it has been observed that, traditionally, until the advent of VoIP, voice and connectivity services were offered separately to the PA, "whereas currently the minimum set of services offered includes voice and internet connectivity (on FTTC or FTTH network)... Voice has now become a commodity. Over time, the demand for bandwidth for internet connections driven by the use of unified communication tools and cloud usage has significantly increased." Conversely, fixed telephony services continue to be provided separately from mobile telephony services.</w:t>
      </w:r>
    </w:p>
    <w:p>
      <w:r>
        <w:t>13. Operators have also highlighted the existence of significant barriers to entry both in relation to the high infrastructure investments required and in relation to the typical characteristics of PA demand which, on the one hand, presents "a 'conservative' attitude within the Contracting Authorities, which often tend to replicate in the tenders the technical characteristics of the services from the market's trend-setting operators" and, on the other hand, especially in the tenders of national PAs and regional central authorities, foresee requests for guarantees and references that "in fact... exclude the possibility of participation by operators other than those of greater relevance." According to Irideos, the barriers to entry are "high and correlated to the structure of the market, the size of the operators, and the proprietary infrastructures they possess," and therefore, the offer of services to the PA presents a low degree of dynamism and limited possibilities for "effective entry into this area by new operators."</w:t>
      </w:r>
    </w:p>
    <w:p>
      <w:r>
        <w:rPr>
          <w:b/>
        </w:rPr>
        <w:t>[Pages 52–54]</w:t>
      </w:r>
    </w:p>
    <w:p>
      <w:r>
        <w:t>54 BULLETIN NO. 16 OF APRIL 19, 2021</w:t>
        <w:br/>
        <w:t>telecommunications to the public administration is characterized, according to these operators, by competitive dynamics restricted to a few operators, such as, in particular, TIM, Fastweb, BT, Vodafone (new entrant) and Irideos. This is also due to the fact that, for most operators, being the outgoing supplier affects the dynamics of the tender conducted during the renewal, especially considering the initial investments already incurred.</w:t>
      </w:r>
    </w:p>
    <w:p>
      <w:r>
        <w:t>14. In this context, the operators referred to the telecommunications markets, including those not involved in the current operation, and the position held by TIM in these markets, the only vertically integrated operator, in a dominant position both in the upstream wholesale markets and in the downstream retail markets. With specific reference to services to the public administration, the operators noted that TIM still enjoys the advantages of being the historical reference operator.</w:t>
      </w:r>
    </w:p>
    <w:p>
      <w:r>
        <w:t>15. That said, all operators focused on the possible restrictive effects of the current concentration on the supply of telecommunications services to the public administration. In this regard, one operator observed that, through the acquisition of the Public Administration Branch of BT, TIM, which will take over the transferred contracts, "would complete its service portfolio in the national agreements with the only segment currently missing, namely the 'Public Connectivity System'." Furthermore, by taking over BT in this tender, TIM would acquire "the ability to contract additional customers, benefiting from the vertical integration that characterizes it and from a very widespread sales network." Fastweb, which is TIM's main competitor in offering telecommunications services to the public administration, aligns with Vodafone's observations, noting that TIM already absorbs an annual revenue in the public administration segment exceeding one billion; the operation, if authorized, "would undoubtedly strengthen TIM's market position to the extent that it would allow it to acquire those (few) supplies to the public administration that have been awarded to competing operators. This refers, first and foremost, to the SPC2 tender for the award of connectivity services within the Public Connectivity System (SPC) for public administrations, of which BT Italia Spa was the successful bidder..."; similarly critical, according to Fastweb, appears TIM's takeover in the fixed telephony tender TF5.</w:t>
      </w:r>
    </w:p>
    <w:p>
      <w:r>
        <w:t>16. Wind Tre aligns with the observations outlined above and, in particular, recalls the competitive impact of TIM's takeover of BT in the Consip Connectivity tender. Irideos, in addition to recalling TIM's dominance in the retail markets on fixed networks for public administrations and SMEs, notes that BT is "the fourth operator overall... but is the first competitor if only specialized players in the business segment are considered (this category includes operators such as Colt... and Irideos itself), as all operators preceding BT are so-called generalist providers (i.e., active in both the residential and business segments)." Finally, all operators highlight the significant barriers to entry arising, among other things, from the need for high infrastructural investments; indeed, as noted by Colt, "over the years, alternative operators focused on the business segment have invested in and developed proprietary infrastructures, bearing the very high fixed costs and the associated long-term entrepreneurial risks."</w:t>
      </w:r>
    </w:p>
    <w:p>
      <w:r>
        <w:t>V. EVALUATIONS</w:t>
      </w:r>
    </w:p>
    <w:p>
      <w:r>
        <w:t>V.1. The relevant markets</w:t>
      </w:r>
    </w:p>
    <w:p>
      <w:r>
        <w:t>17. The concentration under examination concerns the transfer to TIM of three business branches of BT Italia, named PA, SMB, and Atlanet, active in offering the following services: retail telecommunications services on fixed networks, retail telecommunications services on mobile networks, resale to end customers of hardware and software products, maintenance services for hardware and software products, call center services.</w:t>
      </w:r>
    </w:p>
    <w:p>
      <w:r>
        <w:t>18. Preliminary to the assessment of the current concentration operation, it is deemed useful to refer – due to TIM's level of vertical integration – to the market for wholesale access services to the fixed broadband and ultra-broadband network (hereinafter also "wholesale market"). This market, of national geographical size, is defined from a commodity perspective as the market for services that allow telecommunications operators to provide services to end customers through access to the local fixed broadband and ultra-broadband network. In this context, TIM is the only operator that holds a widely distributed fiber optic network (in the primary section), covering at least 83% of units. This market is upstream of the one directly involved in the current operation, relating to retail telecommunications services on fixed networks.</w:t>
      </w:r>
    </w:p>
    <w:p>
      <w:r>
        <w:t>a) The markets for retail telecommunications services on fixed networks</w:t>
      </w:r>
    </w:p>
    <w:p>
      <w:r>
        <w:t>19. Regarding the fixed telecommunications services provided to small and medium business customers and the public administration, the following observations are made. According to the Authority's precedents, retail telecommunications services on fixed networks, consisting of voice and broadband and ultra-broadband connectivity services, have been divided between business customers (non-residential) on one side, and residential and SOHO (small office home office) customers on the other. Indeed, regarding the type of customer, although from a functional perspective the services to residential customers are theoretically similar to those offered to business customers, the overall needs in terms of service quality and assistance, as well as selection methods, differ substantially from one type to another.</w:t>
      </w:r>
    </w:p>
    <w:p>
      <w:r>
        <w:t>20. Therefore, from a commodity perspective, a market for retail telecommunications services on fixed networks for business customers is typically identified. However, from the perspective of the commodity definition of the market, although the difference between residential and non-residential customers is clear and established, it is believed that, also in light of the information acquired from the operators previously illustrated, an additional commodity distinction should be identified here regarding the customers represented by the public administration, considering, among other things, the peculiarities of demand, the specificities in terms of supplier acquisition methods, and the regulations governing such supplies.</w:t>
      </w:r>
    </w:p>
    <w:p>
      <w:r>
        <w:t>21. With reference to the relevant geographical market, it is believed that – in both possible commodity configurations – it has a national dimension, considering the geographical extent of the networks, the national regulatory characteristics, as well as the substantial presence of the same operators throughout the national territory.</w:t>
      </w:r>
    </w:p>
    <w:p>
      <w:r>
        <w:t>22. Regarding the market for retail telecommunications services on fixed networks for business customers, as traditionally defined, according to data from the Authority for Communications Guarantees ("AGCOM"), in 2019 TIM held 55.5% of the turnover, and BT Italia held a share of 4.7%, while the share transferred by BT Italia, consisting of the SMB and PA branches, would amount to approximately 1-2% of the total turnover of the market surveyed by AGCOM.</w:t>
      </w:r>
    </w:p>
    <w:p>
      <w:r>
        <w:t>23. Considering the market for retail telecommunications services on fixed networks for the public administration as distinct, the following Table 2 shows the market shares in value. TIM, during the three-year period 2018-2020, holds a market share between [45-50]% and [55-60]%, while, during the same period, the PA business branch of BT Italia subject to transfer represents a share between [5-10]% and [10-15]% of the revenue from public administrations. As a result of the operation, therefore, the joint share held by TIM would be [55-60]%. It is also worth noting that TIM has already been awarded significant other national tenders related to services adjacent to those under examination.</w:t>
      </w:r>
    </w:p>
    <w:p>
      <w:r>
        <w:rPr>
          <w:b/>
        </w:rPr>
        <w:t>[Pages 55–57]</w:t>
      </w:r>
    </w:p>
    <w:p>
      <w:r>
        <w:t>BULLETIN NO. 16 OF APRIL 19, 2021 57</w:t>
      </w:r>
    </w:p>
    <w:p>
      <w:r>
        <w:t>Table No. 2 – Revenues and market shares of retail telecommunications services on fixed network for public administration35</w:t>
      </w:r>
    </w:p>
    <w:p>
      <w:r>
        <w:t>Revenues (Euro) Market shares by value (%)</w:t>
        <w:br/>
        <w:t>Operator 2018 2019 Jan-Jun 2020 2018 2019 Jan-Jun 2020</w:t>
        <w:br/>
        <w:t>[100-504] million [100-504] million [100-504] million</w:t>
        <w:br/>
        <w:t>TIM [55-60%] [45-50%] [45-50%]</w:t>
        <w:br/>
        <w:t>in euros in euros in euros</w:t>
        <w:br/>
        <w:t>[31-100] million [31-100] million [31-100] million</w:t>
        <w:br/>
        <w:t>BT [5-10%] [5-10%] [10-15%]</w:t>
        <w:br/>
        <w:t>in euros in euros in euros</w:t>
        <w:br/>
        <w:t>[100-504] million [100-504] million [100-504] million</w:t>
        <w:br/>
        <w:t>Joint [60-65%] [55-60%] [55-60%]</w:t>
        <w:br/>
        <w:t>in euros in euros in euros</w:t>
        <w:br/>
        <w:t>[100-504] million [100-504] million [100-504] million</w:t>
        <w:br/>
        <w:t>Fastweb [25-30%] [30-35%] [30-35%]</w:t>
        <w:br/>
        <w:t>in euros in euros in euros</w:t>
        <w:br/>
        <w:t>[31-100] million [31-100] million [31-100] million</w:t>
        <w:br/>
        <w:t>Others [5-10%] [5-10%] [10-15%]</w:t>
        <w:br/>
        <w:t>in euros in euros in euros</w:t>
        <w:br/>
        <w:t>[504-700] million [504-700] million [100-504] million</w:t>
        <w:br/>
        <w:t>Total 100% 100% 100%</w:t>
        <w:br/>
        <w:t>in euros in euros in euros</w:t>
      </w:r>
    </w:p>
    <w:p>
      <w:r>
        <w:t>24. Furthermore, with reference to the tenders conducted by TIM and BT Italia, and in particular to the competitive procedures concerning telecommunications services (voice and connectivity), according to the data provided by TIM36, although BT participates in a limited number of tenders, considering the base auction value, BT and TIM have competed in a set of tenders that represents 60-70% of the tenders in which TIM has participated37.</w:t>
      </w:r>
    </w:p>
    <w:p>
      <w:r>
        <w:t>b) The other markets affected by this operation</w:t>
      </w:r>
    </w:p>
    <w:p>
      <w:r>
        <w:t>25. The other markets affected by this operation are those related to: i) retail telecommunications services on mobile network, ii) resale to end customers of hardware and software products, iii) maintenance services for hardware and software products, and iv) call center services. In light of the positions held by the parties, it is deemed appropriate to leave the commodity and geographical definition of such markets open, in which the incremental contribution of the operation, due to the business branches of BT, is marginal (usually below 1%). Furthermore, with reference to the markets related, respectively, to the resale of HW and SW products and to the maintenance services of HW and SW and call centers, TIM holds shares below 20% and, on the supply side, there is a wider range of companies compared to those in telecommunications and whose core business is precisely in offering this type of services to end customers.</w:t>
      </w:r>
    </w:p>
    <w:p>
      <w:r>
        <w:t>35 See elaborations on data from documents no. 21, 22, 23, 24, 25, 26, 27, 28.</w:t>
        <w:br/>
        <w:t>36 See doc. 28.</w:t>
        <w:br/>
        <w:t>37 In particular, TIM participated – for the tenders classified in the markets indicated by the parties, relating, respectively, to retail telecommunications services on fixed network for business customers and retail telecommunications services on fixed network for public administration (see the Communication of the operation, doc. 1, markets M01 and M03) – in over 60 selective procedures for a base auction value of 4.988 billion euros. BT participated – excluding the RTI with TIM, in no. 3 tenders for a base auction value of 3.325 billion euros. TIM and BT competed in a set of tenders that represents 67% of the total value of the tenders. In all three cases, BT Italia was awarded the lot or the framework agreement (AGCM elaborations on information provided by the parties, see doc. 1 and doc. 28).</w:t>
      </w:r>
    </w:p>
    <w:p>
      <w:r>
        <w:t>58 BULLETIN NO. 16 OF APRIL 19, 2021</w:t>
      </w:r>
    </w:p>
    <w:p>
      <w:r>
        <w:t>V.2 The possible effects of the operation</w:t>
      </w:r>
    </w:p>
    <w:p>
      <w:r>
        <w:t>a) The markets for retail telecommunications services on fixed network</w:t>
      </w:r>
    </w:p>
    <w:p>
      <w:r>
        <w:t>26. With this operation, through the sale of the Target Branches and the non-competition agreements described above, TIM takes over from BT in offering fixed telephony and connectivity services to the public administration; BT will thus cease to be an effective competitor to TIM even in this specific competitive area. In this regard, the possible competitive effects of the operation that need to be explored during this investigation are outlined below.</w:t>
      </w:r>
    </w:p>
    <w:p>
      <w:r>
        <w:t>27. First of all, it should be noted that TIM is the only vertically integrated operator with an access network covering the entire national geographic market. Access to the local network that connects the end customer is a necessary production factor for operating in the downstream markets of retail telecommunications services, for all types of customers (residential/business or, in the latter area, private/PA). For operators intending to prepare an offer of telecommunications services aimed at end customers, the procurement of local network access services is essential, as it is not possible to serve the end customer without access to the local network. In this wholesale market, already previously defined, TIM, based on the Authority's precedents, holds a dominant position38, as, at least at the national level, alternative operators depend, in any case, on TIM's wholesale offer to provide their retail products throughout the national territory. In other words, TIM, based on the Authority's precedents, holds a dominant position in the wholesale access services market for fixed broadband and ultra-broadband, which is upstream of those affected by the previous operation. Additionally, TIM, as the former incumbent, is still the historical reference operator for numerous public administrations both of national and local significance. These factors impact the assessment of the operation in question and must be taken into account in the analysis, referred to below, regarding the markets directly affected by this operation.</w:t>
      </w:r>
    </w:p>
    <w:p>
      <w:r>
        <w:t>28. Starting from the market for retail telecommunications services on fixed network for business customers, it is noted that, in light of the previously reported market shares, the HHI index would increase from 3,542 to 3,699 points, with an increase of 157 points, which constitutes, as is known, an additional indicator of the existence of competitive issues39. Therefore, the aforementioned peculiarities of TIM, its dominance in the upstream wholesale market, the above-mentioned market shares (combined share &gt; 55%) and the changes in the HHI index40 lead to the conclusion that the present operation – resulting in the elimination of BT, or one of TIM's direct competitors in the provision of business services – could pose the risk of creating or strengthening a dominant position.</w:t>
      </w:r>
    </w:p>
    <w:p>
      <w:r>
        <w:t>38 See AGCM Decision No. 28162 of February 25, 2020, case A514 – Telecom Italia fiber conduct, in Bulletin No. 10/2020.</w:t>
        <w:br/>
        <w:t>39 See the Communication from the European Commission Guidelines on the assessment of horizontal concentrations under the Council Regulation on the control of concentrations (2004/C 31/03), §20.</w:t>
        <w:br/>
        <w:t>40 As illustrated above, in this case, the pre-operation HHI is above 3500 and the delta resulting from the operation is above 150, clear indicators of possible restrictive effects of the operation, see the Communication from the European Commission Guidelines on the assessment of horizontal concentrations under the Council Regulation on the control of concentrations (2004/C 31/03), §20.</w:t>
      </w:r>
    </w:p>
    <w:p>
      <w:r>
        <w:t>BULLETIN NO. 16 OF APRIL 19, 2021 59</w:t>
      </w:r>
    </w:p>
    <w:p>
      <w:r>
        <w:t>29. In the specific relevant market concerning fixed telephony and connectivity services to the public administration, the aforementioned competitive risks could be confirmed and further substantiated. First of all, it should be emphasized that the PA Branch allows TIM to take over from BT in managing the previously mentioned contracts, resulting from tenders of primary importance for which TIM was not originally awarded, thereby expanding and/or strengthening its customer base with numerous public administrations.</w:t>
      </w:r>
    </w:p>
    <w:p>
      <w:r>
        <w:t>30. In the proposed market for retail telecommunications services on fixed network for public administration, the HHI index of the market in 2019 would increase from 3,656 points to 4,450 points, with a variation of 794 points. Even with reference to the first half of 2020, the HHI index would undergo a variation due to the concentration in question of 1,081 points (from 3,287 to 4,368 points). The HHI indicator thus confirms the possible competitive issues of the present operation in both commodity definitions of the markets, which could translate into lower incentives for competition both on economic conditions and on the qualitative aspects of the network and on the technological innovation of the services provided.</w:t>
      </w:r>
    </w:p>
    <w:p>
      <w:r>
        <w:t>31. Furthermore, in this specific competitive area, BT constitutes a primary competitor of TIM, as evidenced by the fact that in over 60%, by value, of the tenders related to voice and connectivity services on fixed network in which TIM has participated, BT's participation is also noted, resulting in some cases as the awardee instead of TIM itself. BT, therefore, constitutes a competitor capable of exerting significant competitive pressure on TIM in participating in public tenders of national and local significance. In this regard, among the operators active in offering telecommunications services, it is observed that TIM's first competitor is Fastweb with a market share, however, significantly lower than TIM's share and that the other competitors collectively reach approximately 10% of the market. Therefore, taking into account the peculiar competitive environment, the elimination of BT as an effective competitor of TIM, and the simultaneous acquisition of BT's market share by TIM, could have significant effects on the competitive dynamics of the affected markets. Additionally, with reference to some of the customers involved in the operation in question, BT has won the tender from which the contracting with the individual public administrations arose by participating in RTI with other competitors; for example, in the TF5 tender, BT is in RTI with Vodafone, one of TIM's main competitors. The competitive framework could, therefore, be further weakened by the fact that this operation will result in TIM also taking over in these RTIs.</w:t>
      </w:r>
    </w:p>
    <w:p>
      <w:r>
        <w:t>32. It is also worth considering that the telecommunications markets, and in particular, the market outlined here for fixed telephony and connectivity services to the public administration, are affected by significant barriers to entry arising from the high technical and financial burdens typically required for participation in public tenders. In this context, TIM's availability of the only fixed network distributed throughout the national territory and its dominance in the upstream wholesale access services market to the telephone network constitute a significant competitive advantage over current and potential competitors in offering retail services. These competitors, in fact, predominantly must purchase the essential good, namely access network services, mostly from TIM to be able to offer downstream to the public administration the services that are subject to tender from time to time. This circumstance weakens the ability of competitors to exert effective competitive pressure, as evidenced by TIM's continued high market shares, even in</w:t>
      </w:r>
    </w:p>
    <w:p>
      <w:r>
        <w:rPr>
          <w:b/>
        </w:rPr>
        <w:t>[Pages 58–60]</w:t>
      </w:r>
    </w:p>
    <w:p>
      <w:r>
        <w:t>60 BULLETIN NO. 16 OF APRIL 19, 2021</w:t>
      </w:r>
    </w:p>
    <w:p>
      <w:r>
        <w:t>a context, such as that of the offer of services to public administrations, in which the regulatory framework should promote competitive comparison.</w:t>
      </w:r>
    </w:p>
    <w:p>
      <w:r>
        <w:t>33. In addition to the horizontal effects outlined above, this operation appears capable of triggering leverage effects within the specific market of telecommunications services offered to public administrations over fixed networks, accentuated by the mechanism of operation of Consip tenders, focused on framework agreements. As noted by almost all competitors, specifically regarding the SPC2 tender, the operation not only allows TIM to take over the management of numerous and important public clients of national significance, but will also place TIM in a position to further expand its customer base by contracting with other public administrations. In fact, through this operation, TIM enters the group of connectivity service providers subject to the SPC2 tender, a position previously barred as it was not awarded, and will therefore be able to offer its services also to so-called authorized administrations; moreover, even the administrations required to use suppliers listed in the appropriate register can, under certain conditions, change their reference supplier, and in this area, TIM, once it takes over from BT, could expand its service offerings to public administrations.</w:t>
      </w:r>
    </w:p>
    <w:p>
      <w:r>
        <w:t>Leveraging the fact that it is the only vertically integrated operator with a widespread network across the national territory and being the historical reference operator for many public administrations, TIM would enter among the awardees of the SPC2 tender as a result of this operation and not by virtue of a competitive process based on merit.</w:t>
      </w:r>
    </w:p>
    <w:p>
      <w:r>
        <w:t>34. The assessment of this operation must also be appreciated from an evolutionary perspective, keeping in mind that the process of digitization and technological innovation in the way public administrations operate should receive, in the next five years, a decisive boost and see the renewal of tenders nearing expiration (i.e., those through which BT acquired the clients transferred to TIM with this operation). In this context, the activities of Agid and Consip, in synergy with the network of national and local public administrations, aim to ensure a profound modernization of the networks of public administrations, which sees an essential moment in the conduct of important public tenders for the acquisition of the goods and services necessary to ensure this technological transition (for example, connectivity services, cloud services, etc.).</w:t>
      </w:r>
    </w:p>
    <w:p>
      <w:r>
        <w:t>35. This concentration must therefore be evaluated within this scenario, analyzing the possible competitive advantages that TIM acquires in the perspective of future tenders; among these, the ones that will likely be announced upon the expiration of the SPC2, TF5, and S-RIPA 2 tenders, namely the three most important national tenders affected by this operation, come to the fore. With respect to these tenders, in fact, TIM, through this operation, will position itself as one of the outgoing suppliers during the renewal, and this circumstance could create a competitive advantage over competitors, due to the setup costs of new suppliers, migration costs, and administrative costs that an outgoing supplier would not have to bear in the event of re-award compared to new awardees. With the concentration under examination, TIM would expand this advantage to a significant number of administrations, achieving a demand coverage exceeding 55% in value (Table 2 above).</w:t>
      </w:r>
    </w:p>
    <w:p>
      <w:r>
        <w:t>36. Furthermore, through the non-competition clauses described above, TIM will likely have the guarantee of not facing competitive pressure from BT, which will not be able to participate in tenders of this nature for the next 5 years. The analysis presented here must adequately consider future tenders in a broader scenario than that strictly related to the transfer of the PA Branch and evaluated in light of the dynamics of the outcomes of the tender procedures. In conclusion, it seems necessary to investigate, during this proceeding, whether this operation may be likely to produce restrictive effects on competition in the conduct of future tenders, essential for the computerization process of public administrations, and to place TIM, already the only vertically integrated operator, in a position of further competitive advantage over other operators, also constituting or strengthening for these profiles the dominant position in the relevant market.</w:t>
      </w:r>
    </w:p>
    <w:p>
      <w:r>
        <w:t>b) The other markets affected by this operation</w:t>
      </w:r>
    </w:p>
    <w:p>
      <w:r>
        <w:t>37. With reference to the markets related to: i) retail telecommunications services over mobile networks, ii) the resale to end customers of hardware and software products, iii) maintenance services for hardware and software products, and iv) call center services, it is observed that, in light of the share held by TIM, the incremental contribution of the operation, and the presence of a sufficiently dynamic competitive context, it is deemed possible to highlight from now on that the impact of the operation does not appear likely to produce restrictive effects on competition.</w:t>
      </w:r>
    </w:p>
    <w:p>
      <w:r>
        <w:t>CONSIDERING, therefore, that the operation under examination is likely to determine, pursuant to Article 6, paragraph 1, of Law No. 287/90, the establishment or strengthening of a dominant position in the retail telecommunications services market over fixed networks for business customers and/or in the retail telecommunications services market over fixed networks for public administration, such as to eliminate or substantially and durably reduce competition in these markets;</w:t>
      </w:r>
    </w:p>
    <w:p>
      <w:r>
        <w:t>RESOLVES</w:t>
      </w:r>
    </w:p>
    <w:p>
      <w:r>
        <w:t>a) to initiate the investigation, pursuant to Article 16, paragraph 4, of Law No. 287/90, against the companies Telecom Italia S.p.A. and BT Italia S.p.A.;</w:t>
      </w:r>
    </w:p>
    <w:p>
      <w: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above-mentioned deadline;</w:t>
      </w:r>
    </w:p>
    <w:p>
      <w:r>
        <w:t>c) that the person responsible for the procedure is Dr. Gabriella Romano;</w:t>
      </w:r>
    </w:p>
    <w:p>
      <w:r>
        <w:t>d) that the acts of the procedure can be viewed at the Communications Directorate of the Directorate General for Competition of this Authority by the legal representatives of the Parties, as well as by persons with a legally relevant interest or by persons delegated by them;</w:t>
      </w:r>
    </w:p>
    <w:p>
      <w:r>
        <w:t>e) that the procedure must be concluded within forty-five days from the date of resolution of this provision, without prejudice to the time necessary for the acquisition of the opinion of the Authority for Guarantees in Communications pursuant to Article 1, paragraph 6, letter c), no. 11, of Law No. 249 of July 31, 1997.</w:t>
      </w:r>
    </w:p>
    <w:p>
      <w:r>
        <w:t>This provision will be notified to the interested parties and published in the Bulletin of the Competition and Market Authority.</w:t>
      </w:r>
    </w:p>
    <w:p>
      <w:r>
        <w:t>THE SECRETARY GENERAL THE PRESIDENT</w:t>
      </w:r>
    </w:p>
    <w:p>
      <w:r>
        <w:t>Filippo Arena Roberto Rustichelli</w:t>
      </w:r>
    </w:p>
    <w:p>
      <w:r>
        <w:rPr>
          <w:b/>
        </w:rPr>
        <w:t>[Pages 61–63]</w:t>
      </w:r>
    </w:p>
    <w:p>
      <w:r>
        <w:t>BULLETIN NO. 16 OF APRIL 19, 2021 63</w:t>
      </w:r>
    </w:p>
    <w:p>
      <w:r>
        <w:t>ACTIVITY OF REPORTING AND CONSULTATION</w:t>
      </w:r>
    </w:p>
    <w:p>
      <w:r>
        <w:t>AS1733 - MUNICIPALITY OF MANDURIA (TA) - EXTENSION OF PUBLIC DOMAIN CONCESSIONS FOR TOURIST-RECREATIONAL PURPOSES</w:t>
      </w:r>
    </w:p>
    <w:p>
      <w:r>
        <w:t>Rome, January 28, 2021</w:t>
      </w:r>
    </w:p>
    <w:p>
      <w:r>
        <w:t>Municipality of Manduria</w:t>
      </w:r>
    </w:p>
    <w:p>
      <w:r>
        <w:t>The Authority for the Guarantee of Competition and the Market, in its meeting of January 26, 2021, decided to express its opinion, pursuant to Article 21-bis of Law No. 287 of October 10, 1990, regarding the Resolution of the Municipal Council of November 19, 2020, No. 27, concerning the "State budget for the financial year 2019 and multi-year budget for the three-year period 2019-2021," Article 1, paragraphs 682, 683, 684 in conjunction with Law No. 77 of July 17, 2020, converting into law, with amendments, Decree-Law No. 34 of May 19, 2020 - Guidance Act for the application of the ex lege extension of the duration of existing public domain maritime concessions for tourist-recreational purposes.</w:t>
      </w:r>
    </w:p>
    <w:p>
      <w:r>
        <w:t>In particular, through the aforementioned Resolution, the Municipality of Manduria activated the administrative procedure for the extension of the duration of public domain maritime concessions for tourist-recreational purposes in favor of existing concessionaires, based on the provisions of Article 1, paragraphs 682, 683, and 684, of Law No. 145/2018 (which established a new expiration date for public domain maritime concessions for tourist-recreational purposes on January 1, 2034), as well as Article 182, paragraph 2, of Decree-Law No. 34 of May 19, 2020, as converted by Law No. 77 of July 17, 2020, in the part in which these norms refer, confirming it, to the mechanism of ex lege extension of public domain maritime concessions.</w:t>
      </w:r>
    </w:p>
    <w:p>
      <w:r>
        <w:t>In general terms, the Authority recalls that, in matters concerning the assignment of the use of public assets (falling within the public domain or the unavailable assets of the State or local authorities), the identification of the private concessionaire must occur through the conduct, by the Public Administration, of public evidence procedures.</w:t>
      </w:r>
    </w:p>
    <w:p>
      <w:r>
        <w:t>In this regard, it is highlighted that Articles 49 and 56 of the TFEU impose on Member States the abolition of unjustified restrictions on the freedoms of establishment and the free provision of services, that is to say all measures that prohibit, hinder, or are otherwise suitable to restrict the exercise of such freedoms. According to the European Court of Justice, a national regulation that allows the automatic extension of existing public domain concessions for tourist-recreational activities must be considered in violation of these provisions.</w:t>
      </w:r>
    </w:p>
    <w:p>
      <w:r>
        <w:t>Furthermore, Directive 2006/123/EC (known as the Services Directive) provides, in Article 12, that "where the number of authorizations available for a particular activity is limited due to the scarcity of natural resources or the technical capacities available, Member States shall apply a selection procedure among potential candidates, which provides guarantees of impartiality and transparency and provides, in particular, adequate publicity for the initiation of the procedure and its conduct and completion" (par. 1), and that, in such cases, "the authorization is granted for a limited duration and may 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w:t>
      </w:r>
    </w:p>
    <w:p>
      <w:r>
        <w:t>In this sense, the Authority, in previous advocacy interventions, has repeatedly expressed the need to proceed with the assignments of concessions - including those concerning public domain maritime assets for tourist-recreational purposes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procedures, in order to mitigate the distorting effects of competition associated with the privileged position attributed to the concessionaire.</w:t>
      </w:r>
    </w:p>
    <w:p>
      <w:r>
        <w:t>With specific reference to the procedures and measures for the extension of existing concessions, the Authority has repeatedly emphasized that it is in the interest of the market to carefully balance the short-term benefits and the possible costs that may arise in a longer time horizon.</w:t>
      </w:r>
    </w:p>
    <w:p>
      <w:r>
        <w:t>The granting of extensions in favor of previous concessionaires, in fact, further postpones the competitive comparison for the market, thus preventing the benefits that would arise from periodic competition for the assignment through public evidence procedures. Therefore, any extensions of assignments should not exceed the actual needs of the Administrations, to allow for the efficient allocation of public resources through competitive procedures as soon as possible.</w:t>
      </w:r>
    </w:p>
    <w:p>
      <w:r>
        <w:t>Consequently, the Authority believes that, for the reasons outlined above, this Municipality should have disapplied the legislation underlying the Resolution of the Municipal Council No. 27/2020 in question due to its contradiction with the principles and EU regulations mentioned above.</w:t>
      </w:r>
    </w:p>
    <w:p>
      <w:r>
        <w:t>The provisions regarding the extension of public domain maritime concessions for tourist-recreational purposes contained in the administrative measure in question indeed integrate specific violations of competitive principles, to the extent that they prevent the competitive comparison that should be guaranteed in the assignment of services affecting scarce public resources, in a market context where competitive dynamics are already particularly weakened due to the long duration of the currently existing concessions.</w:t>
      </w:r>
    </w:p>
    <w:p>
      <w:r>
        <w:t>In conclusion, the municipal resolution in question is in contrast with Articles 49 and 56 of the TFEU, as it appears likely to unjustifiably limit the freedom of establishment and the free movement of services in the internal market, as well as with the EU regulatory provisions regarding public assignments, with particular reference to Article 12 of the so-called Services Directive.</w:t>
      </w:r>
    </w:p>
    <w:p>
      <w:r>
        <w:t>It is also noted that the Court of Justice of the European Union, in establishing that the assignment of public domain maritime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a national regulation providing for an ex lege extension of the expiration date of such concessions amounts to an automatic renewal in contrast with the provisions of Article 12, par. 2, of Directive 2006/123/EC.</w:t>
      </w:r>
    </w:p>
    <w:p>
      <w:r>
        <w:t>The Authority has also highlighted, among others, the report made by the Authority on July 1, 2020, pursuant to Article 21 of Law No. 287/1990, AS1684 - Observations regarding the provisions contained in the Relaunch Decree, in Bulletin No. 28/2020. Furthermore, see the reports AS 135 - Extensions of highway concessions, in Bulletin No. 19/98; AS491 - Provisions on the granting of public domain concessions and on the direct exercise of administrative functions regarding the maritime domain, in Bulletin No. 46/2008; AS1114 - Concession regime present in the port of Livorno, in Bulletin No. 12/2014; AS1137 - Proposals for competitive reform for the annual law for the market and competition for the year 2014, in Bulletin No. 27/2014.</w:t>
      </w:r>
    </w:p>
    <w:p>
      <w:r>
        <w:rPr>
          <w:b/>
        </w:rPr>
        <w:t>[Pages 64–66]</w:t>
      </w:r>
    </w:p>
    <w:p>
      <w:r>
        <w:t>66 BULLETIN NO. 16 OF APRIL 19, 2021</w:t>
      </w:r>
    </w:p>
    <w:p>
      <w:r>
        <w:t>Pursuant to Article 21-bis, paragraph 2, of Law No. 287/1990, the Municipality of Manduria must therefore communicate to the Authority, within 60 days from the receipt of this opinion, the initiatives taken to remove the aforementioned competition violations. If, within the aforementioned period, such initiatives do not comply with the competition principles expressed above, the Authority may file an appeal within the following thirty days.</w:t>
      </w:r>
    </w:p>
    <w:p>
      <w:r>
        <w:t>THE PRESIDENT</w:t>
        <w:br/>
        <w:t>Roberto Rustichelli</w:t>
        <w:br/>
        <w:t>________________________________________________________________</w:t>
      </w:r>
    </w:p>
    <w:p>
      <w:r>
        <w:t>Communication regarding the failure of the Municipality of Manduria to comply with the reasoned opinion expressed by the Authority, pursuant to Article 21-bis of Law No. 287/1990, against the Municipal Council Resolution of November 19, 2020, No. 27, concerning the automatic extension, without public tender, of the temporal validity of the maritime public domain concessions for tourist-recreational purposes in force, particularly in execution of the legislative provisions for the extension of the deadline to December 31, 2033 (Law No. 145/2018, Article 1, paragraphs 682, 683, and 684).</w:t>
      </w:r>
    </w:p>
    <w:p>
      <w:r>
        <w:t>In its meeting of January 26, 2021, the Antitrust Authority resolved to send a reasoned opinion pursuant to Article 21-bis of Law No. 287 of October 10, 1990, published at the end of this communication, regarding the content of the Municipal Council Resolution of November 19, 2020, No. 27, adopted by the Municipality of Manduria and concerning the automatic extension to December 31, 2033, of the temporal validity of the maritime public domain concessions for tourist-recreational purposes located in the municipal territory.</w:t>
      </w:r>
    </w:p>
    <w:p>
      <w:r>
        <w:t>In particular, with the aforementioned Council Resolution, the Municipality of Manduria ordered the automatic extension without tender of the expiration of the maritime public domain concessions for tourist-recreational purposes, applying the aforementioned national legislation which, being in contrast with EU law, and in particular with Articles 49 and 56 of the TFEU and with the principles of competition and public evidence in assignments, should have been disapplied.</w:t>
      </w:r>
    </w:p>
    <w:p>
      <w:r>
        <w:t>Following the receipt of this reasoned opinion, the Municipality of Manduria, with communication dated March 4, 2021, informed the Antitrust Authority that it considered its actions legitimate, particularly as the extension of the duration of the maritime public domain concessions for tourist-accommodation purposes in favor of the existing concessionaires was carried out based on the provisions of the current national legislation (specifically referring to the 2019 Budget Law, i.e., the aforementioned Article 1, paragraphs 682, 683, and 684, of Law No. 145/2018, as well as the so-called Relaunch Decree, i.e., Article 182, paragraph 2, of Decree Law No. 34/2020, converted with Law No. 77/2020).</w:t>
      </w:r>
    </w:p>
    <w:p>
      <w:r>
        <w:t>Noting the failure of the Administration to comply with the reasoned opinion, the Antitrust Authority, in its meeting of March 16, 2021, resolved to challenge before the Regional Administrative Court for Puglia the Municipal Council Resolution of November 19, 2020, No. 27, adopted by the Municipality of Manduria concerning the automatic extension of the maritime public domain concessions for tourist-recreational use.</w:t>
      </w:r>
    </w:p>
    <w:p>
      <w:r>
        <w:t>68 BULLETIN NO. 16 OF APRIL 19, 2021</w:t>
      </w:r>
    </w:p>
    <w:p>
      <w:r>
        <w:t>AS1734 - ASSIGNMENT OF POSTAL SERVICES BY ACQUA PUBBLICA SABINA</w:t>
      </w:r>
    </w:p>
    <w:p>
      <w:r>
        <w:t>Rome, April 9, 2021</w:t>
      </w:r>
    </w:p>
    <w:p>
      <w:r>
        <w:t>Acqua Pubblica Sabina S.p.A.</w:t>
      </w:r>
    </w:p>
    <w:p>
      <w:r>
        <w:t>The Antitrust Authority, in its meeting of March 30, 2021, resolved to adopt a report, pursuant to Article 21 of Law No. 287 of October 10, 1990, concerning the public notice of July 23, 2018, related to the negotiated procedure initiated by Acqua Pubblica Sabina (hereinafter also AP Sabina) for the assignment of "Printing, stuffing, and delivery of consumption invoices, payment reminders, and other communications to users."</w:t>
      </w:r>
    </w:p>
    <w:p>
      <w:r>
        <w:t>In particular, the aforementioned notice is susceptible to potentially conflicting with the principles of free competition, equal treatment, and non-discrimination among economic operators, to the extent that it does not provide sufficient reasons regarding the failure to subdivide the contract into multiple functional lots, resulting in an unjustified obstacle to the participation of the economic operators interested in the tender procedure.</w:t>
      </w:r>
    </w:p>
    <w:p>
      <w:r>
        <w:t>In this way, such a procedure is therefore in contrast with the provisions of Article 51, paragraph 1, of Legislative Decree No. 50 of April 18, 2016, containing the Public Contracts Code (hereinafter also CCP), according to which: "1. In compliance with the Community regulations on public procurement, both in ordinary and special sectors, in order to facilitate access for micro-enterprises, small and medium-sized enterprises, contracting authorities shall subdivide contracts into functional lots as referred to in Article 3, paragraph 1, letter qq), or into performance lots as referred to in Article 3, paragraph 1, letter ggggg), in accordance with the categories or specializations in the field of works, services, and supplies. Contracting authorities shall justify the failure to subdivide the contract into lots in the tender notice or in the invitation letter and in the single report referred to in Articles 99 and 139."</w:t>
      </w:r>
    </w:p>
    <w:p>
      <w:r>
        <w:t>Essentially, the definition of a single functional lot is likely to unjustifiably limit competition in the market concerning the assignment of printing, stuffing, and delivery postal services. In fact, from a commodity perspective, the bundling of services related to different phases of the processing of parcels to be sent by mail is in contrast with the purpose, inherent in EU regulations regarding public evidence procedures, to promote the widest access of economic operators to the public procurement market.</w:t>
      </w:r>
    </w:p>
    <w:p>
      <w:r>
        <w:t>1 In particular, in Section I of the public notice, AP Sabina states that the failure to subdivide into lots derives from the fact that "on the one hand, the amount set as the basis for the tender and the related participation requirements allow access to the procedure by SMEs, according to the definitions contained in the current legislation; on the other hand, the type and particular strategic relevance of the services to be assigned require that the services be carried out collectively by a single operator, to make the activity carried out towards users as homogeneous and coherent as possible."</w:t>
      </w:r>
    </w:p>
    <w:p>
      <w:r>
        <w:rPr>
          <w:b/>
        </w:rPr>
        <w:t>[Pages 67–69]</w:t>
      </w:r>
    </w:p>
    <w:p>
      <w:r>
        <w:t>BULLETIN NO. 16 OF APRIL 19, 2021 69</w:t>
        <w:br/>
        <w:t>regardless of the size of the enterprise and the implementation of structural strategic choices. The provision of a single functional lot, in fact, unjustifiably hinders the participation of smaller enterprises, which are not vertically integrated across the entire supply chain and are not active, except to a limited extent, in the provision of delivery services.</w:t>
      </w:r>
    </w:p>
    <w:p>
      <w:r>
        <w:t>Moreover, Article 51, paragraph 1, CCP, which provides a general obligation for contracting authorities to separate into lots, constitutes a specific declination of the principles of competition, non-discrimination, equal treatment, publicity, and transparency, which inform European and national public procurement legislation and, as such, represents an additional expression of the favor participationis, which cannot be unjustifiably limited.</w:t>
      </w:r>
    </w:p>
    <w:p>
      <w:r>
        <w:t>In this regard, it should be noted, however, that, in the specific case, the reasons put forward by the contracting authority for coherence and homogeneity of the activity towards users, along with the circumstance that the not high value of the contract would allow for the participation of SMEs, do not appear sufficient to justify the lack of subdivision into lots of the contract.</w:t>
      </w:r>
    </w:p>
    <w:p>
      <w:r>
        <w:t>In fact, in light of what has been stated by the European legislator regarding public procurement, the reasons that allow contracting authorities to avoid fulfilling the obligation to subdivide into lots are mirrored to those that are the basis for unbundling, insofar as they must also aim to satisfy the need to safeguard competitive comparison, or at least be complementary to it, aiming, that is, to safeguard the proper execution of the contract. Such reasons, as mentioned, have not been adequately put forward by AP Sabina to justify the lack of subdivision into lots, as they seem to solely aim at achieving objectives of coherence and homogeneity in the execution of their activity towards users. Similarly, the reference to the value of the contract does not appear to constitute an adequate justification that allows the contracting authority to disregard the obligation to subdivide into lots, given that contracting entities cannot substitute the policy choices made by the legislator.</w:t>
      </w:r>
    </w:p>
    <w:p>
      <w:r>
        <w:t>Therefore, the Authority hopes that in future calls and public notices related to public procurement procedures for the awarding of postal services that will be issued by Acqua Pubblica Sabina S.p.A., the indications provided by the Authority will be accepted, in order to allow for the widest possible competitive comparison among economic operators potentially interested in winning such contracts. In particular, the Authority hopes that Acqua Pubblica Sabina S.p.A. will comply with the obligation to subdivide into lots in accordance with the provisions of Article 51 of Legislative Decree April 18, 2016, No. 50, so as to allow, in compliance with the principle of favor participationis, even operators active solely in the market for intermediary services for bulk mail to participate in the public procurement procedures that will be announced in the future.</w:t>
      </w:r>
    </w:p>
    <w:p>
      <w:r>
        <w:t>This report will be published in the Bulletin of the Competition and Market Authority.</w:t>
      </w:r>
    </w:p>
    <w:p>
      <w:r>
        <w:t xml:space="preserve">THE PRESIDENT </w:t>
        <w:br/>
        <w:t>Roberto Rustichelli</w:t>
      </w:r>
    </w:p>
    <w:p>
      <w:r>
        <w:t xml:space="preserve">70 BULLETIN NO. 16 OF APRIL 19, 2021 </w:t>
        <w:br/>
        <w:t xml:space="preserve">UNFAIR COMMERCIAL PRACTICES </w:t>
        <w:br/>
        <w:t xml:space="preserve">PS11824 - TROTEC-ANTICOVID PURIFIER </w:t>
        <w:br/>
        <w:t xml:space="preserve">Measure No. 28618 </w:t>
        <w:br/>
        <w:t xml:space="preserve">THE COMPETITION AND MARKET AUTHORITY </w:t>
        <w:br/>
        <w:t xml:space="preserve">IN ITS MEETING of March 23, 2021; </w:t>
        <w:br/>
        <w:t xml:space="preserve">HEARD the Rapporteur Dr. Gabriella Muscolo; </w:t>
        <w:br/>
        <w:t xml:space="preserve">VIEWED Part II, Title III, of Legislative Decree September 6, 2005, No. 206,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measure of July 8, 2020, with which the adoption of a precautionary measure was decided ex officio, pursuant to Article 27, paragraph 3, of the Consumer Code, as well as the measure of August 4, 2020, with which it was decided not to confirm the precautionary measure; </w:t>
        <w:br/>
        <w:t xml:space="preserve">VIEWED its measure of October 27, 2020, with which, pursuant to Article 7, paragraph 3, of the Regulation, the extension of the deadline for concluding the procedure was ordered to ensure adequate contradiction with the Party; </w:t>
        <w:br/>
        <w:t xml:space="preserve">VIEWED its measure of January 12, 2021, with which, pursuant to Article 7, paragraph 3, of the Regulation, the further extension of the deadline for concluding the procedure was ordered in acceptance of the Party's request and the needs for protection of the contradiction represented by it; </w:t>
        <w:br/>
        <w:t xml:space="preserve">VIEWED the documents of the procedure; </w:t>
        <w:br/>
        <w:t xml:space="preserve">I. THE PARTY </w:t>
        <w:br/>
        <w:t xml:space="preserve">1. TROTEC® International GmbH &amp; C. S.a.S. (hereinafter also Trotec), as a professional, pursuant to Article 18, paragraph 1, letter b), of the Consumer Code. Trotec markets air conditioning, ventilation, aeration, and heating systems in enclosed environments for industry, commerce, and private individuals. </w:t>
        <w:br/>
        <w:t xml:space="preserve">II. THE COMMERCIAL PRACTICE </w:t>
        <w:br/>
        <w:t xml:space="preserve">2. The procedure concerns the methods of presentation, on the websites https://it.trotec.com1 and www.trotec-blog.com, of Trotec products for purification, air conditioning, humidification, "thermal disinfection," and cooling of air, through advertising claims stating that, among other things, these products "protect against the coronavirus." </w:t>
        <w:br/>
        <w:t xml:space="preserve">III. THE FINDINGS OF THE PROCEDURE </w:t>
        <w:br/>
        <w:t xml:space="preserve">III.1 The course of the procedure </w:t>
        <w:br/>
        <w:t xml:space="preserve">3. According to the information acquired ex officio from a report received on May 21, 20202, on July 8, 2020, the investigative procedure PS11824 was initiated against Trotec for possible violation of Articles 20, 21, paragraph 1, letter b), 23, paragraph 1, letter n) and 25, paragraph 1, letter c) of the Consumer Code3. </w:t>
        <w:br/>
        <w:t xml:space="preserve">The professional was accused of disseminating, on the websites www.trotec24.it and www.trotec-blog.com, commercial communications aimed at promoting products such as, for example, those named: (i) "AirgoClean 10E," that is, an air purifier at the discounted price of 49.95 euros instead of 71.71 euros; (ii) coolers/humidifiers at prices ranging from 99.95 to 307.51 euros; (iii) air purifiers/heaters of the "Tac" series with "Hepa H14" filters with prices ranging from 549.00 to 4,263.90 euros. The claims used by the professional in the commercial communications were characterized by claims suitable to induce the average consumer to attribute to such products a protective efficacy against viruses in the air and in the environment, in the absence of suitable scientific evidence. </w:t>
        <w:br/>
        <w:t xml:space="preserve">4. On June 12, 2020, official inspections were carried out on the internet and the pages of the aforementioned websites were acquired into the records of the procedure4. </w:t>
        <w:br/>
        <w:t xml:space="preserve">5. The professional presented his defense arguments with notes received on July 13 and 16, 20205, as well as on October 14, 20206. </w:t>
        <w:br/>
        <w:t xml:space="preserve">6. On August 6, 2020, the Party accessed the documents of the file7 and on January 19, 2021, was heard in a hearing8. </w:t>
        <w:br/>
        <w:t xml:space="preserve">7. On October 29, 2020, the Party was notified of the sixty-day extension of the deadline for concluding the procedure pursuant to Article 7, paragraph 3, of the Regulation9. </w:t>
        <w:br/>
        <w:t xml:space="preserve">8. On November 25, 2020, the Party was notified of the conclusion date of the investigative phase, pursuant to Article 16, paragraph 1, of the Regulation10. The Party submitted a final brief on December 15, 202011. </w:t>
        <w:br/>
        <w:t>9. On December 15, 2020, the professional also submitted a proposal for commitments pursuant to Article 27, paragraph 7, of the Consumer Code and Article 9 of the Regulation12. Such</w:t>
      </w:r>
    </w:p>
    <w:p>
      <w:r>
        <w:rPr>
          <w:b/>
        </w:rPr>
        <w:t>[Pages 70–72]</w:t>
      </w:r>
    </w:p>
    <w:p>
      <w:r>
        <w:t>BULLETIN NO. 16 OF APRIL 19, 2021</w:t>
      </w:r>
    </w:p>
    <w:p>
      <w:r>
        <w:t>72 commitments were rejected by the Authority in its meeting on January 19, 2021, and this decision was communicated to the professional on January 22, 2021.</w:t>
      </w:r>
    </w:p>
    <w:p>
      <w:r>
        <w:t>10. On January 19, 2021, the Party was informed of the further extension of sixty days of the deadline for the conclusion of the procedure pursuant to Article 7, paragraph 3, of the Regulation.</w:t>
      </w:r>
    </w:p>
    <w:p>
      <w:r>
        <w:t>III.2 The evidence acquired</w:t>
      </w:r>
    </w:p>
    <w:p>
      <w:r>
        <w:t>11. The documents on file, specifically regarding the observations made ex officio, concern the acquisition of the web pages of the sites attributable to the professional through which the advertising messages in question were disseminated. In particular, these messages were found on the following pages:</w:t>
        <w:br/>
        <w:t>1. https://www.trotec-blog.com/it/trotec/contaminazione-dellaria-particelle-di-polvere-nella-placenta-delle-future-madri-purificazione-dellaria-a-casa-e-in-ufficio-con-airgoclean-10-e/</w:t>
        <w:br/>
        <w:t>2. https://it.trotec.com/prodotti-e-servizi/macchine-homecomfort/climatizzazione/rinfrescatori-daria-serie-pae/rinfrescatore-daria-vs-condizionatore/</w:t>
        <w:br/>
        <w:t>3. https://it.trotec.com/prodotti-e-servizi/macchine-highperformance/depurazione-dellaria/filtro-h14-per-il-filtraggio-di-virus/</w:t>
      </w:r>
    </w:p>
    <w:p>
      <w:r>
        <w:t>Additionally, on the website www.trotec-blog.com, there was a section called "Corona," which could be accessed via the "CORONA" link located on the right side of the homepage of the site (trotec-blog.com/it/category/corona/).</w:t>
      </w:r>
    </w:p>
    <w:p>
      <w:r>
        <w:t>12. The page referenced as no. 1 above opened with the following message: "Air contamination: dust particles in the placenta of future mothers! Air purification: at home and in the office with AirgoClean 10 E!" and, just below, an image of a pregnant girl looking at her belly smiling, with the product image next to it. Immediately below was the message referring to dust particles that could cause premature birth and irreversible damage to the fetus, events avoidable with the use of the air purifier "AirgoClean 10E," available at the discounted price of 49.95 euros instead of 71.71 euros. On the same page, employers were warned that – regarding the dust present in offices – they are "required to contribute [fulfilling] their duty simply by purchasing professional air purifiers" such as the "AirgoClean 10E" purifier.</w:t>
      </w:r>
    </w:p>
    <w:p>
      <w:r>
        <w:t>13. The page referenced as no. 2 above, in the second half, contained, in a box, the message: "Bringing environments to 50% air humidity reduces the risk of viral transmission," explicitly referring to viruses such as "SARS-CoV, MERS-CoV, or SARS-CoV-2 (Covid-19)." According to "experts" not further identified, it was stated that the risk of infection could be reduced by increasing the humidity of the air in buildings through humidifiers and similar devices sold by the professional at prices ranging from 99.95 to 307.51 euros. Again, no scientific data was provided to support the message, nor were there identifying elements of studies that justified the percentages reported and the devices' ability to counteract the spread of Covid-19.</w:t>
      </w:r>
    </w:p>
    <w:p>
      <w:r>
        <w:t>14. The page referenced as no. 3 opened with an image showing a healthcare worker in a protective suit and the word "DANGER"; a graphic depicting stylized microorganisms similar to the structure of viruses; the product marketed with a shield bearing the inscription "H14." Immediately after, the message read: "H14 SUSPENDED PARTICLE FILTERS FOR VIRUS FILTRATION. The commercial air purifiers of the TAC series can separate Corona viruses from the air thanks to high-performance filters. To effectively reduce the risk of infection from Covid-19 or other viruses, it is primarily effective to minimize, or better eliminate, the content of viruses in the air. Especially in workplaces and critical areas with a higher number of people, minimizing exposure is mandatory to prevent the occurrence of transmission and contagion chains." This was accompanied by images depicting the virus and smiling medical personnel at work. These images were also associated with the claim that the devices marketed by the professional would have effectiveness comparable to that of systems used in so-called clean rooms in hospitals. Following this, there were messages about the possibility that the virus could also be transmitted through ventilation systems. In support of this, reference was made to the existence of various scientific studies, although only one was cited, which could be accessed via a link. The site claimed that the authors of this study reached the "worrying" conclusion that it is "entirely plausible" that the transmission of the Sars CoV-2 virus occurs via aerosol, thus in the form of suspended particles. According to the page, the use of the professional's devices, and in particular the air purifiers/heaters of the "Tac" series with "Hepa H14" filters, would reduce the phenomenon of Covid-19 (and other viruses) transmission via aerosol; however, no scientific evidence was provided regarding this capability of the devices marketed by the professional.</w:t>
      </w:r>
    </w:p>
    <w:p>
      <w:r>
        <w:t>15. The page https://www.trotec-blog.com/it/category/corona/ opened with the question "Do air conditioning systems and fans protect against coronavirus? Here’s what you need to know about it!" In a popular tone, the professional advocated the idea that the current restrictive health and hygiene regulations would not be sufficient to avert the possibility of new outbreaks due to the transmission of Covid-19 via aerosol. The message, evidently of a popular nature, was accompanied by a sequential image demonstrating that while saliva droplets expelled from a person's mouth do not reach another person two meters away, aerosols do. After this, the site continued by highlighting how the protection offered by social distancing, masks, disinfection, and plexiglass walls was "lacking" and that only "high-frequency air purifiers like the TAC V+" (emphasis in the original) from the professional could fill this gap, with a link to the product. However, no scientific evidence was provided to support the information present on the site, nor, in particular, the claimed capabilities of the air purifiers marketed by the professional. Furthermore, the professional boasted about the effectiveness of using such air purifiers in preventing infections in environments such as open-space offices, churches, and nursing homes, stating, for example, that the use of the TAC V+ air purifier "creates safe visiting areas with protection from infections in nursing homes."</w:t>
      </w:r>
    </w:p>
    <w:p>
      <w:r>
        <w:t>16. In compliance with the precautionary measure of July 8, 2020, on July 13, 2020, the Party communicated that it had deactivated the contested web pages, as verified by the ex officio checks on July 16 and 21, 2020. Additionally, the "CORONA" link was removed from the Italian version of the blog www.trotec-blog.com. The claims subject to the precautionary measure had been disseminated since May 2020.</w:t>
      </w:r>
    </w:p>
    <w:p>
      <w:r>
        <w:t>III.3 The defensive arguments of the Party</w:t>
      </w:r>
    </w:p>
    <w:p>
      <w:r>
        <w:t>17. In its defense notes, the company stated that it is part of the homonymous corporate group, based in Germany and with subsidiaries in ten countries, mainly in Europe, which makes significant investments in research and innovation for its products. Trotec develops and markets household and sanitary appliances for air treatment. It also pointed out that the AirgoClean purifiers, PAE coolers, and TAC purifiers with HEPA filters were on sale in the Italian market before the Covid-19 pandemic emergency began and that, following the spread of the pandemic itself, the company intensified its investments in research and development "to offer its customers systems capable of effectively countering the spread of the virus, thus complementing the other containment measures already implemented in the various countries where the Group's companies operate." The AirgoClean 10E product is a domestic air purifier for environments up to 40 cubic meters, primarily designed to purify the air from dust, pollen, and bacteria, through a Dacron filter and a HEPA filter. The TAC V+ products are professional air purifiers for protection against dust, spores, aerosols, and viruses that, depending on their use (industry, craftsmanship, pure air purification), employ various types of filters. Regarding the scientific evidence supporting its claims, the Party referred to the study commissioned by the Group to Prof. Christian J. Kähler, a professor of fluid dynamics and aerodynamics at the Bundeswehr University in Munich and his research team, which analyzed the effects of the Trotec TAC V+ air purifier with HEPA 14 filter on the reduction of aerosol concentration and, therefore, viral substances in the air of closed environments. Furthermore, the Party referred to scientific studies aimed at confirming that "a relative humidity above 40% is harmful to the survival of many viruses, including coronaviruses in general."</w:t>
      </w:r>
    </w:p>
    <w:p>
      <w:r>
        <w:t>IV. OPINION OF THE AUTHORITY FOR GUARANTEES IN COMMUNICATIONS</w:t>
      </w:r>
    </w:p>
    <w:p>
      <w:r>
        <w:t>18. Since the commercial practice subject to this provision was disseminated through telecommunications means, on February 11, 2021, the opinion of the Authority for Guarantees in Communications was requested, pursuant to Article 27, paragraph 6, of the Consumer Code. In an opinion received on March 10, 2021, the aforementioned Authority deemed that, in this case, the means of communication used is suitable to develop a significant impact on consumers who, based on the information contained on the professional's site, could be induced to make a commercial decision that they otherwise would not have made, thus concretely developing the full promotional potential of online communication.</w:t>
      </w:r>
    </w:p>
    <w:p>
      <w:r>
        <w:rPr>
          <w:b/>
        </w:rPr>
        <w:t>[Pages 73–75]</w:t>
      </w:r>
    </w:p>
    <w:p>
      <w:r>
        <w:t>BULLETIN NO. 16 OF APRIL 19, 2021 75</w:t>
      </w:r>
    </w:p>
    <w:p>
      <w:r>
        <w:t>V. CONCLUSIVE EVALUATIONS</w:t>
      </w:r>
    </w:p>
    <w:p>
      <w:r>
        <w:t>19. This provision concerns the dissemination, via the internet, of advertising content aimed at promoting air purifiers branded Trotec in ways likely to instill in recipients the belief that their use can, in itself, neutralize the spread of Covid-19.</w:t>
      </w:r>
    </w:p>
    <w:p>
      <w:r>
        <w:t>20. In the examined messages, the technical characteristics and functioning of the products are directly correlated with the possibility of effectively protecting against the risk of Covid-19 infection: this is achieved through the use of advertising claims that attribute to the products themselves properties beyond their nature as household and sanitary appliances. In particular, the advertising statements appear characterized by emphatic and alarmist tones (“To effectively reduce the risk of infection from Covid-19 or other viruses, it is primarily effective to minimize, or better eliminate, the content of viruses in the air. Especially in workplaces and critical areas with a higher number of people, minimizing exposure is mandatory to prevent the occurrence of chains of spread and contagion”), the impact of which is amplified by graphic elements accompanying the textual ones (the image of a healthcare worker in a protective suit against pathogens, the word “DANGER,” and a graphic representation of stylized microorganisms similar to the structure of viruses combined with a photo of the air purifiers from the TAC series with a shield bearing the inscription “H14”).</w:t>
      </w:r>
    </w:p>
    <w:p>
      <w:r>
        <w:t>The statement that “Bringing environments to 50% air humidity reduces the risk of viral transmission” also appears misleading, as it is based on an inadequate reference to unspecified “experts” who “have evaluated the outcomes of scientific research on the resistance of viruses (such as SARS-CoV, MERS-Cov, or SARS-CoV-2 (Covid-19) and on air humidity.” The generic reference to the outcomes of unspecified scientific research on the subject does not justify the promotional use of the results achieved through the use of the products in question.</w:t>
      </w:r>
    </w:p>
    <w:p>
      <w:r>
        <w:t>Moreover, the literal tenor of the claims used by the professional appears excessively assertive regarding the health consequences for consumers and their families in the event of non-purchase of the product (“Air contamination: dust particles in the placenta of future mothers! Air purification: at home and in the office with AirgoClean 10 E!”) and suggests that the consumer, by not making the purchase, would endanger the health of their loved ones.</w:t>
      </w:r>
    </w:p>
    <w:p>
      <w:r>
        <w:t>Finally, the commercial communications present improper associations between the advertised purifiers and the equipment used in hospitals (so-called clean rooms), implying that the effects attributable to the installation of purifiers equipped with specific filtering devices are fully comparable to the conditions existing in operating rooms.</w:t>
      </w:r>
    </w:p>
    <w:p>
      <w:r>
        <w:t>21. In general, although it is possible to attribute to air treatment devices a utility in reducing the concentration of bacteria and viruses in environments, the contents conveyed by the examined messages appear excessive. In this sense, while taking into account the scientific documentation produced by the professional in support of the validity and quality standards of Trotec devices (such as HEPA filters), it should be noted that the absolutist tones used and the comparisons with complex systems such as the so-called clean rooms appear likely to mislead the consumer regarding the actual effectiveness of the advertised products.</w:t>
      </w:r>
    </w:p>
    <w:p>
      <w:r>
        <w:t>Indeed, the very scientific study commissioned by the professional, far from recognizing the absolute safety of the results achievable with the use of the devices, seems rather to limit their effects to their actual performance characteristics, thus conferring on them merely the suitability to contribute to the reduction of the risk of indirect infection and contamination in enclosed environments, but not the ability to radically eliminate contagion.</w:t>
      </w:r>
    </w:p>
    <w:p>
      <w:r>
        <w:t>In other words, from the recognition of a facilitating action in reducing the presence of viral substances in the air, it does not seem possible to deduce that breadth of effects and that decisive effectiveness which are instead suggested by the particular incisiveness and assertiveness of the advertising claims.</w:t>
      </w:r>
    </w:p>
    <w:p>
      <w:r>
        <w:t>22. In this context, the professional's reference to the gaps and insufficiency of restrictive regulations regarding health and hygiene (social distancing, masks, disinfection, and plexiglass walls) concerning the containment of the transmission of the Covid-19 virus via aerosol, associated with the description of “high-frequency air purifiers like the TAC V+,” sold by the professional, as the only tools capable of filling this gap appears severely misleading. This correlation, in fact, seems likely to raise further expectations regarding the actual utility of the advertised air purifiers and foreign to their inherent nature, also leading the recipients of the messages to believe that the failure to purchase would jeopardize their own and their family's safety. This is in violation of Article 23, paragraph 1, letter n), of the Consumer Code.</w:t>
      </w:r>
    </w:p>
    <w:p>
      <w:r>
        <w:t>23. The described claims therefore appear misleading as, despite their incisiveness and assertiveness, they are not based on adequate or sufficient documentary foundations to justify the scope of the advertising promises. Rather, they are likely to elicit expectations that go beyond the actual nature and real effectiveness of the products, and therefore can significantly influence consumers' purchasing decisions. Consumers could be led to purchase in the belief that they have a definitive means to neutralize the risk of coronavirus infection and not merely a technical tool that, if implemented together with other measures or precautions, can contribute to effective protection.</w:t>
      </w:r>
    </w:p>
    <w:p>
      <w:r>
        <w:t>24. In conclusion, the overall presentation methods of the products, due to the emphasis on the characteristics attributed to them and the proposed close association between the use of the devices and the solution to the problem of the spread of contagion, appear to induce the average consumer to erroneously attribute to the products effectiveness requirements exceeding those actually possessed.</w:t>
      </w:r>
    </w:p>
    <w:p>
      <w:r>
        <w:t>Therefore, the conduct of the professional constitutes a violation of Articles 20, 21, paragraph 1, letter b), 23, paragraph 1, letter n), and 25, paragraph 1, letter c), of the Consumer Code, as it is contrary to professional diligence and likely to lead the average consumer to make commercial decisions that they would not otherwise have made, based on a misleading representation of reality regarding the nature, performance characteristics of the offered products, and the results that can be expected from their use, exploiting the existing health alarm situation to promote the sale of the products themselves.</w:t>
      </w:r>
    </w:p>
    <w:p>
      <w:r>
        <w:t>25.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26.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27. With regard to the economic dimension of the professional, it should be noted that he, although requested, did not produce his balance sheet. In 2020, the professional generated revenues in Italy of approximately [1,000-15,000]* euros from the sale of the devices subject to the proceedings. It is also taken into account that the professional belongs to the homonymous corporate group based in Germany with subsidiaries in ten countries mainly in Europe.</w:t>
      </w:r>
    </w:p>
    <w:p>
      <w:r>
        <w:t>28. Regarding the severity of the violation, it must be considered that the contested conduct constitutes, on one hand, an unfair practice under Article 23, paragraph 1, letter n), of the Consumer Code and, on the other hand, is characterized by aggressiveness, in violation of Article 25, paragraph 1, letter c), of the Consumer Code, having exploited a circumstance of specific gravity (the ongoing pandemic and fears of contagion) such as to alter the consumer's ability to evaluate.</w:t>
      </w:r>
    </w:p>
    <w:p>
      <w:r>
        <w:t>29. Regarding the duration of the violation, from the investigative elements on file, it appears that the aforementioned unfair commercial practice was carried out by the professional at least since May 2020 (based on the received report) until July 2020, when the professional, in compliance with the precautionary measure, removed the contested unfair aspects from his commercial communications.</w:t>
      </w:r>
    </w:p>
    <w:p>
      <w:r>
        <w:t>30. Based on these elements, it is deemed appropriate to determine the amount of the administrative pecuniary sanction applicable to the company TROTEC® International GmbH &amp; C. S.a.S. in the amount of €11,700 (eleven thousand seven hundred euros).</w:t>
      </w:r>
    </w:p>
    <w:p>
      <w:r>
        <w:t>THEREFORE, in accordance with the opinion of the Authority for Communications Guarantees, based on the above considerations, the above-described commercial practice is deemed unfair under Articles 20, 21, paragraph 1, letter b), 23, paragraph 1, letter n) of the Consumer Code, as it is contrary to professional diligence and likely to appreciably distort the economic behavior of the average consumer regarding the actual effectiveness of the advertised products, as well as the actual disadvantages arising from the failure to purchase them. Similarly, the statements regarding the decisive scope of the use of the products appear unfair, under Article 25, paragraph 1, letter c), of the Consumer Code, as they are likely to compromise the assumption of a * In this version, some data are omitted, as elements of confidentiality or secrecy of the information were deemed to exist.</w:t>
      </w:r>
    </w:p>
    <w:p>
      <w:r>
        <w:rPr>
          <w:b/>
        </w:rPr>
        <w:t>[Pages 76–78]</w:t>
      </w:r>
    </w:p>
    <w:p>
      <w:r>
        <w:t>BULLETIN NO. 16 OF APRIL 19, 2021</w:t>
      </w:r>
    </w:p>
    <w:p>
      <w:r>
        <w:t>choice of informed purchase at a time when the consumer's ability to evaluate appeared altered due to the ongoing national health emergency;</w:t>
      </w:r>
    </w:p>
    <w:p>
      <w:r>
        <w:t>RESOLUTION</w:t>
      </w:r>
    </w:p>
    <w:p>
      <w:r>
        <w:t>a) that the commercial practice described in point II) of this provision, carried out by TROTEC® International GmbH &amp; C. S.a.S., in its capacity as a professional, constitutes, for the reasons and within the limits set out in the motivation, an unfair commercial practice pursuant to Articles 20, 21, paragraph 1, letter b), 23, paragraph 1, letter n), and 25, paragraph 1, letter c), of the Consumer Code;</w:t>
      </w:r>
    </w:p>
    <w:p>
      <w:r>
        <w:t>b) to impose on TROTEC® International GmbH &amp; C. S.a.S., in its capacity as a professional, for the violation referred to in the previous letter a), an administrative pecuniary sanction of 11,700 euros (eleven thousand seven hundred euros).</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provided for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16 OF APRIL 19, 2021</w:t>
      </w:r>
    </w:p>
    <w:p>
      <w:r>
        <w:t>PS11785 - POLTRONESOFÀ - VARIOUS OFFERS</w:t>
        <w:br/>
        <w:t>Provision No. 29626</w:t>
        <w:br/>
        <w:t>THE COMPETITION AND MARKET AUTHORITY</w:t>
      </w:r>
    </w:p>
    <w:p>
      <w:r>
        <w:t>IN ITS MEETING of April 2, 2021;</w:t>
      </w:r>
    </w:p>
    <w:p>
      <w:r>
        <w:t>HEARD the Rapporteur, Professor Michele Ainis;</w:t>
      </w:r>
    </w:p>
    <w:p>
      <w:r>
        <w:t>VIEWED Part II, Title III of Legislative Decree No. 206 of September 6, 2005, and subsequent amendments (hereinafter, Consumer Code);</w:t>
      </w:r>
    </w:p>
    <w:p>
      <w: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provision of November 3, 2020, with which, pursuant to Article 7, paragraph 3, of the Regulation, a sixty-day extension of the conclusion of the procedure was ordered, for particular investigative needs;</w:t>
      </w:r>
    </w:p>
    <w:p>
      <w:r>
        <w:t>VIEWED its provision of January 12, 2021, with which, pursuant to Article 7, paragraph 3, of the Regulation, a sixty-day extension of the conclusion of the procedure was ordered, considering the need to evaluate the commitments presented by the Professional and the need to ensure adequate counterarguments to the Parties;</w:t>
      </w:r>
    </w:p>
    <w:p>
      <w:r>
        <w:t>VIEWED the acts of the procedure;</w:t>
      </w:r>
    </w:p>
    <w:p>
      <w:r>
        <w:t>I. THE PARTIES</w:t>
      </w:r>
    </w:p>
    <w:p>
      <w:r>
        <w:t>1. Poltronesofà S.p.A. (hereinafter, Poltronesofà), as a professional, pursuant to Article 18, paragraph 1, letter b), of the Consumer Code, is a company active in the production and marketing of sofas, armchairs, and furniture complements. According to the latest financial statement approved by the professional, the company reported a turnover of approximately 460 million euros as of December 31, 2019.</w:t>
      </w:r>
    </w:p>
    <w:p>
      <w:r>
        <w:t>2. Altroconsumo and U.Di.Con. Union for the Defense of Consumers, as consumer associations reporting.</w:t>
      </w:r>
    </w:p>
    <w:p>
      <w:r>
        <w:t>II. THE COMMERCIAL PRACTICE</w:t>
      </w:r>
    </w:p>
    <w:p>
      <w:r>
        <w:t>3. The procedure concerns the commercial practice carried out by Poltronesofà in the promotion and sale of armchairs and sofas under the same brand. In particular, the professional disseminated during 2020, through television commercials, radio spots, and its website (www.poltronesofa.com), the following advertising campaigns:</w:t>
      </w:r>
    </w:p>
    <w:p>
      <w:r>
        <w:t>i) "double sales double savings - 50% discount + up to 40% on the entire collection + 48 months interest-free" during the period January 4 - February 9, 2020;</w:t>
      </w:r>
    </w:p>
    <w:p>
      <w:r>
        <w:t>ii) "2,500 sofas for only 99 euros" during the period January 7 - 12, 2020;</w:t>
      </w:r>
    </w:p>
    <w:p>
      <w:r>
        <w:t>iii) "We overvalue your sofa up to 1,500 euros" during the period May 14 - June 15, 2020;</w:t>
      </w:r>
    </w:p>
    <w:p>
      <w:r>
        <w:rPr>
          <w:b/>
        </w:rPr>
        <w:t>[Pages 79–81]</w:t>
      </w:r>
    </w:p>
    <w:p>
      <w:r>
        <w:t>BULLETIN NO. 16 OF APRIL 19, 2021 81</w:t>
      </w:r>
    </w:p>
    <w:p>
      <w:r>
        <w:t>iv) "25% discount + another 25% on the entire collection" during the period September 3 - 27, 2020.</w:t>
      </w:r>
    </w:p>
    <w:p>
      <w:r>
        <w:t>4. At the start of the investigation and the objective extension of the communication initiating the procedure, it was hypothesized that the aforementioned advertising campaigns could be misleading and/or omissive pursuant to Articles 20, 21, paragraph 1, letters b) and d), 22, paragraph 2, and 23, paragraph 1, letter g), of the Consumer Code, with reference to the characteristics of the offer, the extent of the promotions to the entire collection, the amount of the promised discounts and the price of the products sold, the temporal duration of the promotions, and the actual truthfulness of the time-limited offers.</w:t>
      </w:r>
    </w:p>
    <w:p>
      <w:r>
        <w:t>III. THE FINDINGS OF THE PROCEDURE</w:t>
      </w:r>
    </w:p>
    <w:p>
      <w:r>
        <w:t>1) The procedure's process</w:t>
      </w:r>
    </w:p>
    <w:p>
      <w:r>
        <w:t>5. Based on the reports received by the Authority and some information acquired ex officio for the application of the Consumer Code, on July 14, 2020, the investigation procedure PS11785 was initiated against the company Poltronesofà S.p.A. to verify the existence of an alleged unfair commercial practice, in violation of Articles 20, 21, paragraph 1, letters b) and d), 22, paragraph 2, and 23, letter g), of the Consumer Code, with reference to the promotions "double sales double savings - 50% discount + up to 40% on the entire collection + 48 months interest-free", "2,500 sofas for only 99 euros" and "We overvalue your sofa up to 1,500 euros".</w:t>
      </w:r>
    </w:p>
    <w:p>
      <w:r>
        <w:t>6. On July 23, 2020, inspections were carried out at the company Poltronesofà S.p.A., as well as at the retail outlets under the "Poltronesofà" brand of the companies Fratelli Fidanza S.r.l. and G.A.L.O. Decor S.r.l. located respectively in Montesilvano (PE) and Frosinone.</w:t>
      </w:r>
    </w:p>
    <w:p>
      <w:r>
        <w:t>7. On September 4, 2020, the professional submitted a proposal for commitments, pursuant to Article 27, paragraph 7, of the Consumer Code, aimed at removing the profiles of unfairness of the contested conduct. The commitments were rejected by the Authority in its meeting on November 3, 2020, and on November 11, 2020, communication was given to the professional.</w:t>
      </w:r>
    </w:p>
    <w:p>
      <w:r>
        <w:t>8. On November 3, 2020, a sixty-day extension of the deadline for concluding the procedure was ordered, due to specific investigative needs, considering the necessity to examine the findings in the records for the evaluation of the case subject to the procedure and the need to ensure adequate adversarial proceedings for the parties.</w:t>
      </w:r>
    </w:p>
    <w:p>
      <w:r>
        <w:t>9. By act of November 13, 2020, the objective integration of the communication initiating the procedure was communicated to the Parties of the procedure, pursuant to Article 27, paragraph 3, of the Consumer Code, with reference to the conduct of the professional carried out through the promotion "25% discount + another 25% on the entire collection" disseminated in September 2020.</w:t>
      </w:r>
    </w:p>
    <w:p>
      <w:r>
        <w:t>10. On December 14, 2020, the professional submitted a new proposal for commitments, pursuant to Article 27, paragraph 7, of the Consumer Code, subsequently integrated on January 13 and 19, 2021.</w:t>
      </w:r>
    </w:p>
    <w:p>
      <w:r>
        <w:t>11. On January 12, 2021, a sixty-day extension of the deadline for concluding the procedure was ordered, considering the necessity to proceed with the evaluation of the commitments presented by the Professional and the need to ensure adequate adversarial proceedings for the Parties.</w:t>
      </w:r>
    </w:p>
    <w:p>
      <w:r>
        <w:t>12. The commitments last presented were rejected by the Authority in its meeting on February 2, 2021, and on February 5, 2021, communication was given to the professional.</w:t>
      </w:r>
    </w:p>
    <w:p>
      <w:r>
        <w:t>82 BULLETIN NO. 16 OF APRIL 19, 2021</w:t>
      </w:r>
    </w:p>
    <w:p>
      <w:r>
        <w:t>13. Poltronesofà provided information and submitted defense briefs on September 11 and December 7, 2020.</w:t>
      </w:r>
    </w:p>
    <w:p>
      <w:r>
        <w:t>14. The consumer association U.Di.Con. - Union for the Defense of Consumers - submitted briefs during the procedure on September 9, November 23, 2020, and February 24, 2021.</w:t>
      </w:r>
    </w:p>
    <w:p>
      <w:r>
        <w:t>15. Poltronesofà had access to the records of the procedure and extracted copies of the documents acquired in the file on August 6, 2020, November 23, 2020, and February 19, 2021. The company was also heard in hearings on November 20, 2020, December 29, 2020, and March 3, 2021.</w:t>
      </w:r>
    </w:p>
    <w:p>
      <w:r>
        <w:t>16. On February 11, 2021, the date of conclusion of the investigative phase was communicated to the Parties of the procedure pursuant to Article 16, paragraph 1, of the Regulation on investigative procedures.</w:t>
      </w:r>
    </w:p>
    <w:p>
      <w:r>
        <w:t>17. On March 3, 2021, the final brief of the company Poltronesofà was received, pursuant to Article 16, paragraph 1, of the Regulation on investigative procedures.</w:t>
      </w:r>
    </w:p>
    <w:p>
      <w:r>
        <w:t>18. On March 4, 2021, the opinion was requested from the Authority for Guarantees in Communications.</w:t>
      </w:r>
    </w:p>
    <w:p>
      <w:r>
        <w:t>2) The evidence acquired</w:t>
      </w:r>
    </w:p>
    <w:p>
      <w:r>
        <w:t>19. Based on the elements in the records, it emerged that the professional disseminated during 2020, through television and radio spots and through its website (www.poltronesofa.com), the advertising campaigns referred to in point II of this provision. In particular, the television spots for the four campaigns were broadcast during the promotional period on all major Italian television networks. The campaign "25% discount + another 25% on the entire collection" was disseminated, in addition to the television medium, also on the main Italian radio networks.</w:t>
      </w:r>
    </w:p>
    <w:p>
      <w:r>
        <w:t>i) The promotion "double sales double savings - 50% discount + up to 40% on the entire collection + 48 months interest-free"</w:t>
      </w:r>
    </w:p>
    <w:p>
      <w:r>
        <w:t>20. Regarding the promotion "double sales double savings - 50% discount + up to 40% on the entire collection + 48 months interest-free", the advertising spots broadcast during the dissemination period highlighted, with prominent captions (see figure 1 and figure 2, taken from a television spot broadcast on the La7 network) and through the voice-over, the main claim, namely the promised percentage of discount and the interest-free financing.</w:t>
      </w:r>
    </w:p>
    <w:p>
      <w:r>
        <w:t>21. However, one complainant reported that, upon visiting a retail outlet, the discount on the chosen sofa was only 30%, plus an additional 5%, quite different from the advertised 50% + up to 40% on the entire collection. Similar complaints from consumers regarding the application of discounts lower than those advertised were also acquired during the inspections. From the elements acquired during the procedure, it emerged that the actual sales conditions limited the application of the advertised discount percentages only to a portion of the sofas in the catalog and only in the composition and with the upholstery displayed in the store.</w:t>
      </w:r>
    </w:p>
    <w:p>
      <w:r>
        <w:t>22. Furthermore, from the evidence collected, it appears that, within the promotion "double sales double savings", the expiration of the offer "48 months interest-free", initially set for February 9, 2020 (as indicated in the messages broadcast during the period January 4 - January 12, 2020), was anticipated to January 19: the messages disseminated from January 15 to January 19, 2020, advertised, through the wording on a red background "ends Sunday, January 19", that the offer of the financing "48 months interest-free" would expire on Sunday, January 19, 2020.</w:t>
      </w:r>
    </w:p>
    <w:p>
      <w:r>
        <w:t>23. The scheduling of the spots for the promotion "double sales double savings - 50% discount + up to 40% on the entire collection + 48 months interest-free" resumed after a few days, starting from January 28, reintroducing the original expiration of February 9, 2020, for the offer "48 months interest-free". During the period February 3 - 8, 2020, spots were also broadcast that highlighted, with the graphics in overlay and through the voice of the speaker, that the promotion and the financing "48 months interest-free" would end "Sunday, February 9".</w:t>
      </w:r>
    </w:p>
    <w:p>
      <w:r>
        <w:rPr>
          <w:b/>
        </w:rPr>
        <w:t>[Pages 82–84]</w:t>
      </w:r>
    </w:p>
    <w:p>
      <w:r>
        <w:t>84 BULLETIN NO. 16 OF APRIL 19, 2021</w:t>
        <w:br/>
        <w:t>Fig. 2 promotion "double sales double savings – 48 months interest-free"</w:t>
        <w:br/>
        <w:t>ii) The promotion "2,500 sofas for only 99 euros"</w:t>
        <w:br/>
        <w:t>24. With reference to the promotion "2,500 sofas for only 99 euros" (see figure 3), a complainant reported that the price of the sofas on promotion at 99 euros was actually fictitious, as the price of the decorative cushions amounting to 58 euros had to be added to it. Therefore, the price of the sofas on promotion would not have been 99 euros as advertised.</w:t>
        <w:br/>
        <w:t>25. The data acquired during the investigation, however, indicate that the sofas subject to the promotion were sold at 99 euros without any obligation to purchase decorative cushions. The circulars sent by the professional to the sales network confirm the content of the offer, namely the possibility of purchasing the sofa for 99 € without mentioning any obligation to purchase the cushions. This applies both to the sofas displayed in the store and to those that were ordered.</w:t>
        <w:br/>
        <w:t>12 See doc. no. 66 Poltronesofà memorandum, cited in annex 8, and 19.4.36, 19.4.44, 21.2.1, 21.3.13 of the investigation file.</w:t>
      </w:r>
    </w:p>
    <w:p>
      <w:r>
        <w:t>BULLETIN NO. 16 OF APRIL 19, 2021 85</w:t>
        <w:br/>
        <w:t>Fig. 3 promotion "2,500 sofas for only 99 euros"</w:t>
        <w:br/>
        <w:t>iii) The promotion "We overvalue your sofa up to 1,500 Euros"</w:t>
        <w:br/>
        <w:t>26. Regarding the promotion "We overvalue your sofa up to 1,500 Euros," disseminated between May 14 and June 15, 2020 (see fig. 4 taken from the website www.poltronesofà.com), the reports received and the complaints acquired during the inspection claim that the sofa was not evaluated by the point of sale, as the price of the sofas displayed in the store already included the reduction due to the promised overvaluation. One complainant also reported that not only was there no evaluation of the used sofa, but that the simple collection of the same would only be carried out for a fee. According to the complainants, the alleged overvaluation of a used sofa was not actually truthful as the price of the sofas on promotion was fixed and not dependent on the presence of a consumer's sofa to be evaluated.</w:t>
        <w:br/>
        <w:t>27. The elements acquired during the proceedings confirmed the complaints made by the complainants. In fact, in the communications from the professional addressed to the sales network, it was specified that the overvaluation was to be understood as a percentage discount (with a maximum benefit "up to 1,500 Euros") already calculated and indicated in the price shown on the tag and guaranteed to all customers, regardless of the evaluation of any used item. The promotion did not provide for the collection of the used sofa, which could be requested for a fee by the interested consumer.</w:t>
        <w:br/>
        <w:t>Fig. 4 promotion "We overvalue your sofa up to 1,500 Euros"</w:t>
        <w:br/>
        <w:t>iv) The promotion "25% discount + another 25% on the entire collection"</w:t>
        <w:br/>
        <w:t>28. In the promotion "25% discount + another 25% on the entire collection" (see figure 5 taken from a television commercial broadcast by RAI), disseminated during the period September 3-27, 2020, it is emphasized, through the voice of the speaker and the images in overlay, that the promotion extends to "the entire collection." The indication of the extension of the promotion to the entire collection is also present in the commercials broadcast starting from September 7, 2020, in which the claims were added: "great half final price" and "great half price on the entire collection."</w:t>
        <w:br/>
        <w:t>29. Regarding the extension of the promotion to the entire collection referred to in the main claim "25% discount + another 25% on the entire collection," the evidence collected during the proceedings has established that it, contrary to what was indicated in the messages, did not concern "the entire collection" of sofas for sale at the network of stores. In particular, according to the indications from the professional, only the Poltronesofà collection was included in the promotion, while the Special and Maestro collections were excluded.</w:t>
        <w:br/>
        <w:t>18 In this sense, the statements acquired in the minutes from the staff and managers of the stores subjected to inspection confirm this, see doc. no. 23.4 and 25 of the investigation file.</w:t>
        <w:br/>
        <w:t>19 Television and radio commercials broadcast on RAI channels in September 2020, see doc. no. 83 of the investigation file.</w:t>
        <w:br/>
        <w:t>20 See doc. no. 102 of the investigation file, Memorandum of the company Poltronesofà, cited p. 3.</w:t>
      </w:r>
    </w:p>
    <w:p>
      <w:r>
        <w:rPr>
          <w:b/>
        </w:rPr>
        <w:t>[Pages 85–87]</w:t>
      </w:r>
    </w:p>
    <w:p>
      <w:r>
        <w:t>BULLETIN NO. 16 OF APRIL 19, 2021 87</w:t>
      </w:r>
    </w:p>
    <w:p>
      <w:r>
        <w:t xml:space="preserve">30. From the elements acquired, it also emerged that approximately [0–20%]* of the sofas to which the promotion was applied benefited from a discount on the list price ranging from 43% to 50%21. The remaining [50–100%] was sold with a discount equal to or greater than 50%.  </w:t>
        <w:br/>
        <w:t>Fig. 5: promotion “25% discount + another 25% on the entire collection”.</w:t>
      </w:r>
    </w:p>
    <w:p>
      <w:r>
        <w:t>31. Finally, cyclically, during the validity period of the promotion (about one month), statements such as “what are you waiting for, there’s only time until Sunday,” “what are you waiting for, there’s only time until tomorrow”22 were reiterated, implying to consumers that the offer was available only for a limited time, expiring on the Sunday of the current week.</w:t>
      </w:r>
    </w:p>
    <w:p>
      <w:r>
        <w:t xml:space="preserve">32. Within the spots, different sofas on offer were shown each week, indicating the name and price, described by the voiceover of the speaker with statements such as: “you only have until Sunday [tomorrow] to treat yourself to a sofa that becomes a real bed” or “you only have until Sunday [tomorrow] to treat yourself to a sofa with a corner chaise,” without reference to the name of the specific sofa shown. At the end of the spot, the claim “what are you waiting for, there’s only time until Sunday,” “what are you waiting for, there’s only time until tomorrow,” was reiterated with great emphasis, without references to specific sofa models.  </w:t>
        <w:br/>
        <w:t>Fig. 6: promotion “great half price on the entire collection”.</w:t>
      </w:r>
    </w:p>
    <w:p>
      <w:r>
        <w:t>33. The radio spots, lasting about thirty seconds, were broadcast on the main national radio stations. They recalled the main claim of the promotion “25% discount + another 25% on the entire collection,” and stated: “treat yourself to a sofa that becomes a real bed” or “one with a sliding bed and storage chaise,” emphasizing at the end of the spot the claim “but only until Sunday”23.</w:t>
      </w:r>
    </w:p>
    <w:p>
      <w:r>
        <w:t>3) The defensive arguments of the Professional</w:t>
      </w:r>
    </w:p>
    <w:p>
      <w:r>
        <w:t>34. With briefs received on September 11, 2020, December 7, 2020, and March 3, 202124, the professional asserted the correctness of their promotional campaigns and in any case the impossibility of configuring cases of unlawful communication or behavior, as well as the circumstance of never having caused any damage to their customers.</w:t>
      </w:r>
    </w:p>
    <w:p>
      <w:r>
        <w:t xml:space="preserve">35. The company highlighted that the number of reports received from the Authority is extremely limited and physiological in relation to the total annual customers of the professional. Moreover, these reports, in the majority of cases, would be untrue, as the subject of the complaint would concern practices not implemented by the company, unreliable, as they were drafted by individuals who did not visit the sales points, as well as irrelevant because they relate to advertising messages and/or commercial practices that not only did not cause any damage to the consumer, but  </w:t>
        <w:br/>
        <w:t xml:space="preserve">23 Cf. doc. n. 83 of the investigation file, cited.  </w:t>
        <w:br/>
        <w:t>24 Cf. doc. n. 66, 102, and 156 of the investigation file.</w:t>
      </w:r>
    </w:p>
    <w:p>
      <w:r>
        <w:t xml:space="preserve">BULLETIN NO. 16 OF APRIL 19, 2021 89  </w:t>
        <w:br/>
        <w:t>also rewarded, with discounts, individuals who did not possess the requirements that could potentially be interpreted as essential from the reading of the advertising promise.</w:t>
      </w:r>
    </w:p>
    <w:p>
      <w:r>
        <w:t>36. The professional also emphasizes that the success of the company is linked to the attention it pays to the satisfaction of its customers and the very high degree of customer loyalty would represent proof of their satisfaction, as well as an important recognition of its seriousness.</w:t>
      </w:r>
    </w:p>
    <w:p>
      <w:r>
        <w:t>The promotion “double sales double savings – 50% discount + up to 40% on the entire collection + 48 months interest-free”</w:t>
      </w:r>
    </w:p>
    <w:p>
      <w:r>
        <w:t>37. According to the professional, the promotion “double sales” should be traced back to a well-known case for consumers, that of sales, typified by the legislator as “end-of-season sales,” pursuant to Article 15 of Legislative Decree No. 114 of March 31, 1998. The consumer would be well aware that during the sales they will not find the entire assortment of goods present at the beginning of the season in the store, so they will find only a few models, only some colors and/or compositions, in addition to products excluded from the sales, sold at full price.</w:t>
      </w:r>
    </w:p>
    <w:p>
      <w:r>
        <w:t>38. It would therefore be evident to the consumer, even the less experienced, that by going to the store they will find the “Double Sales” applied to the sofas of the Poltronesofà collection present there, in the available composition, covering, and color.</w:t>
      </w:r>
    </w:p>
    <w:p>
      <w:r>
        <w:t>39. Poltronesofà, in advertising its “Double Sales,” would have highlighted, in absolute transparency and good faith, the limitation of the sales to only the “pieces” of the collection present in the store in the super of its television advertisements. In particular, it was specified that reference is made to “offers valid on the model in the version and covering as displayed,” and to “availability to be verified in-store,” referring for any further information to the sales points (“Discover details and conditions in-store”).</w:t>
      </w:r>
    </w:p>
    <w:p>
      <w:r>
        <w:t>40. The professional also emphasizes that they provided the Authority with sales records25, from which it would be possible to verify how the sofas highlighted in advertising were sold with the promised discounts, always exceeding 50%.</w:t>
      </w:r>
    </w:p>
    <w:p>
      <w:r>
        <w:t>41. The professional further emphasizes that they have been subject in recent years to two pre-investigative checks, related to reports concerning also the “double sales” promotions at the time conveyed, which in their opinion had content entirely similar to that of the promotion subject to this provision, which, however, concluded with the archiving of the same. In this sense, the professional emphasizes how their behavior should be considered compliant with the standards of correctness and good faith and that the company, in light of the previous archiving, fully relied on the legality of its conduct, already validated by the Authority's examination.</w:t>
      </w:r>
    </w:p>
    <w:p>
      <w:r>
        <w:t xml:space="preserve">42. Regarding the duration of the financing “48 months interest-free,” Poltronesofà promptly communicated to consumers the changes regarding the expiration of the financing, not due to its own determination in this regard, but following communications received from the partner financial company. According to the professional, the anticipation of the expiration could not have caused an undue effect of attracting customers to Poltronesofà stores, considering that the element that changed is a mere detail of a  </w:t>
        <w:br/>
        <w:t>25 Cf. doc. n. 66 annexes 3a and 3b of the investigation file.</w:t>
      </w:r>
    </w:p>
    <w:p>
      <w:r>
        <w:rPr>
          <w:b/>
        </w:rPr>
        <w:t>[Pages 88–90]</w:t>
      </w:r>
    </w:p>
    <w:p>
      <w:r>
        <w:t>90 BULLETIN NO. 16 OF APRIL 19, 2021</w:t>
      </w:r>
    </w:p>
    <w:p>
      <w:r>
        <w:t>promotion that is much broader, of which the central element is certainly not the duration (longer or shorter) of the interest-free financing, but rather the attractive percentage discount applied.</w:t>
      </w:r>
    </w:p>
    <w:p>
      <w:r>
        <w:t>43. In any case, the professional emphasizes that the anticipation of the deadline for this offer did not stimulate consumer purchases. In fact, it appears that orders with financing in the week up to January 19, 2020, had a similar percentage impact on total orders compared to the two previous weeks.</w:t>
      </w:r>
    </w:p>
    <w:p>
      <w:r>
        <w:t>44. Finally, the professional, while considering the term "Sales" already self-explanatory of the scope of the offer and having already included a clear legal note in the advertisement, immediately added in the advertising of the "Double Sales," for mere spirit of collaboration with the Authority, the further specification "on all sofas in store."</w:t>
      </w:r>
    </w:p>
    <w:p>
      <w:r>
        <w:t>The promotion "2,500 sofas for only 99 euros"</w:t>
      </w:r>
    </w:p>
    <w:p>
      <w:r>
        <w:t>45. The advertisement conveyed by the professional highlighted that the only item subject to the promotion was the Baggero sofa, sold for 99 euros, with a total availability of 2,500 pieces. The legal note, supplementing the main claim, clarified that the decorative cushions were not included in the price and, therefore, if the consumer wanted them, they would have to pay separately.</w:t>
      </w:r>
    </w:p>
    <w:p>
      <w:r>
        <w:t>46. Poltronesofà has demonstrated that, far from being fictitious, the promise to sell 2,500 sofas at 99 euros was truthful. In fact, Poltronesofà emphasizes that the vast majority of the sofas subject to the promotion were sold at 99 euros without the obligation to purchase decorative cushions.</w:t>
      </w:r>
    </w:p>
    <w:p>
      <w:r>
        <w:t>47. Poltronesofà also emphasizes that none of the circulars sent to the sales network concerning the promotion indicated such a constraint and that, in any case, it was always possible for all consumers to purchase the sofa without cushions, as an alternative to the sofa with the cushions on display.</w:t>
      </w:r>
    </w:p>
    <w:p>
      <w:r>
        <w:t>48. Even in this case, the professional, while convinced of the correctness of his behavior, modified his communications by specifying, outside the legal note, also the wording "cushions not included."</w:t>
      </w:r>
    </w:p>
    <w:p>
      <w:r>
        <w:t>The promotion "We value your sofa up to 1,500 euros"</w:t>
      </w:r>
    </w:p>
    <w:p>
      <w:r>
        <w:t>49. Poltronesofà emphasizes that it never referred in its promotional communication to a used sofa in the consumer's possession and did not promise an evaluation or even a pickup, let alone for free. Instead, it was promised to the consumer (whether they owned a used sofa or not) that they could benefit from a "super" evaluation, that is, a discount from the list price that could reach a maximum amount of 1,500 euros and could benefit from free delivery of the new sofa.</w:t>
      </w:r>
    </w:p>
    <w:p>
      <w:r>
        <w:t>50. According to the professional, the reporting consumers arbitrarily correlated the use of the verb "we value" with the used item, which was never mentioned by Poltronesofà in its advertising. This would presumably be due to the fact that consumers tend to associate the concept of overvaluation with promotions usually planned in the automotive sector, where used items can be economically evaluated for their withdrawal from the producer's distribution network, as there is a secondary market for used cars, which does not happen in the furniture sector.</w:t>
      </w:r>
    </w:p>
    <w:p>
      <w:r>
        <w:t>51. Moreover, the company highlights that such terminology is widely used in the furniture sector by other competitors in their communication and sales strategies. According to the professional, the advertising messages of competitors, while using the term overvaluation, refer to discounts and not to the withdrawal of used items.</w:t>
      </w:r>
    </w:p>
    <w:p>
      <w:r>
        <w:t>52. To consumers who indicated at the point of sale the need to arrange for the pickup of the used sofa in their possession, Poltronesofà offered this possibility through an external logistics service.</w:t>
      </w:r>
    </w:p>
    <w:p>
      <w:r>
        <w:t>53. Poltronesofà also emphasizes that there is no harm in the contested conduct and no prejudice to consumers, as the economic advantage linked to the promotion was recognized to a broader audience than what the reporters had hypothesized, incorrectly decoding the advertising promise (reserved for only those who owned a used sofa), with a greater advantage for all (whether they owned a used sofa or not) and without prejudice to anyone.</w:t>
      </w:r>
    </w:p>
    <w:p>
      <w:r>
        <w:t>54. Finally, with the spirit of collaboration that has always characterized the professional's relationship with the Authority, Poltronesofà deemed it appropriate to suspend and revoke any new planning of this promotion, without acknowledging the validity of the complaints made by the Authority.</w:t>
      </w:r>
    </w:p>
    <w:p>
      <w:r>
        <w:t>The promotion "25% discount + another 25% on the entire collection"</w:t>
      </w:r>
    </w:p>
    <w:p>
      <w:r>
        <w:t>55. According to the professional, the communication regarding this promotion clearly and understandably highlights which models in the catalog are subject to promotion and what discount is applied.</w:t>
      </w:r>
    </w:p>
    <w:p>
      <w:r>
        <w:t>56. The percentage discount is clearly highlighted in the advertisement conveyed from September 3, 2020: "25% discount plus another 25%," that is, a percentage equal to 43.75% of the list price. After September 7, 2020, the communication also referred, in addition to the above claim, to the message "great half final price" and "great half price on the entire collection."</w:t>
      </w:r>
    </w:p>
    <w:p>
      <w:r>
        <w:t>57. In the communication of the closure of the investigation phase, the Authority contests the reiteration of the claim "only until Sunday" even for intermediate deadlines that would then have been extended, thus denying the truthfulness of the announcement. According to the professional, this conclusion would not be correct, as the viewing of the advertisements would allow distinguishing the intermediate deadlines, which concern, from time to time, the individual sofas represented in the individual advertisements, from the overall deadline of the promotion, set for September 27, 2020. In fact, the advertisements would inform consumers that there is time until September 13, 2020, to purchase the Cortogno, Dogaro, and Ruffino sofas, until September 20, 2020, to purchase the Camurana, Levizzano, and Bogeto sofas, and until September 27, 2020, to purchase the Minozzo, Miramare, Pievesestina sofas, under the favorable conditions indicated. The deadline for the promotion "25% discount + another 25% discount on the entire collection," also specified in the same advertisements, is September 27, 2020, never subject to extension. In the TV advertisements, the different deadlines for the general promotion and for the individual sofas would be highlighted by the voiceover and specified in the respective super.</w:t>
      </w:r>
    </w:p>
    <w:p>
      <w:r>
        <w:t>58. With reference to the promised percentage discount, in the first phase of the promotion, from September 3 to 6, 2020, Poltronesofà guaranteed everyone a discount percentage of 43.75%, in line with the conveyed promise. In the second phase of the promotion, after September 7, 2020, Poltronesofà guaranteed consumers who benefited from the promotion a discount percentage exceeding 50% of the list price. Poltronesofà emphasizes that it has sent documentation proving that the benefit for consumers resulting from the discounts applied during the period on the models of the Poltronesofà Collection was greater than what was promised in the advertisements. This overall advantage granted to consumers would continue to exist even if the overall calculation included the sofas from the Maestro Collection, which were excluded from the promotion.</w:t>
      </w:r>
    </w:p>
    <w:p>
      <w:r>
        <w:t>59. Finally, even in this last case, the professional deemed it appropriate to suspend and revoke any new planning of this promotion, without acknowledging the validity of the complaints made by the Authority and while considering his conduct fully compliant with the Consumer Code.</w:t>
      </w:r>
    </w:p>
    <w:p>
      <w:r>
        <w:t>4) The statements of the consumer association U.Di.Con. - Union for the Defense of Consumers</w:t>
      </w:r>
    </w:p>
    <w:p>
      <w:r>
        <w:t>60. The U.Di.Con. association, while sharing the complaints and assessments made by the Authority, reiterated the unfairness of the conduct subject to the proceeding. According to the association, several examples emerged from the investigation in which the advertising message appears incongruous, if not contradictory, with respect to the discounts actually applied by the professional. The promotions subject to the measure exhibited elements of criticality regarding essential information for the correct evaluation of a promotion by the average consumer, such as: the extent of the discounts, the scope of application, the validity period of the offer.</w:t>
      </w:r>
    </w:p>
    <w:p>
      <w:r>
        <w:t>61. It follows that the content of the advertising messages disseminated by the professional is, in fact, inadequate to convey to the average consumer the real extent of the discounts applied. Moreover, from what emerged in the investigation, the association observes that the warnings from the professional regarding the extent of the promotions (where detected) have assumed little visibility. On the contrary, the warnings were conveyed in a recessive manner compared to the promotional claims subject to the proceeding, to the point of being substantially imperceptible to the average consumer and for the related decision-making process.</w:t>
      </w:r>
    </w:p>
    <w:p>
      <w:r>
        <w:t>62. According to the association, the advertising messages in question are characterized by conveying "sensationalistic" information, aimed at glorifying the professional's offer. The claims used are suitable for capturing the consumer's attention, "hooking" them and inducing them to visit the points of sale. Finally, what emerged in the investigation concerning the rapid repositioning of the deadline for the offers appears relevant. According to the association, this practice is likely to hasten - and thus distort - the normal economic behavior of the consumer.</w:t>
      </w:r>
    </w:p>
    <w:p>
      <w:r>
        <w:rPr>
          <w:b/>
        </w:rPr>
        <w:t>[Pages 91–93]</w:t>
      </w:r>
    </w:p>
    <w:p>
      <w:r>
        <w:t>BULLETIN NO. 16 OF APRIL 19, 2021 93</w:t>
      </w:r>
    </w:p>
    <w:p>
      <w:r>
        <w:t>IV. OPINION OF THE AUTHORITY FOR GUARANTEES IN COMMUNICATIONS</w:t>
      </w:r>
    </w:p>
    <w:p>
      <w:r>
        <w:t>63. Since the commercial practice subject to this provision was disseminated through television, radio, and the internet, on March 4, 2021, the opinion was requested from the Authority for Guarantees in Communications, pursuant to Article 27, paragraph 6, of the Consumer Code.</w:t>
      </w:r>
    </w:p>
    <w:p>
      <w:r>
        <w:t>64. In an opinion received on April 1, 2021, the aforementioned Authority expressed its opinion, considering that television, radio, and the internet are suitable tools for significantly influencing the implementation of the commercial practice under examination. This is because television and radio are means with a strong informational value, both for the frequency of access and for the perceived importance and reliability, and that television, due to the persuasive and reassuring nature of the language used, composed of visual and auditory inputs, is particularly effective from an advertising perspective. Furthermore, the internet has assumed an increasingly significant value for citizens in the purchase of goods and services.</w:t>
      </w:r>
    </w:p>
    <w:p>
      <w:r>
        <w:t>V. CONCLUDING ASSESSMENTS</w:t>
      </w:r>
    </w:p>
    <w:p>
      <w:r>
        <w:t>65. With regard to the objection raised by the professional concerning the violation of the alleged legitimate reliance generated by the outcome of previous pre-investigation checks by the Authority, it is worth clarifying that such a hypothesis, in line with the constant jurisprudence, both Italian and European, can only be configured where “precise, unconditional, consistent reassurances from authorized and reliable sources of the administration” have been provided to the interested party and that these “have been suitable to generate reasonable expectations in the subject to whom they were addressed and that are compliant with the applicable regulations.”</w:t>
      </w:r>
    </w:p>
    <w:p>
      <w:r>
        <w:t>66. On the merits, it should be noted that this provision pertains to the advertising campaigns “double sales double savings – 50% discount + up to 40% on the entire collection + 48 months interest-free,” disseminated during the period January 4 - February 9, 2020, and to the promotions “2,500 sofas for only 99 euros,” “We overvalue your sofa up to 1,500 euros,” and “25% discount + another 25% on the entire collection.”</w:t>
      </w:r>
    </w:p>
    <w:p>
      <w:r>
        <w:t>67. Furthermore, with reference to the campaign “double sales double savings,” mentioned above, the profiles subject to evaluation also concern the actual application of the promotion “on the entire collection” and the expiration of the financing “48 months interest-free.”</w:t>
      </w:r>
    </w:p>
    <w:p>
      <w:r>
        <w:t>68. Therefore, the conduct mentioned above relates to the dissemination of misleading messages directed at the average consumer regarding the characteristics of the aforementioned promotions, suitable to induce the purchase of the advertised products.</w:t>
      </w:r>
    </w:p>
    <w:p>
      <w:r>
        <w:t>69. These are evidently distinct practices from those underlying the pre-investigation checks that previously led to the dismissal rulings invoked by the Party in its defense writings.</w:t>
      </w:r>
    </w:p>
    <w:p>
      <w:r>
        <w:t>70. By way of example, one can refer to a previous case that concluded with a dismissal ruling by the Authority which, although related to the promotion “Double sales Double savings,” concerned the distinct profile of the failure to apply a promotion whose advertising was disseminated in a manner unsuitable to mislead the consumer regarding its characteristics. The reporting consumer, in fact, complained solely about the failure to apply a promotion that had already ended.</w:t>
      </w:r>
    </w:p>
    <w:p>
      <w:r>
        <w:t>71. On this point, the professional had provided sufficient elements to suggest that the promised discount had not been applied to the reporting party, as the purchase was made during a period different from that of the promotion's validity.</w:t>
      </w:r>
    </w:p>
    <w:p>
      <w:r>
        <w:t>72. In light of the above, given the diversity of the conduct that emerged based on the acquired elements, the dismissal measures previously taken by the Authority are not such as to consider them as “precise, unconditional, and consistent reassurances,” suitable to generate a legitimate reliance in the professional and thus to eliminate the unlawfulness of the commercial practice contested in this instance.</w:t>
      </w:r>
    </w:p>
    <w:p>
      <w:r>
        <w:t>73. The advertising campaigns subject to evaluation in this provision were widely disseminated throughout the national territory through the use of the main national television and radio broadcasters, as well as the internet, and were aimed at informing consumers of the fact that the professional was offering for sale armchairs and sofas with discounts and a particularly advantageous price for limited periods of time.</w:t>
      </w:r>
    </w:p>
    <w:p>
      <w:r>
        <w:t>74. That said, the conducts referred to in point II, letters i), iii), and iv), of this provision, constitute a violation of Articles 20, 21, paragraph 1, letters b) and d), 22, paragraph 2, and 23, paragraph 1, letter g), of the Consumer Code, as they are contrary to professional diligence and suitable to appreciably distort the economic behavior of consumers.</w:t>
      </w:r>
    </w:p>
    <w:p>
      <w:r>
        <w:t>75. In particular, the promotion i) “double sales double savings – 50% discount + up to 40% on the entire collection + 48 months interest-free” is misleading from a dual perspective. Firstly, the claim “on the entire collection” appears reasonably decodable in the sense that the promised discount percentage would be applied to all sofas in the catalog, and in this sense, it was understood by consumers, as evidenced by the reports acquired. Conversely, the elements in the records revealed that the actual sales conditions limited the application of the advertised discount percentages only to a part of the sofas in the catalog and moreover only in the composition and with the upholstery displayed in the store: the consumer was informed of this only when present at the point of sale.</w:t>
      </w:r>
    </w:p>
    <w:p>
      <w:r>
        <w:t>76. The professional in his defense argued that the promotion “double sales” should be referred to the case of sales, which, notoriously for consumers, does not require the presence in the store of the entire assortment of goods.</w:t>
      </w:r>
    </w:p>
    <w:p>
      <w:r>
        <w:t>77. However, this defensive argument misses the point: regardless of the consumer's experience regarding sales, the discount promised by the promotion is clearly indicated as applicable to “the entire collection,” and not only, therefore, to some models present in the store.</w:t>
      </w:r>
    </w:p>
    <w:p>
      <w:r>
        <w:t>78. The fact that the flyer at the bottom of the ads stated “offers valid on the model in the version and upholstery as displayed,” as well as the indication “availability to be checked in-store,” referring for any further information to the points of sale, is not sufficient to fully and effectively inform consumers about the existence of any conditions or limitations applicable at the point of sale: in fact, the text appeared in very small print, difficult to read, and for a limited period of time.</w:t>
      </w:r>
    </w:p>
    <w:p>
      <w:r>
        <w:t>79. The fact that the consumer may acquire more information at the time of subsequent purchase at the points of sale – as clarified several times by jurisprudence – cannot compensate for the informational omissions of the advertising message, which is misleading “not only when it induces the consumer to purchase the advertised goods, but also, more generally, when, due to a false conviction, the consumer is inclined to purchase and thus to engage with the professional.” Furthermore, the fact that the claim was suitable to provoke a “consumer hook” effect renders irrelevant the fact that the latter then has further deliberation space regarding the convenience or otherwise of the deal.</w:t>
      </w:r>
    </w:p>
    <w:p>
      <w:r>
        <w:t>80. The professional, following the initiation of the procedure, modified the claim of the promotion “double sales double savings” by replacing “on the entire collection” with the clearer indication “on all sofas in the store.”</w:t>
      </w:r>
    </w:p>
    <w:p>
      <w:r>
        <w:t>81. Secondly, the professional disseminated messages in which the offer “48 months interest-free” was initially promoted with an expiration date of February 9, 2020. Subsequently, the professional anticipated the expiration to January 19, 2020, only to present it again with the original expiration date of February 9.</w:t>
      </w:r>
    </w:p>
    <w:p>
      <w:r>
        <w:t>82. Such conduct is likely to generate in consumers the erroneous belief that it was necessary to hurry to purchase due to the upcoming expiration of the offer, thus depriving them of the necessary time to make an informed decision. For the consumer, in fact, the expiration date of a promotion is a crucial element, from which they deduce that the favorable offer will have a limited duration. The professional thus induced consumers to believe that in order to benefit from the advertised discounts, it was necessary to proceed with the purchase of the products within a limited time, compelling them to an unconsidered commercial choice and thus realizing that typical effect of misleading “hook” that directs consumers towards the professional's commercial proposals.</w:t>
      </w:r>
    </w:p>
    <w:p>
      <w:r>
        <w:rPr>
          <w:b/>
        </w:rPr>
        <w:t>[Pages 94–96]</w:t>
      </w:r>
    </w:p>
    <w:p>
      <w:r>
        <w:t>96 BULLETIN NO. 16 OF APRIL 19, 2021</w:t>
      </w:r>
    </w:p>
    <w:p>
      <w:r>
        <w:t>83. Regarding the promotion iii) "We overvalue your sofa up to 1,500 Euros," the related advertisement can unequivocally be decoded to mean that by purchasing a new sofa, one can benefit from a tailored discount, represented by a generous valuation ("we overvalue ... up to 1,500 euros") of a sofa already owned by the consumer ("your sofa"). This representation is capable of creating a particularly attractive "hook effect."</w:t>
      </w:r>
    </w:p>
    <w:p>
      <w:r>
        <w:t>84. Conversely, the promotion consisted of a fixed percentage discount (up to a maximum amount of 1,500 euros) already included in the selling price indicated on the tag; this discount was guaranteed to all interested consumers, regardless of the valuation of the used sofa.</w:t>
      </w:r>
    </w:p>
    <w:p>
      <w:r>
        <w:t>85. This circumstance, made known to the consumer only at the points of sale of the professional, renders the message misleading regarding the content of the promotion (which was a simple discount, not linked to the valuation of a used sofa) and the conditions for accessing it (the possession of a used sofa).</w:t>
      </w:r>
    </w:p>
    <w:p>
      <w:r>
        <w:t>86. The promotion iv) "25% discount + another 25% on the entire collection" is misleading with reference to the amount of the promised discount, the actual applicability of the discount to "the entire collection," as well as the advertised expiration of the promotion. Firstly, the manner in which the price reduction is represented appears not easily understandable for the average consumer, and the simple addition suggested by the graphic "25% + 25%" and the claim "great half final price" imply that the offered discount is equal to 50% of the list price. In reality, although a considerable percentage of consumers may have enjoyed discounts of at least 50% during the promotion period, a minority of customers benefited from a discount on the list price of less than 50%.</w:t>
      </w:r>
    </w:p>
    <w:p>
      <w:r>
        <w:t>87. It has also emerged that the promotion, contrary to what was suggested by the messages of the professional, did not concern "the entire collection" for sale at the network of stores, but only the sofas from the Poltronesofà collection: the Special and Maestro collections were instead excluded. No type of warning regarding the limitations of the promotion, whose claim boasted "on the entire collection," was provided to consumers with equal graphic prominence. Therefore, these consumers only became aware of the limitation by visiting the point of sale.</w:t>
      </w:r>
    </w:p>
    <w:p>
      <w:r>
        <w:t>88. Finally, the reiteration, during the validity period of the promotion, of statements such as "what are you waiting for, there's only time until Sunday," "what are you waiting for, there's only time until tomorrow," appears capable of generating in consumers the erroneous belief that it is necessary to hurry in making a purchase due to the upcoming expiration of the promotion. This deprived the consumer of the necessary time to make an informed decision.</w:t>
      </w:r>
    </w:p>
    <w:p>
      <w:r>
        <w:t>89. On this point, the exception raised by the professional regarding the circumstance that the advertisements, during the weeks of validity of the main promotion, featured always different sofas and, therefore, would be different promotions not qualifying as replicas of one another, is unfounded.</w:t>
      </w:r>
    </w:p>
    <w:p>
      <w:r>
        <w:t>90. In this regard, it is noted that, during the advertisements, after the presentation of the main claims "25% discount + another 25% on the entire collection" and "great half final price," some sofas are displayed, with the indication of the name and price (for example, Cortogno, Dogaro, and Ruffino in the week from September 13-20, 2020), introduced by the following presentation of the speaker who reiterates the upcoming expiration of the promotion: "you only have until Sunday [tomorrow] to treat yourself to a sofa that becomes a real bed..., or with corner peninsula... etc." The names of the sofas are not mentioned by the speaker. At the end of the advertisement, the claim "what are you waiting for, there's only time until Sunday," "what are you waiting for, there's only time until tomorrow" is reiterated with great prominence.</w:t>
      </w:r>
    </w:p>
    <w:p>
      <w:r>
        <w:t>91. The Authority notes that the structure of the television and radio advertisements, as well as their short duration, makes it difficult for recipients to understand that the expiring promotions refer only to some specific sofas proposed during the advertisements and not to the more general promotion "25% discount + another 25% on the entire collection." The recipients of the messages simply perceive that all products for sale are on promotion for a limited time, and therefore, the indications regarding the upcoming expiration of the promotion appear reasonably referable to the main claim of the same.</w:t>
      </w:r>
    </w:p>
    <w:p>
      <w:r>
        <w:t>92. Furthermore, it should be highlighted that the warning "Check details and conditions in store," present in the flyers at the bottom of the advertisements in very small and difficult-to-read print, for a limited period of time, does not appear suitable, as previously emphasized, to fully inform consumers about the existence of any applicable conditions or limitations at the point of sale.</w:t>
      </w:r>
    </w:p>
    <w:p>
      <w:r>
        <w:t>93. Finally, regarding the professional's arguments about the absence of prejudice to consumers from the contested conduct and the fact that, concerning the promotions "We overvalue your sofa up to 1,500 Euros" and "25% discount + another 25% on the entire collection," the overall benefit granted to consumers would have been greater than promised in the advertisements, it should be emphasized that, according to established case law, unfair commercial practices are configured as danger offenses, where the assessment of unfairness must be conducted solely in light of the violation of the duty of fairness and the potential distortion of consumer economic behavior, regardless of the extent of the economic damage caused or that could occur. In other words, for the configuration of the offense, it is not necessary to analyze the effects produced by the conduct, as it is sufficient that, based on a prognostic judgment, it is deemed capable of potentially impacting consumer choices.</w:t>
      </w:r>
    </w:p>
    <w:p>
      <w:r>
        <w:t>94. In conclusion, the advertising campaigns referred to in point II, letters i), iii), and iv), of this provision are therefore found to be misleading and omissive pursuant to Articles 21, paragraph 1, letters b) and d), 22, paragraph 2, and 23, paragraph 1, letter g), of the Consumer Code, with reference to the characteristics of the offer, the extension of the promotions to the entire collection, the amount of the promised discounts, and the temporal duration of the promotions.</w:t>
      </w:r>
    </w:p>
    <w:p>
      <w:r>
        <w:t>95. Indeed, the messages described in point II, letters i), iii), and iv), appear aimed at "hooking" consumers by presenting particularly advantageous offers for a limited period of time, in order to stimulate or hasten visits to the points of sale, where they would learn about the actual purchase conditions. Therefore, such messages are capable of creating a deceptive impact on the average consumer, who, due to a false conviction about the characteristics of the promotion, is urged to purchase the advertised products and to engage in this way with the professional.</w:t>
      </w:r>
    </w:p>
    <w:p>
      <w:r>
        <w:t>96. The conduct of the professional is also found to be inconsistent with the level of professional diligence reasonably required under Article 20 of the Consumer Code, considering that Poltronesofà is one of the main producers of armchairs and sofas, author of various and multiple commercial campaigns and therefore well aware of the stringent obligations arising from the promises contained in advertisements and their attractive suitability. The professional should have, based on the principles of good faith and fairness, ensured consumers not only complete, exhaustive, and truthful information regarding the actual characteristics of the promotions and their convenience but also correctness in their overall presentation without profiles and elements of ambiguity regarding the extension of the promotions to the entire collection, the amount of the promised discounts, and the temporal duration of the promotions, given that the use of untruthful or omissive elements has the primary purpose of determining an immediate hook of the consumer.</w:t>
      </w:r>
    </w:p>
    <w:p>
      <w:r>
        <w:t>97. Regarding the promotion referred to in point II, letter ii), "2,500 sofas for only 99 euros" of this provision, it is noted that there are not sufficient elements to consider the contested violation integrated.</w:t>
      </w:r>
    </w:p>
    <w:p>
      <w:r>
        <w:t>98. The evidence acquired during the investigation shows that the sofas subject to the promotion were sold at 99 euros, without the obligation to purchase decorative cushions.</w:t>
      </w:r>
    </w:p>
    <w:p>
      <w:r>
        <w:t>VI. QUANTIFICATION OF THE SANCTION</w:t>
      </w:r>
    </w:p>
    <w:p>
      <w:r>
        <w:t>99.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100. That said,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101. With regard to the severity of the violation, account is taken in the case at hand of the importance of the professional who is one of the main operators at the national level in the sector of marketing sofas and armchairs. In 2019, the professional achieved net revenues of approximately 460 million euros, with an operating margin, before depreciation, write-downs, and other provisions, of approximately 73.8 million euros, equal to 16% of the aforementioned revenues. Based on the</w:t>
      </w:r>
    </w:p>
    <w:p>
      <w:r>
        <w:rPr>
          <w:b/>
        </w:rPr>
        <w:t>[Pages 97–99]</w:t>
      </w:r>
    </w:p>
    <w:p>
      <w:r>
        <w:t>BULLETIN NO. 16 OF APRIL 19, 2021 99</w:t>
      </w:r>
    </w:p>
    <w:p>
      <w:r>
        <w:t>Based on the information provided by the professional, the revenues obtained from the sale in the owned stores of the products subject to the unfair promotions amounted to approximately [50-100] million euros, net of VAT. The EBITDA of the professional on such sales is estimated at approximately [5-10] million euros. The value of sales made in affiliated points of sale was instead equal, net of VAT, to approximately [10-50] million euros.</w:t>
      </w:r>
    </w:p>
    <w:p>
      <w:r>
        <w:t>102. Furthermore, consideration is given to the nature of the practice that tends to exploit the leverage of economic convenience as an essential element of advertising campaigns, as well as the multiplicity of means used to convey the messages, as these were disseminated through television and radio, and via the internet, thus through means suitable for reaching a wide audience of consumers. Finally, the conduct of the professional presents multiple profiles of unfairness related to the repetition of three different advertising campaigns disseminated during 2020.</w:t>
      </w:r>
    </w:p>
    <w:p>
      <w:r>
        <w:t>103. Regarding the duration of the violation, from the elements available in the records, it appears that the professional engaged in the conduct referred to in point II, letters i), iii) and iv), of this communication during the following periods: promotion i) "double sales double savings", January 4 - February 9, 2020; promotion iii) "We overvalue your sofa up to 1,500 Euros", May 14 – June 15, 2020; promotion iv) "25% discount + another 25% on the entire collection", September 3 – 27, 2020.</w:t>
      </w:r>
    </w:p>
    <w:p>
      <w:r>
        <w:t>104. Based on these elements, it is deemed appropriate to determine the amount of the administrative pecuniary sanction applicable to Poltronesofà S.p.A. in the amount of 1,000,000 euros.</w:t>
      </w:r>
    </w:p>
    <w:p>
      <w:r>
        <w:t>CONSIDERING, therefore, in accordance with the opinion of the Authority for Guarantees in Communications, based on the aforementioned considerations, that the commercial practice described in point II, letters i), iii) and iv), of this provision, consisting of the dissemination of incorrect information regarding the promotional campaigns "double sales double savings – 50% discount + up to 40% on the entire collection + 48 months interest-free", "We overvalue your sofa up to 1,500 Euros" and "25% discount + another 25% on the entire collection", constitutes a violation of Articles 20, 21, paragraph 1, letters b) and d), 22, paragraph 2, and 23, paragraph 1, letter g), of the Consumer Code;</w:t>
      </w:r>
    </w:p>
    <w:p>
      <w:r>
        <w:t>CONSIDERING, furthermore, that it is necessary to order the publication of an excerpt of this provision, at the care and expense of the professional, pursuant to Article 27, paragraph 8, of the Consumer Code, in order to fully inform consumers of the commercial practice in question;</w:t>
      </w:r>
    </w:p>
    <w:p>
      <w:r>
        <w:t>RESOLVES</w:t>
      </w:r>
    </w:p>
    <w:p>
      <w:r>
        <w:t>a) that the commercial practice described in point II, letters i), iii) and iv), of this provision, carried out by the companies Poltronesofà S.p.A., constitutes, for the reasons and within the limits set forth in the motivation, an unfair commercial practice, pursuant to Articles 20, 21, paragraph 1, letters b) and d), 22, paragraph 2, and 23, paragraph 1, letter g), of the Consumer Code, and prohibits its dissemination or repetition;</w:t>
      </w:r>
    </w:p>
    <w:p>
      <w:r>
        <w:t>b) to impose on the company Poltronesofà S.p.A., for the violation referred to in the previous letter a), an administrative pecuniary sanction of 1,000,000 € (one million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ORDERS</w:t>
      </w:r>
    </w:p>
    <w:p>
      <w:r>
        <w:t>a) that the company Poltronesofà S.p.A. publish, at its care and expense, an excerpt of the resolution pursuant to Article 27, paragraph 8, of the Consumer Code, according to the following modalities:</w:t>
        <w:br/>
        <w:t>1) the text of the excerpt of the resolution is that reported in the attachment to this provision;</w:t>
        <w:br/>
        <w:t>2) the excerpt of the resolution must be published for one day, within one hundred and twenty days from the notification of this provision, on the national pages of the newspapers Corriere della Sera and Il Resto del Carlino;</w:t>
        <w:br/>
        <w:t>3) the publication must fully reflect the layout, structure, and appearance of the attached excerpt of the resolution; the font size of the text must be double that of ordinary articles, and the methods of writing, printing, and dissemination must not be such as to nullify the effects of the publication; in particular, on the page of publication of the excerpt of the resolution, as well as on the remaining pages, there must not be messages that conflict with the content of the excerpt itself that tend to mitigate its impact and meaning;</w:t>
      </w:r>
    </w:p>
    <w:p>
      <w:r>
        <w:t>b) that the publication of the excerpt of the resolution must be preceded by communication to the Authority of the date on which it will take place and must be followed, within three days, by sending to the Authority an original copy of such publication containing the published excerpt.</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br/>
        <w:t>Filippo Arena Roberto Rustichelli</w:t>
      </w:r>
    </w:p>
    <w:p>
      <w:r>
        <w:rPr>
          <w:b/>
        </w:rPr>
        <w:t>[Pages 100–102]</w:t>
      </w:r>
    </w:p>
    <w:p>
      <w:r>
        <w:t xml:space="preserve">102 BULLETIN NO. 16 OF APRIL 19, 2021  </w:t>
        <w:br/>
        <w:t xml:space="preserve">PS11785 - POLTRONESOFÀ - VARIOUS OFFERS  </w:t>
        <w:br/>
        <w:t xml:space="preserve">Annex to provision no. 29626  </w:t>
        <w:br/>
        <w:t xml:space="preserve">THE ANTITRUST AUTHORITY  </w:t>
        <w:br/>
        <w:t xml:space="preserve">IN ITS MEETING of April 2, 2021;  </w:t>
        <w:br/>
        <w:t xml:space="preserve">I. THE PARTIES  </w:t>
        <w:br/>
        <w:t xml:space="preserve">1. Poltronesofà S.p.A. [OMITTED].  </w:t>
        <w:br/>
        <w:t xml:space="preserve">2. Altroconsumo and U.Di.Con. Union for the Defense of Consumers [OMITTED].  </w:t>
        <w:br/>
        <w:t xml:space="preserve">II. THE COMMERCIAL PRACTICE  </w:t>
        <w:br/>
        <w:t xml:space="preserve">3. The proceeding concerns the commercial practice carried out by the company Poltronesofà [OMITTED] [through] the following advertising campaigns:  </w:t>
        <w:br/>
        <w:t xml:space="preserve">i) “double sales double savings – 50% discount + up to 40% on the entire collection + 48 months interest-free” during the period January 4 - February 9, 2020;  </w:t>
        <w:br/>
        <w:t xml:space="preserve">ii) [OMITTED];  </w:t>
        <w:br/>
        <w:t xml:space="preserve">iii) “We overvalue your sofa up to 1,500 Euros” during the period May 14 - June 15, 2020;  </w:t>
        <w:br/>
        <w:t xml:space="preserve">iv) “25% discount + another 25% on the entire collection” during the period September 3 - 27, 2020.  </w:t>
        <w:br/>
        <w:t xml:space="preserve">[OMITTED]  </w:t>
        <w:br/>
        <w:t xml:space="preserve">V. CONCLUDING ASSESSMENTS  </w:t>
        <w:br/>
        <w:t xml:space="preserve">[OMITTED].  </w:t>
        <w:br/>
        <w:t xml:space="preserve">75. In particular, the promotion i) “double sales double savings – 50% discount + up to 40% on the entire collection + 48 months interest-free” is misleading on a dual aspect. Firstly [OMITTED], the actual sales conditions limited the application of the advertised discount percentages only to a part of the sofas in the catalog and moreover only in the composition and with the upholstery displayed in the store [OMITTED]: the consumer was informed of this only when present in the point of sale. [OMITTED].  </w:t>
        <w:br/>
        <w:t xml:space="preserve">81. Secondly, [OMITTED] the offer “48 months interest-free” was initially promoted with an expiration date of February 9, 2020. Subsequently, the professional advanced the expiration date to January 19, 2020, only to then re-present it with the original expiration date of February 9.  </w:t>
        <w:br/>
        <w:t xml:space="preserve">82. Such conduct is likely to create in consumers the erroneous belief that it was necessary to hurry to purchase due to the upcoming expiration of the offer, thus depriving them of the necessary time to make an informed decision. [OMITTED].  </w:t>
        <w:br/>
        <w:t xml:space="preserve">85. [Regarding the promotion iii) “We overvalue your sofa up to 1,500 Euros,” the message is] misleading [OMITTED] concerning the content of the promotion (which was a simple discount, not linked to the valuation of a used sofa) and the conditions for accessing it (the possession of a used sofa).  </w:t>
        <w:br/>
        <w:t>86. The promotion iv) “25% discount + another 25% on the entire collection” is misleading with reference to the amount of the promised discount, the actual applicability of the discount to “the entire collection,” as well as the advertised expiration of the promotion. [OMITTED].</w:t>
      </w:r>
    </w:p>
    <w:p>
      <w:r>
        <w:t xml:space="preserve">BULLETIN NO. 16 OF APRIL 19, 2021 103  </w:t>
        <w:br/>
        <w:t xml:space="preserve">RESOLUTION  </w:t>
        <w:br/>
        <w:t xml:space="preserve">a) that the commercial practice described in point II, letters i), iii), and iv), of this provision, carried out by the companies Poltronesofà S.p.A., constitutes, for the reasons and within the limits set forth in the motivation, an unfair commercial practice pursuant to Articles 20, 21, paragraph 1, letters b) and d), 22, paragraph 2, and 23, paragraph 1, letter g), of the Consumer Code, and prohibits its dissemination or repetition;  </w:t>
        <w:br/>
        <w:t xml:space="preserve">b) to impose on the company Poltronesofà S.p.A., for the violation referred to in the previous letter a), an administrative pecuniary sanction of €1,000,000 (one million euros).  </w:t>
        <w:br/>
        <w:t xml:space="preserve">[OMITTED].  </w:t>
        <w:br/>
        <w:t>(Excerpt from the provision of April 2, 2021, the full text of which is published on the Authority's website www.agcm.it)</w:t>
      </w:r>
    </w:p>
    <w:p>
      <w:r>
        <w:t xml:space="preserve">Antitrust Authority Weekly Bulletin  </w:t>
        <w:br/>
        <w:t xml:space="preserve">of Competition and Market Year XXXI - No. 16 - 2021  </w:t>
        <w:br/>
        <w:t xml:space="preserve">Editorial Coordination Giulia Antenucci  </w:t>
        <w:br/>
        <w:t xml:space="preserve">Editorial Team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