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https://www.agcm.it/dotcmsdoc/bollettini/2024/16-24.pdf</w:t>
      </w:r>
    </w:p>
    <w:p>
      <w:r>
        <w:t>Pages translated : 26</w:t>
      </w:r>
    </w:p>
    <w:p/>
    <w:p>
      <w:r>
        <w:rPr>
          <w:b/>
        </w:rPr>
        <w:t>[Pages 1–3]</w:t>
      </w:r>
    </w:p>
    <w:p>
      <w:r>
        <w:t>Bulletin</w:t>
        <w:br/>
        <w:t>Weekly</w:t>
        <w:br/>
        <w:t>Year XXXIV - No. 16</w:t>
        <w:br/>
        <w:t>Published on the website www.agcm.it</w:t>
        <w:br/>
        <w:t>April 22, 2024</w:t>
      </w:r>
    </w:p>
    <w:p>
      <w:r>
        <w:t>SUMMARY</w:t>
        <w:br/>
        <w:t>AGREEMENTS AND ABUSE OF DOMINANT POSITION 5</w:t>
        <w:br/>
        <w:t>I866 - AGREEMENTS BETWEEN FOUNDRIES</w:t>
        <w:br/>
        <w:t>Decision No. 31154 5</w:t>
        <w:br/>
        <w:t>I801AB - TAXI TRANSPORT BOOKING SERVICES - ROME - NON-COMPLIANCE</w:t>
        <w:br/>
        <w:t>Decision No. 31167 7</w:t>
        <w:br/>
        <w:t>A567 - ABS MARKET IN E-BIKES</w:t>
        <w:br/>
        <w:t>Decision No. 31168 9</w:t>
        <w:br/>
        <w:t>CONCENTRATION OPERATIONS 11</w:t>
        <w:br/>
        <w:t>C12616 - VERSALIS/TECNOFILM</w:t>
        <w:br/>
        <w:t>Decision No. 31153 11</w:t>
        <w:br/>
        <w:t>UNFAIR TRADE PRACTICES 17</w:t>
        <w:br/>
        <w:t>PS12659 - WIND-MIA UNLIMITED</w:t>
        <w:br/>
        <w:t>Decision No. 31164 17</w:t>
        <w:br/>
        <w:t>PS12743 – ENEL ENERGIA – RENEWAL COMMUNICATION MODALITIES</w:t>
        <w:br/>
        <w:t>Notice of initiation of investigative proceeding 24</w:t>
        <w:br/>
        <w:t>VARIOUS 26</w:t>
        <w:br/>
        <w:t>FINAL ACCOUNT FOR THE 2023 FINANCIAL YEAR</w:t>
        <w:br/>
        <w:t>Decision No. 31152 26</w:t>
      </w:r>
    </w:p>
    <w:p>
      <w:r>
        <w:t>BULLETIN NO. 16 OF APRIL 22, 2024 5</w:t>
        <w:br/>
        <w:t>AGREEMENTS AND ABUSE OF DOMINANT POSITION</w:t>
        <w:br/>
        <w:t>I866 - AGREEMENTS BETWEEN FOUNDRIES</w:t>
        <w:br/>
        <w:t>Decision No. 31154</w:t>
        <w:br/>
        <w:t>THE ANTITRUST AUTHORITY</w:t>
        <w:br/>
        <w:t>IN ITS MEETING of April 3, 2024;</w:t>
        <w:br/>
        <w:t>HEARD the Rapporteur, Professor Elisabetta Iossa;</w:t>
        <w:br/>
        <w:t>HAVING REGARD to Article 101 of the Treaty on the Functioning of the European Union (TFEU);</w:t>
        <w:br/>
        <w:t>HAVING REGARD to Regulation (EC) No. 1/2003 of the Council of the European Union of December 16, 2002;</w:t>
        <w:br/>
        <w:t>HAVING REGARD to Law No. 287 of October 10, 1990;</w:t>
        <w:br/>
        <w:t>HAVING REGARD to Presidential Decree No. 217 of April 30, 1998;</w:t>
        <w:br/>
        <w:t>HAVING REGARD to its resolution adopted on September 12, 2023, which initiated, pursuant to Article 14 of Law No. 287/1990, an investigation against the companies C2MAC Group S.p.A., Fonderia Corrà S.p.A., Fonderie Orazio e Fortunato De Riccardis S.r.l., Fonderie Guido Glisenti S.p.A., Lead Time S.p.A., Pilenga Baldassarre Foundry S.r.l. and Fonderie Mora Gavardo S.p.A., active in Italy in the sector of cast iron production, aimed at verifying the existence of violations of Article 101, paragraph 1, of the TFEU regarding the coordination of price increases of cast iron products to be applied to their customers;</w:t>
        <w:br/>
        <w:t>HAVING REGARD to the documents of the proceeding and, in particular, the elements acquired during the inspections carried out, pursuant to Article 14, paragraph 2-quater, of Law No. 287/1990, on September 20, 2023, at the premises of the companies C2MAC Group S.p.A., Fonderia Corrà S.p.A., Fonderie Orazio e Fortunato De Riccardis S.r.l., Fonderie Guido Glisenti S.p.A., Lead Time S.p.A., Pilenga Baldassarre Foundry S.r.l. and Fonderie Mora Gavardo S.p.A., Zanardi Fonderie S.p.A., S.A.S. Società Assofond Servizi S.r.l. and the trade association Assofond;</w:t>
        <w:br/>
        <w:t>CONSIDERING that the documentation in the records shows that, at least since 2021, the Parties appear to have coordinated their commercial strategies also in an associative context and that the contested coordination in the initiation order would have taken place in an already weakened competitive context due to the existence of the Assofond indicators, developed since 2002 and some even earlier, which the foundries have referred to in justifying the price increases subject to the contested agreement in the initiation;</w:t>
        <w:br/>
        <w:t>CONSIDERING, furthermore, that the documentation in the records has revealed elements that allow for the hypothesis of involvement in the proposed coordination, as well as in the further aspects of collusion mentioned above, of the companies Zanardi Fonderie S.p.A., VDP Fonderia S.p.A., Fonderie Ariotti S.p.A., Ironcastings S.p.A., Fonderia Zardo S.p.A., ZML Industries S.p.A. and its 100% parent company Cividale S.p.A., Camozzi Group S.p.A. and E.F. Group S.p.A.;</w:t>
        <w:br/>
        <w:t>CONSIDERING, moreover, that it is necessary to evaluate, in terms of possible violations of Article 101 of the TFEU, the role played by the trade association Assofond both as a vehicle and facilitator of the coordination among the foundries subject to the initiation order, and in relation to the promotion and dissemination of the Assofond indicators, based on the documentation in the records.</w:t>
      </w:r>
    </w:p>
    <w:p>
      <w:r>
        <w:rPr>
          <w:b/>
        </w:rPr>
        <w:t>[Pages 4–6]</w:t>
      </w:r>
    </w:p>
    <w:p>
      <w:r>
        <w:t>6 BULLETIN NO. 16 OF APRIL 22, 2024</w:t>
      </w:r>
    </w:p>
    <w:p>
      <w:r>
        <w:t>acts and the fact that all the companies involved in the proceedings are registered with the association and many hold top associative positions;</w:t>
      </w:r>
    </w:p>
    <w:p>
      <w:r>
        <w:t>CONSIDERING, therefore, it necessary to extend the investigation also with reference to the promotion and dissemination of the Assofond indicators, at least from 2021, that is, from the moment when the main evidence of the collusion contested in the initiation order emerges;</w:t>
      </w:r>
    </w:p>
    <w:p>
      <w:r>
        <w:t>CONSIDERING, furthermore, that it is necessary to extend the investigation against the companies Zanardi Fonderie S.p.A., VDP Fonderia S.p.A., Fonderie Ariotti S.p.A., Ironcastings S.p.A., Fonderia Zardo S.p.A., ZML Industries S.p.A., Cividale S.p.A., Camozzi Group S.p.A., E.F. Group S.p.A. and the trade association Assofond also with reference to the further aspects of collusion described above;</w:t>
      </w:r>
    </w:p>
    <w:p>
      <w:r>
        <w:t>RESOLVES</w:t>
      </w:r>
    </w:p>
    <w:p>
      <w:r>
        <w:t>a) to objectively extend the proceeding I866, initiated on September 12, 2023, to the promotion and dissemination of the Assofond indicators, at least from 2021, that is, from the moment when the main evidence of the collusion contested in the initiation order emerges;</w:t>
      </w:r>
    </w:p>
    <w:p>
      <w:r>
        <w:t>b) to subjectively extend the proceeding I866, initiated on September 12, 2023, to the companies Zanardi Fonderie S.p.A., VDP Fonderia S.p.A., Fonderie Ariotti S.p.A., Ironcastings S.p.A., Fonderia Zardo S.p.A., ZML Industries S.p.A., Cividale S.p.A., Camozzi Group S.p.A., E.F. Group S.p.A. and the trade association Assofond also with reference to the further aspects of collusion referred to in letter a);</w:t>
      </w:r>
    </w:p>
    <w:p>
      <w:r>
        <w:t>c) that the person responsible for the proceeding is Dr. Maria Luisa Cirrincione;</w:t>
      </w:r>
    </w:p>
    <w:p>
      <w:r>
        <w:t>d) the setting of a deadline of thirty days, starting from the notification of this provision for the exercise, by the legal representatives of the Parties or persons delegated by them, of the right to be heard, specifying that the request for a hearing must be received by the Cartels, Leniency and Whistleblowing Directorate of the Competition Department-1 of this Authority at least fifteen days before the expiration of the above-mentioned deadline;</w:t>
      </w:r>
    </w:p>
    <w:p>
      <w:r>
        <w:t>e) that the documents of the proceeding can be viewed at the Cartels, Leniency and Whistleblowing Directorate of the Competition Department-1 of this Authority by the legal representatives of the Parties or by persons delegated by them.</w:t>
      </w:r>
    </w:p>
    <w:p>
      <w:r>
        <w:t>This provision will be notified to the interested parties and published in the Bulletin of the Competition and Market Authority.</w:t>
      </w:r>
    </w:p>
    <w:p>
      <w:r>
        <w:t>THE SECRETARY GENERAL THE PRESIDENT</w:t>
        <w:br/>
        <w:t>Guido Stazi Roberto Rustichelli</w:t>
      </w:r>
    </w:p>
    <w:p>
      <w:r>
        <w:t>BULLETIN NO. 16 OF APRIL 22, 2024</w:t>
      </w:r>
    </w:p>
    <w:p>
      <w:r>
        <w:t>I801AB - TAXI TRANSPORT RESERVATION SERVICES - ROME - NON-COMPLIANCE</w:t>
      </w:r>
    </w:p>
    <w:p>
      <w:r>
        <w:t>Provision No. 31167</w:t>
      </w:r>
    </w:p>
    <w:p>
      <w:r>
        <w:t>THE COMPETITION AND MARKET AUTHORITY</w:t>
      </w:r>
    </w:p>
    <w:p>
      <w:r>
        <w:t>IN ITS MEETING of April 4, 2024;</w:t>
      </w:r>
    </w:p>
    <w:p>
      <w:r>
        <w:t>HEARD the Rapporteur, Saverio Valentino;</w:t>
      </w:r>
    </w:p>
    <w:p>
      <w:r>
        <w:t>VIEWED the law of October 10, 1990, No. 287;</w:t>
      </w:r>
    </w:p>
    <w:p>
      <w:r>
        <w:t>VIEWED, in particular, Article 15, paragraph 2, of the aforementioned law, in the part that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r>
    </w:p>
    <w:p>
      <w:r>
        <w:t>VIEWED the law of November 24, 1981, No. 689;</w:t>
      </w:r>
    </w:p>
    <w:p>
      <w:r>
        <w:t>VIEWED the decree of the President of the Republic of June 30, 1998, No. 217;</w:t>
      </w:r>
    </w:p>
    <w:p>
      <w:r>
        <w:t>VIEWED its provision No. 27244 of June 27, 2018, confirmed by the Council of State with judgment No. 7991 of December 14, 2020, with which the Authority found that the companies Radiotaxi 3570 - Cooperative Society, Cooperative Pronto Taxi 6645 - Cooperative Society and Samarcanda - Cooperative Society have engaged in restrictive agreements of competition with reference to the provision, in the acts governing the relationships between the aforementioned companies and the taxi drivers adhering, of clauses that identify specific non-competition obligations which, taken together, are likely to produce anti-competitive effects preventing or hindering the entry of competing businesses into the market for the provision of services for collecting and routing demand for taxi services in the Municipality of Rome;</w:t>
      </w:r>
    </w:p>
    <w:p>
      <w:r>
        <w:t>VIEWED its provision No. 30716 of July 18, 2023, with which it was resolved to contest to Radiotaxi 3570 - Cooperative Society the violation referred to in Article 15, paragraph 2, of Law No. 287/1990 for non-compliance with the aforementioned Authority provision No. 27244 of June 27, 2018;</w:t>
      </w:r>
    </w:p>
    <w:p>
      <w:r>
        <w:t>VIEWED its provision No. 30880 of November 14, 2023, with which, at the request of a party, it was resolved to extend the deadline for concluding the proceeding to February 28, 2024;</w:t>
      </w:r>
    </w:p>
    <w:p>
      <w:r>
        <w:t>VIEWED its provision No. 31060 of February 6, 2024, with which it was resolved to extend the deadline for concluding the proceeding to April 30, 2024;</w:t>
      </w:r>
    </w:p>
    <w:p>
      <w:r>
        <w:t>CONSIDERING the complexity of the case subject to the proceeding and the elements acquired during the investigation, most recently received on February 27, 2024;</w:t>
      </w:r>
    </w:p>
    <w:p>
      <w:r>
        <w:t>CONSIDERING, therefore, in order to ensure the full exercise of the defense rights of the Party and to fully evaluate the aspects subject to the proceeding, that it is necessary to extend the closing deadline of the proceeding, currently set for April 30, 2024;</w:t>
      </w:r>
    </w:p>
    <w:p>
      <w:r>
        <w:t>RESOLVES</w:t>
      </w:r>
    </w:p>
    <w:p>
      <w:r>
        <w:t>to extend the deadline for concluding the proceeding to July 31, 2024.</w:t>
      </w:r>
    </w:p>
    <w:p>
      <w:r>
        <w:t>This provision will be notified to the interested party and published in the Bulletin of the Competition and Market Authority.</w:t>
      </w:r>
    </w:p>
    <w:p>
      <w:r>
        <w:t>THE SECRETARY GENERAL THE PRESIDENT</w:t>
        <w:br/>
        <w:t>Guido Stazi Roberto Rustichelli</w:t>
      </w:r>
    </w:p>
    <w:p>
      <w:r>
        <w:rPr>
          <w:b/>
        </w:rPr>
        <w:t>[Pages 7–9]</w:t>
      </w:r>
    </w:p>
    <w:p>
      <w:r>
        <w:t>BULLETIN NO. 16 OF APRIL 22, 2024</w:t>
      </w:r>
    </w:p>
    <w:p>
      <w:r>
        <w:t>A567 - ABS MARKET IN E-BIKES</w:t>
      </w:r>
    </w:p>
    <w:p>
      <w:r>
        <w:t>Decision No. 31168</w:t>
      </w:r>
    </w:p>
    <w:p>
      <w:r>
        <w:t>THE ANTITRUST AUTHORITY</w:t>
      </w:r>
    </w:p>
    <w:p>
      <w:r>
        <w:t>IN ITS MEETING of April 18, 2024;</w:t>
      </w:r>
    </w:p>
    <w:p>
      <w:r>
        <w:t>HEARD the Rapporteur, Professor Elisabetta Iossa;</w:t>
      </w:r>
    </w:p>
    <w:p>
      <w:r>
        <w:t>HAVING REGARD to Article 102 of the Treaty on the Functioning of the European Union (TFEU);</w:t>
      </w:r>
    </w:p>
    <w:p>
      <w:r>
        <w:t>HAVING REGARD to Regulation No. 1/2003 of the Council of December 16, 2002, concerning the application of the competition rules laid down in Articles 81 and 82 of the EC Treaty (now Articles 101 and 102 of the TFEU);</w:t>
      </w:r>
    </w:p>
    <w:p>
      <w:r>
        <w:t>HAVING REGARD to Law No. 287 of October 10, 1990 and subsequent amendments;</w:t>
      </w:r>
    </w:p>
    <w:p>
      <w:r>
        <w:t>HAVING REGARD to the Presidential Decree No. 217 of April 30, 1998;</w:t>
      </w:r>
    </w:p>
    <w:p>
      <w:r>
        <w:t>HAVING REGARD to the Decree of the President of the Republic No. 217 of April 30, 1998;</w:t>
      </w:r>
    </w:p>
    <w:p>
      <w:r>
        <w:t>HAVING REGARD to its decision No. 30765 of September 5, 2023, which initiated an investigation pursuant to Article 14 of Law No. 287/1990 against Robert Bosch GmbH, to ascertain the existence of a violation of Article 102 TFEU;</w:t>
      </w:r>
    </w:p>
    <w:p>
      <w:r>
        <w:t>HAVING REGARD to the "Communication on the procedures for the application of Article 14-ter of Law No. 287 of October 10, 1990," adopted in the meeting of September 6, 2012 and published in Bulletin No. 35 of September 17, 2012;</w:t>
      </w:r>
    </w:p>
    <w:p>
      <w:r>
        <w:t>HAVING REGARD to the communication of March 8, 2024, in which Robert Bosch GmbH submitted commitments, pursuant to Article 14-ter of Law No. 287/1990, according to the methods indicated in the specific "Form for the submission of commitments pursuant to Article 14-ter of Law No. 287/90," consisting, in summary:</w:t>
      </w:r>
    </w:p>
    <w:p>
      <w:r>
        <w:t>a) in allowing third-party ABS producers with 36v devices to interoperate with Bosch e-kits (BES3 and any subsequent developments) through (i) an acquisition plan, with the free provision of tools for development and testing; (ii) a joint development plan to enable hardware and software connection; (iii) the fulfillment of orders for connection cables; and (iv) the provision of a group of engineers. There is an obligation to support acquisition and development projects for a duration of 3 years from the acceptance of the commitments, while the supply obligation will be valid for 5 years from the conclusion of the development project;</w:t>
      </w:r>
    </w:p>
    <w:p>
      <w:r>
        <w:t>b) in modifying the clause included in the standard contract used by Bosch worldwide for the supply of BES components (the "Global Supply Contract Bosch") entered into with e-bike manufacturers and Original Equipment Manufacturers ("OEM"; collectively, the "Bosch Customers"), regarding Bosch's provision of warranty assistance for defects or damages related to BES components, in order to clarify that the replacement or modification of BES components does not affect the warranty, unless the modification or the component produced by third parties has objectively caused the defect or damage in question, also modifying existing contracts and inserting specific warnings in the "Bosch ebike Manual." The commitment to modify the clause is indefinite, and the counterparties with existing contracts will be informed of the modification of the clause within 8 weeks from the final acceptance of the commitments;</w:t>
      </w:r>
    </w:p>
    <w:p>
      <w:r>
        <w:t>c) in appointing a trustee responsible for monitoring, approved by the Authority and possessing suitable characteristics of technical competence and independence. The proposal for appointment will be subject to the Authority's approval and will be sent within 30 days from the final acceptance of the commitments;</w:t>
      </w:r>
    </w:p>
    <w:p>
      <w:r>
        <w:t>HAVING REGARD to the documents of the proceeding and the documentation acquired during the investigation;</w:t>
      </w:r>
    </w:p>
    <w:p>
      <w:r>
        <w:t>CONSIDERING that the commitments presented, as a whole, do not appear manifestly unfounded and are susceptible to publication, without prejudice to any assessment by the Authority regarding their suitability to resolve the competitive issues raised at the initiation stage;</w:t>
      </w:r>
    </w:p>
    <w:p>
      <w:r>
        <w:t>THEREFORE, CONSIDERING it appropriate to order the publication of the aforementioned commitments presented by Robert Bosch GmbH, so that interested third parties may express their observations;</w:t>
      </w:r>
    </w:p>
    <w:p>
      <w:r>
        <w:t>RESOLVES</w:t>
      </w:r>
    </w:p>
    <w:p>
      <w:r>
        <w:t>a) to publish on April 22, 2024, on the Authority's website the aforementioned commitments, attached to this decision, which constitute an integral part thereof, presented by Robert Bosch GmbH, pursuant to Article 14-ter of Law No. 287/1990;</w:t>
      </w:r>
    </w:p>
    <w:p>
      <w:r>
        <w:t>b) that any observations on the commitments presented by Robert Bosch GmbH must be submitted in writing, no later than May 22, 2024, to the Manufacturing, Agri-food, Pharmaceutical and Commercial Distribution Directorate of the Competition Department of this Authority;</w:t>
      </w:r>
    </w:p>
    <w:p>
      <w:r>
        <w:t>c) that any representations by Robert Bosch GmbH regarding its position in relation to the observations presented by third parties on the commitments, as well as any introduction of ancillary modifications to them, must be submitted in writing to the Authority no later than June 21, 2024.</w:t>
      </w:r>
    </w:p>
    <w:p>
      <w:r>
        <w:t>THE SECRETARY GENERAL THE PRESIDENT</w:t>
      </w:r>
    </w:p>
    <w:p>
      <w:r>
        <w:t>Guido Stazi Roberto Rustichelli</w:t>
      </w:r>
    </w:p>
    <w:p>
      <w:r>
        <w:t>BULLETIN NO. 16 OF APRIL 22, 2024</w:t>
      </w:r>
    </w:p>
    <w:p>
      <w:r>
        <w:t>CONCENTRATION OPERATIONS</w:t>
      </w:r>
    </w:p>
    <w:p>
      <w:r>
        <w:t>C12616 - VERSALIS/TECNOFILM</w:t>
      </w:r>
    </w:p>
    <w:p>
      <w:r>
        <w:t>Decision No. 31153</w:t>
      </w:r>
    </w:p>
    <w:p>
      <w:r>
        <w:t>THE ANTITRUST AUTHORITY</w:t>
      </w:r>
    </w:p>
    <w:p>
      <w:r>
        <w:t>IN ITS MEETING of April 3, 2024;</w:t>
      </w:r>
    </w:p>
    <w:p>
      <w:r>
        <w:t>HEARD the Rapporteur, Professor Elisabetta Iossa;</w:t>
      </w:r>
    </w:p>
    <w:p>
      <w:r>
        <w:t>HAVING REGARD to Council Regulation (EC) No. 139/2004 of January 20, 2004 on the control of concentrations between undertakings;</w:t>
      </w:r>
    </w:p>
    <w:p>
      <w:r>
        <w:t>HAVING REGARD to Law No. 287 of October 10, 1990;</w:t>
      </w:r>
    </w:p>
    <w:p>
      <w:r>
        <w:t>HAVING REGARD to the Presidential Decree No. 217 of April 30, 1998;</w:t>
      </w:r>
    </w:p>
    <w:p>
      <w:r>
        <w:t>HAVING REGARD to the communication from ENI S.p.A., received on March 6, 2024;</w:t>
      </w:r>
    </w:p>
    <w:p>
      <w:r>
        <w:t>HAVING REGARD to the documentation on file;</w:t>
      </w:r>
    </w:p>
    <w:p>
      <w:r>
        <w:t>CONSIDERING the following:</w:t>
      </w:r>
    </w:p>
    <w:p>
      <w:r>
        <w:t>I. THE PARTIES</w:t>
      </w:r>
    </w:p>
    <w:p>
      <w:r>
        <w:t>1. ENI S.p.A. (hereinafter, "Eni") is a company listed on the Milan Stock Exchange and the New York Stock Exchange, at the head of a group of companies active globally in the exploration and production of hydrocarbons and gas, the procurement and sale of natural gas, the purchase and marketing of liquefied natural gas (LNG), oil refining and marketing of petroleum products, the production and marketing of chemical products, as well as in the markets for the generation and sale of electricity.</w:t>
      </w:r>
    </w:p>
    <w:p>
      <w:r>
        <w:t>Versalis S.p.A. (hereinafter, "Versalis") is a company, wholly controlled by Eni, that operates internationally in the sectors of basic chemicals and intermediates, plastics, rubber, renewable source chemicals, and the sale of licenses related to technologies and know-how, with production facilities in Italy, France, Germany, Great Britain, Hungary, and South Korea.</w:t>
      </w:r>
    </w:p>
    <w:p>
      <w:r>
        <w:t>The Eni group achieved a consolidated global revenue of approximately [100-200]* billion euros in 2022, of which approximately [32-100] billion euros in the European Union and approximately [32-100] billion euros generated in Italy.</w:t>
      </w:r>
    </w:p>
    <w:p>
      <w:r>
        <w:t>2. Tecnofilm S.p.A. (hereinafter, "Tecnofilm" or "Target") is a company active in the production and marketing of thermoplastic compounds derived from the transformation of elastomers and intended for multiple applications (household appliances, automotive, construction, electronics, sports, footwear, etc.) as well as in the production and marketing of maleic anhydride modified copolymers.</w:t>
      </w:r>
    </w:p>
    <w:p>
      <w:r>
        <w:t>* In this version, some data are omitted, as elements of confidentiality or secrecy of the information were deemed to exist.</w:t>
      </w:r>
    </w:p>
    <w:p>
      <w:r>
        <w:rPr>
          <w:b/>
        </w:rPr>
        <w:t>[Pages 10–12]</w:t>
      </w:r>
    </w:p>
    <w:p>
      <w:r>
        <w:t>12 BULLETIN NO. 16 OF APRIL 22, 2024</w:t>
      </w:r>
    </w:p>
    <w:p>
      <w:r>
        <w:t>The share capital of Tecnofilm is held 72.81% by Impiantistica Marche S.p.A., 14.6% by Ber.Ti S.r.l., and the remaining part by an individual (hereinafter, "Sellers"). Tecnofilm, in turn, controls Tecnocompunds Valtenna S.r.l. and holds stakes in the companies Cellini S.r.l. and Bio Erg S.r.l.</w:t>
      </w:r>
    </w:p>
    <w:p>
      <w:r>
        <w:t>In 2022, Tecnofilm's revenue was [32-100] million euros, of which approximately [32-100] million euros were generated in the European Union and approximately [32-100] million euros were generated in Italy.</w:t>
      </w:r>
    </w:p>
    <w:p>
      <w:r>
        <w:t>II. DESCRIPTION OF THE TRANSACTION</w:t>
      </w:r>
    </w:p>
    <w:p>
      <w:r>
        <w:t>3. The notified transaction consists of the acquisition by Versalis of the entire share capital of Tecnofilm. As a result of the transaction, Versalis will acquire control of Tecnofilm and Tecnocompounds Valtenna S.r.l., while the stakes in the companies Cellini S.r.l. and Bio Erg S.r.l. will be sold to the Sellers prior to the completion of the transaction.</w:t>
      </w:r>
    </w:p>
    <w:p>
      <w:r>
        <w:t>4. A non-compete agreement is provided for a duration of two years from the closing of the transaction, under which the Sellers commit not to engage, for consideration or free of charge, in countries where Tecnofilm operates, in activities that compete with those carried out by that company. This commitment applies, for the same duration and geographical scope, to the activities carried out by the Sellers as directors, employees, consultants, collaborators, partners with limited or unlimited liability, or associates of other competing entities of Tecnofilm, as well as to the holding, directly or indirectly, even through controlled or fiduciary companies, of stakes in companies or other competitors of Tecnofilm.</w:t>
      </w:r>
    </w:p>
    <w:p>
      <w:r>
        <w:t>III. QUALIFICATION OF THE TRANSACTION</w:t>
      </w:r>
    </w:p>
    <w:p>
      <w:r>
        <w:t>5. The notified transaction, as it involves the acquisition of exclusive control of a company, constitutes a concentration pursuant to Article 5, paragraph 1, letter b), of Law No. 287/1990.</w:t>
      </w:r>
    </w:p>
    <w:p>
      <w:r>
        <w:t>6.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revenue generated individually at the national level by at least two of the companies involved was over 32 million euros.</w:t>
      </w:r>
    </w:p>
    <w:p>
      <w:r>
        <w:t>7. The non-compete agreement described above can be qualified as ancillary to the notified concentration, as it is functional to safeguarding the value of the acquired company, to the extent that it is geographically and product-wise limited and does not exceed two years in duration, provided that it does not prevent the sellers from acquiring or holding shares solely for financial investment purposes.</w:t>
      </w:r>
    </w:p>
    <w:p>
      <w:r>
        <w:t>IV. ASSESSMENT OF THE CONCENTRATION</w:t>
      </w:r>
    </w:p>
    <w:p>
      <w:r>
        <w:t>a. Relevant markets</w:t>
      </w:r>
    </w:p>
    <w:p>
      <w:r>
        <w:t>8. According to the information provided, Versalis is active in the production and marketing of various types of chemical products, some of which constitute inputs in the productions of Tecnofilm. Considering the activities of Tecnofilm and Versalis, the transaction concerns both the markets in which the Target operates or both companies are active, as well as the upstream markets in which Versalis operates as a supplier to Tecnofilm. Therefore, the sectors and markets described below can be considered affected by this transaction.</w:t>
      </w:r>
    </w:p>
    <w:p>
      <w:r>
        <w:t>Markets for the production and marketing of maleic anhydride grafted copolymers and thermoplastic compounds</w:t>
      </w:r>
    </w:p>
    <w:p>
      <w:r>
        <w:t>9. The sector of production and marketing of maleic anhydride grafted copolymers, in which Tecnofilm operates, is affected, within which, according to community guidelines, different markets can be identified based on the different production methods and their intended use. Following community practice, the size of the markets described above may correspond to the European Economic Area (hereinafter, "EEA") although a national dimension may also be observed depending on specific regulations.</w:t>
      </w:r>
    </w:p>
    <w:p>
      <w:r>
        <w:t>10. The sector of production and marketing of thermoplastic compounds is also affected, which can be produced using different raw materials. In particular, according to the information provided, thermoplastic compounds based on polyethylene (hereinafter, "PE"), which are produced by Versalis, and thermoplastic compounds derived from the transformation of elastomers, which are produced by Tecnofilm, can be distinguished.</w:t>
      </w:r>
    </w:p>
    <w:p>
      <w:r>
        <w:t>11. Tecnofilm produces elastomer-based compounds, sourcing the following raw materials from Versalis: PE, Styrene butadiene block copolymer (hereinafter, SBS), Styrene ethylene butylene block copolymer (hereinafter, SEBS), and polystyrene (hereinafter, "PS").</w:t>
      </w:r>
    </w:p>
    <w:p>
      <w:r>
        <w:t>12. Depending on the raw material used, the following categories of thermoplastic compounds can be identified:</w:t>
      </w:r>
    </w:p>
    <w:p>
      <w:r>
        <w:t>i. PE-based compounds, intended for the production of electrical and telephone cables;</w:t>
        <w:br/>
        <w:t>ii. Compounds based on EVA mixtures and expandable and cross-linkable polyolefins, primarily intended for the footwear and sporting goods sectors, in which Versalis is active;</w:t>
        <w:br/>
        <w:t>iii. Elastomer-based compounds for technical articles;</w:t>
        <w:br/>
        <w:t>iv. Elastomer-based compounds for footwear;</w:t>
        <w:br/>
        <w:t>v. Elastomer-based compounds for bitumen modification and others.</w:t>
      </w:r>
    </w:p>
    <w:p>
      <w:r>
        <w:t>13. For each of the above categories of thermoplastic compounds, distinct markets can be identified based on the different production methods, their specific performance characteristics, and intended uses.</w:t>
      </w:r>
    </w:p>
    <w:p>
      <w:r>
        <w:t>14. From a geographical perspective, the markets identified above may have a geographical dimension coinciding with the EEA, although a national dimension cannot be excluded where regulatory conditions lead to differences in the marketing of such products within individual Member States. Due to the absence of significant competitive effects, the exact definition of the markets, both from a geographical and product perspective, can, however, be left open.</w:t>
      </w:r>
    </w:p>
    <w:p>
      <w:r>
        <w:t>Upstream markets for the production of synthetic polymers, synthetic elastomers, and polystyrene</w:t>
      </w:r>
    </w:p>
    <w:p>
      <w:r>
        <w:t>15. The upstream markets in which Versalis operates as a supplier to Tecnofilm are also affected. In particular, the sector of production and marketing of PE, a synthetic polymer used in the manufacture of a wide range of products, of which Versalis produces the following categories, intended for different uses based on their density:</w:t>
      </w:r>
    </w:p>
    <w:p>
      <w:r>
        <w:t>i. LDPE, that is, low-density polyethylene, used for the production of films, coatings, etc.;</w:t>
        <w:br/>
        <w:t>ii. HDPE, that is, high-density polyethylene, which, being characterized by rigidity, chemical resistance, and gas permeability, is intended for the production of rigid bottles and large items;</w:t>
        <w:br/>
        <w:t>iii. LLDPE, that is, linear low-density polyethylene, primarily used in the production of films, packaging, molded articles, etc.;</w:t>
        <w:br/>
        <w:t>iv. EVA, that is, ethylene vinyl acetate, intended for the manufacture of cables, pipes, and profiles, compounds for flooring, etc.</w:t>
      </w:r>
    </w:p>
    <w:p>
      <w:r>
        <w:t>16. For each of the above categories of PE, distinct markets can be identified based on the different production methods, their specific performance characteristics, and intended uses. However, even considering community practice, this possibility can be left open due to the absence of significant competitive effects regardless of the exact definition adopted.</w:t>
      </w:r>
    </w:p>
    <w:p>
      <w:r>
        <w:t>17. From a geographical perspective, the exact identification of the relevant geographical area for the markets identified above can be left open as, while it may have a dimension coinciding with the EEA, a national dimension cannot be excluded where regulatory conditions lead to, even with specific reference to certain intended uses, differences in the marketing within individual Member States.</w:t>
      </w:r>
    </w:p>
    <w:p>
      <w:r>
        <w:t>18. Furthermore, Versalis is active in the market for the production and marketing of synthetic elastomers, establishing a vertical relationship with Tecnofilm. These are synthetic rubbers whose different production methods and specific characteristics define their intended uses, which can be identified:</w:t>
      </w:r>
    </w:p>
    <w:p>
      <w:r>
        <w:t>- The SBS market, used in the bitumen modification sector, for bituminous membranes and modified bitumen;</w:t>
        <w:br/>
        <w:t>- The SEBS market, primarily used in the production of certain components for vehicles, for construction, parts of white goods, etc.</w:t>
      </w:r>
    </w:p>
    <w:p>
      <w:r>
        <w:t>19. From a geographical perspective, according to established national and community guidelines, the size of the markets identified above is at least coincident with the EEA or global, due to the high level of trade interchange and the low incidence of transportation costs on the selling price.</w:t>
      </w:r>
    </w:p>
    <w:p>
      <w:r>
        <w:rPr>
          <w:b/>
        </w:rPr>
        <w:t>[Pages 13–15]</w:t>
      </w:r>
    </w:p>
    <w:p>
      <w:r>
        <w:t>BULLETIN NO. 16 OF APRIL 22, 2024</w:t>
      </w:r>
    </w:p>
    <w:p>
      <w:r>
        <w:t>20. Finally, the market for the production and marketing of PS is involved, in which Versalis operates, establishing a vertical relationship with Tecnofilm. This is a synthetic resin produced by the polymerization of styrene, which, once treated and cooled, is cut into easily transportable pellets.</w:t>
      </w:r>
    </w:p>
    <w:p>
      <w:r>
        <w:t>21. From a geographical perspective, the markets identified above can be left open as, while they may have a geographical dimension coinciding with the EEA, a national dimension cannot be excluded.</w:t>
      </w:r>
    </w:p>
    <w:p>
      <w:r>
        <w:t>b. Effects of the transaction</w:t>
      </w:r>
    </w:p>
    <w:p>
      <w:r>
        <w:t>22. The Parties have provided, for each of the markets identified above, data both at the EEA level and at the national level, for the purpose of evaluating the notified transaction in a narrower context.</w:t>
      </w:r>
    </w:p>
    <w:p>
      <w:r>
        <w:t>Horizontal effects</w:t>
      </w:r>
    </w:p>
    <w:p>
      <w:r>
        <w:t>23. In the production and marketing of maleic anhydride graft copolymers, in 2022 Tecnofilm is reported to have a market share, calculated in volumes of kton, of [1-5%] in the EEA and [15-20%] at the national level. Eni is not present in this market and, therefore, the notified transaction does not give rise to horizontal overlaps, having the effect of replacing operators.</w:t>
      </w:r>
    </w:p>
    <w:p>
      <w:r>
        <w:t>24. In the production and marketing of thermoplastic compounds, both Versalis and Tecnofilm are present, whose productions differ based on the different raw materials used, namely polyethylene and elastomers. In particular, the shares held by the two companies are as follows:</w:t>
      </w:r>
    </w:p>
    <w:p>
      <w:r>
        <w:t>Production of thermoplastic compounds based on polyethylene by Versalis:</w:t>
        <w:br/>
        <w:t>based on PE based on EVA blends</w:t>
        <w:br/>
        <w:t>Share in the EEA by value [1-5%] [10-15%]</w:t>
        <w:br/>
        <w:t>Share in Italy by value [5-10%] [20-25%]</w:t>
      </w:r>
    </w:p>
    <w:p>
      <w:r>
        <w:t>Production of thermoplastic compounds based on elastomers by Tecnofilm:</w:t>
        <w:br/>
        <w:t>for technical articles for footwear for bitumen</w:t>
        <w:br/>
        <w:t>Share in the EEA in kton Less than 1% [1-5%] Less than 1%</w:t>
        <w:br/>
        <w:t>Share in Italy in kton [1-5%] [10-15%] Less than 1%</w:t>
      </w:r>
    </w:p>
    <w:p>
      <w:r>
        <w:t>25. The transaction does not therefore result in significant horizontal effects as, at the aggregate level and at the level of individual product types, shares of 20-25% in Italy and 10-15% in the EEA are not exceeded. In these markets, there are other competitors active in the production of thermoplastic compounds, capable of exerting considerable competitive pressure.</w:t>
      </w:r>
    </w:p>
    <w:p>
      <w:r>
        <w:t>26. In light of the above, in none of the markets described does the transaction appear to be capable of producing significant effects.</w:t>
      </w:r>
    </w:p>
    <w:p>
      <w:r>
        <w:t>Vertical effects</w:t>
      </w:r>
    </w:p>
    <w:p>
      <w:r>
        <w:t>27. Since Tecnofilm sources, as mentioned, raw materials produced by Versalis, namely PE, SBS, SEBS, and PS, it is necessary to analyze the vertical effects produced by the concentration. In particular, in the markets for the production and marketing of PE of different densities, according to estimates provided by the Parties, Versalis's shares in 2022 are as follows:</w:t>
      </w:r>
    </w:p>
    <w:p>
      <w:r>
        <w:t>LDPE HDPE LLDPE EVA</w:t>
        <w:br/>
        <w:t>Share EEA in kton [5-10%] [1-5%] [15-20%] [15-20%]</w:t>
        <w:br/>
        <w:t>Share Italy in kton [20-25%] [20-25%] [25-30%] [30-35%]</w:t>
      </w:r>
    </w:p>
    <w:p>
      <w:r>
        <w:t>28. In the markets for the production and marketing of synthetic elastomers, Versalis's shares in 2022 are as follows:</w:t>
      </w:r>
    </w:p>
    <w:p>
      <w:r>
        <w:t>SBS SEBS</w:t>
        <w:br/>
        <w:t>Share EEA in kton [5-10%] [10-15%]</w:t>
        <w:br/>
        <w:t>Share Italy in kton [20-25%] [10-15%]</w:t>
      </w:r>
    </w:p>
    <w:p>
      <w:r>
        <w:t>29. In the market for the production and marketing of PS, Versalis's shares in 2022, calculated in kton, were [15-20%] in the EEA and [40-45%] at the national level.</w:t>
      </w:r>
    </w:p>
    <w:p>
      <w:r>
        <w:t>30. Given the market shares reported above and in light of the analyses conducted on the downstream markets in which Tecnofilm operates, there are no indications of customer foreclosure or input foreclosure. In these markets, there are also numerous competitors operating both at the EEA level and at the national level, with market shares similar to those held by Versalis.</w:t>
      </w:r>
    </w:p>
    <w:p>
      <w:r>
        <w:t>31. In conclusion, in light of the above, it is believed that the transaction is not capable of producing significant vertical effects that restrict competition in the relevant markets.</w:t>
      </w:r>
    </w:p>
    <w:p>
      <w:r>
        <w:t>CONSIDERING, therefore, that the transaction under examination does not significantly impede effective competition in the relevant markets, pursuant to Article 6, paragraph 1, of Law No. 287/1990, and does not result in the establishment or strengthening of a dominant position;</w:t>
      </w:r>
    </w:p>
    <w:p>
      <w:r>
        <w:t>CONSIDERING, furthermore, that the non-compete agreement described above is directly connected and necessary to the concentration transaction within the limits indicated above and that the Authority reserves the right to evaluate, where the conditions exist, the aforementioned agreement if it exceeds those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BULLETIN NO. 16 OF APRIL 22, 2024</w:t>
      </w:r>
    </w:p>
    <w:p>
      <w:r>
        <w:t>UNFAIR TRADE PRACTICES</w:t>
        <w:br/>
        <w:t>PS12659 - WIND-MIA UNLIMITED</w:t>
        <w:br/>
        <w:t>Provision No. 31164</w:t>
      </w:r>
    </w:p>
    <w:p>
      <w:r>
        <w:t>THE ANTITRUST AUTHORITY</w:t>
      </w:r>
    </w:p>
    <w:p>
      <w:r>
        <w:t>IN ITS MEETING of April 3, 2024;</w:t>
      </w:r>
    </w:p>
    <w:p>
      <w:r>
        <w:t>HEARD the Rapporteur, Professor Elisabetta Iossa;</w:t>
      </w:r>
    </w:p>
    <w:p>
      <w:r>
        <w:t>VIEWED Part III, Title III of Legislative Decree No. 206 of September 6, 2005, and subsequent amendments (hereinafter, the Consumer Code or also CdC);</w:t>
      </w:r>
    </w:p>
    <w:p>
      <w: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r>
    </w:p>
    <w:p>
      <w:r>
        <w:t>VIEWED the communication of October 26, 2023, with which the proceeding PS12659 was initiated against the company Wind Tre S.p.A.;</w:t>
      </w:r>
    </w:p>
    <w:p>
      <w:r>
        <w:t>VIEWED the communication, received on November 14, 2023, with which the company Wind Tre S.p.A. submitted, pursuant to Article 27, paragraph 7, of the Consumer Code and Article 9 of the Regulation, a proposal for commitments, subsequently integrated into the definitive and consolidated version on March 15, 2024;</w:t>
      </w:r>
    </w:p>
    <w:p>
      <w:r>
        <w:t>VIEWED its decision of January 16, 2024, with which, pursuant to Article 16, paragraph 5, of the Regulation, the deadline for concluding the proceeding was extended;</w:t>
      </w:r>
    </w:p>
    <w:p>
      <w:r>
        <w:t>VIEWED the documents of the proceeding;</w:t>
      </w:r>
    </w:p>
    <w:p>
      <w:r>
        <w:t>I. THE PARTY</w:t>
      </w:r>
    </w:p>
    <w:p>
      <w:r>
        <w:t>1. Wind Tre S.p.A. (hereinafter also the Company, the Professional or Wind Tre), as a professional, pursuant to Article 18, paragraph 1, letter b), of the Consumer Code. Wind Tre is a company active in the electronic communications sector.</w:t>
      </w:r>
    </w:p>
    <w:p>
      <w:r>
        <w:t>II. THE TRADE PRACTICE</w:t>
      </w:r>
    </w:p>
    <w:p>
      <w:r>
        <w:t>2. The proceeding concerns the presentation in the App and Customer Area of the "MIA Unlimited" offer, aimed at existing customers, in which the professional allegedly failed to clearly indicate the existence of limits on voice traffic usage and the consequences of exceeding them, namely the substitution of the offer with another called "Giga1".</w:t>
      </w:r>
    </w:p>
    <w:p>
      <w:r>
        <w:t>3. In particular, in the communication initiating the proceeding, it was contested that in the App and Customer Area the "MIA Unlimited" offer was advertised as having unlimited Giga and Minutes, without further specifications. Only by clicking on the button (called "offer details") located at the bottom of the relevant screen did a second page open where it was indicated "For all details on the offer click here"; after another click, scrolling the screen further, it read "Traffic is unlimited unless used contrary to good faith and fairness... according to what is provided in Article 6 of the General Terms and Conditions of Contract. Furthermore, as provided in Article 3.2, Wind Tre may temporarily limit the speed of the data connection (...)". The remedy (connection speed limitation) activated in case of exceeding data traffic was then indicated, while it was not</w:t>
      </w:r>
    </w:p>
    <w:p>
      <w:r>
        <w:rPr>
          <w:b/>
        </w:rPr>
        <w:t>[Pages 16–18]</w:t>
      </w:r>
    </w:p>
    <w:p>
      <w:r>
        <w:t>18 BULLETIN NO. 16 OF APRIL 22, 2024</w:t>
      </w:r>
    </w:p>
    <w:p>
      <w:r>
        <w:t>there was no mention of the remedy adopted for consumers regarding the exceeding of voice traffic limits, namely the substitution of the offer, as provided in art. 6.1.7 of the General Terms and Conditions of Contract.</w:t>
      </w:r>
    </w:p>
    <w:p>
      <w:r>
        <w:t>III. FINDINGS OF THE PROCEEDING</w:t>
      </w:r>
    </w:p>
    <w:p>
      <w:r>
        <w:t>III.1 The course of the proceeding</w:t>
      </w:r>
    </w:p>
    <w:p>
      <w:r>
        <w:t>4. Based on the information acquired for the application of the Consumer Code, on October 26, 2023, the initiation of the investigative proceeding PS12659 was ordered against Wind Tre S.p.A., hypothesizing that the described conduct could be in contrast with articles 20, 21, and 22 of the Consumer Code.</w:t>
      </w:r>
    </w:p>
    <w:p>
      <w:r>
        <w:t>5. The Professional accessed the proceeding's documents on July 26, 2023, and provided a response to the request for information formulated in the communication of the initiation of the proceeding with a memorandum received on November 14, 2023.</w:t>
      </w:r>
    </w:p>
    <w:p>
      <w:r>
        <w:t>6. With the aforementioned communication of November 14, 2023, the Company also made a proposal for commitments pursuant to art. 27, paragraph 7, of the Consumer Code and art. 9 of the Regulation.</w:t>
      </w:r>
    </w:p>
    <w:p>
      <w:r>
        <w:t>7. On December 21, 2023, the date of conclusion of the investigative phase was communicated to Wind Tre, pursuant to art. 16, paragraph 1, of the Regulation.</w:t>
      </w:r>
    </w:p>
    <w:p>
      <w:r>
        <w:t>8. On January 9, 2024, the final memorandum of the Professional was received.</w:t>
      </w:r>
    </w:p>
    <w:p>
      <w:r>
        <w:t>9. Subsequently, on January 18, 2024, the extension of the deadline for concluding the proceeding was communicated to Wind Tre.</w:t>
      </w:r>
    </w:p>
    <w:p>
      <w:r>
        <w:t>10. On February 27, 2024, the opinion of the Authority for Guarantees in Communications was received.</w:t>
      </w:r>
    </w:p>
    <w:p>
      <w:r>
        <w:t>11. The Professional transmitted the consolidated version of the commitments on March 15, 2024.</w:t>
      </w:r>
    </w:p>
    <w:p>
      <w:r>
        <w:t>III.2 The elements acquired</w:t>
      </w:r>
    </w:p>
    <w:p>
      <w:r>
        <w:t>12. In its defenses, the Professional noted that the restrictions introduced on the use of unlimited plans are due to the need to prevent abusive uses of traffic, often aimed, as determined by the Company's internal fraud Department, at telemarketing activities carried out beyond the permitted modalities.</w:t>
      </w:r>
    </w:p>
    <w:p>
      <w:r>
        <w:t>13. Wind Tre also specified that for the offers advertised with the claim "Unlimited", characterized by unlimited voice minutes and Internet traffic, the related limiting conditions were nonetheless explicitly stated both in the Tariff Transparency Sheet published on the website and in the Contract Summary that the consumer must review before signing and which constitutes an integral part of the contractual documentation. Additionally, the Professional clarified that in the event of exceeding the limits, it provides for the sending of two warning SMS to the consumer before activating the substitute offer.</w:t>
      </w:r>
    </w:p>
    <w:p>
      <w:r>
        <w:t>14. Finally, Wind Tre represented the small number of consumers for whom the change from the original offer "MIA Unlimited" to "GIGA1" was made and the number of customers who filed complaints regarding the conduct subject to the proceeding.</w:t>
      </w:r>
    </w:p>
    <w:p>
      <w:r>
        <w:t>1 Art. 6.1.7. "The exceeding of at least one of the parameters indicated above, the use in devices other than mobile phones or smartphones, where not permitted, and/or the use of Flat tariff plans to carry out activities of the type indicated above, constitutes a presumption of non-compliant use of the Service. In this case, WINDTRE will carry out the necessary checks (including possible contact with the Customer) reserving the right to suspend the Service, totally or partially. In all cases referred to in this article, WINDTRE may also communicate the substitution of the subscribed plan with another of a different type or the deactivation of the option related to anomalous traffic. The Customer will have the right to withdraw with immediate effect without the application of penalties."</w:t>
      </w:r>
    </w:p>
    <w:p>
      <w:r>
        <w:t>BULLETIN NO. 16 OF APRIL 22, 2024</w:t>
      </w:r>
    </w:p>
    <w:p>
      <w:r>
        <w:t>III.3 The commitments of the Professional</w:t>
      </w:r>
    </w:p>
    <w:p>
      <w:r>
        <w:t>15. Wind Tre submitted a proposal for commitments on November 14, 2023, subsequently supplemented in the consolidated version received on March 5, 2024, which provides for:</w:t>
      </w:r>
    </w:p>
    <w:p>
      <w:r>
        <w:t>1) the modification of the clickable link on the first screen of the App, which previously read "OFFER DETAILS", replaced with the wording "DETAILS AND LIMITATIONS", in order to highlight the existence of specific usage conditions;</w:t>
      </w:r>
    </w:p>
    <w:p>
      <w:r>
        <w:t>2) the immediate display, by clicking on "DETAILS AND LIMITATIONS", without other redirect links, of all information on "unlimited voice and data traffic" unless used contrary to the criteria of fairness and good faith, with explicit indication of all quantitative limits and the different remedies applied in case of exceeding them, respectively for voice traffic (suspension of service and modification of the tariff plan), for data traffic (limitation of connection speed), and for SMS traffic (suspension of service) (see figure no. 1 and "illustrative graphics" of the commitments reported in the form attached to this provision).</w:t>
      </w:r>
    </w:p>
    <w:p>
      <w:r>
        <w:t>Figure no. 1</w:t>
      </w:r>
    </w:p>
    <w:p>
      <w:r>
        <w:t>IV. OPINION OF THE AUTHORITY FOR GUARANTEES IN COMMUNICATIONS</w:t>
      </w:r>
    </w:p>
    <w:p>
      <w:r>
        <w:t>17. Since the commercial practice concerns an operator active in the electronic communications sector, on January 18, 2024, the opinion was requested from the Authority for Guarantees in Communications ("Agcom"), pursuant to art. 27, paragraph 1-bis, of the Consumer Code.</w:t>
      </w:r>
    </w:p>
    <w:p>
      <w:r>
        <w:t>18. In a communication dated February 27, 2024, Agcom emphasized that the issue of transparency of the offer conditions reported on websites, at sales points, and in the related contracts assumes a central role within its regulation. Consequently, Agcom represented the opportunity, "also in light of art. 27, paragraph 1-bis, of the Consumer Code, that the opinion on the case at hand be rendered in relation to the referability of the matter to cases regulated by the Electronic Communications Code or by resolutions of the Authority, while maintaining the Authority's competence to interpret the current sector regulation, to apply the sector legislation for the protection of consumers introduced by the European Framework for electronic communications networks and services and transposed into domestic law by the Electronic Communications Code and to sanction any violations."</w:t>
      </w:r>
    </w:p>
    <w:p>
      <w:r>
        <w:t>19. According to Agcom, in fact, the contested conduct would configure exclusively as a case of direct violation of the sector legislation under the competence of Agcom itself, specifically articles 98-quater decies, 98-quindecies, and 98-sedecies of the Electronic Communications Code.</w:t>
      </w:r>
    </w:p>
    <w:p>
      <w:r>
        <w:t>20. Agcom also recalled the resolutions with which the matter in question would have been subject to specific and detailed regulation (nos. 252/16/CONS, 23/23/CONS, 156/23/CONS, and 307/23/CONS).</w:t>
      </w:r>
    </w:p>
    <w:p>
      <w:r>
        <w:t>V. EVALUATION OF THE COMMITMENTS</w:t>
      </w:r>
    </w:p>
    <w:p>
      <w:r>
        <w:t>Preliminary issues</w:t>
      </w:r>
    </w:p>
    <w:p>
      <w:r>
        <w:t>21. Regarding Agcom's position, according to which the profiles of contestation of the conduct would be referable to cases regulated by the Electronic Communications Code under its own competence, the following observations are made.</w:t>
      </w:r>
    </w:p>
    <w:p>
      <w:r>
        <w:t>22. The norms of the Electronic Communications Code cited by Agcom in support of its competence concern the "Information obligations applicable to contracts" (art. 98-quater decies), "Transparency, comparison of offers, and publication of information" (art. 98-</w:t>
      </w:r>
    </w:p>
    <w:p>
      <w:r>
        <w:rPr>
          <w:b/>
        </w:rPr>
        <w:t>[Pages 19–21]</w:t>
      </w:r>
    </w:p>
    <w:p>
      <w:r>
        <w:t>BULLETIN NO. 16 OF APRIL 22, 2024</w:t>
      </w:r>
    </w:p>
    <w:p>
      <w:r>
        <w:t>quindecies3) and the "Quality of services related to internet access and publicly accessible interpersonal communication services" (art. 98-sedecies4).</w:t>
      </w:r>
    </w:p>
    <w:p>
      <w:r>
        <w:t>23. Similarly, the resolutions referred to by Agcom concern tariff transparency "limited to adhesion contracts" (resolution no. 252/16/CONS, art. 2, paragraphs 1 and 2), the quality and service cards of mobile and personal communications, and the quality and service cards of electronic communications accessible from fixed locations (respectively, resolution 23/23/CONS and resolution 156/23/CONS), the protection of end users regarding contracts for the provision of electronic communications services (resolution no. 307/23/CONS).</w:t>
      </w:r>
    </w:p>
    <w:p>
      <w:r>
        <w:t>24. The proceeding in question, on the other hand, concerns the web advertising (specifically via App and/or Customer Area) of Wind Tre's commercial offer "MIA Unlimited".</w:t>
      </w:r>
    </w:p>
    <w:p>
      <w:r>
        <w:t>25. In particular, the Professional was accused of failing to clearly indicate the existence of usage limits on voice traffic and the consequences of exceeding them (the substitution of the offer with another called "Giga1") in the presentation of this offer in the App and/or Customer Area, which is aimed at existing customers.</w:t>
      </w:r>
    </w:p>
    <w:p>
      <w:r>
        <w:t>26. It is therefore evident that, as the investigation focuses on the information provided by the professional in the App during the pre-contractual phase - and not on the text of the contractual conditions, the contents of the tariff transparency sheets that professionals in the sector are required to publish, or on the quality of the services offered by operators - the competence to assess its clarity and completeness is entrusted to the Authority.</w:t>
      </w:r>
    </w:p>
    <w:p>
      <w:r>
        <w:t>27. In fact, the scope of application of the Consumer Code, due to its horizontal nature and the breadth of the notion of commercial practice, extends to all activities carried out by professionals towards users of electronic communications services before, during, and after the commercial transaction. In this case, the subject of the investigation is the advertising message disseminated by the professional regarding the "MIA Unlimited" offer, presented as having unlimited Giga and Minutes without disclosing to potential buyers the limits and conditions.</w:t>
      </w:r>
    </w:p>
    <w:p>
      <w:r>
        <w:t>28. The contested conduct, in particular, could translate into violations of specific provisions of the Consumer Code, constituting a misleading commercial practice in violation of articles 20, 21, and 22 of the same Code, as it is contrary to professional diligence and susceptible, through actions and informational omissions, to alter in the pre-contractual phase the economic choices of consumers regarding the subscription to the "MIA Unlimited" offer.</w:t>
      </w:r>
    </w:p>
    <w:p>
      <w:r>
        <w:t>29. From an enforcement perspective, art. 27, paragraph 1-bis, of the Consumer Code identifies a general criterion for the preventive allocation of competences between AGCM and the Supervisory Authority in all regulated sectors, assigning exclusively to AGCM the enforcement regarding all conduct that leads to an unfair commercial practice, including those that simultaneously integrate the violation of a sector rule. In fact, consumer protection legislation does not apply "only when provisions external to it, governing specific aspects of unfair commercial practices, impose on professionals, without any margin of maneuver, obligations incompatible with those established by Directive 2005/29" (Court of Justice EU, September 13, 2018, C-54/17 and C/55/17)5.</w:t>
      </w:r>
    </w:p>
    <w:p>
      <w:r>
        <w:t>30. Moreover, in this case, there does not seem to be a violation of a sector rule since the indicated limiting conditions of the "MIA Unlimited" offer were nonetheless explicitly stated in the Tariff Transparency Sheet published on the professional's website and in an article of the General Terms and Conditions of Contract.</w:t>
      </w:r>
    </w:p>
    <w:p>
      <w:r>
        <w:t>31. In light of the above, the Authority has the competence to evaluate the case subject to the proceeding, consisting of the advertising message related to the commercial offer "MIA Unlimited", as well as the measures proposed by Wind Tre to address the misleading aspects raised at the outset.</w:t>
      </w:r>
    </w:p>
    <w:p>
      <w:r>
        <w:t>Assessment of commitments</w:t>
      </w:r>
    </w:p>
    <w:p>
      <w:r>
        <w:t>32. In presenting offers characterized by claims of unlimitedness, information regarding the limits and conditions to which the service is subject, as well as the measures that may be taken in case of their exceeding - even if functional to prevent "abusive" use - must be provided to consumers in an immediate and understandable manner.</w:t>
      </w:r>
    </w:p>
    <w:p>
      <w:r>
        <w:t>33. In this context, the Authority believes that the commitments made by the professional are suitable to remedy the possible critical aspects of the contested commercial practice.</w:t>
      </w:r>
    </w:p>
    <w:p>
      <w:r>
        <w:t>34. In this regard, the measures already implemented by Wind Tre make immediately available, at the time of presenting the "MIA Unlimited" offer on the App and in the Customer Area, information regarding the existence of usage limits of the tariff plan in its voice component and the actual consequences of violating such limits, namely the substitution of the offer as provided in art. 6.1.7 of the General Terms and Conditions of Contract.</w:t>
      </w:r>
    </w:p>
    <w:p>
      <w:r>
        <w:t>35. In fact, as can be seen from the "illustrative graphic" of the commitments included in the form attached to this provision, the consumer is now immediately informed about the conditions of use of the service and the limitations on voice traffic. In particular, already on the first screen, there is a button "DETAILS AND LIMITATIONS", clicking which leads directly to the information regarding the limits, with a link to art. 6 of the GTC.</w:t>
      </w:r>
    </w:p>
    <w:p>
      <w:r>
        <w:t>36. Similarly, the 'remedies' that the company activates in response to exceeding the limits on voice traffic (substitution of the plan), internet traffic (speed limitation), and SMS traffic (service suspension) are also indicated there - with immediate visibility.</w:t>
      </w:r>
    </w:p>
    <w:p>
      <w:r>
        <w:t>CONSIDERING, therefore, that the commitments presented by Wind Tre S.p.A., in the terms outlined above, are suitable to eliminate the possible aspects of unfairness of the commercial practice subject to investigation;</w:t>
      </w:r>
    </w:p>
    <w:p>
      <w:r>
        <w:t>CONSIDERING to impose the obligation of the aforementioned commitments on Wind Tre S.p.A.;</w:t>
      </w:r>
    </w:p>
    <w:p>
      <w:r>
        <w:t>CONSIDERING, therefore, that it is possible to close the proceeding without establishing the infringement</w:t>
      </w:r>
    </w:p>
    <w:p>
      <w:r>
        <w:t>RESOLUTION</w:t>
      </w:r>
    </w:p>
    <w:p>
      <w:r>
        <w:t>a) to make mandatory, pursuant to art. 27, paragraph 7, of the Consumer Code and art. 9, paragraph 2, letter a), of the Regulation, against Wind Tre S.p.A. the commitments presented by it in their definitive version on March 15, 2024, as described in the attached Form, which constitutes an integral part of the provision;</w:t>
      </w:r>
    </w:p>
    <w:p>
      <w:r>
        <w:t>b) to close the proceeding without establishing the infringement, pursuant to art. 27, paragraph 7, of the Consumer Code and art. 9, paragraph 2, letter a), of the Regulation.</w:t>
      </w:r>
    </w:p>
    <w:p>
      <w:r>
        <w:t>Pursuant to art.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r>
    </w:p>
    <w:p>
      <w:r>
        <w:t>Guido Stazi Roberto Rustichelli</w:t>
      </w:r>
    </w:p>
    <w:p>
      <w:r>
        <w:rPr>
          <w:b/>
        </w:rPr>
        <w:t>[Pages 22–24]</w:t>
      </w:r>
    </w:p>
    <w:p>
      <w:r>
        <w:t>24 BULLETIN NO. 16 OF APRIL 22, 2024</w:t>
      </w:r>
    </w:p>
    <w:p>
      <w:r>
        <w:t>PS12743 – ENEL ENERGIA – COMMUNICATION METHODS FOR RENEWALS</w:t>
      </w:r>
    </w:p>
    <w:p>
      <w:r>
        <w:t>Notice of initiation of investigative proceeding</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no. 25411, in relation to proceeding PS12743.</w:t>
      </w:r>
    </w:p>
    <w:p>
      <w:r>
        <w:t>I. THE PARTY</w:t>
      </w:r>
    </w:p>
    <w:p>
      <w:r>
        <w:t>The company Enel Energia S.p.A. as a professional pursuant to Article 18, letter b) of the Consumer Code, provider of electricity and gas services in the free market.</w:t>
      </w:r>
    </w:p>
    <w:p>
      <w:r>
        <w:t>II. THE COMMERCIAL PRACTICE</w:t>
      </w:r>
    </w:p>
    <w:p>
      <w:r>
        <w:t>Since January 2024, the Authority has received numerous and continuous complaints (over 600) from individual consumers and microenterprises, also through consumer associations, alleging that they received, during the billing cycles for the four-month period from October 2023 to January 2024, bills reflecting a significant increase in the price of gas and electricity supplies compared to the bills for the same period in the previous year.</w:t>
      </w:r>
    </w:p>
    <w:p>
      <w:r>
        <w:t>In particular, the complainants report, in addition to the difficulty of sustaining quadrupled or quintupled expenses compared to the past, that they did not receive any prior written information (via email or paper) from Enel Energia regarding the contract renewal and therefore could not exercise the right of withdrawal, nor choose a different energy supplier.</w:t>
      </w:r>
    </w:p>
    <w:p>
      <w:r>
        <w:t>Some users report regularly receiving invoices via email (or on the app), but did not receive any communication regarding the renewal of the economic conditions through the aforementioned channels and found by chance in the spam folder an email from Enel Energia, to which the communication of renewal, following the expiration, of the economic supply conditions was attached. According to the complainants, the email in question would have been "artfully crafted to be intercepted by the anti-spam filter" also due to the prominence of the graphic part; it indeed lent itself to being interpreted as a mere promotional message and not as a document having a significant impact on the supply contract, considering that neither in the heading nor in the text of said email was there any indication of its subject (i.e., the modification of the economic conditions).</w:t>
      </w:r>
    </w:p>
    <w:p>
      <w:r>
        <w:t>III. NOTICE</w:t>
      </w:r>
    </w:p>
    <w:p>
      <w:r>
        <w:t>Through this notice, the interested parties who have submitted a request for intervention pursuant to Article 4 of the Regulation are informed that, with communication of April 3, 2024, prot. no. 35896, an investigative proceeding has been initiated against the professional, aimed at ascertaining any violation of Articles 20, 24, and 25 of the Consumer Code.</w:t>
      </w:r>
    </w:p>
    <w:p>
      <w:r>
        <w:t>It is also informed that the interested parties have the right to intervene in the ongoing proceeding by submitting a specific act, duly signed, containing the elements indicated in Article 10 of the Regulation.</w:t>
      </w:r>
    </w:p>
    <w:p>
      <w:r>
        <w:t>For any communication addressed to the Authority regarding the proceeding in question, please refer to the Transport, Energy and Environment Directorate of the Consumer Protection Department and the reference PS12743.</w:t>
      </w:r>
    </w:p>
    <w:p>
      <w:r>
        <w:t>26 BULLETIN NO. 16 OF APRIL 22, 2024</w:t>
      </w:r>
    </w:p>
    <w:p>
      <w:r>
        <w:t>VARIOUS</w:t>
      </w:r>
    </w:p>
    <w:p>
      <w:r>
        <w:t>FINAL ACCOUNT FOR THE 2023 FINANCIAL YEAR</w:t>
      </w:r>
    </w:p>
    <w:p>
      <w:r>
        <w:t>Provision no. 31152</w:t>
      </w:r>
    </w:p>
    <w:p>
      <w:r>
        <w:t>THE ANTITRUST AUTHORITY</w:t>
      </w:r>
    </w:p>
    <w:p>
      <w:r>
        <w:t>IN ITS MEETING of April 3, 2024;</w:t>
      </w:r>
    </w:p>
    <w:p>
      <w:r>
        <w:t>HAVING REGARD to Law No. 287 of October 10, 1990, and in particular Article 10, paragraph 7;</w:t>
      </w:r>
    </w:p>
    <w:p>
      <w:r>
        <w:t>HAVING REGARD to Article 39 of the Regulation governing the accounting autonomy of the Authority, published in the Authority's Official Bulletin no. 40 of November 9, 2015 (hereinafter "Regulation"), concerning the Final Account;</w:t>
      </w:r>
    </w:p>
    <w:p>
      <w:r>
        <w:t>HAVING REGARD to the Final Account for the 2023 financial year consisting of the documents listed below, prepared by the General Administration Directorate - Budget and Accounting Directorate pursuant to Article 33 of the Regulation:</w:t>
      </w:r>
    </w:p>
    <w:p>
      <w:r>
        <w:t>Section 1: explanatory report</w:t>
        <w:br/>
        <w:t>Section 2: explanatory note</w:t>
        <w:br/>
        <w:t>- revenues</w:t>
        <w:br/>
        <w:t>- expenses</w:t>
        <w:br/>
        <w:t>- analysis of the main expenditure items</w:t>
        <w:br/>
        <w:t>- expected budget indicators</w:t>
        <w:br/>
        <w:t>Section 3: financial statement</w:t>
        <w:br/>
        <w:t>- changes made during 2023 to the appropriations of the 2023 budget</w:t>
        <w:br/>
        <w:t>- composition of active and passive residuals by amount and year of formation</w:t>
        <w:br/>
        <w:t>- resolution for the re-examination of residuals</w:t>
        <w:br/>
        <w:t>- movements of the reserve fund</w:t>
        <w:br/>
        <w:t>- movements related to the T.F.R., I.F.R. and lump sum funds</w:t>
        <w:br/>
        <w:t>Section 4: economic and asset accounting</w:t>
        <w:br/>
        <w:t>- income statement</w:t>
        <w:br/>
        <w:t>- balance sheet</w:t>
        <w:br/>
        <w:t>Section 5: administrative situation</w:t>
        <w:br/>
        <w:t>- administrative situation as of December 31, 2023</w:t>
        <w:br/>
        <w:t>- financial situation as of December 31, 2023</w:t>
        <w:br/>
        <w:t>- allocation of the surplus of administration verified as of December 31, 2023</w:t>
        <w:br/>
        <w:t>Section 6: consistency between the Authority's records and the SIOPE data statements</w:t>
        <w:br/>
        <w:t>- report</w:t>
        <w:br/>
        <w:t>Financial statement schedules at the II level of revenues and expenditures</w:t>
        <w:br/>
        <w:t>Financial statement schedule at the II level of expenditures with missions and programs</w:t>
        <w:br/>
        <w:t>Financial statement schedules at the V level of revenues and expenditures</w:t>
        <w:br/>
        <w:t>Financial statement schedule at the V level of expenditures with missions and programs;</w:t>
      </w:r>
    </w:p>
    <w:p>
      <w:r>
        <w:t>HAVING REGARD to the favorable opinion on the Final Account for the 2023 financial year expressed by the Board of Auditors on March 27, 2024, pursuant to paragraph 2, of Article 39, of the Regulation;</w:t>
      </w:r>
    </w:p>
    <w:p>
      <w:r>
        <w:t>HAVING REGARD to Article 28, paragraph 9, of Law No. 448 of December 28, 2001, which provides for the publication of the final accounts of independent Authorities attached to the expenditure forecast of the Ministry of Economy and Finance;</w:t>
      </w:r>
    </w:p>
    <w:p>
      <w:r>
        <w:rPr>
          <w:b/>
        </w:rPr>
        <w:t>[Pages 25–26]</w:t>
      </w:r>
    </w:p>
    <w:p>
      <w:r>
        <w:t>BULLETIN NO. 16 OF APRIL 22, 2024 27</w:t>
      </w:r>
    </w:p>
    <w:p>
      <w:r>
        <w:t>HAVING REGARD to Legislative Decree No. 33 of March 14, 2013, as last amended by Legislative Decree No. 97 of May 25, 2016, concerning the "Reorganization of the regulations regarding the right of civic access and the obligations of publicity, transparency, and dissemination of information by public administrations," which in Article 29, paragraph 1, provides that "... public administrations publish the documents and attachments of the budget and the final accounts within thirty days of their adoption, as well as the data relating to the budget and the final accounts in a synthetic, aggregated, and simplified form, also using graphical representations, in order to ensure full accessibility and comprehensibility.";</w:t>
      </w:r>
    </w:p>
    <w:p>
      <w:r>
        <w:t>RESOLVES</w:t>
      </w:r>
    </w:p>
    <w:p>
      <w:r>
        <w:t>1. to approve the final accounts of the Competition and Market Authority for the fiscal year 2023 as well as the statements referred to in the preamble, attached to this resolution;</w:t>
      </w:r>
    </w:p>
    <w:p>
      <w:r>
        <w:t>2. to transmit this resolution, accompanied by the final accounts for the fiscal year 2023:</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r>
    </w:p>
    <w:p>
      <w:r>
        <w:t>3. to publish this resolution and the financial statements for decision-making and management for the fiscal year 2023 in the Official Gazette of the Italian Republic and on the institutional website of the Authority.</w:t>
      </w:r>
    </w:p>
    <w:p>
      <w:r>
        <w:t>THE SECRETARY GENERAL THE PRESIDENT</w:t>
        <w:br/>
        <w:t>Guido Stazi Roberto Rustichelli</w:t>
      </w:r>
    </w:p>
    <w:p>
      <w:r>
        <w:t>Competition and Market Authority Weekly Bulletin</w:t>
        <w:br/>
        <w:t>Year XXXIV - No. 16 - 2024</w:t>
        <w:br/>
        <w:t>Editorial Coordination Giulia Antenucci</w:t>
        <w:br/>
        <w:t>Editorial Staff Angela D’Auria, Valerio Ruocco, Manuela Villani</w:t>
        <w:br/>
        <w:t>Competition and Market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