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https://www.agcm.it/dotcmsdoc/bollettini/2026/16-26.pdf</w:t>
      </w:r>
    </w:p>
    <w:p>
      <w:r>
        <w:t>Pages translated : 25</w:t>
      </w:r>
    </w:p>
    <w:p/>
    <w:p>
      <w:r>
        <w:rPr>
          <w:b/>
        </w:rPr>
        <w:t>[Pages 1–3]</w:t>
      </w:r>
    </w:p>
    <w:p>
      <w:r>
        <w:t>Bulletin</w:t>
        <w:br/>
        <w:t>Weekly</w:t>
        <w:br/>
        <w:t>Year XXXVI - No. 16</w:t>
        <w:br/>
        <w:t>Published on the website www.agcm.it</w:t>
        <w:br/>
        <w:t>April 20, 2026</w:t>
      </w:r>
    </w:p>
    <w:p>
      <w:r>
        <w:t>SUMMARY</w:t>
        <w:br/>
        <w:t>AGREEMENTS AND ABUSE OF DOMINANT POSITION 5</w:t>
        <w:br/>
        <w:t>I868 - BYOOVIZ/FAILURE TO MARKET</w:t>
        <w:br/>
        <w:t>Measure No. 31917 5</w:t>
        <w:br/>
        <w:t>CONCENTRATION OPERATIONS 6</w:t>
        <w:br/>
        <w:t>C12586B - IGNAZIO MESSINA &amp; C./TERMINAL SAN GIORGIO</w:t>
        <w:br/>
        <w:t>Measure No. 31914 6</w:t>
        <w:br/>
        <w:t>C12807 - FERROVIE DELLO STATO ITALIANE/BRANCH OF PIZZAROTTI &amp; C.</w:t>
        <w:br/>
        <w:t>Measure No. 31915 8</w:t>
        <w:br/>
        <w:t>C12808 - MEDLOG HOLDING ITALIA/MVN</w:t>
        <w:br/>
        <w:t>Measure No. 31916 13</w:t>
        <w:br/>
        <w:t>REPORTING AND ADVISORY ACTIVITIES 18</w:t>
        <w:br/>
        <w:t>AS2162 – MUNICIPALITY OF MILAN - ASSIGNMENT OF BUS PARKING SPACES FOR AIRPORT CONNECTION 18</w:t>
        <w:br/>
        <w:t>AS2163 - MUNICIPALITY OF BARI - SPL 2025 SURVEY 21</w:t>
      </w:r>
    </w:p>
    <w:p>
      <w:r>
        <w:t>BULLETIN NO. 16 OF APRIL 20, 2026 5</w:t>
        <w:br/>
        <w:t>AGREEMENTS AND ABUSE OF DOMINANT POSITION</w:t>
        <w:br/>
        <w:t>I868 - BYOOVIZ/FAILURE TO MARKET</w:t>
        <w:br/>
        <w:t>Measure No. 31917</w:t>
        <w:br/>
        <w:t>THE COMPETITION AND MARKET AUTHORITY</w:t>
        <w:br/>
        <w:t>IN ITS MEETING of March 31, 2026;</w:t>
        <w:br/>
        <w:t>HEARD the Rapporteur, Professor Elisabetta Iossa;</w:t>
        <w:br/>
        <w:t>HAVING REGARD to the law of October 10, 1990, No. 287;</w:t>
        <w:br/>
        <w:t>HAVING REGARD to the D.P.R. of April 30, 1998, No. 217;</w:t>
        <w:br/>
        <w:t>HAVING REGARD to its measure No. 31213 of May 21, 2024, initiating an investigation against Samsung Bioepis Co. Ltd, Samsung Bioepis NL B.V., Biogen Inc., Biogen Italia S.r.l., Genentech Inc., Novartis AG, Novartis Europharm Ltd., and Novartis Farma S.p.A., to ascertain the existence of violations of Article 101, paragraph 1, TFEU;</w:t>
        <w:br/>
        <w:t>HAVING REGARD to its measure No. 31618 of July 1, 2025, extending the subject matter of the proceedings against Novartis Pharma AG, Biogen MA Inc., and Biogen International GmbH;</w:t>
        <w:br/>
        <w:t>HAVING REGARD to the documents of the proceedings;</w:t>
        <w:br/>
        <w:t>CONSIDERING it necessary to replace the person responsible for the proceedings due to subsequent organizational needs:</w:t>
        <w:br/>
        <w:t>RESOLVES</w:t>
        <w:br/>
        <w:t>to replace Dr. Lara Magnani with Dr. Margherita Anchini as the person responsible for the proceedings.</w:t>
        <w:br/>
        <w:t>This measure will be notified to the interested parties and published in the Bulletin of the Competition and Market Authority.</w:t>
        <w:br/>
        <w:t>THE SECRETARY GENERAL THE PRESIDENT</w:t>
        <w:br/>
        <w:t>Guido Stazi Roberto Rustichelli</w:t>
      </w:r>
    </w:p>
    <w:p>
      <w:r>
        <w:rPr>
          <w:b/>
        </w:rPr>
        <w:t>[Pages 4–6]</w:t>
      </w:r>
    </w:p>
    <w:p>
      <w:r>
        <w:t>6 BULLETIN NO. 16 OF APRIL 20, 2026</w:t>
        <w:br/>
        <w:t>CONCENTRATION OPERATIONS</w:t>
        <w:br/>
        <w:t>C12586B - IGNAZIO MESSINA &amp; C./TERMINAL SAN GIORGIO</w:t>
        <w:br/>
        <w:t>Measure no. 31914</w:t>
        <w:br/>
        <w:t>THE COMPETITION AND MARKET AUTHORITY</w:t>
        <w:br/>
        <w:t>IN ITS MEETING of March 31, 2026;</w:t>
        <w:br/>
        <w:t>HEARD the Rapporteur, Professor Elisabetta Iossa;</w:t>
        <w:br/>
        <w:t>HAVING REGARD to the law of October 10, 1990, no. 287 and, in particular, article 16, paragraph 8, which governs the extension of the deadline for the conclusion of the investigation initiated in relation to a concentration operation;</w:t>
        <w:br/>
        <w:t>HAVING REGARD to the D.P.R. of April 30, 1998, no. 217;</w:t>
        <w:br/>
        <w:t>HAVING REGARD to its resolution of January 27, 2026, with which an investigation was initiated, pursuant to article 16, paragraph 4, of law no. 287/1990, against the companies Ignazio Messina &amp; C. S.p.A. and Terminal San Giorgio S.r.l.;</w:t>
        <w:br/>
        <w:t>HAVING REGARD to the request of March 18, 2026, with which information necessary for the evaluation of the concentration operation was requested from Ignazio Messina &amp; C. S.p.A., pursuant to article 16-bis of law no. 287/1990 and article 9, paragraph 1 of D.P.R. no. 217/1998, to be transmitted by March 24, 2026;</w:t>
        <w:br/>
        <w:t>HAVING REGARD to the communication received from Ignazio Messina &amp; C. S.p.A. on March 19, 2026, in which the aforementioned company represented the impossibility of providing the requested data within the established timeframe, considering the high degree of complexity of the requested information and the time necessary for the processing of said data;</w:t>
        <w:br/>
        <w:t>CONSIDERING that the requested information, necessary for the evaluation of the case, cannot be acquired within the established terms and, therefore, fully evaluated by the current deadline for the conclusion of the procedure;</w:t>
        <w:br/>
        <w:t>CONSIDERED, therefore, necessary to extend the deadline for the conclusion of the procedure pursuant to article 16, paragraph 8, of law no. 287/1990;</w:t>
        <w:br/>
        <w:t>RESOLVES</w:t>
        <w:br/>
        <w:t>to extend the deadline for the conclusion of the procedure to May 27, 2026.</w:t>
        <w:br/>
        <w:t>This provision will be notified to the parties concerned pursuant to article 16, paragraph 3, of D.P.R. no. 217/1998.</w:t>
      </w:r>
    </w:p>
    <w:p>
      <w:r>
        <w:t>BULLETIN NO. 16 OF APRIL 20, 2026</w:t>
        <w:br/>
        <w:t>This provision will be published in the Bulletin of the Italian Competition Authority.</w:t>
        <w:br/>
        <w:t>THE SECRETARY GENERAL THE PRESIDENT</w:t>
        <w:br/>
        <w:t>Guido Stazi Roberto Rustichelli</w:t>
      </w:r>
    </w:p>
    <w:p>
      <w:r>
        <w:t>BULLETIN NO. 16 OF APRIL 20, 2026</w:t>
        <w:br/>
        <w:t>C12807 - FERROVIE DELLO STATO ITALIANE/RAMO DI AZIENDA DI IMPRESA PIZZAROTTI &amp; C.</w:t>
        <w:br/>
        <w:t>Measure no. 31915</w:t>
        <w:br/>
        <w:t>THE COMPETITION AND MARKET AUTHORITY</w:t>
        <w:br/>
        <w:t>IN ITS MEETING of March 31, 2026;</w:t>
        <w:br/>
        <w:t>HEARD the Rapporteur, Saverio Valentino;</w:t>
        <w:br/>
        <w:t>HAVING REGARD to Regulation (EC) No. 139/2004;</w:t>
        <w:br/>
        <w:t>HAVING REGARD to the law of October 10, 1990, no. 287;</w:t>
        <w:br/>
        <w:t>HAVING REGARD to the D.P.R. of April 30, 1998, no. 217;</w:t>
        <w:br/>
        <w:t>HAVING REGARD to the communication received from Ferrovie dello Stato S.p.A. on March 4, 2026;</w:t>
        <w:br/>
        <w:t>HAVING REGARD to the documentation on file;</w:t>
        <w:br/>
        <w:t>CONSIDERING the following:</w:t>
        <w:br/>
        <w:t>I. THE PARTIES</w:t>
        <w:br/>
        <w:t>1. Ferrovie dello Stato Italiane S.p.A. (hereinafter, “FS”; C.F. 06359501001), is the holding company of the eponymous group (hereinafter, “FS Group”). The companies of the FS Group primarily operate in the sectors of passenger and freight rail transport (both in Italy and abroad), passenger transport by road, logistics services, and the management of railway and road infrastructures. The entire share capital of FS is held by the Italian State, through the Ministry of Economy and Finance.</w:t>
        <w:br/>
        <w:t>The FS Group controls multiple companies, including, for what is relevant to this concentration operation, FS Engineering S.p.A. (formerly Italferr S.p.A.), active in the field of large infrastructure projects, Infrarail S.r.l., which provides engineering services and carries out construction activities related to railway infrastructure, and CREW-Cremonesi Workshop S.r.l., active in the design and construction of building complexes, transport infrastructures, and urban redevelopment of significance.</w:t>
        <w:br/>
        <w:t>In 2024, the FS Group achieved a turnover of approximately [10-20]* billion euros, almost entirely in Italy.</w:t>
        <w:br/>
        <w:t>2. The Business Branch of Impresa Pizzarotti &amp; C. S.p.A. (hereinafter, “Business Branch”) is a business complex of Impresa Pizzarotti &amp; C. S.p.A. (hereinafter, “Pizzarotti”), a joint-stock company controlled by the holding Mipien S.p.A., which is one of the main Italian groups in the construction of infrastructures, building, facility management, prefabricated structures, and complex infrastructural works, including those of a railway nature.</w:t>
        <w:br/>
        <w:t>*In this version, some data are omitted, as elements of confidentiality or secrecy of the information were deemed to exist.</w:t>
      </w:r>
    </w:p>
    <w:p>
      <w:r>
        <w:rPr>
          <w:b/>
        </w:rPr>
        <w:t>[Pages 7–9]</w:t>
      </w:r>
    </w:p>
    <w:p>
      <w:r>
        <w:t>BULLETIN NO. 16 OF APRIL 20, 2026</w:t>
      </w:r>
    </w:p>
    <w:p>
      <w:r>
        <w:t>3. In particular, the Business Branch is active in the design and construction of railway infrastructures1, and consists, among other things, of the shares and participations held by Pizzarotti in the purpose entities (consortia and consortium companies, as well as in Temporary Business Aggregations) established for the execution of public works entrusted by Rete Ferroviaria Italiana S.p.A. (hereinafter, “RFI”)2. The Pizzarotti Business Branch, in 2024, generated a turnover of approximately [100-582] million euros in Italy.</w:t>
      </w:r>
    </w:p>
    <w:p>
      <w:r>
        <w:t>II. DESCRIPTION OF THE OPERATION</w:t>
      </w:r>
    </w:p>
    <w:p>
      <w:r>
        <w:t>4. The notified operation (hereinafter, “Operation”) consists of the acquisition by FS of exclusive control of the Business Branch and will take place through the purchase of a purpose company, established by Pizzarotti (hereinafter, “NewCo”), following the contribution of its Business Branch into it. Therefore, as a result of the Operation, FS will hold the entire share capital of NewCo, exercising exclusive control over it and over the Business Branch contributed to it.</w:t>
      </w:r>
    </w:p>
    <w:p>
      <w:r>
        <w:t>5. The acquisition occurs within the framework of a negotiated procedure for the composition of the corporate crisis initiated by Impresa Pizzarotti in January 2025, in which FS is reported to have submitted the only binding and irrevocable offer.</w:t>
      </w:r>
    </w:p>
    <w:p>
      <w:r>
        <w:t>6. A non-solicitation agreement is provided for, lasting [omitted] years, starting from the date of closing. Under this agreement, Pizzarotti commits to [omitted].</w:t>
      </w:r>
    </w:p>
    <w:p>
      <w:r>
        <w:t>III. QUALIFICATION OF THE OPERATION</w:t>
      </w:r>
    </w:p>
    <w:p>
      <w:r>
        <w:t>7. The Operation constitutes a concentration pursuant to Article 5, paragraph 1, letter b), of Law No. 287/1990 as it aims at acquiring exclusive control of a company. It falls within the scope of application of Law No. 287/1990, as the conditions referred to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582 million euros and the total turnover achieved, in the last financial year at the national level, by at least two of the companies involved was over 35 million euros.</w:t>
      </w:r>
    </w:p>
    <w:p>
      <w:r>
        <w:t>8. The non-solicitation agreement described in the previous paragraph can be considered directly connected and necessary for the realization of the Operation, as it is functional to safeguarding the value of the acquired company, provided that it is temporally limited to a period of two years3.</w:t>
      </w:r>
    </w:p>
    <w:p>
      <w:r>
        <w:t>IV. EVALUATION OF THE OPERATION</w:t>
      </w:r>
    </w:p>
    <w:p>
      <w:r>
        <w:t>Relevant markets</w:t>
      </w:r>
    </w:p>
    <w:p>
      <w:r>
        <w:t>9. Considering the activity of the Business Branch subject to acquisition, the Operation concerns the sector of design and construction of public works4. Given the activity carried out by the Business Branch, the market mainly concerns the construction of roads and highways, bridges, arches, viaducts, railways, subways, and hydraulic works5.</w:t>
      </w:r>
    </w:p>
    <w:p>
      <w:r>
        <w:t>10. Since the Authority has previously considered a perimeter including all works of design and construction of roads and highways, bridges, arches, viaducts, railways, subways, and hydraulic works, due to the specialization of the Business Branch, for purely precautionary purposes, it is also possible to consider a differentiation between infrastructures for railway transport – in which FS would effectively be a monopsonist, as the manager of the Italian railway network – compared to that for civil and industrial engineering works. In fact, in the case at hand, the target carries out specific activities related to railway infrastructures for which FS is effectively the only buyer. In any case, for the purposes of evaluating the Operation, it does not seem necessary to establish whether the activity of designing and constructing traditional railway works identifies a distinct product market, considering that, even in the most restrictive hypothesis, the assessment of the effects does not change.</w:t>
      </w:r>
    </w:p>
    <w:p>
      <w:r>
        <w:t>11. From a geographical point of view, following the established national orientation, the market for the design and construction of public works is considered to be at least national6, due to the homogeneity in the general conditions of access and conduct of the related tenders.</w:t>
      </w:r>
    </w:p>
    <w:p>
      <w:r>
        <w:t>The effects of the Operation</w:t>
      </w:r>
    </w:p>
    <w:p>
      <w:r>
        <w:t>12. The Operation does not appear to be capable of producing distortive effects on competition.</w:t>
      </w:r>
    </w:p>
    <w:p>
      <w:r>
        <w:t>13. In particular, from a horizontal perspective, regarding the market for the design and construction of public works, the Operation will entail a limited horizontal overlap between the activities of the Parties. In fact, the combined shares of the Parties, at the national level, are below [1-5%] both in Italy and in the European Union, in a context where several other qualified competitors operate (such as WeBuild, Salcef Group, Itinera, Ghella). Furthermore, the Pizzarotti Business Branch is active with a marginal share of less than 1%.</w:t>
      </w:r>
    </w:p>
    <w:p>
      <w:r>
        <w:t>14. Moreover, considering a narrower product definition, related to the design and construction of works in the railway sector alone with a geographical dimension coinciding with Italy, the joint share of the Parties is [5-10%], with an increase in shares due to the Business Branch of [1-5%].</w:t>
      </w:r>
    </w:p>
    <w:p>
      <w:r>
        <w:t>15. From the internal documentation of FS, it emerges that the purpose of the Operation is to ensure the continuity of the railway contracts already awarded to the Business Branch, to avoid the risk of compromising the investment plan on railway infrastructure.</w:t>
      </w:r>
    </w:p>
    <w:p>
      <w:r>
        <w:t>16. That said, from a vertical perspective, the Operation does not produce significant effects on competition. In fact, the entity resulting from the Operation will neither have the incentive nor the ability to determine a foreclosure strategy.</w:t>
      </w:r>
    </w:p>
    <w:p>
      <w:r>
        <w:t>17. Firstly, it is noted that the Business Branch includes only the business complex related to the contracts of RFI and not elements referable to the other activities of Pizzarotti. Therefore, the Operation effectively determines the integration of the activities already provided in favor of FS, and this excludes effects of foreclosure of the factors of production, or towards the demand for construction services for infrastructures.</w:t>
      </w:r>
    </w:p>
    <w:p>
      <w:r>
        <w:t>18. Secondly, the turnover of the Business Branch represents less than [1-5%] of the total contracts related to the railway infrastructures of FS, thus satisfying only a marginal part of FS's overall needs.</w:t>
      </w:r>
    </w:p>
    <w:p>
      <w:r>
        <w:t>19. Therefore, it is not believed that as a result of the Operation there could be a foreclosure of outlets, towards the competing operators of the Business Branch active in the design and construction of infrastructural works, even considering the more restricted and specialized areas of the sector. In this sense, even prospectively, it is not believed that the Business Branch could absorb a significant part of FS's demand as the internal documentation shows that, with reference to the railway infrastructure investment plan, the production capacity of the Business Branch could satisfy less than [1-5%] of the investment plan of the railway network7. This is also demonstrated by the fact that the perimeter of the Business Branch is identified by the contracts already awarded, moreover in consortium with other companies. In summary, the Business Branch represents a minimal share of FS's needs, even in prospective terms, and it is therefore unlikely that it could have the capacity and incentives to foreclose the competitors of the Business Branch (foreclosure of downstream outlets). Furthermore, as previously highlighted, the operation does not appear to create risks of foreclosure of inputs, as the Business Branch already exclusively serves FS, which is therefore the only demand served by it. On the contrary, this operation is attributable to a logic of internalizing the operational capacities necessary to meet FS's needs in order to ensure the continuity of the railway contracts already awarded to the Business Branch.</w:t>
      </w:r>
    </w:p>
    <w:p>
      <w:r>
        <w:t>20. Therefore, the Operation is not likely to significantly alter the competitive structure of the market in question.</w:t>
      </w:r>
    </w:p>
    <w:p>
      <w:r>
        <w:t>CONSIDERING, therefore, that the Operation does not significantly impede effective competition in the relevant markets, pursuant to Article 6, paragraph 1, of Law No. 287/1990, and does not result in the establishment or strengthening of a dominant position;</w:t>
      </w:r>
    </w:p>
    <w:p>
      <w:r>
        <w:t>CONSIDERING, furthermore, that the non-solicitation agreement described above can be qualified as ancillary to the Operation only within the limits indicated above and that the Authority reserves the right to evaluate, where the conditions exist, the aforementioned clauses that may occur beyond those limits;</w:t>
      </w:r>
    </w:p>
    <w:p>
      <w:r>
        <w:rPr>
          <w:b/>
        </w:rPr>
        <w:t>[Pages 10–12]</w:t>
      </w:r>
    </w:p>
    <w:p>
      <w:r>
        <w:t>BULLETIN NO. 16 OF APRIL 20, 2026</w:t>
      </w:r>
    </w:p>
    <w:p>
      <w:r>
        <w:t>RESOLUTION</w:t>
      </w:r>
    </w:p>
    <w:p>
      <w:r>
        <w:t>not to initiate the investigation referred to in Article 16, paragraph 4, of Law No. 287/1990.</w:t>
      </w:r>
    </w:p>
    <w:p>
      <w:r>
        <w:t>The conclusions mentioned above will be communicated, pursuant to Article 16, paragraph 4, of Law No. 287/1990, to the companies concerned and to the Minister of Enterprises and Made in Italy.</w:t>
      </w:r>
    </w:p>
    <w:p>
      <w:r>
        <w:t>This provision will be published in the Bulletin of the Italian Competition Authority.</w:t>
      </w:r>
    </w:p>
    <w:p>
      <w:r>
        <w:t>THE SECRETARY GENERAL THE PRESIDENT</w:t>
      </w:r>
    </w:p>
    <w:p>
      <w:r>
        <w:t>Guido Stazi Roberto Rustichelli</w:t>
      </w:r>
    </w:p>
    <w:p>
      <w:r>
        <w:t>BULLETIN NO. 16 OF APRIL 20, 2026</w:t>
      </w:r>
    </w:p>
    <w:p>
      <w:r>
        <w:t>C12808 - MEDLOG HOLDING ITALIA/MVN</w:t>
        <w:br/>
        <w:t>Measure no. 31916</w:t>
        <w:br/>
        <w:t>THE COMPETITION AND MARKET AUTHORITY</w:t>
        <w:br/>
        <w:t>IN ITS MEETING of March 31, 2026;</w:t>
        <w:br/>
        <w:t>HEARD the Rapporteur, Professor Elisabetta Iossa;</w:t>
        <w:br/>
        <w:t>HAVING REGARD to Regulation (EC) No. 139/2004 on the control of concentrations between undertakings;</w:t>
        <w:br/>
        <w:t>HAVING REGARD to the law of October 10, 1990, no. 287;</w:t>
        <w:br/>
        <w:t>HAVING REGARD to the D.P.R. of April 30, 1998, no. 217;</w:t>
        <w:br/>
        <w:t>HAVING REGARD to the communication received from Medlog Holding Italia S.r.l. on March 16, 2026;</w:t>
        <w:br/>
        <w:t>HAVING REGARD to the documentation on file;</w:t>
        <w:br/>
        <w:t>CONSIDERING the following:</w:t>
        <w:br/>
        <w:t>I. THE PARTIES</w:t>
        <w:br/>
        <w:t>1. Medlog Holding Italia S.r.l. (hereinafter, “Medlog”; Tax Code 02881670992) is a holding company that controls a group of companies active in Italy mainly in the land transport of goods and, through its shareholding in MVN S.r.l., in integrated logistics. Through its subsidiary Medlog Italia S.r.l., Medlog also holds 25% of the company G4 S.c.a.r.l., established to provide logistics services to Nuovo Pignone S.r.l. (Baker Hughes group) following the award of a tender by the latter. Medlog is ultimately controlled by Mediterranean Shipping Company Holding SA (holding of the MSC group active in container transport, provision of intermodal transport services, management of port terminals, and in the cruise and passenger transport sectors). The MSC group generated revenue exceeding 595 million euros in Italy in 2024.</w:t>
        <w:br/>
        <w:t>2. MVN S.r.l. (hereinafter, “MVN” or “Target”; Tax Code 05480500965) is a company operating in Italy mainly in the provision of integrated logistics services and, through its subsidiaries, in the construction of components for industrial thermal plants, in the production of metal carpentry, and in mechanical processing. MVN also holds stakes in the companies G4 S.c.a.r.l., G3 S.c.a.r.l., and Eram. MVN is currently jointly controlled 51% by Medlog and 49% by Logistics Project Italia S.r.l. (hereinafter, “LPI”), a holding active in various markets through the group of companies headed by MVN. In the last financial year ending December 31, 2025, MVN generated revenue of approximately [100-595]* million euros entirely in Italy.</w:t>
        <w:br/>
        <w:t>II. DESCRIPTION OF THE OPERATION</w:t>
        <w:br/>
        <w:t>3. The notified operation (hereinafter, “Operation”) consists of the transition from joint control by Medlog and LPI to exclusive control by Medlog over MVN. To this end, Medlog, which already holds a 51% stake in MVN, will acquire an additional 29% stake from LPI, thus holding a total of 80% of the share capital and voting rights of MVN. LPI will retain a 20% stake and the veto powers over strategic decisions and the appointment of key figures of MVN previously granted to it will cease. Under the contractual agreements between the parties, LPI will be granted limited rights typically afforded to minority shareholders to protect their financial interests as investors, without these rights constituting joint control for antitrust purposes. The veto rights granted to LPI do not allow it to block essential decisions that determine the strategic directions of the Target's activities.</w:t>
        <w:br/>
        <w:t>4. The Operation includes non-competition and non-solicitation obligations lasting [omissis] years from the closing date, consisting of the obligation for LPI and its partners to: [omissis].</w:t>
        <w:br/>
        <w:t>III. QUALIFICATION OF THE OPERATION</w:t>
        <w:br/>
        <w:t>5. The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prior notification obligation established by Article 16, paragraph 1, of the same law, as the total revenue generated in the last financial year at the national level by the group of companies involved exceeded 595 million euros and the revenue generated individually at the national level by at least two of the companies involved exceeded 36 million euros.</w:t>
        <w:br/>
        <w:t>6. The non-competition and non-solicitation agreements described above can be considered directly related and necessary for the realization of the Operation, as they are functional to safeguarding the value of the acquired company and confined to the services and geographical area in which the Target operates, provided that they are limited in time to a period of two years and do not prevent the seller from acquiring or holding shares solely for financial investment purposes.</w:t>
        <w:br/>
        <w:t>5 See C12643 - Medlog Holding Italia - Logistic Project Italia/MVN, measure no. 31273 of June 26, 2024, in Bulletin No. 28/2024.</w:t>
        <w:br/>
        <w:t>6 See measure no. 31873 of March 10, 2026, in Bulletin No. 11/2026. This measure refers to the revenue thresholds in effect as of March 16, 2026, considering that the Operation was notified on the same date.</w:t>
        <w:br/>
        <w:t>7 See “Commission Communication on restrictions directly related and necessary to concentrations,” paragraphs 18-26, in O.J. EU 2005/C-56/03 of March 5, 2005.</w:t>
      </w:r>
    </w:p>
    <w:p>
      <w:r>
        <w:rPr>
          <w:b/>
        </w:rPr>
        <w:t>[Pages 13–15]</w:t>
      </w:r>
    </w:p>
    <w:p>
      <w:r>
        <w:t>BULLETIN NO. 16 OF APRIL 20, 2026</w:t>
      </w:r>
    </w:p>
    <w:p>
      <w:r>
        <w:t>IV. EVALUATION OF THE OPERATION</w:t>
      </w:r>
    </w:p>
    <w:p>
      <w:r>
        <w:t>IV.1 Relevant Markets</w:t>
      </w:r>
    </w:p>
    <w:p>
      <w:r>
        <w:t>Integrated Logistics</w:t>
      </w:r>
    </w:p>
    <w:p>
      <w:r>
        <w:t>7. Integrated logistics services (so-called contract logistics) consist of organizing the movement of goods from suppliers to customers (factories, retail points) and the storage of raw materials and finished products, ensuring maximum efficiency of the flow of goods from the place of origin to the destination and the related management of the warehouse.</w:t>
      </w:r>
    </w:p>
    <w:p>
      <w:r>
        <w:t>8. As noted by the European Commission, these services constitute a distinct relevant market from that of other elements of the supply chain, such as pure transportation, freight forwarding, and warehouse management services, as integrated logistics emphasizes the efficient management of the flow and thus the integration of planning, development, and control activities of the movement of goods and those of pure transportation.</w:t>
      </w:r>
    </w:p>
    <w:p>
      <w:r>
        <w:t>9. In national and EU precedents, the geographical extent of this market has been identified as the national territory.</w:t>
      </w:r>
    </w:p>
    <w:p>
      <w:r>
        <w:t>Shipping of Goods</w:t>
      </w:r>
    </w:p>
    <w:p>
      <w:r>
        <w:t>10. From a commodity perspective, the Operation concerns the market for the shipping of goods, which includes both the organization of the transport of items, the physical movement of which is often entrusted to third parties, and the execution of organizational and ancillary activities on behalf of customers, such as customs clearance and storage activities.</w:t>
      </w:r>
    </w:p>
    <w:p>
      <w:r>
        <w:t>11. In the decision-making practice of the Authority and the European Commission, the market for shipping services is differentiated from the market for transportation services as shipping goods involves, in addition to transportation, the performance of additional administrative and organizational procedures functional to the movement of goods. This activity is distinct from the express courier service for the fast transport of small loads.</w:t>
      </w:r>
    </w:p>
    <w:p>
      <w:r>
        <w:t>12. Shipments of goods can be made by air, sea, land, or mixed means, can be national or international, and can consist of full loads or groupage.</w:t>
      </w:r>
    </w:p>
    <w:p>
      <w:r>
        <w:t>13. By established practice, the shipping market is segmented into distinct relevant markets depending on the mode of transport used (land, sea, and air).</w:t>
      </w:r>
    </w:p>
    <w:p>
      <w:r>
        <w:t>14. Regarding the geographical dimension, the market for shipping goods can be considered of national extent, in line with the precedents of the Authority and the European Commission.</w:t>
      </w:r>
    </w:p>
    <w:p>
      <w:r>
        <w:t>Container Handling Services via Land (Inland Transportation)</w:t>
      </w:r>
    </w:p>
    <w:p>
      <w:r>
        <w:t>15. Container handling via land refers to the physical movement of goods using owned (owned or leased) means. Shipping companies that offer door-to-door services may also organize land transport for their customers. In its previous decision-making practice, the European Commission left open the question of whether rail, road, and inland waterway transport constitute distinct product markets.</w:t>
      </w:r>
    </w:p>
    <w:p>
      <w:r>
        <w:t>16. Regarding the geographical extent, the decision-making practice of the European Commission considers the market for land handling services to be at least national.</w:t>
      </w:r>
    </w:p>
    <w:p>
      <w:r>
        <w:t>Maritime Transport of Container Lines</w:t>
      </w:r>
    </w:p>
    <w:p>
      <w:r>
        <w:t>17. According to the practice of the Authority and the European Commission, the market for maritime transport services of container lines can be divided into different segments/markets, including short-haul transport services (which involve the provision of intra-continental services, usually for coastal trade) and long-haul transport services (or deep-sea).</w:t>
      </w:r>
    </w:p>
    <w:p>
      <w:r>
        <w:t>18. The geographical scope of the market for maritime transport services of container lines is defined based on bundles of routes, identified with reference to the ports from which and to which the services in question are provided.</w:t>
      </w:r>
    </w:p>
    <w:p>
      <w:r>
        <w:t>IV.2 Effects of the Operation</w:t>
      </w:r>
    </w:p>
    <w:p>
      <w:r>
        <w:t>19. In this case, there are no elements suitable to consider that the transition from joint control to exclusive control by Medlog is such as to change the company's incentives compared to those it had before the Operation. Consequently, the Operation does not appear to be capable of affecting the current competitive situation in the identified relevant markets.</w:t>
      </w:r>
    </w:p>
    <w:p>
      <w:r>
        <w:t>20. In fact, from a horizontal perspective, the Operation does not give rise to any overlap between the activities of the Parties. Furthermore, from a vertical perspective, the Operation is not capable of giving rise to any competitive concerns due to the market share held by the Parties in the upstream markets (shipping of goods (less than 2%), inland transportation (less than 12%), and container management in Italy (less than 1% of the total)) and in the downstream market (integrated logistics (less than 3%)).</w:t>
      </w:r>
    </w:p>
    <w:p>
      <w:r>
        <w:t>21. In light of the considerations outlined, the Operation does not appear to hinder competition in the relevant markets and does not lead to the establishment or strengthening of a dominant position.</w:t>
      </w:r>
    </w:p>
    <w:p>
      <w:r>
        <w:t>CONSIDERING, therefore, that the Operation does not significantly hinder effective competition in the relevant markets pursuant to Article 6, paragraph 1, of Law No. 287/1990 and does not lead to the establishment or strengthening of a dominant position;</w:t>
      </w:r>
    </w:p>
    <w:p>
      <w:r>
        <w:t>CONSIDERING, furthermore, that the non-competition and non-solicitation agreements can be considered ancillary to the Operation only to the extent indicated above and that the Authority reserves the right to evaluate, where the conditions exist, the aforementioned agreements if they exceed those limits;</w:t>
      </w:r>
    </w:p>
    <w:p>
      <w:r>
        <w:t>RESOLVES</w:t>
      </w:r>
    </w:p>
    <w:p>
      <w:r>
        <w:t>not to initiate the investigation referred to in Article 16, paragraph 4, of Law No. 287/1990.</w:t>
      </w:r>
    </w:p>
    <w:p>
      <w:r>
        <w:t>The conclusions mentioned above will be communicated, pursuant to Article 16, paragraph 4, of Law No. 287/1990, to the companies concerned and to the Minister of Enterprises and Made in Italy.</w:t>
      </w:r>
    </w:p>
    <w:p>
      <w:r>
        <w:t>This provision will be published in the Bulletin of the Italian Competition Authority.</w:t>
      </w:r>
    </w:p>
    <w:p>
      <w:r>
        <w:t>THE SECRETARY GENERAL THE PRESIDENT</w:t>
      </w:r>
    </w:p>
    <w:p>
      <w:r>
        <w:t>Guido Stazi Roberto Rustichelli</w:t>
      </w:r>
    </w:p>
    <w:p>
      <w:r>
        <w:rPr>
          <w:b/>
        </w:rPr>
        <w:t>[Pages 16–18]</w:t>
      </w:r>
    </w:p>
    <w:p>
      <w:r>
        <w:t xml:space="preserve">BULLETIN NO. 16 OF APRIL 20, 2026  </w:t>
        <w:br/>
        <w:t xml:space="preserve">REPORTING AND ADVISORY ACTIVITIES  </w:t>
        <w:br/>
        <w:t xml:space="preserve">AS2162 – MUNICIPALITY OF MILAN - ASSIGNMENT OF BUS PARKING SPACES FOR AIRPORT CONNECTION  </w:t>
        <w:br/>
        <w:t xml:space="preserve">Rome, April 2, 2026  </w:t>
        <w:br/>
        <w:t xml:space="preserve">Municipality of Milan  </w:t>
        <w:br/>
        <w:t xml:space="preserve">The Italian Competition Authority, in its meeting of March 31, 2026, resolved to make the following observations, pursuant to Article 21 of Law No. 287/1990, regarding the competition issues related to the assignment of parking spaces for the airport connection service by bus by the Municipality of Milan, arising from the de facto introduction by said Municipality of a requirement not provided for by regional legislation and such as to distort the characteristics of a liberalized service.  </w:t>
        <w:br/>
        <w:t xml:space="preserve">In particular, Article 28, paragraph 2, of Regional Law No. 6/2012 provides that public transport services for which there are no public service obligations - including the airport connection service by bus - are governed by the Regional Council and “are operated by transport companies upon submission of a certified notification of the start of activity (SCIA), pursuant to Article 19 of Law No. 241 of August 7, 1990 (New rules on administrative procedures), to the Agency for Local Public Transport in whose area of competence the airport is located as the point of origin or destination of the proposed traffic route.”  </w:t>
        <w:br/>
        <w:t xml:space="preserve">In implementation of regional law, the Regulation of the Regional Council of Lombardy No. 8 of October 27, 2015, entitled “Regulation of connection services provided by bus to airports open to civil traffic in the regional area” (hereinafter, “Regulation No. 8/2015”), established the requirements for the operation of airport connection services, the procedures for starting the activity, the obligations of the entities providing the service, and the penalties in case of non-compliance with such obligations.  </w:t>
        <w:br/>
        <w:t>As relevant in this case, based on the provisions of Regulation No. 8/2015, the entity intending to start the airport connection activity must possess a series of requirements, including the “assignment document relating to the areas designated for stops at the points of origin and destination of the route, including the airport, issued by the competent authority” (Article 3, paragraph 1, letter d)), which must also be attached to the SCIA to be submitted to the Agency for Local Public Transport of the relevant area for the start of the activity (Article 4, paragraph 3, letter g)).</w:t>
      </w:r>
    </w:p>
    <w:p>
      <w:r>
        <w:t xml:space="preserve">BULLETIN NO. 16 OF APRIL 20, 2026  </w:t>
        <w:br/>
        <w:t xml:space="preserve">For this purpose, the Regulation establishes that the owning entities or managing subjects of the stopping areas are required to assign the relevant parking spaces “according to predetermined, transparent, adequately publicized, and non-discriminatory criteria that ensure free competition among operators, also in compliance with the principle of rotation, in order to pursue service coverage over 24 hours and the coordination of schedules among the various operating managers, with service intervals of no less than 10 minutes” (Article 3, paragraph 3).  </w:t>
        <w:br/>
        <w:t xml:space="preserve">However, according to what has been reported by said Municipality, for the operation of the airport connection service between Milan - Malpensa Airport and Milan Central Station, the Municipality of Milan assigns the four available parking spaces at Milan Central Station - located on Via Sammartini, as identified by the Mayor's ordinance No. 372/2015 - to those subjects who have already submitted the appropriate SCIA for the operation of the service (currently four operators, including a temporary aggregation of companies) according to an annual rotation established by a specific managerial determination.  </w:t>
        <w:br/>
        <w:t xml:space="preserve">In this way, a barrier to entry is created that is suitable to distort the characteristics of a liberalized service, consisting of requiring as a precondition for the assignment of a parking space the submission of the SCIA, whereas regional legislation, on the contrary, provides that the assignment of the areas designated for stops occurs prior to the submission of the SCIA.  </w:t>
        <w:br/>
        <w:t xml:space="preserve">In fact, by virtue of the liberalization of the passenger transport market by road, any exercise of the power to limit access by the owner or manager of the spaces must be subject, in order not to distort competition in the sector, to prior verification of the impossibility of a different organization and the actual necessity to limit the service, verified through a thorough investigation and with the participation of the interested parties.  </w:t>
        <w:br/>
        <w:t xml:space="preserve">Moreover, the parking spaces represent a specific utility that must be assigned to those who request it, under equal conditions and according to competitive principles, and therefore, through a public tender in case the conditions for limiting the number of operators are deemed to exist.  </w:t>
        <w:br/>
        <w:t xml:space="preserve">In this case, however, the municipal administration has not carried out any investigative activity, having limited itself to confirming the original assignment of the parking spaces to the four incumbent operators, without taking into account the requests made by other operators interested in carrying out the service in question and without specifying why the organization of the service should remain unchanged compared to the situation of fact crystallized by the Mayor's ordinance No. 372/2015 and why it could not, instead, proceed with a reorganization of the area, possibly also through a different annual rotation, in order to ensure all interested operators the possibility of accessing the parking spaces and, consequently, of providing the service.  </w:t>
        <w:br/>
        <w:t xml:space="preserve">The Authority therefore hopes that the Municipality of Milan, also in light of the ongoing technical investigation to analyze the road context currently dedicated to the parking of the vehicles in question, will proceed as quickly as possible to a reorganization of the parking spaces available to the operators of the shuttle service between Milan - Malpensa Airport and Milan Central Station, in order to ensure all interested operators the possibility of providing the service in question, in compliance with the principles of competition, transparency, publicity, and non-discrimination, as also provided for by Article 3, paragraph 3, of Regulation No. 8/2015.  </w:t>
        <w:br/>
        <w:t>By maintaining the current system of parking space assignment, in fact, the Municipality of Milan crystallizes the advantageous positions of the operators already equipped with a parking space at Milan Central Station,</w:t>
      </w:r>
    </w:p>
    <w:p>
      <w:r>
        <w:t xml:space="preserve">BULLETIN NO. 16 OF APRIL 20, 2026  </w:t>
        <w:br/>
        <w:t xml:space="preserve">making it difficult - if not even impossible - for new operators to enter a liberalized market.  </w:t>
        <w:br/>
        <w:t xml:space="preserve">Therefore, the Authority hopes that the addressed Administration will take into account the above-mentioned points, proceeding quickly to adjust its practices to the principles of competition and non-discrimination, communicating, within thirty days from the receipt of this report, the initiatives undertaken for this purpose.  </w:t>
        <w:br/>
        <w:t xml:space="preserve">This report will be published in the Bulletin of the Italian Competition Authority.  </w:t>
        <w:br/>
        <w:t xml:space="preserve">THE PRESIDENT  </w:t>
        <w:br/>
        <w:t>Roberto Rustichelli</w:t>
      </w:r>
    </w:p>
    <w:p>
      <w:r>
        <w:rPr>
          <w:b/>
        </w:rPr>
        <w:t>[Pages 19–21]</w:t>
      </w:r>
    </w:p>
    <w:p>
      <w:r>
        <w:t>BULLETIN NO. 16 OF APRIL 20, 2026 21</w:t>
        <w:br/>
        <w:t>AS2163 - MUNICIPALITY OF BARI - RECOGNITION SPL 2025</w:t>
        <w:br/>
        <w:t>Rome, April 3, 2026</w:t>
        <w:br/>
        <w:t>Municipality of Bari</w:t>
        <w:br/>
        <w:t>The Italian Competition Authority, in its meeting of March 31, 2026, resolved to formulate some observations pursuant to Article 21 of Law No. 287/1990 regarding the report adopted by this Entity based on the provisions of Article 30 of Legislative Decree No. 201/2022 (concerning "Reorganization of the regulation of local public services of economic relevance"). This report, published on February 3, 2026, on the ANAC portal dedicated to the Transparency of Local Public Services, concerns, among other things, the recognition of the management situation of urban hygiene services, local public transport (hereinafter, "TPL"), and parking management in the area of competence, regarding the year 2024 (hereinafter, "Recognition 2025").</w:t>
      </w:r>
    </w:p>
    <w:p>
      <w:r>
        <w:t>(i) On the assignment of the urban hygiene service</w:t>
        <w:br/>
        <w:t>The urban hygiene service was entrusted in 2001 to the in-house company Azienda Municipale Igiene Urbana Puglia S.p.A. (hereinafter, "AMIU Puglia"). Due to further acts, the contract expiration was last set for November 18, 2028. In the Recognition 2025 adopted by the Municipality, some critical issues emerge regarding the management performance of the service in terms of quality and achievement of the objectives set out in the service contract. In particular, the Recognition 2025 reports performance in terms of percentages of separate waste collection that are still particularly low (46% in 2024, 2.8% more than in 2023), compared to a regional average of 60% and a national average of 67.7%. It is also noted that, according to data published in the "Urban Waste Report Edition 2025" by the Higher Institute for Environmental Protection and Research (hereinafter, "ISPRA"), among the fourteen Italian municipalities with a population exceeding 200,000 inhabitants, the Municipality of Bari ranks tenth for per capita waste produced, with quantities still above average, and is fourth from last, with a wide gap from others, for the percentage of separate waste collection. Despite marginal increases in the separate waste collection rate and a reduction in the volumes of waste produced during the period 2020-2024, these results still diverge from the targets set out in the service contract and from the national and local benchmark averages recorded by ISPRA. Also, from the "Annual Summary Report on Service Quality (year 2024)," published by the Municipality of Bari on its official website, a general dissatisfaction of users with the service provided emerges, with a perception of no improvement in the services rendered. Moreover, there are current and not sporadic news reports about emergency episodes due to piles of abandoned waste in the City. Furthermore, it should be noted that in 2024 the targets related to the containment of operational costs were not met either. Regarding the potential recovery of efficiency and competitiveness resulting from the implementation of the new investment plan, it should be noted the significant gap recorded in the period 2022-2024 in its implementation, with negative deviations between planned investments and actual investments ranging from 74% to 92%. Despite this situation, in the periodic review of public participations pursuant to Article 20 of Legislative Decree No. 175/2016 (concerning "Consolidated Law on public participation companies"), referring to 2024, the Municipality resolved to maintain its participation in AMIU Puglia without illustrating the reasons that, from an economic and service quality perspective, justify the maintenance of the service assignment to the in-house company, also in relation to the results achieved in management, as instead required by Article 17, paragraph 5, of Legislative Decree 201/2022.</w:t>
      </w:r>
    </w:p>
    <w:p>
      <w:r>
        <w:t>(ii) On the assignment of TPL and parking management services</w:t>
        <w:br/>
        <w:t>According to what is reported in the Recognition 2025, the TPL service, entrusted in-house since 2003 to the company Azienda Mobilità e Trasporti Bari Servizio S.p.A. (hereinafter "AMTAB", wholly owned by the Municipality), is currently under an extension until December 31, 2026, pursuant to Article 24, paragraph 5-bis, of Decree-Law No. 4/2022, converted with amendments by Law No. 25 of March 28, 2022. From the original contract expiration date, dating back to the end of 2013, until today, pending the approval of the Territorial Basin Plan for TPL by the Metropolitan City of Bari – deemed "necessary to activate the assignment procedures" in the area of competence – the Municipality has adopted several extension measures. Based on what is illustrated in the Recognition 2025, the last of these extensions was also motivated by "the impossibility of proceeding with the drafting of the financial economic plan, required by current regulations as detailed in resolution No. 154/2019 of the Transport Regulation Authority (ART), based on operational costs lower than the standard costs determined by the Region of Puglia," for which, in May 2023, the working group for drafting the new PEF for assignment had requested the initiation of a discussion table with the Region of Puglia and the Metropolitan City of Bari (as the governing body of ATO-Bari) and to adopt, in the meantime, a contractual extension until December 31, 2026. However, after numerous extensions totaling 13 years and about 8 months from the expiration of December 31, 2026, the procedures aimed at the new assignment are still at an initial stage. From what is known, in fact, no act has been adopted by this Municipality in view of the new assignment, neither in compliance with the regulatory framework established by ART, nor preparing the report pursuant to Article 14 of Legislative Decree No. 201/2022, nor publishing the pre-information notice pursuant to Article 7 of Regulation (EC) No. 1370/2007. Even if the Entity were to decide to proceed with a new in-house assignment - which has relatively shorter timelines compared to an assignment through a tender - it is likely that this Municipality would not be able to complete the procedures in time for the end of 2026, thus having to adopt a new emergency extension, in the absence of the exceptional conditions necessary to resort to it, as required by Article 5, paragraph 5, of Regulation (EC) No. 1370/2007. What is observed, in fact, is rather a prolonged - and far from exceptional - procedural delay on the part of the Municipality. The adoption of a new extension would cause renewed harm, not only to competition but also to users and citizens, given the strongly critical (and worsening) results obtained by the in-house company in terms of user satisfaction with the service and the rate of realization of planned investments that, to date, could hardly justify the confirmation of the current manager. In particular, from the Recognition 2025, a rate of realization of planned investments is observed as follows: -97% in 2022; -20% in 2023; -57% in 2024. With reference to the index of investments made, it should be noted that the data provided refers to the total amounts used to meet investment commitments (including self-financed amounts and amounts from public funds) and does not distinguish between planned and realized investments.</w:t>
      </w:r>
    </w:p>
    <w:p>
      <w:r>
        <w:rPr>
          <w:b/>
        </w:rPr>
        <w:t>[Pages 22–24]</w:t>
      </w:r>
    </w:p>
    <w:p>
      <w:r>
        <w:t>BULLETIN NO. 16 OF APRIL 20, 2026</w:t>
      </w:r>
    </w:p>
    <w:p>
      <w:r>
        <w:t>user satisfaction, in 2024 there is a record of 64.5% of dissatisfied users, with a "strong tendency to worsen" compared to 2023. The most critical factors reported by users are the efficiency of the service in terms of "Punctuality," "Regularity," and "Number of trips" (56% of respondents) and, secondly, the adequacy and comfort of the stopping points (15% of respondents).</w:t>
      </w:r>
    </w:p>
    <w:p>
      <w:r>
        <w:t>Regarding the parking management service, the current assignment in favor of the same company entrusted with the TPL service, AMTAB, was established in 2014 with an original expiration date of December 31, 2018. Subsequently, the assignment was extended as a result of a series of interconnected measures, issued in accordance with the dates of the extensions of the TPL service assignments, covering a total period of 8 years, until December 31, 2026.</w:t>
      </w:r>
    </w:p>
    <w:p>
      <w:r>
        <w:t>While no critical issues are noted at the level of user satisfaction and the economic performance of the company, similar considerations apply regarding the critical issues related to the rate of realization of planned investments and the long overall duration of the extensions, for which no information has been provided regarding the status of the implementation of the procedures aimed at the new assignment.</w:t>
      </w:r>
    </w:p>
    <w:p>
      <w:r>
        <w:t>Finally, this Municipality, also for the company AMTAB, in the aforementioned periodic review of public participations pursuant to Article 20 of the TUSPP, referring to 2024, has resolved to continue its participation without illustrating the reasons justifying the maintenance of the service assignment to the in-house company, also in relation to the results achieved in management.</w:t>
      </w:r>
    </w:p>
    <w:p>
      <w:r>
        <w:t>(iii) Conclusive considerations</w:t>
      </w:r>
    </w:p>
    <w:p>
      <w:r>
        <w:t>In light of this overall picture, it is deemed extremely urgent that the assignments of urban hygiene services, TPL, and parking management be arranged in accordance with the current regulatory framework, to ensure the quality and efficiency of such services, as well as the proper use of public finances and the protection of competition.</w:t>
      </w:r>
    </w:p>
    <w:p>
      <w:r>
        <w:t>Therefore, the Municipality of Bari is invited to take action as a matter of urgency to carry out the activities within its competence in order, on the one hand, to resolve the management issues outlined above and, on the other hand, in view of the upcoming contractual deadlines, to arrive at new assignments in time to avoid the adoption of further extensions.</w:t>
      </w:r>
    </w:p>
    <w:p>
      <w:r>
        <w:t>In this regard, the instructional and motivational obligations provided for by Legislative Decree No. 201/2022 should be recalled, such as, in particular, the need to prepare a specific report regarding the management form that will be chosen for each new assignment (Article 14) and, in the case of in-house management exceeding the euro-unit thresholds, also the need to accompany the service assignment resolution with a qualified motivation that accounts, among other things, for the reasons for not resorting to the market (Article 17). This motivation must illustrate the benefits for the community of the chosen management form also in relation to the results of the previous in-house management, strictly related to the TPL service and those related to the paid parking management service and in structure, of which the company is also the assignee.</w:t>
      </w:r>
    </w:p>
    <w:p>
      <w:r>
        <w:t>The data provided in the 2025 Survey is at the company level and does not distinguish by assigned service.</w:t>
      </w:r>
    </w:p>
    <w:p>
      <w:r>
        <w:t>BULLETIN NO. 16 OF APRIL 20, 2026</w:t>
      </w:r>
    </w:p>
    <w:p>
      <w:r>
        <w:t>taking into account the data and information resulting from the periodic checks referred to in Article 30 of Legislative Decree No. 201/2022.</w:t>
      </w:r>
    </w:p>
    <w:p>
      <w:r>
        <w:t>In this regard, it should be remembered that the regulation referred to in Article 30 of Legislative Decree No. 201/2022 establishes an important principle of transparency regarding the choices made by administrations and of accountability regarding the results of management, in order to achieve and maintain those objectives of universality, quality, and accessibility of services that are the very reason for the existence of public service.</w:t>
      </w:r>
    </w:p>
    <w:p>
      <w:r>
        <w:t>The safeguarding of these principles has been further strengthened by recent regulatory changes concerning Article 30 of Legislative Decree No. 201/2022, aimed, on the one hand, at making entities more accountable in consciously carrying out the aforementioned survey, and on the other hand, at providing for the adoption of appropriate corrective measures in case of unsatisfactory management performance.</w:t>
      </w:r>
    </w:p>
    <w:p>
      <w:r>
        <w:t>In particular, the new formulation provides, among other things, that the management of the service can be considered unsatisfactory if at least one of the following conditions occurs: a) "the manager has recorded significant losses in the last two financial years that compromise the conditions of economic-financial balance"; b) "the management results are significantly insufficient compared to the contractual objectives set"; c) "at least two quality indicators of the service provided are significantly lower than the indicators and minimum quality levels of the services identified pursuant to Articles 7 and 8".</w:t>
      </w:r>
    </w:p>
    <w:p>
      <w:r>
        <w:t>In such circumstances, if the responsibility is attributable to the manager, "[...] the entity adopts a directive act, attached to the survey, which requires the manager to develop, within a maximum period of three months, a plan to undertake the necessary corrective measures, which includes a timeline of actions for the restoration and improvement of service quality, to streamline costs and to cover any losses".</w:t>
      </w:r>
    </w:p>
    <w:p>
      <w:r>
        <w:t>The Municipality is therefore invited to communicate, within thirty days from the receipt of this report, the initiatives taken to address the critical issues identified above.</w:t>
      </w:r>
    </w:p>
    <w:p>
      <w:r>
        <w:t>This report will be published in the Bulletin of the Italian Competition Authority.</w:t>
      </w:r>
    </w:p>
    <w:p>
      <w:r>
        <w:t>THE PRESIDENT</w:t>
      </w:r>
    </w:p>
    <w:p>
      <w:r>
        <w:t>Roberto Rustichelli</w:t>
      </w:r>
    </w:p>
    <w:p>
      <w:r>
        <w:rPr>
          <w:b/>
        </w:rPr>
        <w:t>[Pages 25–25]</w:t>
      </w:r>
    </w:p>
    <w:p>
      <w:r>
        <w:t>Competition and Market Authority Weekly Bulletin</w:t>
        <w:br/>
        <w:t>Year XXXVI - No. 16 - 2026</w:t>
        <w:br/>
        <w:t>Editorial Coordination Giulia Antenucci</w:t>
        <w:br/>
        <w:t>Editorial Staff Angela D’Auria, Valerio Ruocco, Manuela Villani</w:t>
        <w:br/>
        <w:t>Competition and Market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