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https://www.agcm.it/dotcmsdoc/bollettini/2022/17-22.pdf</w:t>
      </w:r>
    </w:p>
    <w:p>
      <w:r>
        <w:t>Pages translated : 28</w:t>
      </w:r>
    </w:p>
    <w:p/>
    <w:p>
      <w:r>
        <w:rPr>
          <w:b/>
        </w:rPr>
        <w:t>[Pages 1–3]</w:t>
      </w:r>
    </w:p>
    <w:p>
      <w:r>
        <w:t>Bulletin</w:t>
        <w:br/>
        <w:t>Weekly</w:t>
        <w:br/>
        <w:t>Year XXXII - No. 17</w:t>
        <w:br/>
        <w:t>Published on the website www.agcm.it</w:t>
        <w:br/>
        <w:t>May 9, 2022</w:t>
      </w:r>
    </w:p>
    <w:p>
      <w:r>
        <w:t>SUMMARY</w:t>
        <w:br/>
        <w:t>AGREEMENTS AND ABUSE OF DOMINANT POSITION 5</w:t>
        <w:br/>
        <w:t>A536 - TUSCANY REGION/TENDER FOR THE ASSIGNMENT OF LOCAL PUBLIC TRANSPORT SERVICE</w:t>
        <w:br/>
        <w:t>Measure No. 30123 5</w:t>
        <w:br/>
        <w:t>I849 – ATM - CASH WITHDRAWALS</w:t>
        <w:br/>
        <w:t>Measure No. 30126 8</w:t>
        <w:br/>
        <w:t>A547 - WIND TRE CONDUCTS TO THE DETRIMENT OF RESELLERS</w:t>
        <w:br/>
        <w:t>Measure No. 30129 10</w:t>
        <w:br/>
        <w:t>CONCENTRATION OPERATIONS 12</w:t>
        <w:br/>
        <w:t>C12442 - POSTE ITALIANE/PLURIMA</w:t>
        <w:br/>
        <w:t>Measure No. 30124 12</w:t>
        <w:br/>
        <w:t>C12445 - ACCENTURE SERVICES AND TECHNOLOGY/BRANCHES OF BANCA NAZIONALE DEL LAVORO</w:t>
        <w:br/>
        <w:t>Measure No. 30125 18</w:t>
        <w:br/>
        <w:t>REPORTING AND CONSULTATIVE ACTIVITIES 21</w:t>
        <w:br/>
        <w:t>AS1831 - MUNICIPALITY OF RIMINI - ANNUAL PLAN FOR RATIONALIZATION OF CORPORATE PARTICIPATIONS 21</w:t>
        <w:br/>
        <w:t>AS1832 - SOURCES OF SUPPLY FOR HEATING IN MOUNTAIN COMMUNITIES 27</w:t>
      </w:r>
    </w:p>
    <w:p>
      <w:r>
        <w:t>BULLETIN NO. 17 OF MAY 9, 2022 5</w:t>
        <w:br/>
        <w:t>AGREEMENTS AND ABUSE OF DOMINANT POSITION</w:t>
        <w:br/>
        <w:t>A536 - TUSCANY REGION/TENDER FOR THE ASSIGNMENT OF LOCAL PUBLIC TRANSPORT SERVICE</w:t>
        <w:br/>
        <w:t>Measure No. 30123</w:t>
        <w:br/>
        <w:t>THE ITALIAN COMPETITION AUTHORITY</w:t>
        <w:br/>
        <w:t>IN ITS MEETING of April 20, 2022;</w:t>
        <w:br/>
        <w:t>HEARD the Rapporteur, President Roberto Rustichelli;</w:t>
        <w:br/>
        <w:t>HAVING REGARD TO Article 102 of the Treaty on the Functioning of the European Union (TFEU);</w:t>
        <w:br/>
        <w:t>HAVING REGARD TO Council Regulation No. 1/2003 of December 16, 2002;</w:t>
        <w:br/>
        <w:t>HAVING REGARD TO Law No. 287 of October 10, 1990;</w:t>
        <w:br/>
        <w:t>HAVING REGARD TO Presidential Decree No. 217 of April 30, 1998;</w:t>
        <w:br/>
        <w:t>HAVING REGARD TO the “Communication regarding the application of Article 14 bis of Law No. 287 of October 10, 1990” adopted with Measure No. 16218 in the meeting of December 12, 2006;</w:t>
        <w:br/>
        <w:t>HAVING REGARD TO its resolution of June 3, 2020, which initiated an investigation procedure pursuant to Article 14 of Law No. 287/90, against ATAF&amp;Linea S.c. a r.l., Ataf Gestioni S.r.l., Li-nea S.p.A., Tiemme S.p.A., Siena Mobilità S.c. a r.l., ByBus S.c. a r.l., BusItalia – Sita Nord S.r.l., CTT Nord S.r.l., Vaibus S.c. a r.l., Trasporti Toscani S.r.l., Consorzio Pisano Trasporti S.r.l., 3rd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to ascertain the existence of possible violations of Article 102 of the TFEU, consisting of the failure to transfer necessary information and data, as well as the failure to implement the acts preparatory to the transfer of essential assets for the takeover of Autolinee Toscane S.p.A. in the provision of TPL services in the Tuscan Regional Area;</w:t>
        <w:br/>
        <w:t>HAVING REGARD TO the same resolution of June 3, 2020, which also adopted provisional precautionary measures, pursuant to Article 14-bis of Law No. 287/90, against the same companies, aimed at ordering the transmission, each for the part of its own competence: 1) of the necessary information for the cancellation of mortgages on real estate; 2) of the data and documents on essential real estate, indispensable for the stipulation of transfer acts; 3) of the data and documents on AVM systems co-financed by the Tuscany Region and linked to the service; 4) of the information concerning the subscriber lists;</w:t>
        <w:br/>
        <w:t>HAVING REGARD TO its resolution of June 23, 2020, which confirmed, pursuant to Article 14-bis of Law No. 287/90, the adoption of the provisional precautionary measures decided on June 3, 2020;</w:t>
      </w:r>
    </w:p>
    <w:p>
      <w:r>
        <w:rPr>
          <w:b/>
        </w:rPr>
        <w:t>[Pages 4–6]</w:t>
      </w:r>
    </w:p>
    <w:p>
      <w:r>
        <w:t>6 BULLETIN NO. 17 OF MAY 9, 2022</w:t>
      </w:r>
    </w:p>
    <w:p>
      <w:r>
        <w:t>HAVING REGARD to its communication of October 23, 2020, concerning the acknowledgment of the activities carried out by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in order to comply with the precautionary measures set forth in the aforementioned resolutions of June 3, 2020, and June 23, 2020;</w:t>
      </w:r>
    </w:p>
    <w:p>
      <w:r>
        <w:t>HAVING REGARD to its resolution of December 22, 2020, which extended the investigation subjectively against the companies Rete Automobilistica Maremmana Amiatina S.p.A. (abbreviated as “R.A.M.A.”), Tra.In S.p.A. and Autolinee Toscana Nord S.r.l., as well as extended the subject matter of the dispute to the alleged abusive conduct concerning the failure to transfer, even temporarily, the essential assets (real estate for sale and/or lease, buses, and other movable assets) to the takeover by Autolinee Toscane S.p.A. from the companies ONE S.c. a r.l., Ataf Gestioni S.r.l., Li-nea S.p.A., Tiemme S.p.A., BusItalia – Sita Nord S.r.l., CTT Nord S.r.l., Trasporti Toscani S.r.l., 3’ Millennium Travel S.r.l., Baschetti Autoservizi S.r.l., Autolinee Fabbri S.r.l., Copit S.p.A. and Cooperativa Autotrasporti Pratese – Società Cooperativa, already parties to the proceedings, as well as R.A.M.A. S.p.A., Tra.In S.p.A. and Autolinee Toscana Nord S.r.l.;</w:t>
      </w:r>
    </w:p>
    <w:p>
      <w:r>
        <w:t>HAVING REGARD to its resolution of July 20, 2021, which extended the deadline for closing the proceedings to March 31, 2022;</w:t>
      </w:r>
    </w:p>
    <w:p>
      <w:r>
        <w:t>HAVING REGARD to its resolution of February 8, 2022, which extended the deadline for closing the proceedings to June 30, 2022;</w:t>
      </w:r>
    </w:p>
    <w:p>
      <w:r>
        <w:t>CONSIDERING it necessary to replace the person responsible for the proceedings due to subsequent organizational needs.</w:t>
      </w:r>
    </w:p>
    <w:p>
      <w:r>
        <w:t>RESOLVES</w:t>
      </w:r>
    </w:p>
    <w:p>
      <w:r>
        <w:t>a) to replace Dr. Giacomo Nervegna with Dr. Elisabetta Maria Lanza as the person responsible for the proceedings.</w:t>
      </w:r>
    </w:p>
    <w:p>
      <w:r>
        <w:t>BULLETIN NO. 17 OF MAY 9, 2022 7</w:t>
      </w:r>
    </w:p>
    <w:p>
      <w:r>
        <w:t>This measure will be notified to the interested parties and published in the bulletin of the Italian Competition Authority.</w:t>
      </w:r>
    </w:p>
    <w:p>
      <w:r>
        <w:t>THE SECRETARY GENERAL THE PRESIDENT</w:t>
        <w:br/>
        <w:t>Guido Stazi Roberto Rustichelli</w:t>
      </w:r>
    </w:p>
    <w:p>
      <w:r>
        <w:t>8 BULLETIN NO. 17 OF MAY 9, 2022</w:t>
      </w:r>
    </w:p>
    <w:p>
      <w:r>
        <w:t>I849 – BANCOMAT - CASH WITHDRAWALS</w:t>
      </w:r>
    </w:p>
    <w:p>
      <w:r>
        <w:t>Measure No. 30126</w:t>
      </w:r>
    </w:p>
    <w:p>
      <w:r>
        <w:t>THE ITALIAN COMPETITION AUTHORITY</w:t>
      </w:r>
    </w:p>
    <w:p>
      <w:r>
        <w:t>IN ITS MEETING of April 20, 2022;</w:t>
      </w:r>
    </w:p>
    <w:p>
      <w:r>
        <w:t>HEARD the Rapporteur, President Roberto Rustichelli;</w:t>
      </w:r>
    </w:p>
    <w:p>
      <w:r>
        <w:t>HAVING REGARD to Article 101 of the Treaty on the Functioning of the European Union (TFEU);</w:t>
      </w:r>
    </w:p>
    <w:p>
      <w:r>
        <w:t>HAVING REGARD to Council Regulation (EC) No. 1/2003 of December 16, 2002, concerning the application of the competition rules laid down in Articles 101 and 102 of the TFEU;</w:t>
      </w:r>
    </w:p>
    <w:p>
      <w:r>
        <w:t>HAVING REGARD to Law No. 287 of October 10, 1990;</w:t>
      </w:r>
    </w:p>
    <w:p>
      <w:r>
        <w:t>HAVING REGARD to Presidential Decree No. 217 of April 30, 1998;</w:t>
      </w:r>
    </w:p>
    <w:p>
      <w:r>
        <w:t>HAVING REGARD to its measure of December 1, 2020, by which an investigation was initiated pursuant to Article 14 of Law No. 287/90 against Bancomat S.p.A. to ascertain the existence of violations of Article 101 TFEU in relation to the project for a new remuneration model for withdrawal operations in circularity, submitted by Bancomat S.p.A. to the Authority on October 22, 2020;</w:t>
      </w:r>
    </w:p>
    <w:p>
      <w:r>
        <w:t>HAVING REGARD to the subsequent measure of September 7, 2021, by which it was decided to objectively extend the procedure initiated on December 1, 2020, to the further provisions communicated by Bancomat S.p.A. on July 28, 2021, concerning transparency profiles, costs for issuing banks, and the quantification of the withdrawal commission, as well as to extend the deadline for concluding the procedure to April 29, 2022;</w:t>
      </w:r>
    </w:p>
    <w:p>
      <w:r>
        <w:t>HAVING REGARD to the documents of the procedure;</w:t>
      </w:r>
    </w:p>
    <w:p>
      <w:r>
        <w:t>CONSIDERING the complexity of the case subject to the procedure and the factual framework, as well as the complexity of the documentation acquired during the investigation and the lateness with which some elements subject to evaluation were submitted;</w:t>
      </w:r>
    </w:p>
    <w:p>
      <w:r>
        <w:t>CONSIDERING the necessity to ensure the Party the broadest exercise of defense rights and the full unfolding of the adversarial process;</w:t>
      </w:r>
    </w:p>
    <w:p>
      <w:r>
        <w:t>THEREFORE CONSIDERING it necessary to extend the deadline for closing the procedure, currently set for April 29, 2022;</w:t>
      </w:r>
    </w:p>
    <w:p>
      <w:r>
        <w:t>RESOLVES</w:t>
      </w:r>
    </w:p>
    <w:p>
      <w:r>
        <w:t>to extend the deadline for concluding the procedure to October 31, 2022;</w:t>
      </w:r>
    </w:p>
    <w:p>
      <w:r>
        <w:rPr>
          <w:b/>
        </w:rPr>
        <w:t>[Pages 7–9]</w:t>
      </w:r>
    </w:p>
    <w:p>
      <w:r>
        <w:t xml:space="preserve">BULLETIN NO. 17 OF MAY 9, 2022 9  </w:t>
        <w:br/>
        <w:t xml:space="preserve">This measure will be notified to the interested parties and published in the bulletin of the Italian Competition Authority.  </w:t>
        <w:br/>
        <w:t xml:space="preserve">THE SECRETARY GENERAL THE PRESIDENT  </w:t>
        <w:br/>
        <w:t>Guido Stazi Roberto Rustichelli</w:t>
      </w:r>
    </w:p>
    <w:p>
      <w:r>
        <w:t xml:space="preserve">10 BULLETIN NO. 17 OF MAY 9, 2022  </w:t>
        <w:br/>
        <w:t xml:space="preserve">A547 - CONDUCTS OF WIND TRE TO THE DETRIMENT OF RESELLERS  </w:t>
        <w:br/>
        <w:t xml:space="preserve">Measure No. 30129  </w:t>
        <w:br/>
        <w:t xml:space="preserve">THE ITALIAN COMPETITION AUTHORITY  </w:t>
        <w:br/>
        <w:t xml:space="preserve">IN ITS MEETING of April 27, 2022;  </w:t>
        <w:br/>
        <w:t xml:space="preserve">HEARD the Rapporteur, President Roberto Rustichelli;  </w:t>
        <w:br/>
        <w:t xml:space="preserve">HAVING REGARD to Law No. 287 of October 10, 1990;  </w:t>
        <w:br/>
        <w:t xml:space="preserve">HAVING REGARD to Law No. 192 of June 18, 1998, and in particular, Article 9;  </w:t>
        <w:br/>
        <w:t xml:space="preserve">HAVING REGARD to Presidential Decree No. 217 of April 30, 1998;  </w:t>
        <w:br/>
        <w:t xml:space="preserve">HAVING REGARD to its measure of November 4, 2021, No. 29874, with which an investigation was initiated, pursuant to Article 9, paragraph 3 bis, of Law No. 192 of June 18, 1998 and Article 14 of Law No. 287 of October 10, 1990, against the company Wind Tre S.p.A. (hereinafter also Wind Tre), in relation to conducts applied towards its network of single-brand resellers;  </w:t>
        <w:br/>
        <w:t xml:space="preserve">HAVING REGARD to the "Communication on the procedures for the application of Article 14-ter of Law No. 287 of October 10, 1990," adopted in the meeting of September 6, 2012 and published in the bulletin of September 17, 2012, No. 35;  </w:t>
        <w:br/>
        <w:t xml:space="preserve">HAVING REGARD to the communication of March 25, 2022 (see Annex 1 to this resolution), with which the company Wind Tre submitted commitments, pursuant to Article 14-ter of Law No. 287/90, according to the modalities specifically indicated in the appropriate "Form for the submission of commitments pursuant to Article 14-ter of Law No. 287/90";  </w:t>
        <w:br/>
        <w:t xml:space="preserve">CONSIDERING that the commitments presented, as a whole, do not appear manifestly unfounded and are such as to be susceptible to publication, without prejudice to any assessment by the Authority regarding their suitability to resolve the issues raised at the outset;  </w:t>
        <w:br/>
        <w:t xml:space="preserve">HAVING REGARD, therefore, to be able to order the publication of the aforementioned commitments presented by Wind Tre and the related attachments, so that interested third parties may express their observations;  </w:t>
        <w:br/>
        <w:t xml:space="preserve">RESOLVES  </w:t>
        <w:br/>
        <w:t xml:space="preserve">a) to publish on May 9, 2022, on the Authority's website the aforementioned commitments, attached to this measure, of which they constitute an integral part, presented by the company Wind Tre S.p.A., pursuant to Article 14-ter of Law No. 287/90;  </w:t>
        <w:br/>
        <w:t>b) that any observations on the commitments presented by the company Wind Tre S.p.A. must be submitted in writing, no later than June 8, 2022, to the Directorate General for Competition - Communications Directorate, Piazza G. Verdi, 6/A, 00198 Rome, tel. 06/85821.553, pec: protocollo.agcm@pec.agcm.it;</w:t>
      </w:r>
    </w:p>
    <w:p>
      <w:r>
        <w:t xml:space="preserve">BULLETIN NO. 17 OF MAY 9, 2022 11  </w:t>
        <w:br/>
        <w:t xml:space="preserve">c) that any representations by Wind Tre S.p.A. of its position regarding the observations submitted by third parties on the commitments, as well as any potential introduction of ancillary modifications to them, must be submitted in writing to the Authority no later than July 8, 2022.  </w:t>
        <w:br/>
        <w:t xml:space="preserve">THE SECRETARY GENERAL THE PRESIDENT  </w:t>
        <w:br/>
        <w:t>Guido Stazi Roberto Rustichelli</w:t>
      </w:r>
    </w:p>
    <w:p>
      <w:r>
        <w:rPr>
          <w:b/>
        </w:rPr>
        <w:t>[Pages 10–12]</w:t>
      </w:r>
    </w:p>
    <w:p>
      <w:r>
        <w:t xml:space="preserve">12 BULLETIN NO. 17 OF MAY 9, 2022  </w:t>
        <w:br/>
        <w:t xml:space="preserve">CONCENTRATION OPERATIONS  </w:t>
        <w:br/>
        <w:t xml:space="preserve">C12442 - POSTE ITALIANE/PLURIMA  </w:t>
        <w:br/>
        <w:t xml:space="preserve">Measure No. 30124  </w:t>
        <w:br/>
        <w:t xml:space="preserve">THE ITALIAN COMPETITION AUTHORITY  </w:t>
        <w:br/>
        <w:t xml:space="preserve">IN ITS MEETING of April 20, 2022;  </w:t>
        <w:br/>
        <w:t xml:space="preserve">HEARD the Rapporteur, Professor Michele Ainis;  </w:t>
        <w:br/>
        <w:t xml:space="preserve">HAVING REGARD to Law No. 287 of October 10, 1990;  </w:t>
        <w:br/>
        <w:t xml:space="preserve">HAVING REGARD to the communication from Poste Italiane S.p.A., received on March 29, 2022;  </w:t>
        <w:br/>
        <w:t xml:space="preserve">CONSIDERING the following:  </w:t>
        <w:br/>
        <w:t xml:space="preserve">I. THE PARTIES  </w:t>
        <w:br/>
        <w:t xml:space="preserve">1. Poste Italiane S.p.A. is the holding company of the Poste Italiane group, active – in addition to the postal sector, where it is the provider of the universal postal service and carries out, throughout the national territory, activities related to the collection, acceptance, sorting, transport, and distribution of parcel delivery and mail services – also in numerous other areas, including financial and insurance services. Additionally, at the group level, Poste Italiane provides preparatory and/or ancillary services to postal services (for example, printing and mailing). Through its subsidiary Postel S.p.A., the Poste Italiane Group is also active in document management and provides services for the transport, archiving, management, and custody of paper documents, in warehouses, or digital documents through its document platform. The Poste Italiane Group is also active in the provision of integrated logistics through SDA Express Courier S.p.A. In 2020, the Poste Italiane Group achieved consolidated revenues of [10-20]* billion euros.  </w:t>
        <w:br/>
        <w:t xml:space="preserve">2. Plurima S.p.A. is an Italian company operating in the integrated logistics services sector, home logistics, document management, and digital services for public and private enterprises in the hospital/healthcare sector. Together with its subsidiaries Bridge Technologies S.r.l. and Logos S.r.l., Plurima offers services: i) for healthcare logistics (outsourced management of pharmaceutical warehouses and transport/delivery of biological samples, medical devices, and pharmaceuticals); ii) for home logistics (home delivery of medical supplies); iii) for document management (services for retrieval, preservation, digitization, and management of medical records, secure data archiving, and document destruction); and finally, iv) digital services (IT solutions and outsourced data management for large companies, including those in the hospital sector, e.g., digitization of internal procedures, software for warehouse management).  </w:t>
        <w:br/>
        <w:t>* In this version, some data is omitted, as elements of confidentiality or secrecy of the information were deemed to exist.</w:t>
      </w:r>
    </w:p>
    <w:p>
      <w:r>
        <w:t xml:space="preserve">BULLETIN NO. 17 OF MAY 9, 2022 13  </w:t>
        <w:br/>
        <w:t xml:space="preserve">In 2020, Plurima achieved consolidated revenues of [31-100] million euros1.  </w:t>
        <w:br/>
        <w:t xml:space="preserve">II. DESCRIPTION OF THE TRANSACTION  </w:t>
        <w:br/>
        <w:t xml:space="preserve">3. The notified transaction consists of the acquisition by Poste Italiane of exclusive control over the company Plurima and its subsidiaries Bridge Technologies and Logos. This will occur through the purchase of a majority stake – via a newly established company (“Newco”) – in the capital of Plurima, currently held 68.6% by Opus S.r.l., 17.9% by Siparex Investimenti 2 SICAF S.p.A., and 13.5% by Siparex MidCap 3 FCPR. Upon completion of the transaction, Opus will hold a 30% stake in the share capital of Newco, while the remaining 70% will be held by Poste Italiane.  </w:t>
        <w:br/>
        <w:t xml:space="preserve">4. As communicated by the Parties, the sale and purchase agreement includes a non-compete obligation on the part of Opus, lasting three years from the conclusion of the transaction and concerning the Italian territory.  </w:t>
        <w:br/>
        <w:t xml:space="preserve">III. QUALIFICATION OF THE TRANSACTION  </w:t>
        <w:br/>
        <w:t xml:space="preserve">5. The notified transaction constitutes a concentration pursuant to Article 5, paragraph 1, letter b), of Law No. 287/90, as it involves the acquisition of control of a business.  </w:t>
        <w:br/>
        <w:t xml:space="preserve">6. 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517 million euros and the turnover achieved individually at the national level by at least two of the companies involved exceeded 31 million euros.  </w:t>
        <w:br/>
        <w:t xml:space="preserve">7. The non-compete agreement can be qualified as ancillary to the notified concentration to the extent that it contains a restriction directly connected to the realization of the transaction and necessary for it2. In particular, the non-compete agreement can be considered ancillary to the present transaction, which also involves the transfer of know-how and goodwill, to the extent that it is limited to the markets (product and geographic) affected by the concentration and does not exceed a duration of three years.  </w:t>
        <w:br/>
        <w:t xml:space="preserve">IV. ASSESSMENT OF THE CONCENTRATION  </w:t>
        <w:br/>
        <w:t xml:space="preserve">a) Relevant product and geographic markets  </w:t>
        <w:br/>
        <w:t xml:space="preserve">7. The services involved in the transaction are: 1) integrated logistics services; 2) document management and data archiving services; and 3) Information Technology services.  </w:t>
        <w:br/>
        <w:t xml:space="preserve">a.1) Integrated logistics services  </w:t>
        <w:br/>
        <w:t xml:space="preserve">8. Integrated logistics services in a broad sense include: i) supplier research and management, ii) computerized management of order flow, iii) quality control of products, iv) product warehousing, v) supply of products in small batches based on production needs, vi) replenishment of production lines3. Overall, integrated logistics consists of organizing the movement of suppliers to end customers and the storage of raw materials and finished products. The multitude of services required by the customer is offered as a single product, integrating the activities of planning, development, and control of the flow of goods movement4.  </w:t>
        <w:br/>
        <w:t xml:space="preserve">9. Within integrated logistics services, healthcare/hospital integrated logistics services can be considered a distinct market, as they require specific know-how and compliance with technical requirements that are not common to logistics services in a broad sense. In particular, within “hospital logistics,” activities are included – the demand for which is represented by individual hospitals or groups of hospitals – such as: (i) management of the pharmaceutical warehouse and the devices necessary for the proper functioning of hospital facilities; (ii) management of “refill” activities and delivery of all products present in the warehouse according to the needs and/or emergencies (with particular reference to pharmaceuticals) of individual departments; (iii) transport activities of vials, test tubes, and biological material for investigation activities, between laboratories and hospital facilities at predefined times, according to the operational model of individual investigation/analysis facilities; (iv) “emergency” transport activities of biological material and/or organs.  </w:t>
        <w:br/>
        <w:t xml:space="preserve">10. In this specific case, however, it does not appear necessary to arrive at a precise product market definition, as, regardless of the definition adopted, the transaction does not entail substantial changes to the existing competitive conditions.  </w:t>
        <w:br/>
        <w:t xml:space="preserve">11. From a geographic perspective, the market for integrated logistics services, both in its broader definition and in relation to the healthcare/hospital branch, has a national dimension, considering that the demand for the related services is predominantly expressed by national clientele that turns to companies operating in the national territory and that the services mainly concern the movement of goods within the national territory5.  </w:t>
        <w:br/>
        <w:t xml:space="preserve">a.2) Document management and data archiving/facility management services  </w:t>
        <w:br/>
        <w:t xml:space="preserve">12. Document management and data archiving services consist of the design, realization, preservation, and management of paper archives and the custody and electronic archiving of documents, as well as the custody and archiving of magnetic media, radiographic plates, and medical records on behalf of third parties. These services can also be provided, even in an integrated form, as a segment of the broader facility management market, which encompasses multiple services aimed at improving the managerial economy of individual companies, generally  </w:t>
        <w:br/>
        <w:t xml:space="preserve">3 These services are provided both in the initial, intermediate, and final phases of the production cycle (so-called inbound logistics) and in the subsequent phase of distribution of finished products (so-called outbound logistics).  </w:t>
        <w:br/>
        <w:t xml:space="preserve">4 See, inter alia, the following cases: C12421 - Fastening Solutions/Berardi Bullonerie, measure No. 29968 of January 11, 2022, in Bull. 4/2022; C12211 - Rhenus Se &amp; Co./Cesped, measure No. 27500 of January 10, 2019, in Bull. 4/2019; C12055 - Imi Fondi Chiusi Società di gestione del risparmio/Trasporti Romagna, measure No. 26084 of June 21, 2016, in Bull. 24/2016; C11763 - Sda Express Courier/Italia Logistica, measure No. 23905 of September 12, 2012, in Bull. 37/2012; C9408 - Sda Express Courier-Fs Logistica/Italia Logistica, measure No. 18535 of June 19, 2008, in Bull. 24/2008.  </w:t>
        <w:br/>
        <w:t>5 See AGCM cases: C12421 - Fastening Solutions/Berardi Bullonerie, measure No. 29968 of January 11, 2022; C12211 - Rhenus SE &amp; CO/CESPED, measure No. 27500 of January 10, 2019; European Commission cases: M.2831 - Dvs/Tnt Logistics, decision of June 27, 2002, M.2722 - Autologic/Tnt/Wallenius Wilhelmsen/Cat Jv, decision of February 25, 2002.</w:t>
      </w:r>
    </w:p>
    <w:p>
      <w:r>
        <w:rPr>
          <w:b/>
        </w:rPr>
        <w:t>[Pages 13–15]</w:t>
      </w:r>
    </w:p>
    <w:p>
      <w:r>
        <w:t>BULLETIN NO. 17 OF MAY 9, 2022 15</w:t>
      </w:r>
    </w:p>
    <w:p>
      <w:r>
        <w:t>operating in the tertiary and industrial sectors (typically, hospital facilities, large industrial or commercial complexes)6,7.</w:t>
      </w:r>
    </w:p>
    <w:p>
      <w:r>
        <w:t>Although the operators active in this area do not present a high degree of sector specialization, even with reference to document management and data archiving services, a narrower market could be identified, limited to the activities of management and archiving in the healthcare - hospital sector.</w:t>
      </w:r>
    </w:p>
    <w:p>
      <w:r>
        <w:t>13. In any case, a precise definition of the relevant market, from a product perspective, does not seem necessary, as, regardless of the broader or narrower definition adopted, the transaction does not appear capable of affecting the competitive mechanisms of the market itself.</w:t>
      </w:r>
    </w:p>
    <w:p>
      <w:r>
        <w:t>14. In accordance with the Authority's precedents, it is believed that the market for document management and data archiving/facility management services, whatever definition is adopted, can be considered extended to the entire national territory, in light of the structure of demand and supply, as well as the absence of administrative constraints that limit the exercise of the activity to a local area8.</w:t>
      </w:r>
    </w:p>
    <w:p>
      <w:r>
        <w:t>a.3) Information Technology Services</w:t>
      </w:r>
    </w:p>
    <w:p>
      <w:r>
        <w:t>15. Finally, according to the decision-making practice of the Authority and the European Commission9, the market for Information Technology services consists of seven segments that identify a plurality of IT services directed at businesses: (i) IT management, for the use of specific skills in order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support (also online or by phone); (vi) hardware maintenance, to optimize systems through installation, maintenance, and technical support of hardware components; (vii) training and education, for the transfer of knowledge outside of professional training. These segments are further subdivisible into groups of services and are characterized by high fragmentation and substitutability from the supply side, considering the functionalities of the offered software and the characteristics of the sectors in which customers operate10.</w:t>
      </w:r>
    </w:p>
    <w:p>
      <w:r>
        <w:t>16. With reference to the geographical definition of the market, in its precedents the Authority has noted the homogeneity of competitive conditions across the national territory and the absence of significant imports of IT services; this suggests a national market dimension. On the other hand, the Authority, in line with what has been highlighted by the European Commission, has noted a trend towards the internationalization of demand and supply (services offered on a supranational basis, homogeneity of the nature and quality of services among different countries, high mobility of workers, use of the English language)11.</w:t>
      </w:r>
    </w:p>
    <w:p>
      <w:r>
        <w:t>17. In any case, the geographical definition of the market can be left open, as even adopting the narrower national scope, the transaction does not appear capable of altering the existing competitive conditions.</w:t>
      </w:r>
    </w:p>
    <w:p>
      <w:r>
        <w:t>b) Effects of the transaction</w:t>
      </w:r>
    </w:p>
    <w:p>
      <w:r>
        <w:t>18. With regard to the market for integrated logistics services, understood in a broad sense, it is believed that the notified transaction will not have adverse effects on competition, as, as a result of the transaction, the aggregate share of the Parties will be [less than 1%]. In this market, there are also numerous other qualified competitors12.</w:t>
      </w:r>
    </w:p>
    <w:p>
      <w:r>
        <w:t>Even if one were to restrict the market to the sector of integrated logistics services in the healthcare-hospital area, the transaction will not have any adverse effect on competition, due to the fact that Poste Italiane is not currently present in this segment and Plurima operates with an estimated share of approximately [10-15%] (with regard to outsourcing activities only) or approximately [1-5%] (considering also the activities currently performed in-house). Various competing operators are also active in this segment13.</w:t>
      </w:r>
    </w:p>
    <w:p>
      <w:r>
        <w:t>19. With reference to the market for document management and data archiving/facility management services, the transaction does not appear likely to raise competitive concerns, as the aggregate share of the Parties, as a result of the notified transaction, will be [5-10%]. Furthermore, it should be noted that this market sector is very fragmented and characterized by the presence of operators mainly of medium-small size14.</w:t>
      </w:r>
    </w:p>
    <w:p>
      <w:r>
        <w:t>Even considering the narrowest possible market segment, limited to document management/data archiving activities in the healthcare-hospital area, the transaction will not have adverse effects on competition, given that the aggregate share of the parties will be [5-10%]. In this segment, moreover, various competitors are active, both among specialized operators, such as Plurima, and among operators active in a plurality of product sectors15.</w:t>
      </w:r>
    </w:p>
    <w:p>
      <w:r>
        <w:t>20. Finally, also with reference to the market for Information Technology services, the transaction does not appear likely to raise competitive concerns, as the share of the Target is less than 1% and Poste Italiane is active in this market in a manner almost entirely functional to the provision of services included in its integrated logistics or document management service offerings.</w:t>
      </w:r>
    </w:p>
    <w:p>
      <w: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non-compete agreement may be considered ancillary to this transaction only to the limits described above and that the Authority reserves the right to evaluate, where the conditions exist, the aforementioned agreement that exceeds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 xml:space="preserve">THE SECRETARY GENERAL THE PRESIDENT </w:t>
        <w:br/>
        <w:t>Guido Stazi Roberto Rustichelli</w:t>
      </w:r>
    </w:p>
    <w:p>
      <w:r>
        <w:t>15 Among the specialized operators, there are, for example, Microdisegno S.r.l. and Italarchivi S.r.l., while among the operators active in a plurality of product sectors are, for example, Bucap S.p.A., FDM Business Services S.r.l., CNI Bv Tech S.p.A., CSA, and Archivi Pròdeo.</w:t>
      </w:r>
    </w:p>
    <w:p>
      <w:r>
        <w:rPr>
          <w:b/>
        </w:rPr>
        <w:t>[Pages 16–18]</w:t>
      </w:r>
    </w:p>
    <w:p>
      <w:r>
        <w:t xml:space="preserve">18 BULLETIN NO. 17 OF MAY 9, 2022  </w:t>
        <w:br/>
        <w:t xml:space="preserve">C12445 - ACCENTURE SERVICES AND TECHNOLOGY/BRANCHES OF BUSINESS OF  </w:t>
        <w:br/>
        <w:t xml:space="preserve">BANCA NAZIONALE DEL LAVORO  </w:t>
        <w:br/>
        <w:t xml:space="preserve">Measure No. 30125  </w:t>
        <w:br/>
        <w:t xml:space="preserve">THE ITALIAN COMPETITION AUTHORITY  </w:t>
        <w:br/>
        <w:t xml:space="preserve">IN ITS MEETING of April 20, 2022;  </w:t>
        <w:br/>
        <w:t xml:space="preserve">HEARD the Rapporteur Professor Iossa;  </w:t>
        <w:br/>
        <w:t xml:space="preserve">HAVING REGARD TO Law No. 287 of October 10, 1990;  </w:t>
        <w:br/>
        <w:t xml:space="preserve">HAVING REGARD TO Presidential Decree No. 217 of April 30, 1998;  </w:t>
        <w:br/>
        <w:t xml:space="preserve">HAVING REGARD TO the act of the company Accenture Services and Technology S.r.l., received on April 5, 2022;  </w:t>
        <w:br/>
        <w:t xml:space="preserve">CONSIDERING the following:  </w:t>
        <w:br/>
        <w:t xml:space="preserve">I. THE PARTIES  </w:t>
        <w:br/>
        <w:t xml:space="preserve">1. Accenture Services and Technology S.r.l. (hereinafter, Accenture) is a company active in consulting and outsourced management of business processes in support of its reference clients, primarily in the banking and insurance sectors.  </w:t>
        <w:br/>
        <w:t xml:space="preserve">2. Accenture is part of the Accenture Group, which operates in the field of business consulting and management and technology services.  </w:t>
        <w:br/>
        <w:t xml:space="preserve">3. In 2020, the Accenture Group achieved a consolidated global turnover of approximately 37.1 billion euros, of which approximately [1-2]* billion euros were from sales in Italy.  </w:t>
        <w:br/>
        <w:t xml:space="preserve">4. The subject of acquisition is the branches of business of Banca Nazionale del Lavoro S.p.A. (hereinafter, the Branches of BNL) currently active in the provision of back office services (auxiliary administrative and/or accounting activities and operational support), as well as in the accounting and administrative activities related to the management and provision of specific services (active cycle, passive cycle, and asset cycle), particularly intended for the banking and financial sector, within the BNL Group. These are, therefore, so-called captive branches that have never provided services to the market.  </w:t>
        <w:br/>
        <w:t xml:space="preserve">5. The estimated costs of the Branches of BNL subject to acquisition are quantifiable at approximately [31-100] million euros; the operations of the Branches of BNL are national and, therefore, the costs are geographically attributable to Italy; the indication of the costs of the Branches of BNL is an estimate updated to 2021.  </w:t>
        <w:br/>
        <w:t xml:space="preserve">II. DESCRIPTION OF THE TRANSACTION  </w:t>
        <w:br/>
        <w:t xml:space="preserve">6. The transaction in question consists of the acquisition by Accenture of the Branches of BNL previously described.  </w:t>
        <w:br/>
        <w:t xml:space="preserve">7. Additionally, the activities carried out by the aforementioned Branches of BNL are outsourced to Accenture by BNL under a separate outsourcing contract (hereinafter, the Service Contract). The Service Contract will have a duration of 15 years.  </w:t>
        <w:br/>
        <w:t>* In this version, some data are omitted, as elements of confidentiality or secrecy of the information were deemed to exist.</w:t>
      </w:r>
    </w:p>
    <w:p>
      <w:r>
        <w:t xml:space="preserve">BULLETIN NO. 17 OF MAY 9, 2022 19  </w:t>
        <w:br/>
        <w:t xml:space="preserve">8. According to the statements made by the Parties, the transaction does not include ancillary restrictions.  </w:t>
        <w:br/>
        <w:t xml:space="preserve">III. QUALIFICATION OF THE TRANSACTION  </w:t>
        <w:br/>
        <w:t xml:space="preserve">9. The notified transaction, as it involves the acquisition of control over parts of a business, constitutes a concentration pursuant to Article 5, paragraph 1, letter b), of Law No. 287/90.  </w:t>
        <w:br/>
        <w:t xml:space="preserve">10. 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517 million euros and the turnover achieved individually at the national level by at least two of the companies involved exceeded 31 million euros.  </w:t>
        <w:br/>
        <w:t xml:space="preserve">IV. EVALUATION OF THE CONCENTRATION  </w:t>
        <w:br/>
        <w:t xml:space="preserve">11. Taking into account the activities carried out by the acquired branches of business, the transaction in question concerns the market for back office services, that is, the provision of administrative, accounting, and management services intended for businesses. From a geographical perspective, the identified market presents a national dimension, as the choice of users of such services tends to be directed towards companies that have an organization present in the national territory1.  </w:t>
        <w:br/>
        <w:t xml:space="preserve">In this specific case, however, it does not appear necessary to arrive at a more precise identification of the relevant markets, given that, due to the limited operations of the Parties and the lack of horizontal overlaps, the outcome of the evaluation of the transaction in question would not change regardless of the definition adopted.  </w:t>
        <w:br/>
        <w:t xml:space="preserve">Effects of the transaction  </w:t>
        <w:br/>
        <w:t xml:space="preserve">12. In the Italian market for back office services, the Branches of BNL are not active2, while the share of the Accenture Group in 2020 was approximately [10-15%].  </w:t>
        <w:br/>
        <w:t xml:space="preserve">13. In this market, there are numerous and qualified competitors such as Comdata S.p.A. ([15-20%]), Almaviva – The Italian Innovation Company S.p.A. ([10-15%]), Teleperformance Italia – In &amp; Out S.p.A. ([5-10%]), and Gruppo MutuiOnline S.p.A. ([5-10%]).  </w:t>
        <w:br/>
        <w:t xml:space="preserve">14. In light of the above considerations, it is believed that in the relevant market the transaction will not have adverse effects on competition, not resulting in substantial changes in the competitive structure thereof.  </w:t>
        <w:br/>
        <w:t xml:space="preserve">IT IS THEREFORE CONSIDERED that the transaction in question does not result, pursuant to Article 6, paragraph 1, of Law No. 287/90, in the establishment or strengthening of a dominant position in the relevant market, such as to eliminate or substantially and durably reduce competition;  </w:t>
        <w:br/>
        <w:t xml:space="preserve">1 See Authority Measure No. 28615 of March 23, 2021, C12365 – DGB Bidco Holdings Limited/Cedacri, in Bulletin No. 15/2021 and Authority Measure No. 28171 of March 3, 2020, C12285 – Accenture Managed Services/Fruendo, in Bulletin No. 12/2020.  </w:t>
        <w:br/>
        <w:t>2 As noted, these are so-called captive branches that have never provided services to the market.</w:t>
      </w:r>
    </w:p>
    <w:p>
      <w:r>
        <w:t xml:space="preserve">20 BULLETIN NO. 17 OF MAY 9, 2022  </w:t>
        <w:br/>
        <w:t xml:space="preserve">RESOLUTION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Italian Competition Authority.  </w:t>
        <w:br/>
        <w:t xml:space="preserve">THE SECRETARY GENERAL THE PRESIDENT  </w:t>
        <w:br/>
        <w:t>Guido Stazi Roberto Rustichelli</w:t>
      </w:r>
    </w:p>
    <w:p>
      <w:r>
        <w:rPr>
          <w:b/>
        </w:rPr>
        <w:t>[Pages 19–21]</w:t>
      </w:r>
    </w:p>
    <w:p>
      <w:r>
        <w:t>BULLETIN NO. 17 OF MAY 9, 2022 21</w:t>
      </w:r>
    </w:p>
    <w:p>
      <w:r>
        <w:t>REPORTING AND CONSULTATIVE ACTIVITIES</w:t>
      </w:r>
    </w:p>
    <w:p>
      <w:r>
        <w:t>AS1831 - MUNICIPALITY OF RIMINI - ANNUAL PLAN FOR RATIONALIZATION OF CORPORATE PARTICIPATIONS</w:t>
      </w:r>
    </w:p>
    <w:p>
      <w:r>
        <w:t>Rome, March 8, 2022</w:t>
      </w:r>
    </w:p>
    <w:p>
      <w:r>
        <w:t>Municipality of Rimini</w:t>
      </w:r>
    </w:p>
    <w:p>
      <w:r>
        <w:t>The Italian Competition Authority, in its meeting of March 1, 2022, resolved to express its opinion, pursuant to Article 21-bis of Law No. 287 of October 10, 1990, regarding the content of Resolution 73 of December 16, 2021, of the Municipality of Rimini, received by the Authority on January 27, 2022, which includes, among other things, the review of the participations held as of December 31, 2020, and the periodic rationalization plan for some of them1.</w:t>
      </w:r>
    </w:p>
    <w:p>
      <w:r>
        <w:t>From the reading of the 2021 review and the periodic rationalization plan of 2021, it emerges that the Municipality of Rimini holds participations in the company Rimini Congressi S.r.l., which in turn controls I.E.G. S.p.A.</w:t>
      </w:r>
    </w:p>
    <w:p>
      <w:r>
        <w:t>Rimini Congressi S.r.l. modified its corporate structure following the merger by incorporation of the Società del Palazzo dei Congressi S.p.A. into Rimini Congressi S.r.l., which was completed on December 22, 2020. Consequently, the individuals who held shares in the company Palazzo dei Congressi S.p.A. entered the corporate structure of Rimini Congressi S.r.l. The shareholding of Rimini Congressi S.r.l. was thus modified following the aforementioned merger and, as of December 31, 2020, the date to which the plan contained in the resolution subject to opinion refers, was distributed as follows: Rimini Holding (31.80%), Province of Rimini (28.5%), Chamber of Commerce of Romagna (29%), I.E.G. S.p.A. (10.3%), AIA Palas (0.2%)2. The participation of I.E.G. S.p.A., in turn controlled by Rimini Congressi S.r.l., must be classified under the category of "cross participations" as provided for by the Civil Code, for which it is stipulated, pursuant to Article 2359 bis of the Civil Code, that the related voting rights will remain frozen. Regarding AIA Palas, it is a consortium company that manages many accommodation facilities intended for hosting during events held at the new Palacongressi of Rimini. The participation in Rimini Congressi S.r.l. is, however, minimal and such that it does not change the previous control structure in favor of the public entities. As of now, no significant changes in the corporate structure have occurred.</w:t>
      </w:r>
    </w:p>
    <w:p>
      <w:r>
        <w:t>In Resolution 73 of 2021, the Municipality of Rimini, confirming what has already been reported in previous annual reviews and related rationalization plans, explicitly considers Rimini Congressi S.r.l. not subject to joint public control and therefore believes that I.E.G. does not fall into the category of indirect corporate participations to be subjected to the review preparatory to the annual rationalization plan. In particular, the Municipality states that Rimini Congressi S.r.l.: "is not under public control, nor even under joint control, from which it follows that in this plan the participations held by it (I.E.G. S.p.A.) should not be examined and evaluated" and that it intends to "maintain the participation as it is strategic and consistent with the purposes of the entity, without any rationalization intervention."</w:t>
      </w:r>
    </w:p>
    <w:p>
      <w:r>
        <w:t>In the plan of the Municipality of Rimini, it is also stated that Rimini Congressi S.r.l., "even if it were qualified as 'under public control', would still be 'under joint public control', not 'monocratic', so the participations held by it (currently in reality the only one, that in I.E.G.) would not equally be classifiable as 'indirect participations' and therefore should not be considered in this document (in fact, they have not been included in the plan)." "In addition to these considerations, it should also be noted that, since June 19, 2019, I.E.G. has been listed on the M.T.A. (electronic stock market) of the Milan Stock Exchange, so it is certainly and in any case excluded from the scope of application of the TUSP and would also be in the denied and not believed hypothesis (formulated by the Court of Auditors) in which its parent company RC truly had the nature of 'publicly controlled company'. Therefore, it is expected to maintain the participation given the 'important activity (of coordinating the three public shareholders in managing their corporate participations in the two fair and congress sectors - which are synergistic and fundamental for the economic development of the Rimini area) and the important operations (of 'strengthening' I.E.G. S.p.A., also preparatory to its subsequent listing on the stock exchange) that the company has implemented and is continuing to implement effectively."</w:t>
      </w:r>
    </w:p>
    <w:p>
      <w:r>
        <w:t>This assessment of the corporate structure, although it shows the clear coordination of activities implemented through Rimini Congressi S.r.l., nevertheless leads to conclusions that are not shared by this Authority, which intends, first of all, to reiterate what has already been communicated in the opinion pursuant to Article 21-bis of Law No. 287/90 of February 4, 2020, No. AS16673, and of March 23, 2021, No. AS17664, regarding the fact that Rimini Congressi is subject to the joint control of the three public shareholders mentioned above and, by virtue of this control, the company I.E.G. S.p.A. must be considered an indirect participation of the aforementioned subjects (Municipality of Rimini, Province of Rimini, and Chamber of Commerce of Romagna) pursuant to Article 2, letter g) of Legislative Decree No. 175/2016 (TUSPP).</w:t>
      </w:r>
    </w:p>
    <w:p>
      <w:r>
        <w:t>Several circumstances support this reconstruction. First of all, the statutory provision states that Rimini Congressi: "has the purpose of ensuring, continuously, the strategic, technical, and financial coordination in the management of the corporate participations held on behalf of the shareholders." The company, therefore, has as its statutory purpose the "unitary management of participations," which implies the presence of joint control by the three public shareholders, also confirmed by the analysis of the votes expressed until December 31, 2020, by the three shareholders in the same manner—except for a single case of abstention by one of the shareholders—in the meetings of Rimini Congressi.</w:t>
      </w:r>
    </w:p>
    <w:p>
      <w:r>
        <w:t>This qualification is also confirmed by the Court of Auditors, Regional Control Section for Emilia Romagna, which, in Resolution 44/2018, noted the public nature of the control exercised over Rimini Congressi, stating that: "the hypothesis of control referred to in Article 2359 of the Civil Code can also occur when the cases considered by the norm refer to multiple public administrations, which exercise such control jointly through conclusive behaviors, regardless of the existence of a formalized coordination [...]. From the qualification of the participation in Rimini Congressi as control ... follows the necessity to include among the companies to be subjected to extraordinary review also those indirectly owned through this and therefore, Italian Exhibition Group S.p.A. ... and the companies controlled by it."</w:t>
      </w:r>
    </w:p>
    <w:p>
      <w:r>
        <w:t>As already noted in the aforementioned opinion of the Authority AS1766, further confirmation of the joint public control exercised by the Municipality of Rimini, the Chamber of Commerce of Romagna, and the Province of Rimini over Rimini Congressi S.r.l. can be found in the rationalization process of the company Palazzo dei Congressi S.p.A. carried out through the merger into Rimini Congressi S.r.l.</w:t>
      </w:r>
    </w:p>
    <w:p>
      <w:r>
        <w:t>In the explanatory report of the administrative body on the merger project between Rimini Congressi and Società del Palazzo dei Congressi S.p.A., drafted pursuant to Article 2501-quinquies of the Civil Code (which took place in December 2020), it is stated, in the chapter "objectives and motivations to be pursued with the Operation," that "The merger operation ... originates from the needs of the local public shareholders (Province of Rimini, Chamber of Commerce of Romagna – Forlì – Cesena and Rimini, and Rimini Holding S.p.A., holding of the Municipality of Rimini), which together hold 100% of the share capital of Rimini Congressi, to proceed, even without having direct participations in the Società del Palazzo, to implement a rationalization plan of their direct and indirect participations [...] it is therefore evident that the local authorities obliged to comply with the provisions of the aforementioned Article 20 [Legislative Decree 176/2016 n.d.r.] consider it necessary to finalize the hypothesized merger operation." It is Rimini Congressi itself, therefore, that justifies the merger with its subsidiary with the need to respond to the obligations imposed on the controlling public entities to comply with the provisions of Article 20 of Legislative Decree 175/2016.</w:t>
      </w:r>
    </w:p>
    <w:p>
      <w:r>
        <w:t>That said, it is deemed appropriate to reiterate the observations already made through opinions No. AS1667 and No. AS1766 regarding the existence of specific criticalities from the perspective of competition law arising from the aforementioned corporate structure.</w:t>
      </w:r>
    </w:p>
    <w:p>
      <w:r>
        <w:t>It is observed, in fact, that I.E.G. S.p.A. has implemented a significant acquisition activity of companies that carry out activities different from that related to the organization of fairs6. Of these,</w:t>
      </w:r>
    </w:p>
    <w:p>
      <w:r>
        <w:t>6 Through resolutions of April 2018, the General Assembly and the Board of Directors of I.E.G. established the acquisition of 60% of the company Prostand S.r.l., which in turn acquired and then merged Colorcom Allestimenti Fieristici S.r.l. These are companies active in the sector of setting up stands for fairs, congresses, and events in general. According to the latest consolidated financial statements, as of September 30, 2020, I.E.G. effectively holds 100% of Prostand S.r.l. due to option rights exercised and to be exercised from June 2020 until the approval of the financial statements for the year 2022.</w:t>
      </w:r>
    </w:p>
    <w:p>
      <w:r>
        <w:rPr>
          <w:b/>
        </w:rPr>
        <w:t>[Pages 22–24]</w:t>
      </w:r>
    </w:p>
    <w:p>
      <w:r>
        <w:t>24 BULLETIN NO. 17 OF MAY 9, 2022</w:t>
        <w:br/>
        <w:t>No communication has been received regarding acquisitions pursuant to Article 5, paragraph 3 of Legislative Decree No. 175/2016.</w:t>
      </w:r>
    </w:p>
    <w:p>
      <w:r>
        <w:t>It is recalled in this regard that Legislative Decree No. 175/2016 has brought together into a single regulatory framework the discipline of public participations, providing, on the one hand, for their rationalization through a stringent identification of the statutory purposes that public participation companies can pursue and the areas of activity in which it is permitted to establish companies or maintain public participations, and on the other hand, for the strengthening of the motivational obligations that Public Administrations are required to fulfill for the establishment or maintenance of participations.</w:t>
      </w:r>
    </w:p>
    <w:p>
      <w:r>
        <w:t>The TUSPP thus identifies a limited type of areas in which new companies can be established and/or participations in existing ones can be acquired/maintained, providing stringent constraints on purpose and activity (Article 4).</w:t>
      </w:r>
    </w:p>
    <w:p>
      <w:r>
        <w:t>A special regime is provided for fairs, to which Article 4, paragraph 7 is dedicated, which expressly states that “participations in companies whose predominant corporate purpose is the management of exhibition spaces and the organization of trade fairs are also permitted.” This means, in the spirit of the regulation, that the management of exhibition spaces and the organization of such events are substantially equivalent, from the perspective of the pursued purpose, to other activities that Public Administrations can pursue through corporate participations, namely those defined in Article 4, paragraph 1, as “strictly necessary for the pursuit of their institutional purposes.”</w:t>
      </w:r>
    </w:p>
    <w:p>
      <w:r>
        <w:t>In this regard, it is believed that the legislator intended to grant recognition under Article 4, paragraph 7, to participations concerning companies whose predominant corporate purpose is the organization of a specific type of events that, in accordance with the provisions of the regulation, appear to be events aimed at enhancing the cultural and industrial heritage in reference, as expressions of a value worthy of consideration within the various institutional purposes pursued by public administrations in general.</w:t>
      </w:r>
    </w:p>
    <w:p>
      <w:r>
        <w:t>This interpretation, on the other hand, appears consistent with the principles governing the protection of competition, to which Legislative Decree No. 175/2016 is also inspired, as indicated in paragraph 2 of Article 1, according to which the provisions contained in the decree in question “are applied with regard to the efficient management of public participations, the protection and promotion of competition and the market, as well as the rationalization and reduction of public spending.”</w:t>
      </w:r>
    </w:p>
    <w:p>
      <w:r>
        <w:t>Also from a competitive perspective, it is therefore believed that the hypothesis regulated by Article 4, paragraph 7, of Legislative Decree No. 175/2016 should be interpreted strictly in order to avoid that what represents a special prerogative granted by the legislator extends beyond the intentions of the regulation, to include within it different services offered in competition in the market.</w:t>
      </w:r>
    </w:p>
    <w:p>
      <w:r>
        <w:t>In this sense, the participations held by I.E.G. S.p.A. in companies that provide additional services, such as those related to the setup of stands for fairs, congresses, and events in general, do not appear to fall within the provisions of the aforementioned paragraph 7 of Article 4 of Legislative Decree No. 175/2016. These are, in fact, services that, while also concerning the organization of fairs, do not appear to be directly attributable to the above-mentioned institutional purposes, and for which there are no reasons for their exclusion from market dynamics. Furthermore, there is a possible risk that the fair manager does not allow external parties to its corporate structure to perform ancillary services for the various events, such as those related to the setup of stands in the interest of individual exhibitors.</w:t>
      </w:r>
    </w:p>
    <w:p>
      <w:r>
        <w:t>BULLETIN NO. 17 OF MAY 9, 2022 25</w:t>
        <w:br/>
        <w:t>Considering the above, the review of participations and the annual rationalization plan of the participated companies approved by resolution 73 of December 16, 2021, of the City Council of Rimini, which includes the approval of the unified document 2021, appears to be in contrast with Article 4, paragraph 7, of the TUSPP.</w:t>
      </w:r>
    </w:p>
    <w:p>
      <w:r>
        <w:t>In particular, it is believed that the maintenance, through the company I.E.G. S.p.A., of participations in the sector of stand setup and event organization in general, is not consistent with what is established by the aforementioned Article 4, paragraph 7 and with the competitive principles that it intends to express, and that therefore such participations should be subject to divestment. In this perspective, it is deemed appropriate that the corporate purpose of I.E.G. S.p.A. be rationalized, making it compliant with the provisions of the regulation and thus limiting it and the activity carried out by the company primarily to the management of exhibition spaces and the organization of fairs.</w:t>
      </w:r>
    </w:p>
    <w:p>
      <w:r>
        <w:t>Pursuant to Article 21 bis, paragraph 2, of Law No. 287/90, the Municipality of Rimini must communicate to the Authority, within sixty days from the receipt of this opinion, the initiatives adopted. If within the aforementioned period such initiatives do not prove to be compliant with the competitive principles expressed above, the Authority may file an appeal within the following thirty days.</w:t>
      </w:r>
    </w:p>
    <w:p>
      <w:r>
        <w:t>This opinion will be published in the bulletin of the Italian Competition Authority.</w:t>
      </w:r>
    </w:p>
    <w:p>
      <w:r>
        <w:t xml:space="preserve">THE SECRETARY GENERAL THE PRESIDENT </w:t>
        <w:br/>
        <w:t xml:space="preserve">Guido Stazi Roberto Rustichelli </w:t>
        <w:br/>
        <w:t xml:space="preserve">_________________________________________________________________ </w:t>
        <w:br/>
        <w:t>Communication regarding the failure of the Municipality of Rimini to comply with the motivated opinion expressed by the Authority, pursuant to Article 21-bis of Law No. 287/1990, against Resolution 73 of 16/12/2021, which includes the approval of the Unified Document 2021, consisting of: 1) report on the implementation of the p.d.r.p. 2020 (periodic rationalization plan 2020 of the corporate participations directly and indirectly held by the Municipality of Rimini as of 31/12/2019) and 2) review 2021 of the corporate participations directly and indirectly held by the Municipality of Rimini as of 31/12/2020 and p.d.r.p. 2021 of some of them.</w:t>
      </w:r>
    </w:p>
    <w:p>
      <w:r>
        <w:t>In its meeting of March 1, 2022, the Authority decided to send to the Municipality of Rimini a motivated opinion pursuant to Article 21-bis of Law No. 287 of October 10, 1990, regarding the content of Resolution 73 of 16/12/2021 of the Municipality of Rimini, which includes the approval of the Unified Document 2021, consisting of: 1) report on the implementation of the p.d.r.p. 2020 (periodic rationalization plan 2020 of the corporate participations directly and indirectly held by the Municipality of Rimini as of 31/12/2019) and 2) review 2021 of the corporate participations directly and indirectly held by the Municipality of Rimini as of 31/12/2020 and p.d.r.p. 2021 of some of them, adopted by the aforementioned Municipality pursuant to the provisions of Article 20 of Legislative Decree No. 175 of August 19, 2016.</w:t>
      </w:r>
    </w:p>
    <w:p>
      <w:r>
        <w:t>In particular, the Authority prescribed to the Municipality of Rimini to divest the participations held through the company Italian Exhibition Group S.p.A. (IEG) in some companies operating in the sector</w:t>
      </w:r>
    </w:p>
    <w:p>
      <w:r>
        <w:t>26 BULLETIN NO. 17 OF MAY 9, 2022</w:t>
        <w:br/>
        <w:t>of stand setup for fairs, congresses, and events in general. IEG is a company that organizes fairs, congresses, and events also at an international level and is controlled by the company Rimini Congressi S.r.l., which in turn is participated by three public shareholders, the Municipality of Rimini (for 35.58% through the company it controls Rimini Holding S.p.A.), the Province of Rimini (for 32.50%), and the Chamber of Commerce of Romagna - Forlì-Cesena and Rimini (for 31.92%).</w:t>
      </w:r>
    </w:p>
    <w:p>
      <w:r>
        <w:t>The Authority indeed considered that the special regime for fairs introduced by Article 4, paragraph 7 of the TUSPP, which establishes that “participations in companies whose predominant corporate purpose is the management of exhibition spaces and the organization of trade fairs are also permitted,” must be interpreted strictly in order to avoid that what represents a special prerogative granted by the legislator extends beyond the purpose and objectives set by the regulation, to include within it different services offered in competition in the market. On this point, the Authority noted that the services of stand setup, while they may also concern the organization of fairs, do not primarily appear to be attributable to the institutional purposes dictated by the regulation and the general rationale of the TUSPP, and that in relation to them there are no reasons for their exclusion from market dynamics.</w:t>
      </w:r>
    </w:p>
    <w:p>
      <w:r>
        <w:t>The Municipality of Rimini, with communication dated March 16, 2022, responded to the Authority's opinion, deeming its actions legitimate, mainly due to the absence of public control over the company IEG.</w:t>
      </w:r>
    </w:p>
    <w:p>
      <w:r>
        <w:t>In light of the failure of the administration to comply with the motivated opinion pursuant to Article 21-bis of Law No. 287/1990, the Italian Competition Authority, in its meeting of April 5, 2022, therefore decided to appeal to the T.A.R. of Emilia Romagna against Resolution 73 of 16/12/2021 of the Municipality of Rimini, which includes the approval of the Unified Document 2021, consisting of: 1) report on the implementation of the p.d.r.p. 2020 (periodic rationalization plan 2020 of the corporate participations directly and indirectly held by the Municipality of Rimini as of 31/12/2019) and 2) review 2021 of the corporate participations directly and indirectly held by the Municipality of Rimini as of 31/12/2020 and p.d.r.p. 2021 of some of them.</w:t>
      </w:r>
    </w:p>
    <w:p>
      <w:r>
        <w:rPr>
          <w:b/>
        </w:rPr>
        <w:t>[Pages 25–27]</w:t>
      </w:r>
    </w:p>
    <w:p>
      <w:r>
        <w:t>BULLETIN NO. 17 OF MAY 9, 2022 27</w:t>
      </w:r>
    </w:p>
    <w:p>
      <w:r>
        <w:t>AS1832 - SOURCES OF SUPPLY FOR HEATING IN MOUNTAIN COMMUNITIES</w:t>
      </w:r>
    </w:p>
    <w:p>
      <w:r>
        <w:t>Rome, April 22, 2022</w:t>
      </w:r>
    </w:p>
    <w:p>
      <w:r>
        <w:t xml:space="preserve">Senate of the Republic  </w:t>
        <w:br/>
        <w:t xml:space="preserve">Chamber of Deputies  </w:t>
        <w:br/>
        <w:t xml:space="preserve">Presidency of the Council of Ministers  </w:t>
        <w:br/>
        <w:t>Minister of Ecological Transition</w:t>
      </w:r>
    </w:p>
    <w:p>
      <w:r>
        <w:t>The Italian Competition Authority, in its meeting on April 20, 2022, deemed it appropriate to make some considerations, pursuant to Article 21 of Law No. 287 of October 10, 1990, regarding the competitive issues that may arise from the application of Article 114-ter of Decree-Law No. 34 of May 19, 2020, converted into Law No. 77 of July 17, 2020, containing "Urgent measures regarding health, support for work and the economy, as well as social policies related to the epidemiological emergency from Covid-19."</w:t>
      </w:r>
    </w:p>
    <w:p>
      <w:r>
        <w:t>The provision in question, which inserts paragraph 4-bis into Article 23 of Legislative Decree No. 164 of May 23, 2000, implementing Directive No. 98/30/EC1, has essentially established a differentiated approval regime for investments in gas distribution plants (new or constituting extensions of existing plants) in gasified municipalities or to be gasified in certain areas of the country identified by the same article, also establishing an obligation for ARERA to recognize the full tariff coverage of investments related to such plants, considering, therefore, presumptively and positively evaluated the efficiency of such investments and conducting a cost-benefit analysis on them, and surpassing the general regulations provided for the infrastructural developments of natural gas distribution networks, which requires - precisely - the conduct of such type of analysis2.</w:t>
      </w:r>
    </w:p>
    <w:p>
      <w:r>
        <w:t>The Authority believes that this differentiated regime may primarily lead to distorting effects on competition among operators active in the offering of alternative energy systems. In particular, the provision appears likely to discourage the entry into the market of forms of energy other than natural gas, thereby altering competition among operators active in different segments of the energy sector, whose systems can, however, achieve the same purpose (e.g., heating of environments). It should be noted that, for example, district heating networks can offer services comparable to those provided by natural gas distribution networks. As also confirmed by the sector regulator ARERA, which in the past had also made critical considerations regarding the provision in question3, the failure to conduct cost-benefit analyses could lead to the establishment of natural gas distribution networks in areas already served by district heating services, resulting in the duplication of assets characterized by significant economies of scale.</w:t>
      </w:r>
    </w:p>
    <w:p>
      <w:r>
        <w:t>In the event that the two services were to compete for new investments in the same territorial area, district heating would be severely disadvantaged, considering the different methods of recovering the costs incurred. The prices of the district heating service are, in fact, freely defined by the operators in the sector and must allow for the total coverage of the costs incurred by the operator for providing the service in the served territorial area (typically the individual municipality). In the natural gas distribution sector, on the contrary, the tariffs for covering network costs defined by the Authority refer to very large territorial areas (supra-regional), with the consequent possibility of cross-subsidies among the different municipalities that compose them.</w:t>
      </w:r>
    </w:p>
    <w:p>
      <w:r>
        <w:t>Furthermore, from an administrative as well as economic perspective, the provision in question could also favor gasification, streamlining the related approval processes and thereby potentially influencing the choices of local administrations. It should also be considered that alternative forms to the natural gas distribution service can represent more environmentally sustainable solutions, for example, through the use of energy produced from renewable sources, thus making their disincentive ultimately contrary to the decarbonization objectives promoted by Euro-unitary bodies starting from the so-called Clean Energy Package4.</w:t>
      </w:r>
    </w:p>
    <w:p>
      <w:r>
        <w:t>From a different perspective, the provision under analysis also appears to entail disadvantages related to a compromise of the overall efficiency of the national energy system, as the outright recognition of investments in gas distribution plants in tariffs entails the risk of over-compensation of the networks and less attention to the real benefit that they can bring to final consumers, also in terms of comparing the advantages of the same with respect to alternative solutions. Finally, from this perspective, the positive effect in terms of overall efficiency given by the real competitive pressure of alternative energy systems on operators active in gas distribution would also be lost.</w:t>
      </w:r>
    </w:p>
    <w:p>
      <w:r>
        <w:t>It is believed, lastly, that the preceding considerations assume increased relevance in the current historical moment, in which the energy price crisis and the need to free oneself from dependence on Russian gas shed new light on the opportunity to adopt regulations - such as the one under analysis - that push towards gasification rather than exploring (or at least leaving operators the possibility to offer under equal conditions) alternative energy solutions capable of ensuring a diversification of supply sources.</w:t>
      </w:r>
    </w:p>
    <w:p>
      <w:r>
        <w:t>The Authority, given the elements described above, therefore believes that the provision in question is in contrast with competitive principles and may have harmful effects in terms of the overall efficiency of the national energy system, as well as going against the objectives of containing the environmental impact of energy systems and the necessary reconsiderations of the hierarchy of sources made necessary in the current geopolitical context.</w:t>
      </w:r>
    </w:p>
    <w:p>
      <w:r>
        <w:t>In conclusion, a revision of the provision is suggested, possibly confining mechanisms for streamlining administrative processes and/or economic incentives to new gasification interventions in certain geographical areas of the country to cases where it is actually possible to ascertain the absence or the real impracticality, in terms of cost-benefit, of alternative energy solutions.</w:t>
      </w:r>
    </w:p>
    <w:p>
      <w:r>
        <w:t>This report will be published in the Bulletin referred to in Article 26 of Law No. 287/1990.</w:t>
      </w:r>
    </w:p>
    <w:p>
      <w:r>
        <w:t xml:space="preserve">THE PRESIDENT  </w:t>
        <w:br/>
        <w:t>Roberto Rustichelli</w:t>
      </w:r>
    </w:p>
    <w:p>
      <w:r>
        <w:rPr>
          <w:b/>
        </w:rPr>
        <w:t>[Pages 28–28]</w:t>
      </w:r>
    </w:p>
    <w:p>
      <w:r>
        <w:t>Antitrust Authority Weekly Bulletin</w:t>
        <w:br/>
        <w:t>of Competition and Market Year XXXII - No. 17 - 2022</w:t>
        <w:br/>
        <w:t>Editorial Coordination Giulia Antenucci</w:t>
        <w:br/>
        <w:t>Editorial Team Valerio Ruocco, Simonetta Schettini, Manuela Villani</w:t>
        <w:br/>
        <w:t>Italian Competition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