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https://agcm.it/dotcmsdoc/bollettini/2025/17-25.pdf</w:t>
      </w:r>
    </w:p>
    <w:p>
      <w:r>
        <w:t>Pages translated : 47</w:t>
      </w:r>
    </w:p>
    <w:p/>
    <w:p>
      <w:r>
        <w:rPr>
          <w:b/>
        </w:rPr>
        <w:t>[Pages 1–3]</w:t>
      </w:r>
    </w:p>
    <w:p>
      <w:r>
        <w:t xml:space="preserve">Bulletin  </w:t>
        <w:br/>
        <w:t xml:space="preserve">Weekly  </w:t>
        <w:br/>
        <w:t xml:space="preserve">Year XXXV - No. 17  </w:t>
        <w:br/>
        <w:t xml:space="preserve">Published on the website www.agcm.it  </w:t>
        <w:br/>
        <w:t>May 5, 2025</w:t>
      </w:r>
    </w:p>
    <w:p>
      <w:r>
        <w:t xml:space="preserve">SUMMARY  </w:t>
        <w:br/>
        <w:t xml:space="preserve">AGREEMENTS AND ABUSE OF DOMINANT POSITION 5  </w:t>
        <w:br/>
        <w:t xml:space="preserve">A476D - CONAI-PLASTIC PACKAGING WASTE MANAGEMENT-REVIEW OF COMMITMENTS  </w:t>
        <w:br/>
        <w:t xml:space="preserve">Measure No. 31527 5  </w:t>
        <w:br/>
        <w:t xml:space="preserve">I868 - BYOOVIZ/FAILURE TO MARKET  </w:t>
        <w:br/>
        <w:t xml:space="preserve">Measure No. 31529 21  </w:t>
        <w:br/>
        <w:t xml:space="preserve">CONCENTRATION OPERATIONS 22  </w:t>
        <w:br/>
        <w:t xml:space="preserve">C12713 - DUFERCO INTERNATIONAL TRADING HOLDING/MARCORA  </w:t>
        <w:br/>
        <w:t xml:space="preserve">Measure No. 31528 22  </w:t>
        <w:br/>
        <w:t xml:space="preserve">REPORTING AND CONSULTATIVE ACTIVITIES 27  </w:t>
        <w:br/>
        <w:t xml:space="preserve">AS2076 - MUNICIPALITY OF NAPLES - RECOGNITION SPL 2024 27  </w:t>
        <w:br/>
        <w:t xml:space="preserve">AS2077 - REGULATION OF THE ACTIVITIES OF JUDICIAL SALES INSTITUTIONS 31  </w:t>
        <w:br/>
        <w:t xml:space="preserve">AS2078 - MUNICIPALITY OF NUMANA (AN) - MODALITIES FOR THE AWARD AND MANAGEMENT OF THE TOURIST PORT 34  </w:t>
        <w:br/>
        <w:t xml:space="preserve">UNFAIR COMMERCIAL PRACTICES 38  </w:t>
        <w:br/>
        <w:t xml:space="preserve">PS12802 - SKY CANCELLATION MODALITIES FOR SUBSCRIPTION  </w:t>
        <w:br/>
        <w:t>Measure No. 31530 38</w:t>
      </w:r>
    </w:p>
    <w:p>
      <w:r>
        <w:t xml:space="preserve">BULLETIN NO. 17 OF MAY 5, 2025 5  </w:t>
        <w:br/>
        <w:t xml:space="preserve">AGREEMENTS AND ABUSE OF DOMINANT POSITION  </w:t>
        <w:br/>
        <w:t xml:space="preserve">A476D - CONAI-PLASTIC PACKAGING WASTE MANAGEMENT-REVIEW OF COMMITMENTS  </w:t>
        <w:br/>
        <w:t xml:space="preserve">Measure No. 31527  </w:t>
        <w:br/>
        <w:t xml:space="preserve">THE ITALIAN COMPETITION AUTHORITY  </w:t>
        <w:br/>
        <w:t xml:space="preserve">IN ITS MEETING of April 15, 2025;  </w:t>
        <w:br/>
        <w:t xml:space="preserve">HEARD the Rapporteur, Professor Elisabetta Iossa;  </w:t>
        <w:br/>
        <w:t xml:space="preserve">HAVING REGARD to Article 102 of the Treaty on the Functioning of the European Union (hereinafter, "TFEU");  </w:t>
        <w:br/>
        <w:t xml:space="preserve">HAVING REGARD to Regulation No. 1/2003 of the Council of December 16, 2002, concerning the application of the competition rules laid down in Articles 81 and 82 of the EC Treaty (now Articles 101 and 102 of the TFEU);  </w:t>
        <w:br/>
        <w:t xml:space="preserve">HAVING REGARD to Law No. 287 of October 10, 1990, and in particular, Article 14-ter;  </w:t>
        <w:br/>
        <w:t xml:space="preserve">HAVING REGARD to its resolution of July 17, 2014, No. 25035, which initiated an investigation procedure (A476), pursuant to Article 14 of Law No. 287/1990, against the National Packaging Consortium (hereinafter, "CONAI") and the National Consortium for the Collection, Recycling, and Recovery of Plastic Packaging Waste (hereinafter, "COREPLA"; collectively also, the "Consortia"), as well as the "autonomous system" (the autonomous system P.A.R.I. - (hereinafter, "System PARI" - of the company Aliplast S.p.A. – hereinafter, "Aliplast") as the reporting party, aimed at ascertaining any violations of Article 102 TFEU by the Consortia in relation to the behaviors adopted in the market for the initiation of recycling of special secondary and tertiary packaging waste;  </w:t>
        <w:br/>
        <w:t xml:space="preserve">HAVING REGARD to the "Communication on the procedures for the application of Article 14-ter of Law No. 287 of October 10, 1990," adopted in the meeting of September 6, 2012 and published in Bulletin No. 35 of September 17, 2012;  </w:t>
        <w:br/>
        <w:t xml:space="preserve">HAVING REGARD to the communication of February 20, 2015, by which CONAI and COREPLA submitted commitments, pursuant to Article 14-ter of Law No. 287/1990, according to the modalities specifically indicated in the appropriate "Form for the submission of commitments pursuant to Article 14-ter of Law No. 287/90," aimed at removing the anticompetitive profiles subject to the investigation;  </w:t>
        <w:br/>
        <w:t xml:space="preserve">HAVING REGARD to its resolution of September 3, 2015, No. 25609, with which, at the conclusion of the investigation, the commitments submitted by the Consortia were made mandatory, pursuant to Article 14-ter, paragraph 1, of Law No. 287/1990 (hereinafter, "Commitments"), without indicating a time limit for their cessation;  </w:t>
        <w:br/>
        <w:t>HAVING REGARD to the request for revocation of the Commitments, submitted by the Consortia on September 20, 2024, based on the changes that have affected the sector in the years since the closure of the investigation and, in particular, on the evolution of the regulatory and factual framework that, in the opinion of CONAI and COREPLA, would have rendered the Commitments no longer of immediate and full application;</w:t>
      </w:r>
    </w:p>
    <w:p>
      <w:r>
        <w:rPr>
          <w:b/>
        </w:rPr>
        <w:t>[Pages 4–6]</w:t>
      </w:r>
    </w:p>
    <w:p>
      <w:r>
        <w:t>BULLETIN NO. 17 OF MAY 5, 2025</w:t>
      </w:r>
    </w:p>
    <w:p>
      <w:r>
        <w:t>6. IN VIEW of the supplementary information provided by the Consortia on October 4, 2024, and the observations submitted by Aliplast on October 11, 2024;</w:t>
      </w:r>
    </w:p>
    <w:p>
      <w:r>
        <w:t>7. IN VIEW of its resolution of October 22, 2024, No. 31348, which initiated an investigation against CONAI and COREPLA in order to assess, in contradiction with the Parties and any interested third parties, the request for revocation of the commitments submitted by them, with a deadline set for conclusion on February 28, 2025;</w:t>
      </w:r>
    </w:p>
    <w:p>
      <w:r>
        <w:t>8. IN VIEW of its resolution of February 25, 2025, No. 31469, which extended the deadline for the conclusion of the procedure to April 30, 2025, also in order to integrate the contradiction with the company Aliplast and to ensure the Consortia the full exercise of their rights of defense;</w:t>
      </w:r>
    </w:p>
    <w:p>
      <w:r>
        <w:t>9. IN VIEW of the communication of March 3, 2025, which accepted the request for participation in the procedure from Aliplast dated January 17, 2025;</w:t>
      </w:r>
    </w:p>
    <w:p>
      <w:r>
        <w:t>10. IN VIEW of the acts of the procedure and the documentation acquired during the pre-investigative and investigative phases;</w:t>
      </w:r>
    </w:p>
    <w:p>
      <w:r>
        <w:t>CONSIDERING the following:</w:t>
      </w:r>
    </w:p>
    <w:p>
      <w:r>
        <w:t>I. THE PARTIES</w:t>
      </w:r>
    </w:p>
    <w:p>
      <w:r>
        <w:t>1. CONAI is a legally mandatory consortium, endowed with legal personality, non-profit, established by producers and users of packaging, required to finance the management of waste resulting from the use of their packaging, pursuant to the European principle of Extended Producer Responsibility (hereinafter, "EPR"). The consortium was initially established by Legislative Decree of February 5, 1997, No. 22 (so-called Ronchi Decree) and is now governed by Legislative Decree of April 3, 2006, No. 152 (so-called Consolidated Environmental Act, hereinafter "TUA"). CONAI also ensures the connection between the management of packaging waste carried out by the sector Consortia (see below) and the public service of organized separate collection by the Municipalities, through the so-called "ANCI-CONAI Agreement".</w:t>
      </w:r>
    </w:p>
    <w:p>
      <w:r>
        <w:t>2. COREPLA is one of the six sector consortia through which CONAI provides compliance with the aforementioned EPR obligation, particularly representative of companies that produce plastic packaging, also established by the Ronchi Decree and now governed by the TUA.</w:t>
      </w:r>
    </w:p>
    <w:p>
      <w:r>
        <w:t>3. Aliplast is a company, now part of the Herambiente group, that operates in the collection, storage, recovery, and recycling of plastic packaging. As a producer of plastic packaging, pursuant to Article 221, paragraph 3, letter c), TUA, the company has established a so-called "autonomous system" for managing its secondary and tertiary packaging waste in low-density polyethylene (hereinafter, "LDPE"), called "Sistema PARI", which allows it to trace, collect, and send them for recycling, without using the infrastructures and services provided by CONAI and COREPLA and without paying the CONAI environmental contribution (hereinafter, "CAC").</w:t>
      </w:r>
    </w:p>
    <w:p>
      <w:r>
        <w:t>II. THE INVESTIGATIVE PROCEDURE A476</w:t>
      </w:r>
    </w:p>
    <w:p>
      <w:r>
        <w:t>4. The investigative procedure A476 was initiated on July 17, 2014, in relation to an alleged exclusionary strategy that CONAI would have implemented, also in the interest of COREPLA, aimed at hindering the entry of the Sistema PARI, implemented by Aliplast, into the market for organizing the recycling of secondary and tertiary plastic packaging waste. The investigative hypothesis was, more specifically, that CONAI had implemented, also in the interest of COREPLA, a single articulated exclusionary strategy materialized in the imposition of obstacles to the recognition of the Sistema PARI and its operation in that market.</w:t>
      </w:r>
    </w:p>
    <w:p>
      <w:r>
        <w:t>5. The procedure was closed with commitments, adopted by the Authority pursuant to Article 14-ter of Law No. 287/1990, with a measure of September 3, 2015, No. 25609.</w:t>
      </w:r>
    </w:p>
    <w:p>
      <w:r>
        <w:t>6. The commitments made mandatory by this measure provided, in summary:</w:t>
        <w:br/>
        <w:t>i) the assignment to a third party (hereinafter, "Monitoring Trustee") subject to the Authority's approval, of the task of providing the MATTM with evaluation elements pursuant to Article 221, paragraph 5, of the TUA, within the administrative procedures for the recognition of autonomous systems for managing special plastic packaging waste (Commitment No. 1);</w:t>
        <w:br/>
        <w:t>ii) the definition of criteria for determining the contribution that any new autonomous systems for managing special plastic packaging waste are required to pay to the CONAI consortium system if part of their packaging is intercepted by the urban collection circuit. In this procedure, the intervention of the Monitoring Trustee referred to in the previous Commitment No. 1 was also provided for, subject to certain conditions (Commitment No. 2);</w:t>
        <w:br/>
        <w:t>iii) the assumption of certain transparency and publicity obligations by CONAI and COREPLA towards the market regarding the existence of autonomous systems for managing plastic packaging waste (Commitment No. 3);</w:t>
        <w:br/>
        <w:t>iv) the retroactive application of the criteria referred to in Commitment No. 2 also for determining the contribution due from Aliplast to the CONAI/COREPLA consortium system, if requested by the company itself (Commitment No. 4);</w:t>
        <w:br/>
        <w:t>v) the obligation to resolve, at Aliplast's request, the pending administrative dispute regarding the recognition of the Sistema PARI, provided that the company submitted to a verification by the Monitoring Trustee to ascertain the actual achievement of the recovery and recycling objectives set by law; the waiver of the credit claimed by CONAI against Aliplast regarding the amounts owed by the latter for the so-called CAC ("CONAI Environmental Contribution") not paid in the period July 15, 2009 - June 20, 2013, as well as the installment payment of Aliplast's debt for the unpaid CAC in the period June 21, 2013 - August 4, 2014 (in total, Commitment No. 5).</w:t>
      </w:r>
    </w:p>
    <w:p>
      <w:r>
        <w:t>7. The commitments described above were made mandatory by the Authority in 2015 without the provision of a final deadline for their implementation (sine die).</w:t>
      </w:r>
    </w:p>
    <w:p>
      <w:r>
        <w:t>8. The Authority has always verified, in the nine years since the closure of the investigation, the compliance of CONAI and COREPLA with the commitments themselves.</w:t>
      </w:r>
    </w:p>
    <w:p>
      <w:r>
        <w:t>III. THE REQUEST FOR REVOCATION OF COMMITMENTS</w:t>
      </w:r>
    </w:p>
    <w:p>
      <w:r>
        <w:t>9. On September 20, 2024, CONAI and COREPLA (collectively, also, the "Consortia") submitted a request aimed at revoking the commitments referred to in the resolution of September 3, 2015, No. 25609 (closing the A476 CONAI-WASTE MANAGEMENT FROM PLASTIC PACKAGING procedure), due to the changes that have affected the sector in question in the years since the closure of the investigation.</w:t>
      </w:r>
    </w:p>
    <w:p>
      <w:r>
        <w:t>10. More specifically, regarding Commitment No. 1, it is now considered anachronistic since, since 2017, CONAI is no longer required to provide the Ministry of the Environment and Energy Security (hereinafter, "MASE") with evaluation elements within the recognition procedures for autonomous systems (a role now assigned to ISPRA). Consequently, in recent years the Monitoring Trustee has not been called to carry out any activities concerning the implementation of this measure.</w:t>
      </w:r>
    </w:p>
    <w:p>
      <w:r>
        <w:t>11. Regarding Commitment No. 2, the Consortia highlighted the significance of the legislative amendment referred to in Article 25-bis, paragraph 1, of Decree-Law No. 36 of April 30, 2022, converted by Law No. 79 of June 29, 2022, which introduced paragraph 5-ter of Article 224 of the TUA, which would eliminate...</w:t>
      </w:r>
    </w:p>
    <w:p>
      <w:r>
        <w:rPr>
          <w:b/>
        </w:rPr>
        <w:t>[Pages 7–9]</w:t>
      </w:r>
    </w:p>
    <w:p>
      <w:r>
        <w:t>BULLETIN NO. 17 OF MAY 5, 2025</w:t>
      </w:r>
    </w:p>
    <w:p>
      <w:r>
        <w:t>9. The need, provided for by this Commitment, to entrust the Monitoring Trustee with the determination of the contribution due for the packaging of the autonomous system that flows into the public collection service, since the obligation for autonomous systems to bear the costs of the packaging attributable to them, which flows into public collection, is now provided for by the law itself (and no longer by the ministerial decree of recognition). Such costs will be established in the framework program agreement with the National Association of Italian Municipalities (hereinafter, "ANCI") referred to in paragraph 5 of Article 224 of the TUA. After these legislative changes, therefore, the counterparts of ANCI within the framework program agreement are no longer only CONAI and the sector Consortia, but all EPR systems that deal with the management of packaging, including autonomous systems, which can negotiate directly with ANCI the fees due to the Municipalities for the separate collection service of their respective packaging that flows into urban collection. The role assigned to the Monitoring Trustee would thus have become superfluous (and inappropriate) and ultimately the entire Commitment 2.</w:t>
      </w:r>
    </w:p>
    <w:p>
      <w:r>
        <w:t>12. As for Commitment No. 3, relating to information on autonomous systems to be made available on the websites of CONAI and COREPLA, according to the Consortia, it should be reconsidered in light of the current economic-legal conditions of the sector, which sees the presence of three autonomous systems in the plastic sector (P.A.R.I., CORIPET, and CONIP) already definitively recognized and one multi-material (paper, wood, and plastic) recognized provisionally (ERION PACKAGING). In particular, almost a decade after the closure of procedure A476, the measure would have exhausted its innovative effectiveness of transparency and visibility in the market, as the information provided would today be marginal in light of the active role that autonomous systems have assumed in the packaging waste management sector.</w:t>
      </w:r>
    </w:p>
    <w:p>
      <w:r>
        <w:t>13. As for Commitment No. 4, specifically relating to the relationships with Aliplast for the determination of the contribution due to the consortium system, the Consortia refer to considerations similar to those expressed regarding Commitment No. 2. The two measures can indeed be considered together as Commitment 4 represents the specific application to Aliplast of the procedures provided for by Commitment 2.</w:t>
      </w:r>
    </w:p>
    <w:p>
      <w:r>
        <w:t>14. Finally, regarding Commitment No. 5, the Consortia pointed out that on December 16, 2015, Aliplast and CONAI concluded the economic transaction provided for by this Commitment, which has long been fully complied with, and that Aliplast has never requested to sign the administrative transaction, which has now become meaningless considering that the related judicial dispute has definitively concluded with the ruling of the Council of State No. 2123/2024, which confirmed the annulment of the recognition measure of the PARI System No. 5201/TRl/DI/R of August 4, 2014. Currently, the PARI System operates definitively based on the directorate decree No. 36 of August 5, 2020, which has not been challenged by either CONAI or COREPLA. Therefore, this Commitment would also have exhausted its effects as it has been fully complied with by the Consortia.</w:t>
      </w:r>
    </w:p>
    <w:p>
      <w:r>
        <w:t>15. In consideration of the elements presented, the Consortia conclusively believe that "the competitive concerns that the Commitments aimed to overcome through self-regulation appear to have diminished in the current regulatory framework. The Commitments do not seem today to be coherent and of immediate and full application. Their continuation, along with the related obligations of annual reporting on their implementation, seems, on the other hand, to constitute merely a formal burden devoid of real utility in competitive terms. A burden no longer proportionate also due to the fact that the Commitments operate indefinitely."</w:t>
      </w:r>
    </w:p>
    <w:p>
      <w:r>
        <w:t>IV. THE INITIATION OF PROCEDURE A476D AND THE INVESTIGATIVE ACTIVITIES CARRIED OUT</w:t>
      </w:r>
    </w:p>
    <w:p>
      <w:r>
        <w:t>16. The preliminary positions of the Consortia (already mentioned) and of Aliplast (see infra) had already been expressed prior to the initiation of the investigation, as well as for the Consortia in the same revocation request, through their respective memoranda and submissions of October 4 and 11, 2024.</w:t>
      </w:r>
    </w:p>
    <w:p>
      <w:r>
        <w:t>17. In the meeting of October 22, 2024, the Authority decided to initiate an investigation to ascertain "in contradiction with the Consortia and any interested third parties," whether "[the] evolution of the concerned sector is such as to justify the revocation or revision of the commitments made mandatory by resolution No. 25609 of September 3, 2015" (procedure A476D), setting the closing date for February 28, 2025.</w:t>
      </w:r>
    </w:p>
    <w:p>
      <w:r>
        <w:t>18. On December 4, 2024, the hearing of CONAI and COREPLA took place.</w:t>
      </w:r>
    </w:p>
    <w:p>
      <w:r>
        <w:t>19. On January 17, 2025, Aliplast, the reporting company in procedure A476, submitted a request to participate in the present procedure. Aliplast sent further documentation and observations before the original deadline of the procedure.</w:t>
      </w:r>
    </w:p>
    <w:p>
      <w:r>
        <w:t>20. On January 21, 2025, a request for opinion was made to the MASE regarding the request for revocation of the Commitments submitted by the Consortia. The MASE sent its response on January 31, 2025.</w:t>
      </w:r>
    </w:p>
    <w:p>
      <w:r>
        <w:t>21. The Authority, in its meeting of February 25, 2025, decided to extend the procedure to April 30, 2025, in order to acquire further elements useful for the evaluation of the Consortia's request for revocation and to integrate the contradiction with Aliplast itself, which was subsequently admitted to participate in the present procedure, with communication of March 3, 2025.</w:t>
      </w:r>
    </w:p>
    <w:p>
      <w:r>
        <w:t>22. Aliplast has produced information and supplementary documentation on several occasions after the acceptance of the participation request and has been heard in a hearing, both before and after being admitted to participate in the procedure, and lastly, on March 10 and 25, 2025.</w:t>
      </w:r>
    </w:p>
    <w:p>
      <w:r>
        <w:t>23. CONAI and COREPLA submitted an additional memorandum on March 28, 2025, containing a reply to the observations expressed by Aliplast in the latest communications.</w:t>
      </w:r>
    </w:p>
    <w:p>
      <w:r>
        <w:t>24. All Parties have had multiple accesses to the documentation of the file, in acceptance of the specific requests received.</w:t>
      </w:r>
    </w:p>
    <w:p>
      <w:r>
        <w:t>V. THE ARGUMENTS OF THE CONSORTIA</w:t>
      </w:r>
    </w:p>
    <w:p>
      <w:r>
        <w:t>25. CONAI and COREPLA further clarified their position regarding the request for revocation, by sending some clarifications requested by the Offices during the investigative hearing and with a concluding memorandum.</w:t>
      </w:r>
    </w:p>
    <w:p>
      <w:r>
        <w:t>26. Regarding the clarifications provided, the Directorate deemed it appropriate to request the Consortia a first in-depth analysis regarding the content of the information initially provided concerning Commitments No. 2 and No. 4, asking to specify the relationship between the possibilities of the amended regulatory framework and the factual reality, with particular reference to the validity or otherwise of the Convention with Aliplast for the definition of the costs due by it for the management of waste intercepted by the public collection system, which has been reported to the Authority over the years in various compliance reports.</w:t>
      </w:r>
    </w:p>
    <w:p>
      <w:r>
        <w:t>27. With a supplementary communication of the revocation request sent on October 4, 2024, the Consortia represented that the new Program Agreement provided for by the TUA has not yet been concluded, but the related negotiations have been ongoing for some time and Aliplast is actively participating. Until its conclusion, the provisions of the ANCI-CONAI Framework Agreement 2020-2024 will continue to operate even beyond the deadline of December 31, 2024, in order to ensure the continuity of the waste management service. In the meantime, the Convention signed between the Consortia and Aliplast, last updated during 2023, is still in force and will not necessarily cease due to the approval of the Framework Program Agreement. It has indeed been expressly provided in the last update that "the Parties will jointly verify which of the possible agreements that may be reached within the Framework Program Agreement referred to in Article 224 paragraphs 5, 5-bis, and 5-ter TUA may lead to a modification of one or more provisions established in the Convention and its annexes" (Article 4).</w:t>
      </w:r>
    </w:p>
    <w:p>
      <w:r>
        <w:t>28. According to the Consortia, in any case, the intervening legislative amendments would identify a new possibility for autonomous systems that can negotiate directly with ANCI and with the Municipalities (for the local agreements implementing the Program Agreement) all the conditions of management.</w:t>
      </w:r>
    </w:p>
    <w:p>
      <w:r>
        <w:rPr>
          <w:b/>
        </w:rPr>
        <w:t>[Pages 10–12]</w:t>
      </w:r>
    </w:p>
    <w:p>
      <w:r>
        <w:t>12 BULLETIN NO. 17 OF MAY 5, 2025</w:t>
      </w:r>
    </w:p>
    <w:p>
      <w:r>
        <w:t>of the waste of respective competence that has flowed into urban collection, including those of an economic nature. It is true that the regulation provides that, for this purpose, autonomous systems may also make use of the Consortia referred to in Article 223 TUA (i.e., the CONAI/Consortia of the supply chain), but this path is no longer the only option available to them and, reasonably, the autonomous systems will resort to it only if the direct relationship with local authorities proves to be more burdensome for some reason.</w:t>
      </w:r>
    </w:p>
    <w:p>
      <w:r>
        <w:t>29. From the perspective of the Commitments, however, the Consortia believe that the need to impose a procedural constraint on the negotiation between the autonomous system and CONAI/COREPLA would no longer exist, as there is now a complex system of regulations guaranteeing the operation of autonomous systems. Also from a content perspective, the "Guidelines" referred to in Commitment 2 would, according to the Consortia, have become a "market reference benchmark," destined to have an independent life regardless of the validity of the Commitments. Ultimately, according to CONAI/COREPLA, the regulatory changes that have occurred in the management of packaging waste since 2015 would have caused Commitments 2 and 4, made mandatory at the conclusion of procedure A476, to lose their function as safeguards against possible exclusionary behaviors of historical Consortia, thus rendering their continued binding nature superfluous.</w:t>
      </w:r>
    </w:p>
    <w:p>
      <w:r>
        <w:t>30. During the investigative hearing, the same issues were addressed in light of the initial observations presented by Aliplast (see next section), to which the Consortia had had access in the meantime. According to CONAI/COREPLA, in summary, the reasons put forward by the autonomous system regarding Commitments No. 2 and No. 4 would not be able to undermine the reasons underlying the subsequent obsolescence of the measures, as the new regulatory model would fundamentally exclude any possibility of anti-competitive conduct by the Consortia and, in this sense, the lengthiness of the negotiation processes (also due to the expansion of the system to a wider range of subjects) would not in any way negate this assumption, while the arguments put forward by Aliplast regarding Commitment 5 would be entirely outside the content of the measure previously approved.</w:t>
      </w:r>
    </w:p>
    <w:p>
      <w:r>
        <w:t>31. Even in its concluding memorandum of March 28, 2025, submitted in response to the further arguments raised by Aliplast, which will be discussed in more detail, concerning the ongoing negotiation tables, on one side, for the signing of the Framework Program Agreement (hereinafter, "APQ") with ANCI and, on the other side, the correct interpretation to be given to the regulation approved in December 2024 regarding the costs of the universal service supported by CONAI/COREPLA (paragraph 10-bis of Article 221 TUA; see infra), the Consortia reiterated the reasons supporting the request for revocation, since these further arguments concern aspects entirely foreign to the scope of the Commitments previously approved by the Authority.</w:t>
      </w:r>
    </w:p>
    <w:p>
      <w:r>
        <w:t>27 They would have been, for example, referenced also regarding the agreement that COMIECO (Consortium for cellulosic packaging, not involved in procedure A476) and COREPLA (the latter for plastic packaging not falling within the scope of application of the Commitments) concluded with the autonomous multi-material system ERION Packaging in application of Article 224, paragraph 5-ter of the TUA.</w:t>
      </w:r>
    </w:p>
    <w:p>
      <w:r>
        <w:t>28 CONAI and COREPLA have nonetheless made it known that "the divergences that originally seemed to exist regarding the application scope of the new regulation are being reconciled in light of the document prepared by Oxera Consulting commissioned by CONAI following the meeting of February 12, 2025 [...], in which it indicates what, for CONAI and COREPLA, are the types of costs to which the provision of paragraph 10-bis in question refers [...] and in relation to which the parties have expressed, after a discussion on some aspects, a substantial sharing of method and content, pending necessary further investigations - which allows for a continuation of the dialogue with much more aligned positions" (see doc. 39).</w:t>
      </w:r>
    </w:p>
    <w:p>
      <w:r>
        <w:t>BULLETIN NO. 17 OF MAY 5, 2025</w:t>
      </w:r>
    </w:p>
    <w:p>
      <w:r>
        <w:t>VI. THE POSITION EXPRESSED BY ALIPLAST</w:t>
      </w:r>
    </w:p>
    <w:p>
      <w:r>
        <w:t>32. Aliplast, already in the phase preceding the initiation of the investigation, requested and obtained access to the request for revocation from the Consortia and sent observations and counterarguments on October 11, 2024, focusing in particular on Commitments No. 2, 4, and 5 (not seeing any obstacle to the possible revocation of Commitments No. 1 and 3).</w:t>
      </w:r>
    </w:p>
    <w:p>
      <w:r>
        <w:t>33. Regarding Commitments No. 2 and No. 4 (which can be considered together), Aliplast expressed criticism regarding their possible revocation, asserting that, regardless of the new regulatory model, which provides for the possible negotiation of autonomous systems with ANCI, an objective disproportion in terms of bargaining power would remain in substance between the CONAI consortial system (historically the signatory of the agreement with ANCI and the main manager of the packaging waste that flows into public collection) and the autonomous systems. The possibility of negotiation attributed by the legislator would not, therefore, in itself mean that the need for the mechanisms provided for by the Commitments has ceased during the actual signing of the APQ, which is far from being a reality, given the delays that the negotiation process is encountering. These elements would therefore, according to the company, support the opportunity to maintain such measures, contrary to the request of the Consortia.</w:t>
      </w:r>
    </w:p>
    <w:p>
      <w:r>
        <w:t>34. As for Commitment 5, Aliplast pointed out that CONAI, following the ruling of the Council of State No. 2123/2024 already mentioned, which sanctioned the conclusion of the pending administrative litigation, with the definitive annulment of the recognition measure of the PARI System of August 4, 2014, requested Aliplast to pay the "environmental contribution due on PARI packaging for the period between August 4, 2014 (date of issuance of decree No. 5201/2014) annulled by the aforementioned ruling and August 29, 2017 (date of entry into force of law No. 124/2017), amounting to [omitted]*." According to Aliplast, this request would be unfair and exorbitant, and would be based solely on the position held by CONAI and not on any actual activity carried out in favor of plastic packaging producers or autonomous compliance systems with EPR, as instead provided for by the regulatory system. The actual payment of the sum would potentially lead to serious operational difficulties for Aliplast, and the mere request would cause legal and practical uncertainty capable of harming even the customers of the PARI System, as it cannot be excluded that CONAI may take initiatives aimed at recovering the credit even against them.</w:t>
      </w:r>
    </w:p>
    <w:p>
      <w:r>
        <w:t>35. Moreover, according to Aliplast's initial presentation, this request from CONAI would constitute a violation "of the rationale of Commitment 5," which was aimed at "allaying the competitive concerns expressed by the Authority at the outset, as it resolves the uncertainty regarding the actual existence of the debt owed by Aliplast and consequently improves its competitiveness and ability to remain in the market," as stated in the closure measure of the case and, therefore, would demonstrate the ongoing necessity of maintaining this measure as well.</w:t>
      </w:r>
    </w:p>
    <w:p>
      <w:r>
        <w:t>36. The company has therefore requested, in conclusion, that the Authority reject the request of the Consortia and maintain Commitments No. 2, 4, and 5 in force.</w:t>
      </w:r>
    </w:p>
    <w:p>
      <w:r>
        <w:t>37. In the further documentation sent on several occasions since January 28, 2025, Aliplast also pointed out the recent amendment made by Decree Law No. 153/2024 during the conversion into Law No. 191/2024 to Article 221 of the TUA and, in particular, the introduction of paragraph 10-bis, which provides that the costs referred to in paragraph 10, limited to the fulfillment of the obligations of the universal service related to residual activities or in any case of general interest, which today burden CONAI and the supply chain Consortia, shall be distributed among all packaging management systems, both consortial as referred to in Articles 223 and 224, and autonomous as referred to in Article 221-bis of the TUA through an agreement to be signed for each type of packaging material. The company also made it known that, following the approval of this regulation, CONAI has contacted the autonomous systems to jointly evaluate the ways to implement it.</w:t>
      </w:r>
    </w:p>
    <w:p>
      <w:r>
        <w:t>38. Also in the investigative hearings held on March 10 and 25, 2025, following the admission to participate in the procedure, Aliplast reiterated the main lines of argument expressed in the communications already sent, also updating the Authority on the developments of the dialogue with the Consortia regarding the interpretation to be given to the aforementioned paragraph 10-bis of Article 221 TUA and the negotiations with ANCI for the signing of the APQ. With reference to Commitments No. 2 and No. 4, in particular, the company emphasized that these measures have so far allowed, in their application within the Convention signed in 2015 between Aliplast and the Consortia and renewed several times over the years, to jointly and correctly quantify the costs owed by the autonomous system for the share of waste attributable to it that flows into the public collection system. The company stated that it is aware that the validity of these commitments cannot last indefinitely and that, therefore, the Authority must evaluate the actual necessity of maintaining these measures, but believes that it would be wrong to remove them precisely at this moment, when the APQ referred to in the aforementioned paragraph 5-ter of Article 224 of the TUA is being negotiated on one side, and on the other side the correct interpretation to be given to the similarly referenced paragraph 10-bis of Article 221 TUA, and, therefore, the subsequent regulation is still in a preliminary discussion phase regarding its correct implementation methods. In this sense, according to the company, it would at least be possible to modify the Commitments by binding their duration to the actual signing of the APQ, providing for a sort of monitoring period for the stability/correct functioning of the new system.</w:t>
      </w:r>
    </w:p>
    <w:p>
      <w:r>
        <w:t>39. More specifically regarding the implementation to be given to the aforementioned paragraph 10-bis, Aliplast also highlighted that the interpretation suggested by COREPLA, at least during the first meeting held with the autonomous systems on the subject on February 17, 2025, risks placing not only residual costs actually attributable to activities carried out by the consortial system also for the autonomous systems (and, therefore, attributable to the abstract notion of "universal service" introduced by the legislator last December), but also properly industrial costs, related to the most polluting packaging, which generate greater "chain deficit."</w:t>
      </w:r>
    </w:p>
    <w:p>
      <w:r>
        <w:rPr>
          <w:b/>
        </w:rPr>
        <w:t>[Pages 13–15]</w:t>
      </w:r>
    </w:p>
    <w:p>
      <w:r>
        <w:t>BULLETIN NO. 17 OF MAY 5, 2025</w:t>
      </w:r>
    </w:p>
    <w:p>
      <w:r>
        <w:t>15. Now, if such an interpretation were to prevail, according to Aliplast, the very rationale underlying the conception of the EPR regulation as aimed at making producers bear the costs of managing the end-of-life of their own packaging (and not the potential higher costs of packaging produced by other operators) would be undermined, and in this way, to provide correct price signals to producers and users of packaging, who, in the cases of the most polluting ones and thus whose management is more costly, should be induced, at least in the medium/long term, to limit the production/use of such categories of packaging with more sustainable materials associated with less burdensome environmental contributions.</w:t>
      </w:r>
    </w:p>
    <w:p>
      <w:r>
        <w:t>40. In the context of the latest communications sent to the Authority, Aliplast has informed that the positions of the historical Consortia and the autonomous systems on the issue are still under discussion and hopefully, it could be possible to reach a consensus on some fundamental principles, including the protection of competition in the sector, elements that the autonomous systems have deemed essential for the continuation of negotiations on both negotiation tables (the APQ table also with ANCI and UPI and the comma 10-bis table between historical Consortia and autonomous systems). Aliplast has made it known that further meetings are ongoing on both issues; the company has committed to keeping the Authority informed regardless of the conclusion of the present procedure.</w:t>
      </w:r>
    </w:p>
    <w:p>
      <w:r>
        <w:t>VII. THE OPINION OF THE MINISTRY FOR THE ENVIRONMENT AND ENERGY SECURITY</w:t>
      </w:r>
    </w:p>
    <w:p>
      <w:r>
        <w:t>41. As anticipated in the context of this procedure, the opinion of MASE, the Ministry responsible for Consortia in the waste sector, has also been acquired, which has been informed within the request made by the Offices regarding the positions expressed on the issue under analysis by both the Consortia and the autonomous system.</w:t>
      </w:r>
    </w:p>
    <w:p>
      <w:r>
        <w:t>42. MASE, after recalling the role of CONAI (through which producers and users of packaging ensure the achievement of recycling and recovery targets for packaging waste set by sector regulations), the significant adherence to this system by producing and using companies (about 760,000) and the mechanisms of its operation, highlighted the merit of the CONAI system in having "marked the transition from a waste management system based on landfilling to an integrated one, based on prevention, recovery, and recycling of the seven packaging materials: steel, aluminum, paper, wood, plastic, bioplastic, and glass."</w:t>
      </w:r>
    </w:p>
    <w:p>
      <w:r>
        <w:t>32 Finally, with reference to Commitment No. 5, during the hearing of March 10, 2025, Aliplast raised an additional issue stating that regardless of the outcome of this procedure, it reserves the right to evaluate and possibly report to the Authority whether the request made by the Consortia regarding the payment of the entire CAC for P.A.R.I. packaging for the period between August 4, 2014 (date of issuance of the authorization decree annulled by the ruling of the Council of State No. 2123/2024) and August 29, 2017 (date of entry into force of Law No. 124/2017) may constitute a violation of said measure, since the text of the commitment in the version approved and made mandatory by the Authority states that CONAI and COREPLA would in any case have waived, even in the event of the continuation of the administrative litigation, "any dispute concerning what is established by the agreement or by the independent subject pursuant to Commitment 2."</w:t>
      </w:r>
    </w:p>
    <w:p>
      <w:r>
        <w:t>33.</w:t>
      </w:r>
    </w:p>
    <w:p>
      <w:r>
        <w:t>16 BOLLETTINO N. 17 DEL 5 MAGGIO 2025</w:t>
      </w:r>
    </w:p>
    <w:p>
      <w:r>
        <w:t>43. MASE then emphasized that the CONAI model is based on the principle of "shared responsibility," which presupposes the involvement of all actors in waste management, recalling for this purpose Article 224, paragraph 5 of the TUA, governing the functions of CONAI.</w:t>
      </w:r>
    </w:p>
    <w:p>
      <w:r>
        <w:t>44. Paragraph 5-ter of Article 224, as amended in 2022, provides that the APQ among operators in the sector establishes that producers and users adhering to the respective consortia or to an autonomous system for managing their packaging waste or returning the same, ensure coverage of the costs of collection and management of the packaging waste they produce and confer to the public separate collection service, even when recovery and recycling targets can be achieved through collection on private surfaces. To this end, it is provided that producers and users may avail themselves of the consortia, taking on the costs related to the management of packaging waste incurred by the consortia themselves.</w:t>
      </w:r>
    </w:p>
    <w:p>
      <w:r>
        <w:t>45. MASE infers from the position expressed by Aliplast that the framework agreement, signed by CONAI with ANCI in 2020, expiring at the end of 2024, subsequently extended to June 30, 2025, would not guarantee the participation in the agreement itself of the autonomous systems in compliance, instead, with the regulatory provision of Article 224, paragraph 5, TUA.</w:t>
      </w:r>
    </w:p>
    <w:p>
      <w:r>
        <w:t>46. The Ministry notes "on this point that the ANCI-CONAI agreement is currently in extension and, therefore, not yet updated with the participation of Aliplast or other autonomous systems or the other public entities provided for by the regulatory revision." Furthermore, the aforementioned regulatory amendment, which intervened to innovate Article 224 of the TUA with the introduction of paragraph 5-ter, is supported and subsequently specified by Article 221, paragraph 10-bis, of the TUA, recently amended by Decree-Law No. 153/2024 (so-called Environmental Decree) converted with modifications by Law No. 191 of December 13, 2024.</w:t>
      </w:r>
    </w:p>
    <w:p>
      <w:r>
        <w:t>47. The conclusion of the Ministry, in light of the referenced regulations, is that there are no "significant reasons for opposition, from an environmental point of view, to the revocation of commitments No. 2 and 4 of Resolution No. 25609 of September 3, 2015, due to the regulatory intervention referred to in Articles 224, paragraph 5-ter and Article 221, paragraph 10-bis of the TUA, specifying, however, that the ANCI-CONAI agreement is currently in extension and therefore not yet updated, as already described above."</w:t>
      </w:r>
    </w:p>
    <w:p>
      <w:r>
        <w:t>48. Finally, with reference to Commitment No. 5 and the circumstance that Aliplast would be required to pay the past CAC for the period 2014-2017 in favor of CONAI (specifically for the period August 4, 2014 - August 29, 2017), the Ministry believes that the issue pertains to the private relationships between the two organizations and the correct interpretation and execution of the ruling of the Council of State that defined the related administrative litigation.</w:t>
      </w:r>
    </w:p>
    <w:p>
      <w:r>
        <w:t>VIII. EVALUATIONS</w:t>
      </w:r>
    </w:p>
    <w:p>
      <w:r>
        <w:t>49. This procedure concerns the evaluation, in contradiction with the Consortia themselves and any interested third parties, of the request for revocation of the commitments made mandatory by Resolution No. 25609 of September 3, 2015, at the conclusion of Procedure A476.</w:t>
      </w:r>
    </w:p>
    <w:p>
      <w:r>
        <w:t>50. At the procedural level, it is noted that no further requests for participation in the procedure have been received, except for that submitted by Aliplast on January 17, 2025, and accepted on March 3, 2025. The observations of the company have been taken into account in this procedure. Furthermore, the opinion of MASE has been acquired in the records, as mentioned.</w:t>
      </w:r>
    </w:p>
    <w:p>
      <w:r>
        <w:t>51. It is therefore necessary to evaluate the request of the CONAI and COREPLA Consortia to revoke the set of commitments made binding by the Authority's provision of September 3, 2015, due to the regulatory and factual evolution that has affected the reference sector and in light of the various positions expressed by the interested parties and acquired in the records, as previously mentioned.</w:t>
      </w:r>
    </w:p>
    <w:p>
      <w:r>
        <w:t>52. First of all, as also argued by the participants in this procedure, for some of the measures, the Authority believes that the related effects should be considered exhausted or that the related market impact has been surpassed. In particular, regarding Commitment No. 1, since 2017, as reconstructed in the factual part, CONAI is no longer required to provide the Ministry with evaluation elements within the recognition procedures for autonomous systems (a role now attributed to ISPRA), an element that renders the provision of the role of the Monitoring Trustee, as a third party distinct from the Consortium itself, in such recognition procedures, pursuant to Commitment No. 1, obsolete.</w:t>
      </w:r>
    </w:p>
    <w:p>
      <w:r>
        <w:t>53. Also concerning Commitment No. 3, related to the forms of publicity on the websites of CONAI and COREPLA regarding the existence and operation of autonomous systems, it can undoubtedly be considered that the sectoral evolution, ten years after the approval of the Commitments, with the increasing role and recognition attributed to autonomous systems, even within the new regulatory framework to be better described, renders the necessity and relevance of the measure to ensure the market's knowledge of the systems themselves outdated.</w:t>
      </w:r>
    </w:p>
    <w:p>
      <w:r>
        <w:t>54. The position of the interested parties regarding the remaining Commitments No. 2, No. 4, and No. 5 is, however, not unanimous, as illustrated in the factual part.</w:t>
      </w:r>
    </w:p>
    <w:p>
      <w:r>
        <w:t>55. With reference to the first two measures No. 2 and No. 4, which can be considered together, since they provide similar provisions - respectively - towards the autonomous systems in general and, specifically, Aliplast, it should be noted that although it is undisputed, as argued by the Consortia, that there are some subsequent norms (see in particular Article 224 paragraphs 5, 5-</w:t>
      </w:r>
    </w:p>
    <w:p>
      <w:r>
        <w:rPr>
          <w:b/>
        </w:rPr>
        <w:t>[Pages 16–18]</w:t>
      </w:r>
    </w:p>
    <w:p>
      <w:r>
        <w:t>18 BULLETIN NO. 17 OF MAY 5, 2025</w:t>
      </w:r>
    </w:p>
    <w:p>
      <w:r>
        <w:t>bis and 5-ter of the TUA) that recognize autonomous systems the possibility to contract directly with ANCI and local authorities in order to operate in the sector, it is true that the new APQ Framework ("APQ") does not yet seem to have become a reality, as confirmed by Aliplast and by MASE itself in its opinion.</w:t>
      </w:r>
    </w:p>
    <w:p>
      <w:r>
        <w:t>56. Pending the definition of the new APQ, the ANCI-CONAI Agreement, which expired on December 31, 2024, and was then extended to June 30, 2025, will continue to be valid under a regime of prorogation. Furthermore, in any case, the Convention signed between the Consortia and Aliplast under Commitment 4 will remain in force even after the approval of the APQ, as long as the Parties deem it appropriate after the signing of the same, as provided for by the Convention itself.</w:t>
      </w:r>
    </w:p>
    <w:p>
      <w:r>
        <w:t>57. That said, it is undoubtedly true that the position of autonomous systems and their right to exist and operate is now a principle incorporated into the national reference norms contained in the TUA, despite the fact that they are still being implemented. This assumption is confirmed by the opinion issued by MASE, which emphasizes that the intervening norms (see in particular the aforementioned paragraph 5-ter of Article 224 of the TUA) are being transposed with the active participation of autonomous systems in the negotiations of the new APQ with ANCI.</w:t>
      </w:r>
    </w:p>
    <w:p>
      <w:r>
        <w:t>58. In the current and changed regulatory and factual context, it is also crucial to consider that any obstructive practices that may currently be implemented by the historical Consortia should at least manifest in ways very different from those that occurred during the A476 investigation, thus resulting as extraneous to the scope to which the commitments subject to review refer.</w:t>
      </w:r>
    </w:p>
    <w:p>
      <w:r>
        <w:t>59. The same grievances expressed by Aliplast, regarding the possible acceptance of the request for revocation concerning Commitments No. 2 and No. 4, actually seem to pertain to issues related to the not fully equivalent role and weight of the historical Consortia and autonomous systems within the new regulatory framework. In this sense, the issues raised by Aliplast would not find resolution by maintaining the measures under examination, which aim to identify a methodology for quantifying the costs owed by autonomous systems to the consortial system for the portion of waste from the former that flows into urban separate collection. These elements of negotiation are now an integral part of the negotiations referred to in the APQ, primarily called upon by the primary norm for this purpose (see "in order to ensure the implementation of the principle of managerial co-responsibility among producers, users, and public administrations, CONAI and the autonomous systems referred to in Article 221, paragraph 3 letters a) and c) promote and stipulate a framework program agreement [...]"), whereas, at the time of the A476 procedure, these elements were solely left to the negotiating will of the Consortia, which, therefore, the aforementioned Commitments aimed to hetero-integrate.</w:t>
      </w:r>
    </w:p>
    <w:p>
      <w:r>
        <w:t>60. Ultimately, with regard to Commitments No. 2 and No. 4, due to the different sectoral regulation that has emerged and considering the approval of the Commitments without indication of an explicit time limit, it does not seem justified to maintain in force measures imposed almost ten years ago, which are accompanied by an obligation of monitoring sine die by the Authority.</w:t>
      </w:r>
    </w:p>
    <w:p>
      <w:r>
        <w:t>61. Any distinct exclusionary behaviors by CONAI/COREPLA, in the current context and in light of the new regulatory framework, should be scrutinized by the Authority ex novo with the usual enforcement tools, if necessary, following a report in this sense from the autonomous systems.</w:t>
      </w:r>
    </w:p>
    <w:p>
      <w:r>
        <w:t>62. Further aspects related to possible profiles of criticality or competitive disparity that the same sector norms, or their detailed implementing regulation, may generate in the relationships between the Consortia and the autonomous systems, should, if necessary, be addressed by the Authority with the different tool of advocacy.</w:t>
      </w:r>
    </w:p>
    <w:p>
      <w:r>
        <w:t>63. Finally, with regard to Commitment No. 5, the measure in question provided for the possibility for Aliplast to adhere to an economic and an administrative transaction, the former positively activated and concluded some time ago, the latter not pursued by the company, and thus, the Commitment itself appears to have completely exhausted its effects.</w:t>
      </w:r>
    </w:p>
    <w:p>
      <w:r>
        <w:t>64. This conclusion, which must necessarily be reached, is independent of any assessment regarding possible behaviors of CONAI/COREPLA following the conclusion of the administrative litigation, concerning solely the enduring effectiveness of Commitment 5, which has fully exhausted its effects and, for this same reason, is now subject to revocation.</w:t>
      </w:r>
    </w:p>
    <w:p>
      <w:r>
        <w:t>IX. CONCLUSIONS</w:t>
      </w:r>
    </w:p>
    <w:p>
      <w:r>
        <w:t>65. In conclusion, in light of the considerations expressed above, it is believed that the request for revocation of the commitments presented by CONAI and COREPLA regarding the set of measures that were made mandatory by the Authority at the conclusion of procedure A476 can be accepted.</w:t>
      </w:r>
    </w:p>
    <w:p>
      <w:r>
        <w:t>66. In particular, the regulatory and factual evolution that has affected the sector in question in the years since the closure of the procedure appears, in light of the elements that have emerged, to have rendered the measures themselves no longer current and necessary, making the request of the Consortia worthy of acceptance.</w:t>
      </w:r>
    </w:p>
    <w:p>
      <w:r>
        <w:t>THEREFORE, CONSIDERING that the conditions for the revocation of the commitments made binding by the Authority with resolution of September 3, 2015, No. 25609 (closing of procedure A476 CONAI-WASTE MANAGEMENT FROM PLASTIC PACKAGING) exist;</w:t>
      </w:r>
    </w:p>
    <w:p>
      <w:r>
        <w:t>CONSIDERING that it can also be deemed that the necessity for CONAI and COREPLA to produce the annual report on the implementation of the commitments referred to in letter e) of the aforementioned resolution No. 25609/2015 has been surpassed for the current year 2025;</w:t>
      </w:r>
    </w:p>
    <w:p>
      <w:r>
        <w:t>all of this having been stated and considered:</w:t>
      </w:r>
    </w:p>
    <w:p>
      <w:r>
        <w:t>RESOLVES</w:t>
      </w:r>
    </w:p>
    <w:p>
      <w:r>
        <w:t>a) to accept the request for revocation presented by CONAI and COREPLA on September 20, 2024;</w:t>
      </w:r>
    </w:p>
    <w:p>
      <w:r>
        <w:t>b) the consequent revocation of the commitments made binding by the Authority with resolution of September 3, 2015, No. 25609, in closing of procedure A476 CONAI-WASTE MANAGEMENT FROM PLASTIC PACKAGING;</w:t>
      </w:r>
    </w:p>
    <w:p>
      <w:r>
        <w:t>c) the revocation of the obligation of annual reporting on the implementation of the commitments referred to in letter e) of the aforementioned resolution No. 25609/2015 for the current year 2025.</w:t>
      </w:r>
    </w:p>
    <w:p>
      <w:r>
        <w:t>The present measure will be notified to the interested parties and published in the Bulletin of the Italian Competition Authority.</w:t>
      </w:r>
    </w:p>
    <w:p>
      <w:r>
        <w:t>An appeal against this measure may be filed with the Regional Administrative Court (TAR) of Lazio, pursuant to Article 135, paragraph 1, letter b), of the Code of Administrative Procedure (Legislative Decree of July 2, 2010, No. 104), within sixty days from the date of notification of the measure itself, without prejudice to the longer terms provided for in Article 41, paragraph 5, of the Code of Administrative Procedure, or an extraordinary appeal may be submitted to the President of the Republic, pursuant to Article 8 of the Decree of the President of the Republic of November 24, 1971, No. 1199, within the term of one hundred and twenty days from the date of notification of the measure itself.</w:t>
      </w:r>
    </w:p>
    <w:p>
      <w:r>
        <w:t>THE DEPUTY SECRETARY GENERAL THE PRESIDENT</w:t>
      </w:r>
    </w:p>
    <w:p>
      <w:r>
        <w:t>Serena Stella Roberto Rustichelli</w:t>
      </w:r>
    </w:p>
    <w:p>
      <w:r>
        <w:rPr>
          <w:b/>
        </w:rPr>
        <w:t>[Pages 19–21]</w:t>
      </w:r>
    </w:p>
    <w:p>
      <w:r>
        <w:t>BULLETIN NO. 17 OF MAY 5, 2025</w:t>
      </w:r>
    </w:p>
    <w:p>
      <w:r>
        <w:t>I868 - BYOOVIZ/FAILURE TO COMMERCIALIZE</w:t>
      </w:r>
    </w:p>
    <w:p>
      <w:r>
        <w:t>Measure No. 31529</w:t>
      </w:r>
    </w:p>
    <w:p>
      <w:r>
        <w:t>THE ITALIAN COMPETITION AUTHORITY</w:t>
      </w:r>
    </w:p>
    <w:p>
      <w:r>
        <w:t>IN ITS MEETING of April 15, 2025;</w:t>
      </w:r>
    </w:p>
    <w:p>
      <w:r>
        <w:t>HEARD the Rapporteur, Professor Elisabetta Iossa;</w:t>
      </w:r>
    </w:p>
    <w:p>
      <w:r>
        <w:t>HAVING REGARD TO Law No. 287 of October 10, 1990;</w:t>
      </w:r>
    </w:p>
    <w:p>
      <w:r>
        <w:t>HAVING REGARD TO Presidential Decree No. 217 of April 30, 1998;</w:t>
      </w:r>
    </w:p>
    <w:p>
      <w:r>
        <w:t>HAVING REGARD TO its measure No. 31213 of May 21, 2024 initiated against Samsung Bioepis Co. Ltd, Samsung Bioepis NL B.V., Biogen Inc., Biogen Italia S.r.l., Genentech Inc., Novartis AG, Novartis Europharm Ltd., and Novartis Farma S.p.A., to ascertain the existence of violations of Article 101, paragraph 1, TFEU;</w:t>
      </w:r>
    </w:p>
    <w:p>
      <w:r>
        <w:t>HAVING REGARD TO the documents of the proceedings;</w:t>
      </w:r>
    </w:p>
    <w:p>
      <w:r>
        <w:t>CONSIDERING it necessary to replace the person responsible for the proceedings due to subsequent organizational needs:</w:t>
      </w:r>
    </w:p>
    <w:p>
      <w:r>
        <w:t>RESOLVES</w:t>
      </w:r>
    </w:p>
    <w:p>
      <w:r>
        <w:t>to replace Dr. Elisabetta Maria Lanza with Dr. Lara Magnani as the person responsible for the proceedings.</w:t>
      </w:r>
    </w:p>
    <w:p>
      <w:r>
        <w:t>This measure will be notified to the interested parties and published in the Bulletin of the Italian Competition Authority.</w:t>
      </w:r>
    </w:p>
    <w:p>
      <w:r>
        <w:t>THE VICE SECRETARY GENERAL THE PRESIDENT</w:t>
      </w:r>
    </w:p>
    <w:p>
      <w:r>
        <w:t>Serena Stella Roberto Rustichelli</w:t>
      </w:r>
    </w:p>
    <w:p>
      <w:r>
        <w:t>OPERATIONS OF CONCENTRATION</w:t>
      </w:r>
    </w:p>
    <w:p>
      <w:r>
        <w:t>C12713 - DUFERCO INTERNATIONAL TRADING HOLDING/MARCORA</w:t>
      </w:r>
    </w:p>
    <w:p>
      <w:r>
        <w:t>Measure No. 31528</w:t>
      </w:r>
    </w:p>
    <w:p>
      <w:r>
        <w:t>THE ITALIAN COMPETITION AUTHORITY</w:t>
      </w:r>
    </w:p>
    <w:p>
      <w:r>
        <w:t>IN ITS MEETING of April 15, 2025;</w:t>
      </w:r>
    </w:p>
    <w:p>
      <w:r>
        <w:t>HEARD the Rapporteur, Saverio Valentino;</w:t>
      </w:r>
    </w:p>
    <w:p>
      <w:r>
        <w:t>HAVING REGARD TO Regulation (EC) No. 139/2004;</w:t>
      </w:r>
    </w:p>
    <w:p>
      <w:r>
        <w:t>HAVING REGARD TO Law No. 287 of October 10, 1990;</w:t>
      </w:r>
    </w:p>
    <w:p>
      <w:r>
        <w:t>HAVING REGARD TO Presidential Decree No. 217 of April 30, 1998;</w:t>
      </w:r>
    </w:p>
    <w:p>
      <w:r>
        <w:t>HAVING REGARD TO the communication made by Duferco International Trading Holding SA, received on March 28, 2025;</w:t>
      </w:r>
    </w:p>
    <w:p>
      <w:r>
        <w:t>HAVING REGARD TO the documentation on file;</w:t>
      </w:r>
    </w:p>
    <w:p>
      <w:r>
        <w:t>CONSIDERING the following:</w:t>
      </w:r>
    </w:p>
    <w:p>
      <w:r>
        <w:t>I. THE PARTIES</w:t>
      </w:r>
    </w:p>
    <w:p>
      <w:r>
        <w:t>1. Duferco International Trading Holding SA (hereinafter, "DITH") is a company under Luxembourg law active in the marketing and distribution of steel products and raw materials.</w:t>
      </w:r>
    </w:p>
    <w:p>
      <w:r>
        <w:t>2. DITH is currently jointly controlled by the HBIS group (in particular, it holds [omitted]* % of the share capital Hebsteel Global Holding Pte Ltd., which is in turn controlled by HBIS Group Co., Ltd.) and the DPH group (in particular, it holds [omitted]% of the share capital Duferco Participations Holding S.A.)1. The remaining [omitted]% is held by Mark IX Holdings Limited, a company controlled by the CEO of DITH, and [omitted]% by an individual, founder and President of DITH.</w:t>
      </w:r>
    </w:p>
    <w:p>
      <w:r>
        <w:t>3. In 2023, DITH, the HBIS group, and the DPH group achieved a total global turnover of approximately [50-60] billion euros, of which approximately [2-3] billion euros from sales in the European Union and approximately [567-700] million euros from sales in Italy.</w:t>
      </w:r>
    </w:p>
    <w:p>
      <w:r>
        <w:t>4. Marcora S.p.A. (hereinafter, "Marcora") is a company active in the distribution of steel products through two production sites located respectively in Inveruno (MI) and Cuggiono (MI); the subject of acquisition is the only production site in Cuggiono.</w:t>
      </w:r>
    </w:p>
    <w:p>
      <w:r>
        <w:t>* In this version, some data are omitted, as elements of confidentiality or secrecy of the information were deemed to exist.</w:t>
      </w:r>
    </w:p>
    <w:p>
      <w:r>
        <w:t>1 In 2015, the European Commission found the existence of joint control by the HBIS Group and the DPH Group over DITH (due to various provisions of the Agreement between the parties (see European Commission decision M.7517 - Hebei Iron &amp; Steel Group/DPH/Duferco International Trading Holding of April 9, 2015).</w:t>
      </w:r>
    </w:p>
    <w:p>
      <w:r>
        <w:t>BULLETIN NO. 17 OF MAY 5, 2025</w:t>
      </w:r>
    </w:p>
    <w:p>
      <w:r>
        <w:t>5. Marcora is currently controlled by two individuals (hereinafter, "Two Individuals"), each of whom holds [omitted]% of the share capital; the remaining [omitted]% of the share capital of Marcora is held by DITH.</w:t>
      </w:r>
    </w:p>
    <w:p>
      <w:r>
        <w:t>6. In 2023, the Cuggiono production site achieved a global turnover of approximately [35-100] million euros, of which approximately [35-100] million euros from sales in the European Union and approximately [35-100] million euros from sales in Italy.</w:t>
      </w:r>
    </w:p>
    <w:p>
      <w:r>
        <w:t>II. DESCRIPTION OF THE OPERATION</w:t>
      </w:r>
    </w:p>
    <w:p>
      <w:r>
        <w:t>7. The operation (hereinafter, "Operation") consists of the acquisition, by DITH, of the share capital of Marcora held by the Two Individuals. Following the Operation, DITH will therefore hold 100% of the share capital of Marcora.</w:t>
      </w:r>
    </w:p>
    <w:p>
      <w:r>
        <w:t>8. Prior to the finalization of the Operation, Marcora will proceed with the spin-off of part of the assets, and in particular, the Inveruno plant and other non-instrumental assets will be transferred to a newly created company (hereinafter, "NewCo Inveruno") whose capital will be entirely held by the Two Individuals. As a result of this phase, Marcora will remain the owner of the only Cuggiono plant.</w:t>
      </w:r>
    </w:p>
    <w:p>
      <w:r>
        <w:t>9. The Operation also includes a non-compete obligation under which the Two Individuals undertake, directly or indirectly, not to be involved in the purchase, sale, trade, or processing of steel products for [omitted] months.</w:t>
      </w:r>
    </w:p>
    <w:p>
      <w:r>
        <w:t>III. QUALIFICATION OF THE OPERATION</w:t>
      </w:r>
    </w:p>
    <w:p>
      <w:r>
        <w:t>10. The notified operation constitutes a concentration, pursuant to Article 5, paragraph 1, letter b), of Law No. 287/1990, as it involves the acquisition of exclusive control of a company.</w:t>
      </w:r>
    </w:p>
    <w:p>
      <w:r>
        <w:t>11.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582 million euros and the turnover achieved individually at the national level by at least two of the companies involved was over 35 million euros.</w:t>
      </w:r>
    </w:p>
    <w:p>
      <w:r>
        <w:t>12. The non-compete agreement signed by the parties and described in the previous paragraph can be considered directly related and necessary for the realization of the Operation, as it is functional to safeguarding the value of the acquired company, provided that it is geographically limited to the area of activity of the acquired company and temporally to a period of two years, and does not prevent the sellers from acquiring or holding shares solely for financial investment purposes2.</w:t>
      </w:r>
    </w:p>
    <w:p>
      <w:r>
        <w:t>2 See "Commission Communication on restrictions directly related and necessary to concentrations (2005/C 56/03)," in OJCE of March 5, 2005.</w:t>
      </w:r>
    </w:p>
    <w:p>
      <w:r>
        <w:rPr>
          <w:b/>
        </w:rPr>
        <w:t>[Pages 22–24]</w:t>
      </w:r>
    </w:p>
    <w:p>
      <w:r>
        <w:t>BULLETIN NO. 17 OF MAY 5, 2025</w:t>
      </w:r>
    </w:p>
    <w:p>
      <w:r>
        <w:t>IV. ASSESSMENT OF THE OPERATION</w:t>
      </w:r>
    </w:p>
    <w:p>
      <w:r>
        <w:t>IV.1 The relevant markets</w:t>
      </w:r>
    </w:p>
    <w:p>
      <w:r>
        <w:t>The product market</w:t>
      </w:r>
    </w:p>
    <w:p>
      <w:r>
        <w:t>13. The Operation concerns the supply chain of steel products, a sector in which both vertically integrated companies - engaged in the production and marketing of steel products - and companies active solely in the distribution phase operate. Specifically, the parties involved in this operation conduct their activities exclusively within the distribution of steel products.</w:t>
      </w:r>
    </w:p>
    <w:p>
      <w:r>
        <w:t>14. In accordance with national and community guidelines, three different sales channels are distinguished, corresponding to specific functions:</w:t>
        <w:br/>
        <w:t>a) stockholding centers, which perform the traditional wholesale selling function, buying large quantities of steel products and reselling them in smaller quantities, in order to ensure rapid distribution of the product in various variants, without elaborate additional processing;</w:t>
        <w:br/>
        <w:t>b) steel service centers, which buy rolled products and subsequently cut them according to customer needs, thus operating on customization and adaptation to market demands;</w:t>
        <w:br/>
        <w:t>c) oxycutting centers, specialized in the marketing of quarto plates that require a specific processing procedure and operate through a particular cutting process, known as "oxycutting," which allows for the production of products with physical and dimensional characteristics required by customers for specific applications, such as those in the automotive or construction sectors.</w:t>
      </w:r>
    </w:p>
    <w:p>
      <w:r>
        <w:t>15. Each of these channels represents a distinct market considering the specificities of the demand served. Furthermore, a vertical relationship can be identified between the stockholding centers and the service centers and oxycutting centers, as the former sell raw rolled products to the service/oxycutting centers. It can, therefore, be concluded that stockholding centers are "upstream" of the service and oxycutting centers.</w:t>
      </w:r>
    </w:p>
    <w:p>
      <w:r>
        <w:t>16. The Commission also considered that within each of these sales channels, a distinct market segment can be identified based on the group of products distributed (long products, flat products, etc.) and the type of steel (carbon, stainless, special), ultimately leaving the exact definition of the product market open.</w:t>
      </w:r>
    </w:p>
    <w:p>
      <w:r>
        <w:t>The geographical market</w:t>
      </w:r>
    </w:p>
    <w:p>
      <w:r>
        <w:t>17. In accordance with established national and community orientation, the geographical dimension of the markets for the distribution of steel products is to be considered, in the first approximation, national, also considering the high transportation costs, which significantly affect the final price of the product, and the time required to deliver the requested goods to the end user.</w:t>
      </w:r>
    </w:p>
    <w:p>
      <w:r>
        <w:t>18. With reference to the Operation, the following markets can therefore be identified:</w:t>
        <w:br/>
        <w:t>1) M01 - Italian market for the distribution through service centers of flat carbon and alloy steel products cold rolled ("Cold Rolled Coil," hereinafter "CRC").</w:t>
        <w:br/>
        <w:t>2) M02 - Italian market for the distribution through service centers of flat carbon and alloy steel products hot dipped galvanized ("Hot Dipped Galvanized," hereinafter "HDG").</w:t>
        <w:br/>
        <w:t>3) M03 - Italian market for the distribution through stockholding centers of CRC (upstream of M01).</w:t>
        <w:br/>
        <w:t>4) M04 - Italian market for the distribution through stockholding centers of HDG (upstream of M02).</w:t>
        <w:br/>
        <w:t>5) M05 - Italian market for the distribution through stockholding centers of flat carbon and alloy steel products hot rolled ("Hot Rolled Coil," hereinafter "HRC"; upstream of M06);</w:t>
        <w:br/>
        <w:t>6) M06 - Italian market for the distribution through service centers of HRC.</w:t>
        <w:br/>
        <w:t>7) M07 - Italian market for the distribution through stockholding centers of other flat carbon and alloy steel products coated (upstream of M08).</w:t>
        <w:br/>
        <w:t>8) M08 - Italian market for the distribution through service centers of other flat carbon and alloy steel products coated.</w:t>
      </w:r>
    </w:p>
    <w:p>
      <w:r>
        <w:t>IV.2 Effects of the Operation</w:t>
      </w:r>
    </w:p>
    <w:p>
      <w:r>
        <w:t>19. The companies involved in the Operation are not active in the oxycutting centers. Furthermore, DITH distributes steel products both through stockholding centers and service centers, while Marcora is active in the distribution of steel products exclusively through service centers.</w:t>
      </w:r>
    </w:p>
    <w:p>
      <w:r>
        <w:t>20. Therefore, considering the scope of the parties' activities, there are only horizontal overlaps in markets M01 and M02, but the Operation does not appear to be likely to generate competitive concerns due to the limited post-merger market shares of approximately [5-10%] in 2024.</w:t>
      </w:r>
    </w:p>
    <w:p>
      <w:r>
        <w:t>21. Regarding possible vertical effects, these could occur between the markets: (i) M01 and M03, as DITH is active in the upstream market (see M03); (ii) M02 and M04, as DITH is also in the upstream market (see M04); (iii) M05 and M06, as DITH is active in the upstream market (see M05); and (iv) M07 and M08, as DITH is active in the upstream market (see M07).</w:t>
      </w:r>
    </w:p>
    <w:p>
      <w:r>
        <w:t>22. However, in all the markets considered, given the limited upstream or downstream market shares, the Operation does not appear to raise competitive concerns in any of these markets.</w:t>
      </w:r>
    </w:p>
    <w:p>
      <w:r>
        <w:t>23. In fact, in the scenario where the highest shares are recorded, relating to market M03, upstream of market M01, the upstream operator, DITH, holds shares of [10-15%], while the downstream operator, Marcora, holds shares of [5-10%].</w:t>
      </w:r>
    </w:p>
    <w:p>
      <w:r>
        <w:t>24. In conclusion, due to the limited market position held by the Parties, it is considered unlikely that there is a risk of exclusion of competitors active in the upstream or downstream market.</w:t>
      </w:r>
    </w:p>
    <w:p>
      <w:r>
        <w:t>CONSIDERING, therefore, that the operation under examination does not significantly impede effective competition in the relevant markets, pursuant to Article 6, paragraph 1, of Law No. 287/1990, and does not result in the establishment or strengthening of a dominant position;</w:t>
      </w:r>
    </w:p>
    <w:p>
      <w:r>
        <w:t>26 BOLLETTINO N. 17 DEL 5 MAGGIO 2025</w:t>
      </w:r>
    </w:p>
    <w:p>
      <w:r>
        <w:t>CONSIDERING, furthermore, that the non-competition agreement described above can be considered accessory to the Operation only to the extent indicated and that the Authority reserves the right to evaluate, where the conditions exist, the aforementioned clauses that may occur beyond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the Minister of Enterprises and Made in Italy.</w:t>
      </w:r>
    </w:p>
    <w:p>
      <w:r>
        <w:t>This measure will be published in the Bulletin of the Italian Competition Authority.</w:t>
      </w:r>
    </w:p>
    <w:p>
      <w:r>
        <w:t>THE DEPUTY SECRETARY GENERAL THE PRESIDENT</w:t>
      </w:r>
    </w:p>
    <w:p>
      <w:r>
        <w:t>Serena Stella Roberto Rustichelli</w:t>
      </w:r>
    </w:p>
    <w:p>
      <w:r>
        <w:rPr>
          <w:b/>
        </w:rPr>
        <w:t>[Pages 25–27]</w:t>
      </w:r>
    </w:p>
    <w:p>
      <w:r>
        <w:t>BULLETIN NO. 17 OF MAY 5, 2025</w:t>
      </w:r>
    </w:p>
    <w:p>
      <w:r>
        <w:t xml:space="preserve">ACTIVITIES OF REPORTING AND CONSULTATION  </w:t>
        <w:br/>
        <w:t xml:space="preserve">AS2076 - MUNICIPALITY OF NAPLES - RECOGNITION SPL 2024  </w:t>
        <w:br/>
        <w:t xml:space="preserve">Rome, April 17, 2025  </w:t>
        <w:br/>
        <w:t xml:space="preserve">Municipality of Naples  </w:t>
        <w:br/>
        <w:t xml:space="preserve">The Italian Competition Authority, in its meeting on April 15, 2025, resolved to formulate some observations pursuant to Article 21 of Law No. 287/1990 regarding the report adopted by this Municipality under Article 30 of Legislative Decree No. 201/2022, containing the recognition of the management situation of local public services of economic relevance entrusted in the area of competence (also "Recognition") and the competitive criticalities arising from the choice of future in-house assignment of the local public transport service in the Municipality of Naples.  </w:t>
        <w:br/>
        <w:t xml:space="preserve">Preliminarily, it is recalled that with the report AS1946, after identifying some critical issues related to the management performance of the local public transport service entrusted in-house to the company ANM S.p.A., the Authority invited the Municipality of Naples to promptly activate itself to allow the execution of the public evidence procedure called by the Campania Region aimed at the concession of the minimum TPL services in the Municipality of Naples (lot 5).  </w:t>
        <w:br/>
        <w:t xml:space="preserve">During 2024, rather than following up on this invitation, the Municipality of Naples activated itself – promoting (and obtaining) a modification of the relevant regional legislation – in order to proceed with a new in-house assignment to the same entity that has been managing local public transport in Naples for over 20 years, with suboptimal economic and qualitative results.  </w:t>
        <w:br/>
        <w:t xml:space="preserve">From a competitive perspective, strong doubts can only be expressed regarding the decision to abandon a public evidence procedure already initiated to proceed with the in-house assignment of the service. This choice, in fact, does not seem to align with the general principles established to protect competition, creating a situation in which the local public transport service in question will continue to be managed by the historical operator for another six years in the Municipality of Naples.  </w:t>
        <w:br/>
        <w:t xml:space="preserve">Moreover, it should be added that the content of the Report pursuant to Article 14 of Legislative Decree No. 201/2022, adopted by the Entity to justify the choice of the in-house assignment (also "Report"), does not appear suitable to justify the lack of recourse to the market, failing to duly consider the results of the previous in-house management and being based on objectives deemed in the same Report to be "challenging... both in terms of costs and production, quality, and effectiveness."  </w:t>
        <w:br/>
        <w:t xml:space="preserve">Regarding local public transport, the Recognition reports the actions taken by the Entity to overcome the criticalities related to the management performance of the services from a qualitative perspective and represents the outcomes related to the level of user satisfaction. In this regard, while maintaining the absence of impartiality of the evaluating entity, it is noted from the outset that although these data show an improvement in service quality over the last few years, many of the qualitative indicators reported do not meet the established targets, indicating low user satisfaction, especially concerning surface production.  </w:t>
        <w:br/>
        <w:t xml:space="preserve">In justifying the choice of in-house, the Municipality of Naples also refers to the expected quantitative and qualitative increases from the service offer by ANM S.p.A., emphasizing how the company is the recipient of significant financial resources, mainly from PNRR funds, which will allow for a significant renewal of the existing fleet.  </w:t>
        <w:br/>
        <w:t xml:space="preserve">However, these arguments do not appear convincing, as the entity has not provided any data from which it can be inferred that the renewal of the fleet will lead to an improvement in service quality sufficient to increase the operational efficiency of the operator.  </w:t>
        <w:br/>
        <w:t xml:space="preserve">The characteristics of the new assignment are based, in fact, on optimistic projections of the economic-financial variables and the quantity and quality of services to users in the considered time horizon, but they stem from a previous management experience by ANM which, although improving in the last period, is nonetheless characterized by undeniable managerial and operational criticalities, with persistent difficulties in achieving contractual objectives.  </w:t>
        <w:br/>
        <w:t xml:space="preserve">In particular, regarding management performance, the ongoing criticality of the service in terms of qualitative performance is noteworthy.  </w:t>
        <w:br/>
        <w:t xml:space="preserve">As mentioned, according to what is stated in the Recognition, with the exception of the contractual indicators related to contractual quality and the quality of service obligations, all other indicators do not meet the established targets. The reference is to the indicators related to the technical quality of the service, to the punctuality of the service (in this regard, it is stated that the results achieved confirm the performance of 2022 and are improvable), to the accessibility of the service (for which a "deterioration compared to 2022 (95.7% satisfied) but still adequate" is noted) and to user satisfaction (explicitly deemed "still insufficient").  </w:t>
        <w:br/>
        <w:t xml:space="preserve">In the report on the reasons justifying the maintenance of the in-house assignment to ANM, attached to the periodic review plan of participations pursuant to Article 20 of Legislative Decree No. 175/2016, it is further specified that among the most critical aspects emerging from the customer satisfaction survey are "the regularity of the journey (consistency of vehicle passage times); communication in case of service disruptions in general (stops, website, etc.); adequate coverage of the territory (presence of buses in the territory)."  </w:t>
        <w:br/>
        <w:t xml:space="preserve">As for the economic-financial motivation, the choice of in-house assignment by the Municipality of Naples is based on presumed cost savings and revenue increases emerging from the PEF that will be adopted. Savings that would derive for the administration from the net cost regime and from the determination of costs lower than the standard costs, which currently represent the reference value for setting the auction base prices in case of assignment through a public evidence procedure, are also highlighted. In particular, the Entity indicates an overall forecast of savings of about 130 million euros for the six years of assignment, with an annual saving of about 21.5 million euros compared to the standard cost to be set as the basis for the tender.  </w:t>
        <w:br/>
        <w:t>In this regard, it is noted that the Municipality of Naples has not provided any evidence to support the indicated estimates, but only generic references to the improvement of the fleet and mobility policies. Conversely, the Report confirms the inefficient management by ANM, which has recorded production costs higher (by 40%) than the standard costs, with a decreasing trend only in the last period due to the concordat procedure (the deadline for which is set for June 30, 2025). Although the Municipality claims an improvement in the 2023 results compared to 2022, confirming the company's efficiency process, it cannot be shared that such results ensure the achievement of the objective of a cost per kilometer lower than the standard costs that should be the basis of the future PEF. This objective, in fact, not only does not currently appear to be achievable, but it is also not taken for granted that it will be achieved in the future, according to what has also been stated by the Municipality of Naples itself.</w:t>
      </w:r>
    </w:p>
    <w:p>
      <w:r>
        <w:rPr>
          <w:b/>
        </w:rPr>
        <w:t>[Pages 28–30]</w:t>
      </w:r>
    </w:p>
    <w:p>
      <w:r>
        <w:t>BULLETIN NO. 17 OF MAY 5, 2025</w:t>
      </w:r>
    </w:p>
    <w:p>
      <w:r>
        <w:t>In any case, the same D.M. MIT no. 157/2018 recognizes the possibility of using the standard cost as the base auction price "with any integrations that take into account the specificity of the service and the objectives of local authorities in terms of service planning and promotion of sector efficiency." Therefore, there would be no prohibition on setting a lower base tender price if the administration justified it with the aim of promoting service efficiency.</w:t>
      </w:r>
    </w:p>
    <w:p>
      <w:r>
        <w:t>In light of the considerations expressed above, the Authority hopes that this Municipality will reconsider its decision to award the local public transport service in-house to the company ANM S.p.A., in order to eliminate the competitive distortions highlighted above.</w:t>
      </w:r>
    </w:p>
    <w:p>
      <w:r>
        <w:t>Finally, this Administration is invited to communicate, within forty-five days from the receipt of this report, the initiatives taken to remove the aforementioned critical issues.</w:t>
      </w:r>
    </w:p>
    <w:p>
      <w:r>
        <w:t>This report will be published in the Bulletin of the Italian Competition Authority.</w:t>
      </w:r>
    </w:p>
    <w:p>
      <w:r>
        <w:t>THE PRESIDENT</w:t>
        <w:br/>
        <w:t>Roberto Rustichelli</w:t>
      </w:r>
    </w:p>
    <w:p>
      <w:r>
        <w:t>BULLETIN NO. 17 OF MAY 5, 2025</w:t>
      </w:r>
    </w:p>
    <w:p>
      <w:r>
        <w:t>AS2077 - REGULATION OF THE ACTIVITIES OF JUDICIAL SALE INSTITUTES</w:t>
      </w:r>
    </w:p>
    <w:p>
      <w:r>
        <w:t>Rome, April 17, 2025</w:t>
      </w:r>
    </w:p>
    <w:p>
      <w:r>
        <w:t>Minister of Justice</w:t>
      </w:r>
    </w:p>
    <w:p>
      <w:r>
        <w:t>The Italian Competition Authority, in its meeting of April 15, 2025, decided to formulate some observations, pursuant to Article 21 of Law No. 287/1990, regarding certain regulatory provisions related to Decree No. 109 of February 11, 1997, of the Ministry of Justice (hereinafter also referred to as the "Decree"), titled "Regulation amending the ministerial decree of June 20, 1960, and subsequent amendments, and the tariff of fees due to judicial sale institutes," which introduce unjustified limitations on the exercise of the activities of Judicial Sale Institutes (hereinafter "IVG"), that is, the entities authorized to perform the functions of administration, custody, and sale of movable and immovable property ordered by the judicial authority.</w:t>
      </w:r>
    </w:p>
    <w:p>
      <w:r>
        <w:t>In particular, as is known, the functions of IVGs consist of carrying out the activities of judicial custody of movable property, auctioning movable property, and judicial administration of immovable property. These functions of an IVG are exercised within the jurisdiction of a Court, which in turn is part of a Court of Appeal district. To operate, an IVG must be authorized by this Ministry, and for this purpose, the competent Court of Appeal (i.e., the one where the relevant Court jurisdiction is located), with prior approval from the Ministry, announces a comparative evaluation procedure by publishing a specific public notice that allows interested parties to submit their candidacy. The fees due to the IVG - paid by the debtor as well as by the buyer in the case of sales - are predominantly percentage-based (based on the value of the assets involved) and are normatively fixed by the Decree for the sale of movable property and by Decree No. 80 of May 15, 2009, of the Ministry of Justice for the remaining custody activities of movable and immovable property.</w:t>
      </w:r>
    </w:p>
    <w:p>
      <w:r>
        <w:t>The Decree effectively provides for the authorization of only one IVG for each Court jurisdiction (Article 3, paragraph 1), given that the exception provided for (Article 3, paragraph 2) has not yet found application, with a five-year duration of such authorization (Article 40, paragraph 1) and, above all, a mechanism for the tacit renewal of the same (also Article 40, paragraph 1).</w:t>
      </w:r>
    </w:p>
    <w:p>
      <w:r>
        <w:t>In terms of effects, the exclusive operation within the relevant judicial jurisdiction (Court districts or even entire Court of Appeal districts), together with the provisions regarding the five-year duration of the authorization and its tacit renewal, create situations in which the same IVG ends up operating exclusively in a territory for a considerable period of time (there are cases of authorizations in place since the 1960s and 1970s), to the detriment of potential competing operators.</w:t>
      </w:r>
    </w:p>
    <w:p>
      <w:r>
        <w:t>The fact that, once a subject is authorized to operate as an IVG, due to the aforementioned mechanism of tacit/automatic renewal, no further access procedures for new operators are announced (unless the IVG in question renounces or the authorization is revoked by this Ministry, which, however, occurs in very specific and limited cases) leads to a crystallization of the reference market, with an almost total exclusion of new operators and, conversely, with a position rent benefiting already authorized operators, quantitatively not negligible in terms of fees received, as there are no margins for maneuver on price (as these are administered prices). These are distortions of competition and the proper functioning of the market that are not justified by general interest needs.</w:t>
      </w:r>
    </w:p>
    <w:p>
      <w:r>
        <w:t>Regarding the above, the Authority considers it appropriate to point out that the duration of the authorization to operate of an IVG should not exceed that established by the Decree (equal to five years), without, therefore, any possibility of tacit/automatic renewal.</w:t>
      </w:r>
    </w:p>
    <w:p>
      <w:r>
        <w:t>After this period, the authorized operator should again be selected following a public procedure. This would allow for the stimulation, through a mechanism of periodic competition for the market, of an increase over time in the quality of the service provided and an improvement in the timing of its execution, as the price lever cannot be activated (which, as mentioned, is fixed). In this perspective, effective periodic competition for the market, stimulating the reduction of costs associated with the activity and/or the improvement of the quality of services offered, would eliminate possible monopoly excess profits of the authorized IVG.</w:t>
      </w:r>
    </w:p>
    <w:p>
      <w:r>
        <w:t>Nor, on the other hand, for the purposes mentioned above, can the prior experience of competitors assume predominant relevance within the design of the periodic public selective authorization procedure, particularly in a sector - such as the one under examination - where no particular know-how appears necessary, as alternative criteria can be identified that are equally capable of ensuring the reliability requirements demanded by the specific functions entrusted to IVGs; otherwise, it would still be difficult for new operators to enter the market, thus nullifying the positive competitive effects of an authorization that is effectively limited in time.</w:t>
      </w:r>
    </w:p>
    <w:p>
      <w:r>
        <w:t>In fact, analyzing the list of all Court districts of all Court of Appeal districts in Italy, there is currently no situation of multiple authorizations; each authorized IVG, therefore, operates in fact exclusively in its own territory (judicial).</w:t>
      </w:r>
    </w:p>
    <w:p>
      <w:r>
        <w:t>"The concession has a normal duration of five years and is understood to be tacitly renewed for another five years and so on, unless six months before the expiration the authorized Institute does not express a contrary intention, by registered letter with acknowledgment of receipt, addressed to the Minister of Justice - General Directorate of Civil Affairs and Free Professions - Office V, or the Ministry does not communicate the cessation order within the same term."</w:t>
      </w:r>
    </w:p>
    <w:p>
      <w:r>
        <w:t>Cases of violation of regulations, serious irregularities, or proven abuses by the authorized IVG.</w:t>
      </w:r>
    </w:p>
    <w:p>
      <w:r>
        <w:rPr>
          <w:b/>
        </w:rPr>
        <w:t>[Pages 31–33]</w:t>
      </w:r>
    </w:p>
    <w:p>
      <w:r>
        <w:t>BULLETIN NO. 17 OF MAY 5, 2025</w:t>
      </w:r>
    </w:p>
    <w:p>
      <w:r>
        <w:t>In conclusion, the current formulation of the Decree, with particular reference to the provision (and concrete application) of an automatic mechanism for the tacit renewal of the authorization to carry out IVG activities, introduces unjustified restrictions on the exercise of the economic activity in question, as such limitations are neither necessary nor proportionate to the pursuit of objectives of general interest. They hinder broader competition among service providers related to IVG activities, thus conflicting with national and EU principles of free competition among economic operators.</w:t>
      </w:r>
    </w:p>
    <w:p>
      <w:r>
        <w:t>The Authority therefore hopes for a modification of the indicated regulatory provision, with the elimination of the competitive distortions highlighted above.</w:t>
      </w:r>
    </w:p>
    <w:p>
      <w:r>
        <w:t>This Report will be published in the Bulletin of the Italian Competition Authority.</w:t>
      </w:r>
    </w:p>
    <w:p>
      <w:r>
        <w:t>THE PRESIDENT</w:t>
        <w:br/>
        <w:t>Roberto Rustichelli</w:t>
      </w:r>
    </w:p>
    <w:p>
      <w:r>
        <w:t>BULLETIN NO. 17 OF MAY 5, 2025</w:t>
      </w:r>
    </w:p>
    <w:p>
      <w:r>
        <w:t>AS2078 – MUNICIPALITY OF NUMANA (AN) - MODALITIES FOR THE AWARD AND MANAGEMENT OF THE TOURIST PORT</w:t>
      </w:r>
    </w:p>
    <w:p>
      <w:r>
        <w:t>Rome, April 17, 2025</w:t>
      </w:r>
    </w:p>
    <w:p>
      <w:r>
        <w:t>Municipality of Numana</w:t>
      </w:r>
    </w:p>
    <w:p>
      <w:r>
        <w:t>The Italian Competition Authority, in its meeting of April 15, 2025, resolved to formulate some observations, pursuant to Article 21 of Law No. 287/1990, regarding the competition issues arising from the modalities of awarding and managing the Tourist Port of Numana.</w:t>
      </w:r>
    </w:p>
    <w:p>
      <w:r>
        <w:t>Preliminarily, it is deemed appropriate to clarify that the Authority recognizes that the management of a tourist port can be configured as a local public service, reliable, as such, according to one of the modalities currently provided for by Article 14 of Legislative Decree No. 201/2022 (which concerns the "Reorganization of the regulation of local public services of economic relevance").</w:t>
      </w:r>
    </w:p>
    <w:p>
      <w:r>
        <w:t>According to a widely shared orientation of administrative jurisprudence, in fact, the tourist port is a complex figure, in which the concession of a public asset can serve the provision of a local public service of economic relevance. Despite the tourist-recreational purpose of tourist ports, which primarily satisfy private interests, there is indeed a significant public interest in their realization and management, for three main reasons: i) it is a means of access to the marine communication route and, therefore, true "infrastructures"; ii) these ports are susceptible to public uses of general interest (i.e. use by the entire community, needs, even if in exceptional cases, of public transport); iii) there is, in any case, a significant public interest in the development and enhancement of tourism and economic value of the territory, undoubtedly facilitated by the realization and management of tourist ports.</w:t>
      </w:r>
    </w:p>
    <w:p>
      <w:r>
        <w:t>Moreover, the fact that the tourist port, unlike other ports, is not indiscriminately open to the public, but allows the use of berths exclusively, "is not sufficient to exclude the public nature of the works, given that - since these are public works on public domain - it follows that the tourist port is also subject to public domain; which is not incompatible with a use of the public asset, by virtue of the concession regime, reserved only for certain categories of users." For these reasons, the legislator has regulated the realization and management of tourist ports in a public law perspective: to the extent that they are realized by virtue of a concession on a public domain area, by the principle of accession they also constitute public domain assets, subject to the regime of public works. The public nature of the works has thus led judges to consider that the management service of the tourist port is "a public service of undeniable economic relevance," that is, a public service aimed at an indeterminate number of subjects for a fee, even "taking into account the normal development of the phenomenon of 'tourist port' in Italy."</w:t>
      </w:r>
    </w:p>
    <w:p>
      <w:r>
        <w:t>To confirm what has just been stated – and the specificity of tourist ports compared to other maritime public domain concessions with tourist-recreational purposes – it is highlighted that the so-called "Salva-Infrazioni" decree, in force since September 17, 2024, in modifying Article 3 of Law No. 118/2022 (which contains the "Annual Law for the Market and Competition 2021"), has removed from this regulation the concessions "for the realization and management of structures dedicated to recreational boating, including mooring points," in addition to the concessions of sports federations and amateur sports associations and societies without profit motives.</w:t>
      </w:r>
    </w:p>
    <w:p>
      <w:r>
        <w:t>All this having been stated and clarified, regarding the management of the Tourist Port of Numana, it appears that this Entity has self-awarded, pursuant to Article 36 of the Navigation Code, the concession of the water mirror at least since 2012, repeatedly extended/renewed and currently set to expire on December 31, 2033, pursuant to Article 1, paragraphs 675-683, of Law No. 145/2018. This concession has then been annually sub-awarded – for "public interest reasons" – pursuant to Article 45-bis of the same Code, to other subjects, with the latest duration established until December 31, 2025, without excluding a possible alignment with the duration of the Municipality's concession.</w:t>
      </w:r>
    </w:p>
    <w:p>
      <w:r>
        <w:t>Furthermore, regarding the "land" public domain concessions, they appear to be awarded to the same sub-awardees of the water mirror (in addition to other managers) and renewed annually by the Municipality pursuant to Article 36 of the aforementioned Code, with deadlines currently set, for some concessionaires, at September 30, 2027, pursuant to Article 3 of Law No. 118/2022, while for others at December 31, 2033, pursuant to Article 1, paragraphs 675-683 of Law No. 145/2018.</w:t>
      </w:r>
    </w:p>
    <w:p>
      <w:r>
        <w:rPr>
          <w:b/>
        </w:rPr>
        <w:t>[Pages 34–36]</w:t>
      </w:r>
    </w:p>
    <w:p>
      <w:r>
        <w:t>BULLETIN NO. 17 OF MAY 5, 2025</w:t>
      </w:r>
    </w:p>
    <w:p>
      <w:r>
        <w:t>36. With regard to the ownership of the main concession granted in favor of the Municipality, the Authority wishes to first observe that, although self-management of the tourist port is also permitted by the new legislative decree no. 201/2022, the related extension granted, most recently, until December 31, 2033, is based on provisions (Article 1, paragraphs 682 and 683, of law no. 145/2018) that, in addition to having been repeatedly criticized by the Authority and the administrative judge – as they hinder the competitive comparison that should be guaranteed in the awarding of services affecting scarce public resources – have also been expressly repealed by law no. 118/2022.</w:t>
      </w:r>
    </w:p>
    <w:p>
      <w:r>
        <w:t>The sub-awards that have been made downstream by the Municipality, pursuant to Article 45-bis of the Navigation Code, are based on generic and unsubstantiated reasons (based on the alleged technical suitability that the current managers would have acquired over the years), which do not seem adequate to overcome the need to resort to a public evidence procedure for the awarding of the management of the Tourist Port, such as to ensure the widest participation of interested operators.</w:t>
      </w:r>
    </w:p>
    <w:p>
      <w:r>
        <w:t>Similarly, the extensions of the public domain concessions "on land," established for some concessionaires until September 30, 2027, and for others until December 31, 2033, are based, respectively, on regulations no longer applicable to structures dedicated to recreational boating (i.e., Article 3 of law no. 118/2022, as amended by the aforementioned "Save-Infringements" decree), or on norms (Article 1, paragraphs 682 and 683 of law no. 145/2018), which, as already noted, have been repeatedly criticized by the Authority and are in any case expressly repealed.</w:t>
      </w:r>
    </w:p>
    <w:p>
      <w:r>
        <w:t>In this regard, the Authority intends to highlight the competitive criticalities arising from the widespread and reiterated extensions granted over time that, in addition to being based on now repealed or inapplicable norms, postpone the competitive comparison for the market, thus preventing the benefits that would arise from periodic competition for the awarding through public evidence procedures. Any extensions of the awards should never exceed the actual needs of the administrations, in a perspective of necessity and proportionality, especially when it comes to concessions awarded ab initio without a tender.</w:t>
      </w:r>
    </w:p>
    <w:p>
      <w:r>
        <w:t>It is recalled that, during the two-year period 2020-2021, the Authority invited multiple municipal administrations to disapply the national regulations underlying the determinations for the extension of maritime public domain concessions for tourist-recreational purposes, for conflict with Articles 49 and 56 TFEU and with Article 12 of Directive 2006/123/EC (the so-called "Services Directive"). See, among others, the cases AS1701 Municipality of Piombino (LI) – Maritime public domain concessions for tourist-recreational purposes, in Bulletin no. 41/2020; AS1729 Municipality of Ginosa (TA) – Extension of maritime public domain concessions for tourist-recreational purposes, in Bulletin no. 13/2021. See also the reports adopted with reference, among others, to the cases AS1725 Municipality of Reggio Calabria – Extension of maritime public domain concessions for tourist-recreational purposes, in Bulletin no. 12/2021; AS1799 Autonomous Region of Sardinia – Extension of maritime public domain concessions for tourist-recreational purposes, in Bulletin no. 43/2021.</w:t>
      </w:r>
    </w:p>
    <w:p>
      <w:r>
        <w:t>In jurisprudence see, for all, Council of State, Plenary Assembly, judgments no. 17 and 18 of 2021.</w:t>
      </w:r>
    </w:p>
    <w:p>
      <w:r>
        <w:t>As noted in the reasoned opinions AS1976 (Municipality of Forte dei Marmi (LU) - Extension of maritime public domain concessions for tourist-recreational purposes, in Bulletin no. 22/2024) and AS1983 (Municipality of Carrara (MS) - Extension of maritime public domain concessions for tourist-recreational purposes, in Bulletin no. 24/2024), the provision for sub-awarding, pursuant to Article 45-bis, Navigation Code, is a condition that comes into play "following the concession award and is subject to the authorization that the granting Authority may discretionarily decide to issue following the analysis of the specific situation."</w:t>
      </w:r>
    </w:p>
    <w:p>
      <w:r>
        <w:t>In this direction, Article 178 of legislative decree no. 36/2023 (containing the new Code of Public Contracts) provides for an absolute prohibition of extension for concessions awarded without a tender: see, among others, AS1999 Review SPL 2023, in Bulletin no. 25/2024.</w:t>
      </w:r>
    </w:p>
    <w:p>
      <w:r>
        <w:t>In this regard, in view of the future management of the Tourist Port of Numana – which should also be subject to restructuring thanks to regional funding – the Authority intends to remind its consolidated orientation on the necessity of proceeding with the awarding of public domain concessions, as they concern economically contestable goods, through a public evidence procedure, in compliance with the principles of impartiality, transparency, maximum participation, non-discrimination, and equal treatment, and to allow for the efficient allocation of public resources as soon as possible.</w:t>
      </w:r>
    </w:p>
    <w:p>
      <w:r>
        <w:t>With reference to the procedural model to be followed for the issuance of the concessions in question, in order to concretely satisfy the aforementioned principles, the Authority has already had the opportunity to express itself, in the sense of deeming it desirable that procedural forms of official initiation are provided rather than at the request of a party – as is instead the case with the specific procedure provided for by D.P.R. no. 509/1997 – and that, in any case, the selective procedure must be such as to guarantee a real and effective competitive comparison and not merely appear to satisfy the aforementioned principles.</w:t>
      </w:r>
    </w:p>
    <w:p>
      <w:r>
        <w:t>Therefore, in light of the considerations expressed above, the Authority hopes that this Municipality will promptly take action to adapt the management award of the Tourist Port of Numana, still under extension, to the current regulations and the competitive principles contained therein, in order to ensure, for the benefit of users, that the service is provided with high levels of quality, safety, and under the best economic conditions.</w:t>
      </w:r>
    </w:p>
    <w:p>
      <w:r>
        <w:t>It is therefore invited that the Administration itself communicates, within thirty days from the receipt of this report, the initiatives taken to remove the aforementioned competition violations.</w:t>
      </w:r>
    </w:p>
    <w:p>
      <w:r>
        <w:t>This report will be published in the Bulletin of the Italian Competition Authority.</w:t>
      </w:r>
    </w:p>
    <w:p>
      <w:r>
        <w:t>THE PRESIDENT</w:t>
        <w:br/>
        <w:t>Roberto Rustichelli</w:t>
      </w:r>
    </w:p>
    <w:p>
      <w:r>
        <w:rPr>
          <w:b/>
        </w:rPr>
        <w:t>[Pages 37–39]</w:t>
      </w:r>
    </w:p>
    <w:p>
      <w:r>
        <w:t>BULLETIN NO. 17 OF MAY 5, 2025</w:t>
      </w:r>
    </w:p>
    <w:p>
      <w:r>
        <w:t>II. THE COMMERCIAL PRACTICE SUBJECT TO THE PROCEEDING</w:t>
      </w:r>
    </w:p>
    <w:p>
      <w:r>
        <w:t>2. The proceeding concerns the methods through which consumers can cancel their TV subscription or remove packages from SKY and NOW services, specifically the following behaviors:</w:t>
        <w:br/>
        <w:t>- there is no specific section containing clear and complete information on the channels and methods for canceling or removing packages (so-called downgrade) on the websites sky.it and now.it, in the personal area "Do it yourself" accessible with each user's credentials, as well as on the SKY and NOW Apps;</w:t>
        <w:br/>
        <w:t>- the search results for keywords from search engines such as Google show sponsored pages that refer only to the cancellation channel via telephone operator and not to online cancellation;</w:t>
        <w:br/>
        <w:t>- it is not possible to cancel/downgrade independently online in the NOW App;</w:t>
        <w:br/>
        <w:t>- the online cancellation procedure accessible from the websites sky.it and now.it involves numerous and cumbersome steps as well as promotional pop-ups, with a tiring graphical sequence;</w:t>
        <w:br/>
        <w:t>- the information regarding the methods for downgrading is located only within the general contract conditions and does not contain clear indications on the procedure to follow to remove multiple packages;</w:t>
        <w:br/>
        <w:t>- the telephone service is difficult to contact and does not provide adequate assistance regarding cancellation or downgrade requests.</w:t>
      </w:r>
    </w:p>
    <w:p>
      <w:r>
        <w:t>III. THE OUTCOMES OF THE PROCEEDING</w:t>
      </w:r>
    </w:p>
    <w:p>
      <w:r>
        <w:t>III.1. The course of the proceeding</w:t>
      </w:r>
    </w:p>
    <w:p>
      <w:r>
        <w:t>3. In relation to the behaviors described above, on June 21, 2024, the Professional was notified of the initiation of the investigative proceeding PS12802, contesting the suitability of the commercial practice to hinder the exercise of consumer rights related to the termination or modification of the TV subscription contract, hypothesizing that it could constitute an aggressive commercial practice in violation of Articles 20, 24, and 25 paragraph 1, letter d), of the Consumer Code.</w:t>
      </w:r>
    </w:p>
    <w:p>
      <w:r>
        <w:t>4. The Professional, on July 19, 2024, sent the requested information in the communication of the initiation of the proceeding and on August 6, 2024, submitted defensive memoranda.</w:t>
      </w:r>
    </w:p>
    <w:p>
      <w:r>
        <w:t>5. SKY submitted a proposal for commitments pursuant to Article 27, paragraph 7 of the Consumer Code on August 6, 2024, supplemented on October 29, 2024, and on December 18, 2024. A consolidated version of the commitments was produced by the Professional on January 21, 2025.</w:t>
      </w:r>
    </w:p>
    <w:p>
      <w:r>
        <w:t>6. The Company was heard in a hearing on October 9, 2024, and December 10, 2024.</w:t>
      </w:r>
    </w:p>
    <w:p>
      <w:r>
        <w:t>7. On February 3, 2025, SKY was notified of the conclusion of the investigative phase, pursuant to Article 17, paragraph 1, of the Regulation.</w:t>
      </w:r>
    </w:p>
    <w:p>
      <w:r>
        <w:t>III.2. The elements acquired and the commitments of the Professional</w:t>
      </w:r>
    </w:p>
    <w:p>
      <w:r>
        <w:t>8. During the proceeding, SKY argued that the steps provided in the online cancellation process would be necessary to ensure the best management of the customer's request, as well as the informational pop-ups, which would indicate to the consumer possible alternatives to cancellation. Furthermore, according to SKY, the overall procedure would conclude in a short time. For the NOW service, the related App was not created to manage the subscription, but only to allow access to content. Finally, the Professional attributed the impossibility of removing multiple SKY packages simultaneously to technical/administrative reasons, such as the need to manage promotions or services activated at different times separately, also for the purpose of correct billing to the customer.</w:t>
      </w:r>
    </w:p>
    <w:p>
      <w:r>
        <w:t>9. The consolidated proposal of commitments, received on January 21, 2025, presents thirty-six measures concerning the details of the process that the consumer must follow to cancel the subscription/downgrade SKY/NOW subscriptions, as well as the information provided simultaneously, distinguishing according to the starting channel: search engine, Professional's website, personal area "Do it yourself" accessible with credentials, or App. Below, its content is briefly illustrated.</w:t>
      </w:r>
    </w:p>
    <w:p>
      <w:r>
        <w:t>a) Commitments related to the procedures for deactivating the SKY TV subscription:</w:t>
        <w:br/>
        <w:t>Through search engine - Commitments 1 to 3: modification of the name of the sponsored landing page reached using keywords "Sky cancellation" or similar phrases on the Google search engine, aimed at clarifying that this page concerns only cancellation via telephone operator; addition on the same page of a link that refers to the parallel online cancellation method (which does not require interaction with an operator).</w:t>
      </w:r>
    </w:p>
    <w:p>
      <w:r>
        <w:t>Through SKY homepage - Commitments 4 to 11: greater graphic prominence on the homepage of the website sky.it of the "assistance" area, from which it is possible to obtain information on how to cancel; modification of the subsequent path and the page of the site that summarizes the information on how to cancel, giving equal prominence to the channels that necessarily require a telephone interaction and those that do not (see figure 1); reduction of the steps in the cancellation process and the number of promotional pop-ups that appear during the cancellation process and elimination of pop-ups in the phase of requesting the "reasons" for cancellation.</w:t>
      </w:r>
    </w:p>
    <w:p>
      <w:r>
        <w:t>Figure 1: Commitment 9, new page listing all cancellation methods</w:t>
      </w:r>
    </w:p>
    <w:p>
      <w:r>
        <w:t>Through personal area "Do it Yourself" - Commitments 12 and 12-bis: addition in the personal area "Do it yourself" of the website sky.it of a box dedicated to subscription management, called "General Conditions, methods and costs of cancellation, removal or addition of packages and services"; insertion of a link that directly refers to the initiation of the online cancellation procedure.</w:t>
      </w:r>
    </w:p>
    <w:p>
      <w:r>
        <w:t>Through MySky App - Commitments 13 and 13-bis: addition in the App of a box called "General conditions, methods and costs of cancellation, removal or addition of packages and services"; insertion of a link that directly refers to the initiation of the cancellation procedure.</w:t>
      </w:r>
    </w:p>
    <w:p>
      <w:r>
        <w:rPr>
          <w:b/>
        </w:rPr>
        <w:t>[Pages 40–42]</w:t>
      </w:r>
    </w:p>
    <w:p>
      <w:r>
        <w:t xml:space="preserve">42 BULLETIN NO. 17 OF MAY 5, 2025  </w:t>
        <w:br/>
        <w:t>Figure 2 Commitment 12 - Addition of a section dedicated to cancellation procedures</w:t>
      </w:r>
    </w:p>
    <w:p>
      <w:r>
        <w:t xml:space="preserve">BULLETIN NO. 17 OF MAY 5, 2025 43  </w:t>
        <w:br/>
        <w:t xml:space="preserve">Figure 3 Commitment 13 - "Services" section My Sky App  </w:t>
        <w:br/>
        <w:t xml:space="preserve">b) Commitments related to the SKY downgrade procedure  </w:t>
        <w:br/>
        <w:t xml:space="preserve">Through search engine - Commitments 14 to 16: modification of the name of the sponsored page that appears when searching on Google "remove a Sky package" or similar phrases, clarifying that this landing page only concerns the channel through the telephone operator; addition of a link that refers to the online downgrade procedure (which does not require interaction with an operator).  </w:t>
        <w:br/>
        <w:t>Through SKY homepage - Commitments 17 to 21: greater visibility on the homepage of the website sky.it for the "assistance" function, from which it is possible to search for information on how to perform the downgrade; modification of the landing page of the search, giving equal visibility to downgrade methods that necessarily require a phone conversation and those that do not; insertion of a direct link to the guided downgrade process that concludes in five steps.</w:t>
      </w:r>
    </w:p>
    <w:p>
      <w:r>
        <w:t xml:space="preserve">44 BULLETIN NO. 17 OF MAY 5, 2025  </w:t>
        <w:br/>
        <w:t xml:space="preserve">Through personal area "Do It Yourself" - Commitments 22 and 22-bis: addition in the personal area "Do It Yourself" of the website sky.it, accessible after entering credentials, of a box dedicated to subscription management called "General Conditions, methods and costs of cancellation, removal or addition of packages and services"; insertion of a link that refers directly to the initiation of the downgrade procedure.  </w:t>
        <w:br/>
        <w:t xml:space="preserve">Through MySky App - Commitments 23 - 26: addition of a box called "General Conditions, methods and costs of cancellation, removal or addition of packages and services"; insertion of a link that refers directly to the initiation of the downgrade procedure; reduction of the number of steps in the procedure and promotional pop-ups. Addition of information regarding the necessity, to remove multiple packages, to repeat the operation ("If you wish to remove multiple packages, you can do so by repeating this online process for each of the packages or services you wish to remove").  </w:t>
        <w:br/>
        <w:t xml:space="preserve">c) Commitments related to the deactivation procedures of the TV NOW subscription  </w:t>
        <w:br/>
        <w:t xml:space="preserve">Commitments 27 to 30: insertion in the NOW App of the address of the webpage of the website now.it containing the information and the link to initiate the cancellation and downgrade process; greater visibility to the "assistance" area of the website and to the path leading to the activation and deactivation of the subscription; insertion in the "Account Management" box of a specific link "How to deactivate or reactivate my Pass" that leads to a box with information regarding the deactivation methods of the subscription.  </w:t>
        <w:br/>
        <w:t xml:space="preserve">d) Commitments related to customer service  </w:t>
        <w:br/>
        <w:t xml:space="preserve">Commitments 31-32: insertion in the call center operators' guidelines of instructions on how to correctly respond to consumers asking how to remove multiple packages ("If the customer asks to remove multiple packages at the same time, inform the customer that it is possible. Enter one request at a time but within the same call and with the same effectiveness" and "Inform the customer that they can also remove multiple packages simultaneously through the online procedure by doing the process in sequence").  </w:t>
        <w:br/>
        <w:t xml:space="preserve">10. The commitments will be implemented within three months from the date of notification of the acceptance measure.  </w:t>
        <w:br/>
        <w:t xml:space="preserve">IV. OPINION OF THE AUTHORITY FOR GUARANTEES IN COMMUNICATIONS  </w:t>
        <w:br/>
        <w:t xml:space="preserve">11. Since the commercial practices subject to this measure have been disseminated via the internet and concern the pay television sector, on February 5, 2025, an opinion was requested from the Authority for Guarantees in Communications (hereinafter, "Agcom"), pursuant to Article 27, paragraph 6 and paragraph 1-bis, of the Consumer Code.  </w:t>
        <w:br/>
        <w:t>12. In the opinion received on March 14, 2025, the aforementioned Authority highlighted, in summary, that it deemed it appropriate, in light of Article 27, paragraph 1-bis, of the Consumer Code, to render the opinion in the sense of relating the conduct to hypotheses of violation of the regulations and rules provided for in the Electronic Communications Code and its own resolutions. The specific conduct subject to the procedure in question would indeed seem to be attributable to hypotheses of violation of such regulations and sector rules for the protection of consumers, with regard to the methods available to the contracting party wishing to withdraw from a contract entered into with</w:t>
      </w:r>
    </w:p>
    <w:p>
      <w:r>
        <w:rPr>
          <w:b/>
        </w:rPr>
        <w:t>[Pages 43–45]</w:t>
      </w:r>
    </w:p>
    <w:p>
      <w:r>
        <w:t>BULLETIN NO. 17 OF MAY 5, 2025</w:t>
      </w:r>
    </w:p>
    <w:p>
      <w:r>
        <w:t>45. The conduct subject to the present proceeding would indeed appear to be attributable to violations of such regulations and sector regulations for the protection of consumers, with regard to the methods that the contracting party may use to withdraw from a contract entered into with operators of telecommunications and television networks and electronic communications. The Agcom has therefore reserved the right to adopt, where the prerequisites exist, the measures within its competence.</w:t>
      </w:r>
    </w:p>
    <w:p>
      <w:r>
        <w:t>13. With reference to the request for an opinion pursuant to Article 27, paragraph 6 of the Consumer Code, the same Authority has deemed that the internet is a communication tool capable of significantly influencing consumers, who could be led to make a commercial decision that they otherwise would not have made: if this were the case, it would concretely develop the full potential of the promotional and sales methods used.</w:t>
      </w:r>
    </w:p>
    <w:p>
      <w:r>
        <w:t>V. EVALUATION OF THE COMMITMENTS</w:t>
      </w:r>
    </w:p>
    <w:p>
      <w:r>
        <w:t>Preliminary Issues</w:t>
      </w:r>
    </w:p>
    <w:p>
      <w:r>
        <w:t>14. Initially, regarding Agcom's position, according to which the profiles of the contested conduct would be attributable to cases governed by the Electronic Communications Code (in particular, Article 98 septies decies, paragraphs 1 and 10, of the Electronic Communications Code, which refers to Article 1 of Law No. 40/2007) within its competence and would have been the subject of its resolutions No. 69/18/CONS and 127/19/CONS, the following is observed.</w:t>
      </w:r>
    </w:p>
    <w:p>
      <w:r>
        <w:t>15. Setting aside the issue of the applicability of the specific service subject to this case (offering viewing of television programs broadcast via streaming and live on a website as well as broadcast via satellite and/or cable) within the scope of those activities that fall under the application of the Electronic Communications Code, it must be noted that the competence of the Italian Competition Authority (hereinafter, "AGCM") to assess whether the conduct subject to this proceeding constitutes a violation of the Consumer Code is not in question.</w:t>
      </w:r>
    </w:p>
    <w:p>
      <w:r>
        <w:t>16. In fact, while resolutions No. 69/18/CONS and 127/19/CONS are primarily aimed at ensuring the plurality of channels available to users for withdrawal, the present investigation focuses on the cumbersome and exhausting nature of the online cancellation process. The competence to assess whether this process, due to the manner in which it is constructed, constitutes the elements of an aggressive commercial practice, consisting of the imposition of obstacles to the exercise of the right of withdrawal, is entrusted to the Authority.</w:t>
      </w:r>
    </w:p>
    <w:p>
      <w:r>
        <w:t>17. This is because the scope of application of the Consumer Code, due to its horizontal nature and the breadth of the notion of commercial practice, extends to all activities carried out by professionals towards users of electronic communications services (which may include the viewing of television programs) before, during, and after the commercial transaction.</w:t>
      </w:r>
    </w:p>
    <w:p>
      <w:r>
        <w:t>18. The contested conduct, in particular, may translate into violations of specific provisions of the Consumer Code, potentially constituting an aggressive commercial practice in violation of Articles 20, 24, and 25, letter d) of the same Code, as it is contrary to professional diligence and susceptible, through undue conditioning, to limit the freedom of choice of the average consumer regarding the effectiveness or termination of pay-TV contracts.</w:t>
      </w:r>
    </w:p>
    <w:p>
      <w:r>
        <w:t>19. From an enforcement perspective, Article 27, paragraph 1-bis, of the Consumer Code identifies a general criterion for the preventive allocation of competencies between AGCM and the Supervisory Authority in all regulated sectors, exclusively assigning to AGCM the enforcement concerning all conduct that gives rise to an unfair commercial practice, including those that simultaneously constitute a violation of a sector rule. The consumer protection discipline does not apply, in fact, "only when provisions external to it, governing specific aspects of unfair commercial practices, impose on professionals, without any margin of maneuver, obligations incompatible with those established by Directive 2005/29."</w:t>
      </w:r>
    </w:p>
    <w:p>
      <w:r>
        <w:t>Evaluation of the Commitments</w:t>
      </w:r>
    </w:p>
    <w:p>
      <w:r>
        <w:t>20. The commitments under examination concern the information provided to consumers regarding the methods for canceling the subscription or removing packages (so-called downgrade), as well as the process to be followed online to exercise these rights independently, that is, without the need to interact with an operator.</w:t>
      </w:r>
    </w:p>
    <w:p>
      <w:r>
        <w:t>21. The Authority believes that the measures proposed by the Professional are suitable to remedy the possible profiles of illegitimacy contested in the communication initiating the proceeding.</w:t>
      </w:r>
    </w:p>
    <w:p>
      <w:r>
        <w:t>22. The commitments, in fact, bring significant changes to the totality of channels available to the consumer to exercise their right to terminate or modify the subscription (Professional's website, "Do it yourself" area accessible with credentials, App, as well as sponsored pages on search engines), making the information regarding the available options for withdrawing from subscriptions or removing individual packages more immediate and accessible. Furthermore, they simplify access to online cancellation processes and the steps to be taken to complete them.</w:t>
      </w:r>
    </w:p>
    <w:p>
      <w:r>
        <w:t>Thanks to the commitments, equal graphic prominence is also given to all channels that can be activated for cancellation, including the online one, thus allowing the consumer to freely choose whether to interact with an operator or to carry out the process independently.</w:t>
      </w:r>
    </w:p>
    <w:p>
      <w:r>
        <w:t>23. In detail, regarding the Sky service, the changes to the graphic presentation and the placement of the information sections introduced by the commitments allow the consumer to more easily and intuitively find relevant information, starting from the "assistance" section on the Professional's website, or from the "General conditions, methods, and costs of cancellation, removal or addition of packages and services" section of the "Do it yourself" area, from the App, or even from search engines.</w:t>
      </w:r>
    </w:p>
    <w:p>
      <w:r>
        <w:t>24. Regardless of the starting channel, the consumer is then promptly guided to a page where the information on the different ways to proceed with cancellation/downgrade is provided in a compact manner and with equal prominence. The introduction of specific links that allow for the direct initiation of online cancellation/downgrade processes also makes this channel more accessible, enabling the procedure to be completed independently. The changes in this regard appear particularly commendable for the downgrade process, which was previously activated through a difficult-to-consult link as it was located in the general contract conditions, whereas now, by virtue of the commitment, the consumer can easily initiate the process from the dedicated section.</w:t>
      </w:r>
    </w:p>
    <w:p>
      <w:r>
        <w:t>25. Thanks to what is provided for by the commitments, once the cancellation/downgrade procedure is initiated, it will proceed more quickly and directly, as some steps and promotional pop-ups have been eliminated. The consumer is also clearly informed during the downgrade process, whether carried out online or through a telephone operator, that it is necessary to cancel one package at a time; clear information is also provided on how to proceed to remove additional packages.</w:t>
      </w:r>
    </w:p>
    <w:p>
      <w:r>
        <w:t>26. For the NOW service as well, the commitments enrich the informational channels available to the consumer regarding the methods for cancellation, providing clearer and more complete information on the actions to be taken.</w:t>
      </w:r>
    </w:p>
    <w:p>
      <w:r>
        <w:t>27. In light of the aforementioned considerations, it is believed that the commitments presented meet the requirements set forth in Article 27, paragraph 7, of the Consumer Code.</w:t>
      </w:r>
    </w:p>
    <w:p>
      <w:r>
        <w:t>THEREFORE, it is deemed that the commitments presented by the company Sky Italia S.r.l., in the terms outlined above, are suitable to eliminate the possible profiles of unfairness of the commercial practice subject to investigation;</w:t>
      </w:r>
    </w:p>
    <w:p>
      <w:r>
        <w:t>IT IS DEEMED to make the aforementioned commitments mandatory for the company Sky Italia S.r.l.;</w:t>
      </w:r>
    </w:p>
    <w:p>
      <w:r>
        <w:t>IT IS DEEMED, therefore, that the proceeding can be closed without establishing the infringement;</w:t>
      </w:r>
    </w:p>
    <w:p>
      <w:r>
        <w:t>RESOLVES</w:t>
      </w:r>
    </w:p>
    <w:p>
      <w:r>
        <w:t>a) to make mandatory pursuant to Article 27, paragraph 7, of the Consumer Code and Article 10, paragraph 2, letter a), of the Regulation, against the company Sky Italia S.r.l. the commitments presented by it in their final version on January 21, 2025, as described in the attached declaration, which constitutes an integral part of the measure;</w:t>
      </w:r>
    </w:p>
    <w:p>
      <w:r>
        <w:t>b) to close the proceeding without establishing the infringement, pursuant to Article 27, paragraph 7, of the Consumer Code and Article 10, paragraph 2, letter a), of the Regulation;</w:t>
      </w:r>
    </w:p>
    <w:p>
      <w:r>
        <w:t>c) that the company Sky Italia S.r.l., within sixty days from the date of notification of this resolution, informs the Authority of the implementation of the commitments.</w:t>
      </w:r>
    </w:p>
    <w:p>
      <w:r>
        <w:t>Pursuant to Article 10, paragraph 3, of the Regulation, the proceeding may be reopened ex officio, where:</w:t>
      </w:r>
    </w:p>
    <w:p>
      <w:r>
        <w:t>a) the Professional does not implement the commitments undertaken;</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rPr>
          <w:b/>
        </w:rPr>
        <w:t>[Pages 46–47]</w:t>
      </w:r>
    </w:p>
    <w:p>
      <w:r>
        <w:t>BULLETIN NO. 17 OF MAY 5, 2025</w:t>
      </w:r>
    </w:p>
    <w:p>
      <w:r>
        <w:t>This measure will be notified to the interested parties and published in the Bulletin of the Italian Competition Authority.</w:t>
      </w:r>
    </w:p>
    <w:p>
      <w:r>
        <w:t xml:space="preserve">THE DEPUTY SECRETARY GENERAL THE PRESIDENT  </w:t>
        <w:br/>
        <w:t>Serena Stella Roberto Rustichelli</w:t>
      </w:r>
    </w:p>
    <w:p>
      <w:r>
        <w:t xml:space="preserve">Italian Competition Authority Weekly Bulletin  </w:t>
        <w:br/>
        <w:t xml:space="preserve">of Competition and Market Year XXXV - No. 17 - 2025  </w:t>
        <w:br/>
        <w:t xml:space="preserve">Editorial Coordination Giulia Antenucci  </w:t>
        <w:br/>
        <w:t xml:space="preserve">Editorial Staff Angela D’Auria, Valerio Ruocco, Manuela Villani  </w:t>
        <w:br/>
        <w:t xml:space="preserve">Italian Competition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