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https://www.agcm.it/dotcmsDOC/bollettini/18-18.pdf</w:t>
      </w:r>
    </w:p>
    <w:p>
      <w:r>
        <w:t>Pages translated : 73</w:t>
      </w:r>
    </w:p>
    <w:p/>
    <w:p>
      <w:r>
        <w:rPr>
          <w:b/>
        </w:rPr>
        <w:t>[Pages 1–3]</w:t>
      </w:r>
    </w:p>
    <w:p>
      <w:r>
        <w:t>Bulletin</w:t>
        <w:br/>
        <w:t>Weekly</w:t>
        <w:br/>
        <w:t>Year XXVIII - No. 18</w:t>
        <w:br/>
        <w:t>Published on the website www.agcm.it</w:t>
        <w:br/>
        <w:t>May 14, 2018</w:t>
      </w:r>
    </w:p>
    <w:p>
      <w:r>
        <w:t>SUMMARY</w:t>
        <w:br/>
        <w:t>AGREEMENTS AND ABUSE OF DOMINANT POSITION 5</w:t>
        <w:br/>
        <w:t>A511 - ENEL/ANTICOMPETITIVE CONDUCT IN THE ELECTRICITY SALES MARKET</w:t>
        <w:br/>
        <w:t>Decision No. 27145 5</w:t>
        <w:br/>
        <w:t>A512 - A2A/ANTICOMPETITIVE CONDUCT IN THE ELECTRICITY SALES MARKET</w:t>
        <w:br/>
        <w:t>Decision No. 27146 7</w:t>
        <w:br/>
        <w:t>A513 - ACEA/ANTICOMPETITIVE CONDUCT IN THE ELECTRICITY SALES MARKET</w:t>
        <w:br/>
        <w:t>Decision No. 27147 9</w:t>
        <w:br/>
        <w:t>A519 - DIRECT AWARD OF RAIL PUBLIC TRANSPORT SERVICE IN VENETO</w:t>
        <w:br/>
        <w:t>Decision No. 27153 11</w:t>
        <w:br/>
        <w:t>CONCENTRATION OPERATIONS 25</w:t>
        <w:br/>
        <w:t>C12139 - NOAH 2/MONDIAL PET DISTRIBUTION</w:t>
        <w:br/>
        <w:t>Decision No. 27148 25</w:t>
        <w:br/>
        <w:t>REPORTING AND ADVISORY ACTIVITIES 47</w:t>
        <w:br/>
        <w:t>AS1509 - CALABRIA REGION – LAW 3/2018 – INCENTIVIZATION OF INCOMING TOURISM THROUGH AIR, RAIL, ROAD, AND SEA TRANSPORT TO SUPPORT DESEASONALIZATION 47</w:t>
        <w:br/>
        <w:t>UNFAIR TRADE PRACTICES 49</w:t>
        <w:br/>
        <w:t>PS10340 - TELECOM-ONLINE ACCOUNT</w:t>
        <w:br/>
        <w:t>Decision No. 27143 49</w:t>
        <w:br/>
        <w:t>IP285 - MEVALUATE-RATING OF LEGALITY</w:t>
        <w:br/>
        <w:t>Decision No. 27149 58</w:t>
        <w:br/>
        <w:t>PS10816 - TRIVEO-FAILURE TO DELIVER FAILURE TO REFUND</w:t>
        <w:br/>
        <w:t>Decision No. 27150 64</w:t>
      </w:r>
    </w:p>
    <w:p>
      <w:r>
        <w:t>BULLETIN NO. 18 OF MAY 14, 2018 5</w:t>
        <w:br/>
        <w:t>AGREEMENTS AND ABUSE OF DOMINANT POSITION</w:t>
        <w:br/>
        <w:t>A511 - ENEL/ANTICOMPETITIVE CONDUCT IN THE ELECTRICITY SALES MARKET</w:t>
        <w:br/>
        <w:t>Decision No. 27145</w:t>
        <w:br/>
        <w:t>THE ANTITRUST AUTHORITY</w:t>
        <w:br/>
        <w:t>IN ITS MEETING of April 24, 2018;</w:t>
        <w:br/>
        <w:t>HEARD the Rapporteur Dr. Gabriella Muscolo;</w:t>
        <w:br/>
        <w:t>HAVING REGARD to Article 102 of the Treaty on the Functioning of the European Union (TFEU);</w:t>
        <w:br/>
        <w:t>HAVING REGARD to Law No. 287 of October 10, 1990;</w:t>
        <w:br/>
        <w:t>HAVING REGARD to Council Regulation (EC) No. 1/2003 of December 16, 2002, concerning the application of the competition rules laid down in Articles 101 and 102 TFEU;</w:t>
        <w:br/>
        <w:t>HAVING REGARD to the Presidential Decree No. 217 of April 30, 1998;</w:t>
        <w:br/>
        <w:t>HAVING REGARD to its resolution of May 4, 2017, No. 26581, which initiated an investigation pursuant to Article 14 of Law No. 287/90 against the companies Enel S.p.A., the parent company of the eponymous corporate group, and its subsidiaries Servizio Elettrico Nazionale S.p.A. and Enel Energia S.p.A., active, respectively, in the sale of electricity to domestic and non-domestic customers connected at low voltage entitled to the greater protection service and to those served in a free market regime, to ascertain the existence of violations of Article 102 TFEU;</w:t>
        <w:br/>
        <w:t>HAVING REGARD to the documentation on file and, in particular, the information, most recently received on March 23, 2018, regarding market data requested from certain electricity distribution companies, including the company of the Group e-distribuzione S.p.A.;</w:t>
        <w:br/>
        <w:t>CONSIDERING the need to have a sufficient period of time for the processing and analysis of further instructive elements, adequately ensuring the full exercise of the right of defense of the Parties;</w:t>
        <w:br/>
        <w:t>THEREFORE DEEMING it necessary to extend the deadline for the conclusion of the procedure, currently set for June 30, 2018;</w:t>
      </w:r>
    </w:p>
    <w:p>
      <w:r>
        <w:rPr>
          <w:b/>
        </w:rPr>
        <w:t>[Pages 4–6]</w:t>
      </w:r>
    </w:p>
    <w:p>
      <w:r>
        <w:t>6 BULLETIN NO. 18 OF MAY 14, 2018</w:t>
        <w:br/>
        <w:t>RESOLUTION</w:t>
        <w:br/>
        <w:t>to extend the deadline for the conclusion of the procedure to October 31, 2018.</w:t>
        <w:br/>
        <w:t>This provision will be notified to the interested parties and published in the Bulletin of the Authority for the Guarantee of Competition and the Market.</w:t>
        <w:br/>
        <w:t>THE SECRETARY GENERAL f.f. THE PRESIDENT</w:t>
        <w:br/>
        <w:t>Roberto Chieppa Gabriella Muscolo</w:t>
      </w:r>
    </w:p>
    <w:p>
      <w:r>
        <w:t>BULLETIN NO. 18 OF MAY 14, 2018 7</w:t>
        <w:br/>
        <w:t>A512 - A2A/ANTICOMPETITIVE CONDUCT IN THE ELECTRICITY SALES MARKET</w:t>
        <w:br/>
        <w:t>Provision no. 27146</w:t>
        <w:br/>
        <w:t>THE AUTHORITY FOR THE GUARANTEE OF COMPETITION AND THE MARKET</w:t>
        <w:br/>
        <w:t>IN ITS MEETING of April 24, 2018;</w:t>
        <w:br/>
        <w:t>HEARD the Rapporteur Professor Michele Ainis;</w:t>
        <w:br/>
        <w:t>HAVING REGARD to Article 102 of the Treaty on the Functioning of the European Union (TFEU);</w:t>
        <w:br/>
        <w:t>HAVING REGARD to Law No. 287 of October 10, 1990;</w:t>
        <w:br/>
        <w:t>HAVING REGARD to Council Regulation (EC) No. 1/2003 of December 16, 2002, concerning the application of the competition rules laid down in Articles 101 and 102 TFEU;</w:t>
        <w:br/>
        <w:t>HAVING REGARD to the Presidential Decree No. 217 of April 30, 1998;</w:t>
        <w:br/>
        <w:t>HAVING REGARD to its resolution of May 4, 2017, No. 26587, which initiated an investigation pursuant to Article 14 of Law No. 287/90, against the companies A2A S.p.A., the parent company of the homonymous corporate group, and its subsidiary A2A Energia S.p.A., active, in particular, in the sale of electricity to both domestic and non-domestic customers connected at low voltage entitled to the greater protection service, as well as to those served in the free market, to ascertain the existence of violations of Article 102 TFEU;</w:t>
        <w:br/>
        <w:t>HAVING REGARD to the documentation on file and, in particular, the documentation acquired on March 21, 2018, regarding the market data requested from certain electricity distribution companies, including Unareti S.p.A.;</w:t>
        <w:br/>
        <w:t>HAVING REGARD also to the request for further hearing made by A2A Energia S.p.A. on April 9, 2018, and the documentation transmitted by the company, lastly, on April 17, 2018;</w:t>
        <w:br/>
        <w:t>CONSIDERING the necessity to have a reasonable period of time for the elaboration and analysis of further instructive elements, adequately ensuring the full exercise of the right of defense of the Parties;</w:t>
        <w:br/>
        <w:t>THEREFORE CONSIDERED necessary to extend the deadline for the conclusion of the procedure, currently set for June 30, 2018;</w:t>
      </w:r>
    </w:p>
    <w:p>
      <w:r>
        <w:t>8 BULLETIN NO. 18 OF MAY 14, 2018</w:t>
        <w:br/>
        <w:t>RESOLUTION</w:t>
        <w:br/>
        <w:t>to extend the deadline for the conclusion of the procedure to October 31, 2018.</w:t>
        <w:br/>
        <w:t>This provision will be notified to the interested parties and published in the Bulletin of the Authority for the Guarantee of Competition and the Market.</w:t>
        <w:br/>
        <w:t>THE SECRETARY GENERAL f.f. THE PRESIDENT</w:t>
        <w:br/>
        <w:t>Roberto Chieppa Gabriella Muscolo</w:t>
      </w:r>
    </w:p>
    <w:p>
      <w:r>
        <w:rPr>
          <w:b/>
        </w:rPr>
        <w:t>[Pages 7–9]</w:t>
      </w:r>
    </w:p>
    <w:p>
      <w:r>
        <w:t>BULLETIN NO. 18 OF MAY 14, 2018 9</w:t>
        <w:br/>
        <w:t>A513 - ACEA/ANTICOMPETITIVE CONDUCT IN THE ELECTRICITY SALES MARKET</w:t>
        <w:br/>
        <w:t>Provision no. 27147</w:t>
        <w:br/>
        <w:t>THE ANTITRUST AUTHORITY</w:t>
        <w:br/>
        <w:t>IN ITS MEETING of April 24, 2018;</w:t>
        <w:br/>
        <w:t>HEARD the Rapporteur Professor Michele Ainis;</w:t>
        <w:br/>
        <w:t>HAVING REGARD TO Article 102 of the Treaty on the Functioning of the European Union (TFEU);</w:t>
        <w:br/>
        <w:t>HAVING REGARD TO Law No. 287 of October 10, 1990;</w:t>
        <w:br/>
        <w:t>HAVING REGARD TO Council Regulation (EC) No. 1/2003 of December 16, 2002, concerning the application of the competition rules laid down in Articles 101 and 102 TFEU;</w:t>
        <w:br/>
        <w:t>HAVING REGARD TO Presidential Decree No. 217 of April 30, 1998;</w:t>
        <w:br/>
        <w:t>HAVING REGARD TO its resolution of May 4, 2017, no. 26590, which initiated an investigation pursuant to Article 14 of Law No. 287/90, against the companies Acea S.p.A., the parent company of the homonymous corporate group, and its subsidiary Acea Energia S.p.A., active, in particular, in the sale of electricity to both domestic and non-domestic customers connected at low voltage entitled to the greater protection service, as well as to those served in the free market, to ascertain the existence of violations of Article 102 TFEU;</w:t>
        <w:br/>
        <w:t>HAVING REGARD TO its resolution of January 10, 2018, no. 39628, with which the investigation was objectively extended to the availability and use for commercial purposes by Acea Energia S.p.A. of detailed and updated information on the customer base of its competitors in the territory of Rome and Formello and subjectively to the company Areti S.p.A., as the holder and possible supplier to the sister company of said information;</w:t>
        <w:br/>
        <w:t>HAVING REGARD TO the documentation on file and, in particular, the documentation acquired, most recently on March 30, 2018, regarding the market data requested from the company Areti S.p.A., as well as from the main electricity distribution companies;</w:t>
        <w:br/>
        <w:t>CONSIDERING the necessity, also in light of the aforementioned investigative expansion, to have a sufficient period of time for the processing and analysis of the additional elements acquired, adequately ensuring the full exercise of the right of defense of the Parties;</w:t>
        <w:br/>
        <w:t>THEREFORE CONSIDERED necessary an extension of the deadline for the conclusion of the procedure, currently set for June 30, 2018;</w:t>
      </w:r>
    </w:p>
    <w:p>
      <w:r>
        <w:t>10 BULLETIN NO. 18 OF MAY 14, 2018</w:t>
        <w:br/>
        <w:t>RESOLUTION</w:t>
        <w:br/>
        <w:t>to extend the deadline for the conclusion of the procedure to October 31, 2018.</w:t>
        <w:br/>
        <w:t>This provision will be notified to the interested parties and published in the Bulletin of the Antitrust Authority.</w:t>
        <w:br/>
        <w:t>THE SECRETARY GENERAL f.f. THE PRESIDENT</w:t>
        <w:br/>
        <w:t>Roberto Chieppa Gabriella Muscolo</w:t>
      </w:r>
    </w:p>
    <w:p>
      <w:r>
        <w:t>BULLETIN NO. 18 OF MAY 14, 2018 11</w:t>
        <w:br/>
        <w:t>A519 - DIRECT AWARD OF PUBLIC RAIL TRANSPORT SERVICE IN VENETO</w:t>
        <w:br/>
        <w:t>Provision no. 27153</w:t>
        <w:br/>
        <w:t>THE ANTITRUST AUTHORITY</w:t>
        <w:br/>
        <w:t>IN ITS MEETING of May 3, 2018;</w:t>
        <w:br/>
        <w:t>HEARD the Rapporteur Professor Michele Ainis;</w:t>
        <w:br/>
        <w:t>HAVING REGARD TO Law No. 287 of October 10, 1990;</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the Decree of the President of the Republic No. 217 of April 30, 1998;</w:t>
        <w:br/>
        <w:t>HAVING REGARD TO the documentation submitted by the company Arriva Rail Italia S.r.l. on March 14, 2018;</w:t>
        <w:br/>
        <w:t>HAVING REGARD TO the documentation on file;</w:t>
        <w:br/>
        <w:t>CONSIDERING the following:</w:t>
        <w:br/>
        <w:t>I. THE PARTIES</w:t>
        <w:br/>
        <w:t>1. Ferrovie dello Stato Italiane S.p.A. (hereinafter, "FS") is the holding company of the homonymous Group, whose share capital is entirely held by the Ministry of Economy and Finance. The companies of the Group operate in the sector of freight and passenger rail transport (both in Italy and abroad), in passenger transport by road, in the provision of logistics services, and in the construction and management of railway infrastructures. FS controls, among others, the companies Rete Ferroviaria Italiana S.p.A. and Trenitalia S.p.A.</w:t>
        <w:br/>
        <w:t>In 2016, FS achieved a consolidated revenue of approximately 7.9 billion euros.</w:t>
        <w:br/>
        <w:t>2. Rete Ferroviaria Italiana S.p.A. (hereinafter, "RFI"), a company established in 2001 and 100% controlled by FS, is the sole manager of the Italian railway infrastructure, by virtue of the concession deed pursuant to Ministerial Decree No. 138T of October 31, 2000, and subsequent amendments and integrations, which governs the relations between the State (grantor) and RFI (concessionaire). The instrument entrusted with regulating the economic and financial aspects of the concession relationship between the State and the infrastructure manager is the Program Contract.</w:t>
        <w:br/>
        <w:t>In 2016, RFI achieved a revenue of approximately 2.2 billion euros.</w:t>
        <w:br/>
        <w:t>3. Trenitalia S.p.A. (hereinafter, "Trenitalia"), 100% controlled by FS, is the main national railway company, active in high-speed, medium and long-distance, and regional rail transport. Trenitalia's activities involve the planning, marketing, and management of rail transport services, at the national, international, and local levels, as well as the ancillary services for the transport of passengers, by virtue of the Licenses issued by the</w:t>
      </w:r>
    </w:p>
    <w:p>
      <w:r>
        <w:rPr>
          <w:b/>
        </w:rPr>
        <w:t>[Pages 10–12]</w:t>
      </w:r>
    </w:p>
    <w:p>
      <w:r>
        <w:t>12 BULLETIN NO. 18 OF MAY 14, 2018</w:t>
        <w:br/>
        <w:t>Ministry of Infrastructure and Transport no. 1 of May 23, 2000, D.M. 73-T and no. 14/N of October 24, 2012.</w:t>
        <w:br/>
        <w:t>In 2016, Trenitalia achieved a turnover of approximately 4.8 billion euros.</w:t>
        <w:br/>
        <w:t>II. INFORMATION RECEIVED FROM ARRIVA RAIL ITALIA</w:t>
        <w:br/>
        <w:t>4. In a note dated March 14, 2018, the railway company Arriva Rail Italia S.r.l. (hereinafter, "Arriva") informed about the contents of Resolution no. 29 of January 11, 2018 (hereinafter, also DGR 29/2018)1, with which the Regional Council of the Veneto Region proceeded with the direct award of regional and local railway services (excluding the Adria – Mestre, Rovigo-Chioggia, and Rovigo-Verona lines) to Trenitalia, for a total period of 15 years (2018-2032), pursuant to Articles 5, paragraph 6, and 4, paragraph 4, of Regulation (EC) 1370/2007 (see below).</w:t>
        <w:br/>
        <w:t>5. In its communication, Arriva retraced the various steps that characterized the relations between the Veneto Region and the FS Group companies, hypothesizing the existence of a close connection between the decision of the Regional Council to directly award railway services to Trenitalia and the actions of RFI, the network manager and a company wholly owned by the same FS Group. In particular, Arriva argues that, in violation of community and national regulations that impose total independence of the infrastructure manager from the companies providing railway transport services, the signing of the current service contract between the Veneto Region and Trenitalia, the draft of which was approved with DGR 29/2018, would have been de facto subordinated to the commitment made by the FS Group to implement certain infrastructural interventions on the Veneto railway network, aimed at the electrification of certain lines (in particular, in the foothill areas and in the Belluno area), carried out by the sole manager RFI.</w:t>
        <w:br/>
        <w:t>6. In support of its claims, Arriva, in addition to providing a documented overview of the relations between the Veneto Region and the FS Group companies, referred to the content of a press release from the same Region, no. 1327 of October 1, 2016, published on the institutional website https://www.regione.veneto.it. In this press release, the Regional Councillor for public works, infrastructure, and transport stated: “Already in April during a meeting with the CEO of Ferrovie dello Stato Mazzoncini, [...], it was clearly stated that the electrification of the so-called lower ring is feasible without problems in light of an improvement of the service contract with Trenitalia that justifies the investment. Said and done, we immediately activated to transform the existing contract (six years plus three) into ten years plus five [...]. If it is not electrified, the new contract ten plus five will not be made [...]”. The press release further states: “We have also updated with RFI the original version of the Framework Agreement by including as necessary the electrification of the Belluno area, in light of a ten plus five contract, which involves a significant investment in rolling stock by the Region” (emphasis added).</w:t>
        <w:br/>
        <w:t>II.i The relations between the Veneto Region and Trenitalia from 2010 to 2018</w:t>
        <w:br/>
        <w:t>7. Below is an overview of the relations that took place between the Veneto Region and Trenitalia, starting from the signing of the service contract on September 23, 2010, until the adoption of DGR 29/2018, with which the Regional Council proceeded with the direct award of regional and local railway services to Trenitalia.</w:t>
        <w:br/>
        <w:t>8. On September 23, 2010, an Agreement was signed between the Veneto Region and Trenitalia concerning the "Contract for the award and provision of regional and local passenger rail transport services for the period 1.1.2009 – 31.12.2014" (hereinafter, CdS), later modified and integrated with DGR no. 436 of May 25, 2013. The duration of the contract was established at 6 years, with an option for renewal for an additional 6 years, plus a possible technical extension of one year.</w:t>
        <w:br/>
        <w:t>9. With a note dated December 30, 2013, addressed to Trenitalia, the Veneto Region initiated the termination procedure of the Service Contract (CdS), providing for expiration after the first six-year period, with a simultaneous request for a technical extension until December 31, 2015. Consequently, a pre-information notice pursuant to Article 7, paragraph 2, of Regulation (EC) no. 1370/2007 was published in the GUUE on February 26, 2014, indicating the conduct of an open tender for the award of the service currently performed by Trenitalia. A few months later, the Region initiated the preparatory procedures for the publication of the tender notice, commissioning, with DGR no. 1711 of September 29, 2014, the regional company Sistemi Territoriali S.p.A. to carry out all technical activities aimed at preparing the tender project and all preparatory acts for the execution of the European tender.</w:t>
        <w:br/>
        <w:t>10. Since the technical extension of one year was not considered sufficient to complete the competitive procedure for the selection of a new contractor, the President of the Veneto Region and the CEO of Trenitalia, on May 4, 2015, signed a Memorandum of Understanding in which they committed to submit to their respective decision-making bodies an act of extension of 5 years plus one (bridge extension), setting the definitive termination of the CdS at December 31, 2020, to ensure the full functionality of the regional railway transport service during the technical execution phase of the tender procedure.</w:t>
        <w:br/>
        <w:t>11. However, instead of the bridge extension, with DGR no. 1760 of December 1, 2015, the Council approved an "Act of extension of the contract for regional and local railway services between the Veneto Region and Trenitalia S.p.A. for the period January 1, 2015 - December 31, 2023," which was not immediately signed by the contracting Parties. The reasons for this lack of signing were subsequently clarified in DGR no. 1260 of January 1, 2016, "Approval of the Memorandum of Understanding between the Veneto Region and Trenitalia S.p.A. for the continuation of regional and local railway services in 2016 pending the definition of the Service Contract," where it is stated that the delay was motivated, in addition to the need to wait for the approval of the Budget by the Regional Council, by "possible conditions for further improvement of the service proposed by Trenitalia S.p.A. to the Veneto Region, which now make it appropriate to partially review the development of the Financial Economic Plan." More precisely, "Trenitalia, also following the recent awarding of the European tender for the supply of new trains for regional transport - intends to propose to the Region new investments for a further deep renewal of the fleet, also in light of the expected electrification of certain railway lines as provided for in the Framework Agreement currently being defined between the Veneto Region and the network manager - RFI" (emphasis added).</w:t>
        <w:br/>
        <w:t>12. The Act of Extension referred to in DGR 1760 of December 1, 2015, was then modified, due to the investment plan offered by Trenitalia, with DGR no. 1919 of November 29, 2016. It is noteworthy that this last resolution was adopted on the same date as DGR no. 1917, with which the Region approved the Framework Agreement for the use of infrastructure capacity, signed pursuant to Legislative Decree no. 112/2005 by RFI and the Veneto Region. The Act of Extension was finally signed on December 22, 2016, providing for a contract duration until 2023, that is, 9 years from January 1, 2015, corresponding to 6 years of extension provided for by the original contract (pursuant to Article 18 of Legislative Decree no. 422/1997) plus 3, in application of Article 4, paragraph 4, of Regulation (EC) 1370/2007.</w:t>
        <w:br/>
        <w:t>13. In Resolution no. 1919, approving the Act of Extension, it is stated that "In addition to the greater value, the new investments proposed in rolling stock are suited, compared to the previous composition of the offered fleet, to a more effective use of the new infrastructural scenario outlined in the Framework Agreement currently being defined, relating to the network managed by RFI with the planned electrification, first in the foothill sections (Conegliano-Vittorio Veneto; Castelfranco-Montebelluna; Camposampietro-Cittadella-Bassano) and subsequently in the Belluno ring (Vittorio Veneto-Ponte nelle Alpi-Belluno-Feltre-Montebelluna) and in the Vicenza-Schio line" (emphasis added).</w:t>
        <w:br/>
        <w:t>14. In Article 3 of the Act of Extension, which governs the contractual duration, it is already provided that the Parties, in the presence of further significant investments proposed by Trenitalia, reserve the right to proceed with the signing of a new contract of different duration, which shall not exceed the maximum limit provided for by Regulation (EC) no. 1370/2007, which is known to be 10 + 5 years (Articles 5.6 and 4.4), "In this case, by 2016 the publicity obligations provided for by Article 7, paragraph 2 of Regulation (EC) 1370/2007 will be fulfilled." Article 15 of the Act of Extension provides for Trenitalia's commitment to carry out the renewal and modernization of the fleet for the purchase of: i. 9 high-capacity electric trains for a value of approximately 81 million euros; ii. 5 Vivalto units; iii. 9 diesel units of the swing type.</w:t>
        <w:br/>
        <w:t>15. The Framework Agreement, signed on November 29, 2016, between RFI and the Veneto Region pursuant to Article 22, paragraph 5, of Legislative Decree no. 112/2005, with a duration of ten years, renewable for an additional five years, aims to guarantee the infrastructure capacity necessary for the execution of the railway services under the competence of the Region, also providing for a series of commitments for the infrastructure manager2.</w:t>
        <w:br/>
        <w:t>16. This Framework Agreement, in addition to that relating to the time of signing, also describes a scenario of subsequent infrastructural development, of which the first phase includes the realization of significant investments for Veneto, with interventions on the Venice-Mestre node and electrifications of the Castelfranco-Montebelluna, Conegliano-Vittorio Veneto, Bassano del Grappa-Cittadella-Camposampietro sections; the second phase provides for the electrification of the Montebelluna-Belluno and Belluno-Ponte nelle Alpi-Vittorio Veneto sections, as well as the Vicenza-Schio railway line (see also Annex D of Annex A1 to the Framework Agreement)3.</w:t>
        <w:br/>
        <w:t>2 The Framework Agreement, within the national regulatory framework (see Legislative Decree no. 112/2015), including the resolution of the Transport Regulatory Authority 70/2014, in addition to being a coordination and planning tool for managing multi-year requests for railway transport capacity from applicants, plays an indispensable role in implementing the programming and administration functions of regional railway transport services of the Regions and Autonomous Provinces, as well as those delegated to them pursuant to Legislative Decree 422/1997.</w:t>
        <w:br/>
        <w:t>3 In the preamble to the text of the Agreement, it is noted that the Veneto Region has expressed the desire to sign with the infrastructure manager a Framework Agreement suitable to constitute the reference for the tendering or direct awarding.</w:t>
      </w:r>
    </w:p>
    <w:p>
      <w:r>
        <w:rPr>
          <w:b/>
        </w:rPr>
        <w:t>[Pages 13–15]</w:t>
      </w:r>
    </w:p>
    <w:p>
      <w:r>
        <w:t xml:space="preserve">BULLETIN NO. 18 OF MAY 14, 2018 15  </w:t>
        <w:br/>
        <w:t xml:space="preserve">17. Just over a month after the adoption of DGR no. 1917 and DGR no. 1919, and precisely eight days after the signing of the Extension Act between the Veneto Region and Trenitalia, on 30.12.2016, the Veneto Region, which until that moment intended to award the service through a tender upon the expiration of the extensions, published in the GUUE the pre-information notice no. 2016/s 252-464994 regarding the direct award of regional and local public railway transport services to Trenitalia, for a total duration of fifteen years (10+5).  </w:t>
        <w:br/>
        <w:t xml:space="preserve">18. About a year later, on January 11, 2018, the Regional Council of the Veneto Region, with DGR no. 29/2018, resolved to directly award regional and local railway services, with the exception of the Adria-Mestre, Rovigo-Chioggia, and Rovigo-Verona routes, to Trenitalia, effective from the CdS from 1.1.2018 until 31.12.2032, pursuant to Article 5, paragraph 6, and Article 4, paragraph 4, of Regulation (EC) no. 1370/2007.  </w:t>
        <w:br/>
        <w:t xml:space="preserve">19. The text of the resolution indicates all acts between the Veneto Region and Trenitalia. In particular, it is highlighted that on November 4, 2016 (i.e., prior to the adoption of DGR no. 1917 and DGR no. 1919, both dated November 29, 2016), Trenitalia submitted a new commercial proposal to obtain a direct award of transport services and that, consequently, on December 30, 2016, the Veneto Region published in the GUUE the pre-information notice no. 2016/s 252-464994 regarding the direct award of services to Trenitalia.  </w:t>
        <w:br/>
        <w:t xml:space="preserve">20. According to the text of DGR no. 29/2018, during 2017, Trenitalia would continue to develop the proposal in order to present a more articulated and specified one on December 22, 2017, last integrated on January 10, 2018. This proposal would primarily allow for the acquisition of new rolling stock totaling 78 new trains (the sum of new ones and those already planned with the 2016 Extension Act) in significantly short times (2020-2023) with the introduction of as many as 25 trains starting from 2020.  </w:t>
        <w:br/>
        <w:t xml:space="preserve">21. The draft service contract between the Veneto Region and Trenitalia was approved simultaneously and attached to DGR no. 29/2018, of which it constitutes an integral part. Article 15 of the negotiated text provides for Trenitalia's commitment to ensure the investment plan aimed at renewing the rolling stock, revamping it, and adapting maintenance facilities, as detailed in Annex no. 7 (Investment Plan), according to the deadlines indicated in the attached schedule. The total investments to be borne by Trenitalia amount to €1,005.1 million, of which €619.1 million for new rolling stock, which, together with €42.6 million borne by the Region, results in investments in new rolling stock of €661.7 million.  </w:t>
        <w:br/>
        <w:t xml:space="preserve">22. The basic services, the award of which will have a duration, as per the current documents, set at 10 years, extendable for another 5 years, for a total of 15 years from the actual start date of the services.  </w:t>
        <w:br/>
        <w:t xml:space="preserve">23. The regional offices, in order to evaluate both the sustainability and the appropriateness as well as the effectiveness and efficiency of the proposal presented, would have availed themselves of the support provided by two external services with specific expertise, one on the type of railway service by constructing the appropriate Technical Dossier, and the other with more specific expertise in economic-financial sustainability and drafting the Economic Financial Plan (PEF).  </w:t>
        <w:br/>
        <w:t>24. For the acquisition of new rolling stock, Trenitalia's commercial proposal provides for a regional co-financing share totaling €42,636,125.56 to be drawn from the resources allocated to the Veneto Region by MIT Decree no. 408 of 10.08.2017 regarding the procurement of railway rolling stock.</w:t>
      </w:r>
    </w:p>
    <w:p>
      <w:r>
        <w:t xml:space="preserve">BULLETIN NO. 18 OF MAY 14, 2018  </w:t>
        <w:br/>
        <w:t xml:space="preserve">III. BRIEF NOTES ON THE REFERENCE NORMATIVE FRAMEWORK  </w:t>
        <w:br/>
        <w:t xml:space="preserve">III.i. Relevant Community Legislation  </w:t>
        <w:br/>
        <w:t xml:space="preserve">III.i.a. Community provisions regarding the award of public service contracts for rail transport  </w:t>
        <w:br/>
        <w:t xml:space="preserve">22. The railway transport sector has been subject to a progressive liberalization process initiated, at the community level, by Directive 91/440/EC, followed by Directives 95/18/EC and 95/19/EC and the issuance of the so-called "first railway package" (approved on February 26, 2001), aimed at developing market opening to competition, in addition to ensuring fair and non-discriminatory access to infrastructures. The liberalization process continued with the adoption of a series of Regulations and Directives contained in the so-called "second railway package" (approved on April 29, 2004) and "third railway package" (approved on October 23, 2007), and finally, in the so-called "fourth railway package" (approved in December 2016).  </w:t>
        <w:br/>
        <w:t xml:space="preserve">23. In particular, as far as this context is concerned, the methods for awarding regional public transport services by rail are governed by the provisions contained in Regulation (EC) no. 1370/2007 of the European Parliament and of the Council of October 23, 2007, concerning public passenger transport services by road and rail, which repeals Council Regulations (EEC) no. 1191/69 and (EEC) no. 1107/70 (which is part of the so-called third railway package).  </w:t>
        <w:br/>
        <w:t xml:space="preserve">24. Article 5, paragraph 6, of Regulation (EC) 1370/2007 expressly provides that alongside the tender procedure and except in cases where expressly prohibited by national legislation, the competent authorities of the individual Member States have the power to directly award public transport service contracts by rail, with the exception of other rail transport modes such as metro and tram. The duration of the award contract may not exceed ten years. However, an extension, at most equal to 50% of the duration (10+5), is possible, in the event that the operator provides significant goods in relation to the overall goods necessary for the provision of the service subject to the contract (see Article 4, paragraph 4).  </w:t>
        <w:br/>
        <w:t xml:space="preserve">25. Article 7, paragraph 2, of Regulation (EC) no. 1370/2007 further provides that the entities responsible for the service, whether proceeding with the award through a tender or directly, at least one year before the start of the tender procedure or one year before the direct award of the contract, publish a notice containing at least the name and address of the competent authority, the type of award expected, and the services and territories potentially affected by the award (so-called pre-information notice). Paragraph 3 also provides for a subsequent publicity obligation in the case of direct award of public transport service contracts by rail.  </w:t>
        <w:br/>
        <w:t xml:space="preserve">26. Following the amendments made to the text of Regulation (EC) 1370/2007 by the new Regulation (EU) 2238/2016, starting from December 25, 2023 (with a further shift of 4 years from the initially set deadline), the competent authorities will have to award public railway transport service contracts through tender procedures open to all railway companies in the EU.  </w:t>
        <w:br/>
        <w:t xml:space="preserve">III.i.b. Community provisions regarding the independence of the infrastructure manager  </w:t>
        <w:br/>
        <w:t xml:space="preserve">27. Regarding the issue of the independence of the railway infrastructure manager, the provisions contained in Directive 2012/34/EU, which establishes a single European railway area (so-called "Recast Directive"), come into play.  </w:t>
        <w:br/>
        <w:t xml:space="preserve">28. In particular, with reference to the separation of the management of railway infrastructure from transport activities, Article 6 Accounting separation of the Directive provides that Member States shall ensure that both profit and loss accounts and balance sheets are kept separate and published for activities related to the provision of transport services and for those related to the management of railway infrastructure. Public funding granted to one of these two sectors of activity cannot be transferred to the other. Member States may also provide that this functional separation involves distinct organic sections within the same company or that the management of infrastructure and transport services is exercised by separate companies. In addition, Article 7 Independence of essential functions of infrastructure managers provides that Member States shall ensure that the essential functions that determine fair and non-discriminatory access to the infrastructure are assigned to entities or companies that do not themselves provide railway transport services.  </w:t>
        <w:br/>
        <w:t>29. The Recast Directive was subsequently amended by Directive (EU) 2016/2370, which modifies Directive 2012/34/EU regarding the opening of the market for national passenger railway transport services and the governance of railway infrastructure, which is part of the fourth railway package.</w:t>
      </w:r>
    </w:p>
    <w:p>
      <w:r>
        <w:rPr>
          <w:b/>
        </w:rPr>
        <w:t>[Pages 16–18]</w:t>
      </w:r>
    </w:p>
    <w:p>
      <w:r>
        <w:t>BULLETIN NO. 18 OF MAY 14, 2018</w:t>
      </w:r>
    </w:p>
    <w:p>
      <w:r>
        <w:t xml:space="preserve">part of the so-called "political pillar" of the IV Railway Package, with a deadline for transposition set for December 25, 2018.  </w:t>
        <w:br/>
        <w:t xml:space="preserve">30. One of the most significant innovations is represented by the introduction of rules aimed at strengthening the independence of the railway infrastructure manager, specifically regarding cases where it is vertically integrated with a company that provides railway transport services (see Articles 7 Independence of the infrastructure manager, 7bis Independence of essential functions, and 7ter Impartiality of the infrastructure manager concerning traffic management and maintenance scheduling).  </w:t>
        <w:br/>
        <w:t xml:space="preserve">III.ii. Relevant national legislation  </w:t>
        <w:br/>
        <w:t xml:space="preserve">III.ii.a Regulation on public transport  </w:t>
        <w:br/>
        <w:t xml:space="preserve">31. At the national level, the local public transport sector (including rail) was profoundly reformed for the first time by Legislative Decree No. 422 of November 19, 1997, which conferred on regions and local authorities functions and tasks in the field of local public transport, pursuant to Article 4, paragraph 4, of Law No. 59 of March 15, 1997. The text of the decree has been modified and integrated several times by subsequent legislative interventions.  </w:t>
        <w:br/>
        <w:t xml:space="preserve">32. With specific reference to regional and local railway services, the Decree provides that the functions and tasks of programming and administration are delegated to the Regions, which take over from the State and enter into the relevant service contracts.  </w:t>
        <w:br/>
        <w:t xml:space="preserve">33. In implementation of Legislative Decree No. 422/1997, the Veneto Region adopted Regional Law No. 25 of October 30, 1998 (BUR No. 99/1998) on the regulation and organization of local public transport.  </w:t>
        <w:br/>
        <w:t xml:space="preserve">III.ii.b Transposition of Directive 2012/34/EU, the so-called Recast  </w:t>
        <w:br/>
        <w:t xml:space="preserve">34. At the national level, the liberalization of the railway sector has been achieved through the transposition of the aforementioned community provisions, through various and subsequent legislative interventions, including, most recently, Legislative Decree No. 112 of July 15, 2015, implementing Directive 2012/34/EU of the European Parliament and of the Council of November 21, 2012, which establishes a single European railway area.  </w:t>
        <w:br/>
        <w:t xml:space="preserve">35. In Italy, as early as 2001, a corporate-type separation was established between the network manager and the service provider through the establishment of RFI as the infrastructure management company of the FS Group, distinct from the operator of railway transport services, Trenitalia.  </w:t>
        <w:br/>
        <w:t xml:space="preserve">36. Legislative Decree No. 112/2015 establishes, in Article 2, some principles to which the activities related to the management of railway infrastructure and those of transport by railway companies operating in Italy must conform: a) autonomy and managerial, administrative, and accounting independence of railway companies; b) independence of the essential functions of the infrastructure manager, accounting separation or establishment of autonomous and distinct corporate structures, from a patrimonial and accounting perspective, for the management of railway infrastructure and for the exercise of transport activities by rail; c) freedom of access to the market for the transport of goods and passengers by rail by railway companies, in accordance with the provisions contained in the directives of the European Union and in Articles 56 and following of the TFEU, under fair, non-discriminatory, and transparent conditions that ensure the development of competition in the railway sector.  </w:t>
        <w:br/>
        <w:t xml:space="preserve">37. The railway infrastructure manager - which must be an autonomous and independent entity, from a legal, organizational, or decision-making perspective, and from an accounting perspective, from the companies operating in the transport service management sector - is exclusively entrusted, for the network under its jurisdiction, with the essential functions related to the allocation of infrastructure capacity and the determination and collection of the related fees, in compliance with the principles of fairness, transparency, and non-discrimination and based on the criteria defined by the Transport Regulatory Authority (hereinafter also ART) (see Articles 11, Principles, 17 Fees for the use of railway infrastructure and services, and 26 Capacity allocation).  </w:t>
        <w:br/>
        <w:t xml:space="preserve">38. Regarding the relationships between the infrastructure manager and the State, it is provided that they are governed by a concession act (see D.M. No. 138T of October 31, 2000) and by one or more program contracts, stipulated for a minimum period of five years, in compliance with the fundamental principles and parameters indicated in Annex II of the decree (see Article 15 Relationships between the national railway infrastructure manager and the State and Annex II Principles and fundamental parameters of the program contract).  </w:t>
        <w:br/>
        <w:t xml:space="preserve">39. Finally, with reference to the relationships between the infrastructure manager and the Regions, Article 23 of Legislative Decree No. 112/2015 provides for the possibility of concluding framework agreements between RFI and entities other than the State, even for a period exceeding the duration of a service timetable, which must specify the characteristics of the requested infrastructure capacity, based on the procedures and criteria defined by the ART. If the requester of a framework agreement is not a railway company, as is the case with the Regions, it indicates to the infrastructure manager the railway companies that will carry out transport services on its behalf, at least for the first year of validity of the agreement.  </w:t>
        <w:br/>
        <w:t xml:space="preserve">IV. EVALUATIONS  </w:t>
        <w:br/>
        <w:t xml:space="preserve">40. The conduct subject to this proceeding was carried out by the FS holding company and its wholly-owned subsidiaries RFI and Trenitalia. The three companies would have adopted an overall strategy aimed at improperly exploiting the legal monopoly position held by RFI in the railway infrastructure management market, in order to preserve the incumbent position held by Trenitalia in the market for the provision of regional and local public passenger transport services in Veneto.  </w:t>
        <w:br/>
        <w:t xml:space="preserve">IV.i. Relevant markets and RFI's dominant position  </w:t>
        <w:br/>
        <w:t xml:space="preserve">41. As for the railway infrastructure management market (and its maintenance and enhancement), RFI holds a dominant position throughout the national territory by virtue of the concession act referred to in D.M. No. 138/T of October 31, 2000. Even more so, RFI holds such a position concerning the portion of the national network within the territory of the Veneto Region, where the railway services subject to direct award to Trenitalia, pursuant to DGR No. 29/2018, are located.  </w:t>
        <w:br/>
        <w:t xml:space="preserve">42. With reference to the market for the provision of regional and local passenger railway services in the Veneto Region, Trenitalia, already a monopoly operator based on the Agreement signed on 23.09.2010, concerning the "Contract for the award and provision of regional and local passenger railway transport services for the period 1.1.2009 – 31.12.2014," which has been extended several times, is the current direct and exclusive awardee of the aforementioned services (with the exception of the routes Adria-Mestre, Rovigo-Chioggia, and Rovigo-Verona), by virtue of DGR No. 26/2018, with the validity of the CdS from 1.1.2018 until 31.12.2032.  </w:t>
        <w:br/>
        <w:t xml:space="preserve">IV.ii. The contested conduct  </w:t>
        <w:br/>
        <w:t xml:space="preserve">43. From the elements contained in the documentation sent by Arriva on March 14, 2018, as well as from an examination of the acts published by the Veneto Region between 2014 and 2018, the following picture emerges.  </w:t>
        <w:br/>
        <w:t xml:space="preserve">44. The Veneto Region, at the end of 2013, initiated the procedure for terminating the service contract with Trenitalia and, on February 26, 2014, published the pre-information notice referred to in Article 7, paragraph 2, of Regulation (EC) No. 1370/2007, containing the indication of the conduct of an open tender for the award of regional and local railway services.  </w:t>
        <w:br/>
        <w:t xml:space="preserve">45. Nevertheless, as it was not possible to complete the competitive procedure by 2015 (i.e., within the first six years of the service contract, plus one year of technical extension), negotiations were initiated between the Veneto Region and Trenitalia in order to reach an extension of the service contract (initially until 2020, based on a Memorandum of Understanding between the President of the Region and the CEO of Trenitalia - so-called bridge extension - and subsequently until 2023, based on DGR No. 1760/2015), in order to ensure the continuity of service until the identification of the new awardee through a tender.  </w:t>
        <w:br/>
        <w:t xml:space="preserve">46. Already in this initial phase, from the official documents from regional sources, it appears that FS, at the holding level, initiated negotiations with the Veneto Region placing on the same negotiating table, on one hand, the issue of extending the contract with Trenitalia in exchange for new investments in rolling stock, and on the other, the investments of RFI in the electrification of the railway network. In particular, it emerges that FS induced the Region not to sign the so-called bridge extension to 2020 (5+1), initiating negotiations aimed at obtaining an extension of the service contract until 2023 (6+3), based on a new Economic Financial Plan - PEF that included a significant investment plan for the acquisition of rolling stock by Trenitalia.  </w:t>
        <w:br/>
        <w:t>47. From the press release of the Veneto Region dated October 1, 2016, it also appears that during this negotiation, and in particular in April 2016, a meeting took place between the CEO of the FS Group and the regional Transport Councillor, during which the new investments of RFI in the Venetian railway lines were effectively made conditional on further improvement of the service contract with Trenitalia, and, in particular, on the signing of a new direct award for the maximum period allowed by community legislation, namely 10+5 years. In particular, the text of the press release states that FS "…clearly stated that the electrification of the so-called lower ring is feasible without problems at...</w:t>
      </w:r>
    </w:p>
    <w:p>
      <w:r>
        <w:rPr>
          <w:b/>
        </w:rPr>
        <w:t>[Pages 19–21]</w:t>
      </w:r>
    </w:p>
    <w:p>
      <w:r>
        <w:t>BULLETIN NO. 18 OF MAY 14, 2018 21</w:t>
        <w:br/>
        <w:t>in light of an improvement in the service contract with Trenitalia that justifies the investment.”</w:t>
        <w:br/>
        <w:t>48. From this request by FS, it would emerge that the Group's intention was to preserve the incumbent position held by Trenitalia in the provision of passenger railway services in Veneto for the maximum period allowed by community regulations, not even considering an extension to 2023 as an optimal result. This is inferred from the same press release from the Region, which states that, in light of the position expressed by FS, the Region reiterated “[...] Said and done, we immediately activated to transform the existing contract (six years plus three) into ten years plus five [...]. If it is not electrified, the new contract of ten plus five will not be made [...]”.</w:t>
        <w:br/>
        <w:t>49. Indeed, following the press release of October 1, 2016, several significant events occurred:</w:t>
        <w:br/>
        <w:t>i) on November 29, 2016, both the new Extension Act between the Veneto Region and Trenitalia for the period 2015-2023 (reformulated compared to the original version based on the new investments proposed by Trenitalia), as per DGR no. 1919, and the Framework Agreement between the Veneto Region and RFI, as per DGR no. 1917, which provides for an “infrastructure upgrade” consisting of the electrification of the so-called low ring lines (as discussed in the meeting between the CEO of FS and the Regional Transport Assessor in April 2016). Significantly, compared to the version of December 2015 (DGR no. 1760), the new text of the extension act expressly states that: i. the Parties, in the presence of further significant investments proposed by Trenitalia, reserve the right to proceed with the signing of a new contract of different duration, which shall not exceed the maximum limit set by Regulation (EC) no. 1370/2007 (Articles 5.6 and 4.4) (see Article 3 Duration of the annex to DGR no. 1919/2016); ii. Trenitalia commits to renewing and modernizing the fleet for the purchase of 9 high-capacity electric trains for a value of approximately 81 million euros (see Article 15 New investments and Annex 5 Investment Chrono Program);</w:t>
        <w:br/>
        <w:t>ii) on December 30, 2016, the Veneto Region, which until that moment seemed inclined to award the service through a tender at the expiration of the extensions, abandoning its project initiated in 2014, published in the Official Journal of the European Union the pre-information notice no. 2016/s 252-464994 regarding the award of regional and local public railway transport services through direct award to Trenitalia, for a total duration of fifteen years (10+5) and, therefore, until 2032;</w:t>
        <w:br/>
        <w:t>iii) on January 11, 2018, the Regional Council of Veneto, with DGR 29/2018, resolved to directly award regional and local railway services to Trenitalia effective from January 1, 2018, until December 31, 2032, pursuant to Article 5, paragraph 6, and Article 4, paragraph 4, of Regulation (EC) no. 1370/2007.</w:t>
        <w:br/>
        <w:t>50. The final investment proposal in new rolling stock, reformulated and improved several times by Trenitalia during the years 2015, 2016, and 2017, provides for the purchase of a total of 78 new electric trains (no. 69 in addition to the 9 already planned with the Extension Act of November 29, 2016) in significantly short timeframes (2020-2023) with the introduction of as many as 25 trains starting from 2020. This investment proposal was made possible by the awarding of the European tender launched by Trenitalia in July 2015 worth over 4.5 billion euros for the purchase of a total of 500 new trains for regional transport, the first two lots of which were awarded at the end of June 2016. In particular, the outcomes of the procedure allowed Trenitalia to propose to the Region new investments for a further deep renewal of the regional fleet, in view of the electrification of the Venetian lines (pedemontane and Belluno routes) by RFI, as planned in the Agreement with the Region of November 29, 2016.</w:t>
        <w:br/>
        <w:t>51. Ultimately, from the reading of the official documents of the Veneto Region, a situation emerges in which FS was able to leverage the promise of new infrastructure investments by RFI to convince the Veneto Region not to immediately sign a bridge extension of the old award and then to call for a tender, in the future perspective of a massive investment in new rolling stock by Trenitalia. The possibility for the FS Group to negotiate directly both the new infrastructure investment by RFI and the conditions under which Trenitalia could offer the transport service (particularly in terms of new investments in rolling stock) initially delayed the Region's choices, whose intentions were to sign a technical extension and then proceed with the tender for the award of the service; subsequently, it effectively eliminated competition in the market for the management of regional railway services in Veneto, guaranteeing Trenitalia a monopoly in the activity until 2032.</w:t>
        <w:br/>
        <w:t>52. That the investment activities of RFI and Trenitalia (respectively in network enhancement and new rolling stock) were presented jointly by FS to the Veneto Region is inferred both from the literal wording of the press release from the Veneto Region of October 1, 2016, and from official acts of the Region itself, and in particular, from DGR no. 1260 of January 1, 2016, which states: “Trenitalia, also following the recent awarding of the European tender for the supply of new trains for regional transport - intends to propose to the Region new investments for a further deep renewal of the fleet, also in light of the expected electrification of certain railway lines as provided for in the Framework Agreement currently being defined between the Veneto Region and the Network Manager - RFI” (emphasis added).</w:t>
        <w:br/>
        <w:t>IV.iii. Conclusions</w:t>
        <w:br/>
        <w:t>53. The framework outlined so far highlights how the FS holding would have implemented, through its subsidiaries Trenitalia and RFI, a precise group strategy aimed at unduly influencing the choices of the Veneto Region regarding the award of railway services of regional and local interest, to the point of inducing it to abandon its initial choice of selecting the awardee through a tender procedure, in favor of a new direct award to the incumbent Trenitalia for a period of 10+5 years. This was done to delay until 2032 (the duration of the current service contract signed between the Veneto Region and Trenitalia, based on Articles 5, paragraph 6, and 4, paragraph 4, of Regulation (EC) 1370/2007) the competitive comparison in the offer of passenger railway services in the Veneto Region and thus ensure the non-contestability of Trenitalia's monopoly, to the detriment of potential competitors and the Region itself, with prejudicial effects ultimately on the final consumers.</w:t>
        <w:br/>
        <w:t>54. In particular, in light of the documentation on file, it appears that the strategy implemented by the FS Group was aimed at inextricably linking RFI's investment in the electrification of the Venetian lines, Trenitalia's investment in new rolling stock, and the direct award of the railway service to Trenitalia itself. In other words, the signing of the new service contract referred to in DGR no. 29/2018 appears to have been closely connected to FS's commitment to implement infrastructure improvement interventions on the Venetian network by RFI, thus determining for Trenitalia a competitive advantage that could not be replicated by any other competitor. More specifically, the electrification of sections of the Venetian railway network and the provision of a significant number of electric trains for regional transport appear to be part of the same offer presented to the Region by the FS holding.</w:t>
        <w:br/>
        <w:t>55. This “binding” strategy implemented by the FS Group in the years following the termination of the service contract with Trenitalia and the Region's decision to proceed with a public tender appears to be in contrast with the community and national regulations, as outlined above, regarding the independence and impartiality of the infrastructure manager, which, precisely to avoid undue exploitation behaviors, requires a clear separation between the management of the railway infrastructure (by the sole manager RFI) and the provision of transport services (through Trenitalia).</w:t>
        <w:br/>
        <w:t>56. The behaviors subject to complaint therefore appear to constitute a case of abuse of a dominant position, materializing in the undue exploitation of the legal monopoly in the management, maintenance, and enhancement of the railway network in order to completely eliminate competition “for” the market in the offer of railway services of regional and local interest in the Veneto Region. This alleged abusive strategy implemented by FS, through its subsidiaries Trenitalia and RFI, on the one hand, would not have allowed the Veneto Region to ascertain the actual convenience of the commercial proposal presented by Trenitalia in the years 2015, 2016, and 2017 - in light of investments in the regional network by the railway manager whose feasibility and convenience should have been evaluated regardless of the future awardee of the services -; on the other hand, it would have hindered the opening of the market for regional railway services in Veneto to competition, postponing until 2032 the possibility of any competitive comparison “for” the market, to the detriment of potential competitors and end users.</w:t>
        <w:br/>
        <w:t>V. THE APPLICABILITY OF COMMUNITY LAW</w:t>
        <w:br/>
        <w:t>57. The existence of a prejudice to trade between Member States, as a result of the described behaviors, appears to exist due to the importance of the FS Group, whose holding controls the companies Trenitalia, the main national railway company, and RFI, the manager of the national railway infrastructure. The behaviors of the FS Group, being able to significantly hinder the entry and operation of current and potential competitors, including foreign ones, in the national market, therefore appear capable of altering trade between Member States, thereby preventing the economic integration desired by the Treaty18. It follows that it is appropriate to assess the case in question as a potential infringement of community regulations, or of Article 102 of the TFEU.</w:t>
        <w:br/>
        <w:t>THEREFORE, CONSIDERING that the behaviors implemented by FS, through its subsidiaries RFI and Trenitalia, in the years 2015, 2016, and 2017, consisting of adopting a Group strategy aimed at unduly exploiting the legal monopoly held by RFI in the market for the management, maintenance, and enhancement of the railway infrastructure, in order to eliminate competition “for” the market in the offer of railway services of regional and local interest in the Veneto Region, appear to configure violations of Article 102 of the TFEU;</w:t>
        <w:br/>
        <w:t>18 See Commission Communication on “Guidelines on the notion of prejudice to trade between Member States under Articles 81 and 82 of the Treaty,” in OJCE C101/81 of April 27, 2004.</w:t>
      </w:r>
    </w:p>
    <w:p>
      <w:r>
        <w:rPr>
          <w:b/>
        </w:rPr>
        <w:t>[Pages 22–24]</w:t>
      </w:r>
    </w:p>
    <w:p>
      <w:r>
        <w:t>BULLETIN NO. 18 OF MAY 14, 2018</w:t>
        <w:br/>
        <w:t>RESOLUTION</w:t>
        <w:br/>
        <w:t>a) the initiation of the investigation pursuant to Article 14 of Law No. 287/90, against the companies Ferrovie dello Stato S.p.A., Rete Ferroviaria Italiana S.p.A., and Trenitalia S.p.A., to ascertain the existence of violations of Article 102 of the TFEU;</w:t>
        <w:br/>
        <w:t>b) the setting of a deadline of sixty days, starting from the date of notification of this provision, for the exercise by the legal representatives of the parties, or by a person delegated by them, of the right to be heard, specifying that the request for a hearing must be received by the Directorate for Agricultural, Pharmaceutical and Transport of this Authority at least fifteen days before the expiration of the aforementioned deadline;</w:t>
        <w:br/>
        <w:t>c) that the person responsible for the procedure is Dr. Caterina Scarsi;</w:t>
        <w:br/>
        <w:t>d) that the documents of the procedure can be viewed at the Directorate for Agricultural, Pharmaceutical and Transport of this Authority by the legal representatives of the parties or by a person delegated by them;</w:t>
        <w:br/>
        <w:t>e) that the deadline for closing the investigation is set for May 30, 2019.</w:t>
        <w:br/>
        <w:t>This provision will be notified to the interested parties and published in the Bulletin of the Competition and Market Authority.</w:t>
        <w:br/>
        <w:t>THE SECRETARY GENERAL THE PRESIDENT</w:t>
        <w:br/>
        <w:t>Roberto Chieppa Giovanni Pitruzzella</w:t>
      </w:r>
    </w:p>
    <w:p>
      <w:r>
        <w:t>BULLETIN NO. 18 OF MAY 14, 2018</w:t>
        <w:br/>
        <w:t>CONCENTRATION OPERATIONS</w:t>
        <w:br/>
        <w:t>C12139 - NOAH 2/MONDIAL PET DISTRIBUTION</w:t>
        <w:br/>
        <w:t>Provision No. 27148</w:t>
        <w:br/>
        <w:t>THE COMPETITION AND MARKET AUTHORITY</w:t>
        <w:br/>
        <w:t>IN ITS MEETING of April 24, 2018;</w:t>
        <w:br/>
        <w:t>HEARD the Rapporteur Professor Michele Ainis;</w:t>
        <w:br/>
        <w:t>HAVING REGARD TO Regulation (EC) No. 139/2004;</w:t>
        <w:br/>
        <w:t>HAVING REGARD TO Law No. 287 of October 10, 1990;</w:t>
        <w:br/>
        <w:t>HAVING REGARD TO the Presidential Decree No. 217 of April 30, 1998;</w:t>
        <w:br/>
        <w:t>HAVING REGARD TO the communication from NOAH 2 S.p.A., received on December 4, 2017;</w:t>
        <w:br/>
        <w:t>HAVING REGARD TO the request for information, with the related interruption of deadlines pursuant to Article 5, paragraph 3, of Presidential Decree No. 217/98, sent to NOAH 2 S.p.A. on December 22, 2017;</w:t>
        <w:br/>
        <w:t>HAVING REGARD TO the response to the aforementioned request for information, sent by NOAH 2 S.p.A. and received on January 17, 2018;</w:t>
        <w:br/>
        <w:t>HAVING REGARD TO the communications from NOAH 2 S.p.A. received on January 24 and January 30, 2018, with which the original communication was further supplemented;</w:t>
        <w:br/>
        <w:t>HAVING REGARD TO its resolution of February 14, 2018, with which an investigation was initiated, pursuant to Article 16, paragraph 4, of Law No. 287/90, against the companies NOAH 2 S.p.A. and MONDIAL PET DISTRIBUTION S.p.A.;</w:t>
        <w:br/>
        <w:t>HAVING REGARD TO its resolution of March 21, 2018, with which the deadline for concluding the procedure was extended to April 30, 2018;</w:t>
        <w:br/>
        <w:t>HAVING REGARD TO the request for participation in the procedure submitted on February 20, 2018, pursuant to Article 7, paragraph 1, letter b), of Presidential Decree No. 217/1998, by the association Codici ONLUS-Center for Citizen Rights;</w:t>
        <w:br/>
        <w:t>HAVING REGARD TO the communication sent on February 28, 2018, by the person responsible for the procedure to the aforementioned association, with which the request for participation was accepted;</w:t>
        <w:br/>
        <w:t>HAVING REGARD TO the communication of the investigative findings, sent to the Parties on April 12, 2018;</w:t>
        <w:br/>
        <w:t>HAVING REGARD TO the documentation on file;</w:t>
        <w:br/>
        <w:t>CONSIDERED the following:</w:t>
        <w:br/>
        <w:t>I. THE PARTIES</w:t>
        <w:br/>
        <w:t>1. NOAH 2 S.p.A. (hereinafter also Noha) is a company active, through Grifarmi S.p.A., in the retail distribution of products for the nutrition, care, hygiene, and entertainment of pets. It distributes both its own branded products (including Net and Expecial) and third-party branded products through a chain of over 200 specialized stores branded “Arcaplanet,” present in 15 Italian regions. The group has also recently acquired two small chains specialized in the same sector: Zoomarketshop and Country Shop, located respectively in Sardinia and in Piedmont (Turin and province).</w:t>
        <w:br/>
        <w:t>Noha is indirectly controlled by several funds of the Permira group, which are themselves indirectly controlled by Permira Holdings Limited, a private equity company operating under the laws of Guernsey. The Permira funds make long-term investments in companies active in a wide range of sectors and control a number of portfolio companies. None of these companies, however, are active in the production and/or marketing of pet products.</w:t>
        <w:br/>
        <w:t>The revenue generated by the Permira group in 2015, globally, was approximately [10-30] billion euros, of which [1-2] billion euros were generated in Italy.</w:t>
        <w:br/>
        <w:t>2. MONDIAL PET DISTRIBUTION S.p.A. (hereinafter also Mondial Pet) is a company active in the wholesale and retail marketing of products for the nutrition, care, hygiene, and entertainment of pets. It distributes its own branded products (including Fortesan, Specialistick Natursan, Nursan, and Dely Cat) and third-party branded products through a network of about 70 retail outlets, present in Liguria, Lombardy, and Piedmont.</w:t>
        <w:br/>
        <w:t>The share capital of Mondial Pet is currently held approximately 59% by individuals belonging to the Pautassi family, and 40% by WINCH INTERNATIONAL HOLDINGS S.A. and WINCH ITALIA SICAF S.p.A., belonging to the WINCH group.</w:t>
        <w:br/>
        <w:t>The revenue generated by Mondial Pet, almost entirely realized in Italy, was approximately [30-100] million euros in 2016.</w:t>
        <w:br/>
        <w:t>II. DESCRIPTION OF THE OPERATION</w:t>
        <w:br/>
        <w:t>3. The notified operation consists of the acquisition, by Noha, of exclusive control of Mondial Pet. The acquisition will be implemented through the execution of two separate contracts: the first involves, on one side, the companies of the WINCH group and, on the other, Noha, for the transfer to Noha, by the companies of the WINCH group, of the entire stake they hold in Mondial Pet; the second provides for the transfer to Noha of the shares held in Mondial Pet by members of the Pautassi family.</w:t>
        <w:br/>
        <w:t>4. The contract between the Parties also includes a non-compete agreement lasting five years, under which the transferring companies and the individuals who own them undertake not to engage in activities in competition with those carried out by the transferred company, also refraining from acquiring stakes in companies that engage in such activities, throughout the territory of Italy, the Republic of San Marino, the Vatican City, and Switzerland.</w:t>
      </w:r>
    </w:p>
    <w:p>
      <w:r>
        <w:rPr>
          <w:b/>
        </w:rPr>
        <w:t>[Pages 25–27]</w:t>
      </w:r>
    </w:p>
    <w:p>
      <w:r>
        <w:t xml:space="preserve">BULLETIN NO. 18 OF MAY 14, 2018 27  </w:t>
        <w:br/>
        <w:t xml:space="preserve">III. QUALIFICATION OF THE OPERATION  </w:t>
        <w:br/>
        <w:t xml:space="preserve">5. The communicated operation, as it involves a change in the control of a company, constitutes a concentration pursuant to Article 5, paragraph 1, letter b), of Law no. 287/90.  </w:t>
        <w:br/>
        <w:t xml:space="preserve">6. It falls within the scope of application of Law no. 287/90, as the conditions set out in Article 1 of Regulation no. 139/2004 do not apply, and is subject to the obligation of prior notification established by Article 16, paragraph 1, of the same law, as the total turnover achieved in the last financial year at the national level by the group of companies involved was over 492 million euros and as the total turnover achieved individually at the national level by at least two of the companies involved was over 30 million euros.  </w:t>
        <w:br/>
        <w:t xml:space="preserve">7. The non-compete agreement signed by the Parties and described in the previous paragraph can be considered directly related and necessary for the realization of the concentration operation in question, as it is functional to safeguarding the value of the acquired company, but only for a period of two years from the realization of the operation and only in the areas where the seller offered products or services prior to the transfer.  </w:t>
        <w:br/>
        <w:t xml:space="preserve">IV. INITIATION OF THE PROCEDURE AND INSTRUCTIONAL ACTIVITIES  </w:t>
        <w:br/>
        <w:t xml:space="preserve">8. On February 14, 2018, the Authority initiated an investigation, pursuant to Article 16, paragraph 4, of Law no. 287/90, against the companies NOAH 2 S.p.A. and MONDIAL PET DISTRIBUTION S.p.A., believing that the concentration operation in question could lead to the creation or strengthening of a dominant position in multiple local markets for the retail distribution of pet food and care items, such as to eliminate or substantially and durably reduce competition in the same markets.  </w:t>
        <w:br/>
        <w:t xml:space="preserve">9. During the investigation, requests for information were sent, in addition to the Parties on February 16, 2018, to the main operators of the GDO (Coop Italia, Conad, Eurospin, Esselunga, Selex, Carrefour, Auchan, and the Iper chain of Montebello), to certain chains of stores specialized in the sale of pet products (Maxi Zoo Italia, Alta fedeltà-Zoo Megastore, D.M.O. Pet Care, and Alleanza 3.0), to the main pet food manufacturing companies (Morando, Royal Canin, Monge, 2G Pet food, Conagit, Nestlé, and Camon), as well as to an operator active in the online sale of such products (Zooplus). The requests for information were mainly aimed at acquiring useful knowledge elements to assess the degree of competitive pressure exerted by the GDO channel on the specialized pet product retail chains, as well as to acquire information regarding the evolving trends of the relevant market. All contacted operators responded to the requests sent.  </w:t>
        <w:br/>
        <w:t xml:space="preserve">10. With reference to the request for information of February 2018, the Parties initially submitted a request for an extension of the deadline and subsequently communicated the impossibility of providing the complete documentation before March 22, 2018.  </w:t>
        <w:br/>
        <w:t xml:space="preserve">11. Acknowledging the Parties' communicated impossibility to transmit all requested information necessary for the evaluation of the case within the established deadlines, the Authority, on March 21, 2018, decided to extend the deadline for concluding the procedure, pursuant to Article 16, paragraph 8, of Law 287/1990, to April 30, 2018.  </w:t>
        <w:br/>
        <w:t xml:space="preserve">12. The data necessary for calculating market shares in the various affected local markets (so-called "isochrones") were provided by the Parties in several batches on March 19, 27, 28, and 30, 2018. The last supplements to such data were received on April 3, 6, 9, and 10, 2018.  </w:t>
        <w:br/>
        <w:t xml:space="preserve">13. On February 28, 2018, the request for participation in the procedure by the association Codici ONLUS-Centro per i diritti del cittadino, submitted on February 20, 2018, was accepted.  </w:t>
        <w:br/>
        <w:t xml:space="preserve">14. On March 2, 2018, in order to acquire information regarding the characteristics and turnover of independent retail outlets specialized in the sale of pet products, the Guardia di Finanza-Nucleo Speciale Antitrust was asked to administer a questionnaire to all non-chain retail outlets present in the local markets where, according to the information initially provided by the Parties, the operation produced the main effects, particularly in the isochrones built around the three Fortesan-branded retail outlets located, respectively, in San Salvatore in Cogorno (GE), Pianezza (TO), and Verbania. On March 14, 2018, the Guardia di Finanza-Nucleo Speciale Antitrust forwarded the requested documentation.  </w:t>
        <w:br/>
        <w:t xml:space="preserve">15. On April 3, 2018, the company Centro Statistica Aziendale S.r.l. (CSA) sent the final results of a survey conducted on behalf of the Authority on a sample of 1,036 buyers of products for the nutrition, hygiene, entertainment, and care of pets. The survey period was from March 16 to 21, 2018.  </w:t>
        <w:br/>
        <w:t xml:space="preserve">16. Both the Parties Noah2 and Mondial Pet were heard in a hearing on April 4, 2018, as well as the companies Maxi Zoo Italia on March 7, 2018, and Nestlé Italiana on March 9, 2018.  </w:t>
        <w:br/>
        <w:t xml:space="preserve">17. The Parties accessed the documents of the procedure on March 29, 2018, April 3, and April 9, 2018.  </w:t>
        <w:br/>
        <w:t xml:space="preserve">5.1 Premise  </w:t>
        <w:br/>
        <w:t xml:space="preserve">18. In the decision to initiate the investigation, in line with national and community precedents, as well as considering the activities carried out by the Parties, the following markets affected by the operation were identified: i) the retail distribution of pet food and care items (hereinafter also pet products or petcare); ii) the procurement of pet food and care items.  </w:t>
        <w:br/>
        <w:t xml:space="preserve">19. As noted at the outset, the concentration operation in question was not considered suitable to create or strengthen a dominant position in the markets for the procurement of PET products.  </w:t>
        <w:br/>
        <w:t xml:space="preserve">20. The investigation, therefore, was conducted only with regard to the local markets for the retail distribution of pet food and care items, for which the information available at the time of initiation was not sufficient to accurately delineate the boundaries from a product perspective: in particular, while the two specialized channels, namely traditional pet shops and chains, could certainly be considered part of the same relevant market, there was insufficient information to assess the substitutability of specialized retail outlets with grocery sector retail outlets (Large Organized Distribution), which dedicate a limited space to the sale of pet items and offer a significantly lower range in terms of breadth and depth compared to that of specialized retail outlets.  </w:t>
        <w:br/>
        <w:t xml:space="preserve">21. In the event of defining the market limited to the specialized sales channel, it was initially believed that the operation could be suitable to create or strengthen a dominant position of the Party in 3 local markets, without excluding that, following further investigations to be carried out regarding the actual turnover developed by competing retail outlets located in the catchment areas of the Parties' retail outlets, the local areas likely to raise competitive concerns, and the shares held by the Parties in such areas, could partially change.  </w:t>
        <w:br/>
        <w:t xml:space="preserve">5.2 Characteristics of the affected sector  </w:t>
        <w:br/>
        <w:t xml:space="preserve">22. According to an estimate provided by the Party, total sales in Italy of pet food and care products were approximately 2.7 billion euros in 2016, of which nearly 3/4 (1.97 billion euros) related to the sale of products for the nutrition of dogs and cats.  </w:t>
        <w:br/>
        <w:t>23. In the sector of distribution of pet products, various categories of operators are active, differing in relation to the breadth and depth of the assortment, price positioning, and the number and quality of services offered to consumers: i) large specialized retail outlets organized in chains, such as those managed by the Parties, which channel about 15% of national sales in value; ii) independent specialized operators, with a national share of 36%; iii) retail outlets of large organized distribution (GDO), with a share of approximately 46% at the national level; iv) online operators, with a share of about 3%. There are also, albeit to a marginal extent, other types of operators specialized in different product categories, such as gardening, home hygiene, etc.</w:t>
      </w:r>
    </w:p>
    <w:p>
      <w:r>
        <w:rPr>
          <w:b/>
        </w:rPr>
        <w:t>[Pages 28–30]</w:t>
      </w:r>
    </w:p>
    <w:p>
      <w:r>
        <w:t>BULLETIN NO. 18 OF MAY 14, 2018</w:t>
      </w:r>
    </w:p>
    <w:p>
      <w:r>
        <w:t>24. The independent pet shop channel can, in turn, be divided into two categories, although the boundary is not always clearly delineated: the small traditional retail outlets (so-called "Mom &amp; Pops"), which generally have a sales area of less than 200 square meters and are family-run, and the large self-service retail outlets which, although not organized in chains, can in all respects be assimilated, in terms of size and type of service offered, to the stores in the large specialized retail channel.</w:t>
      </w:r>
    </w:p>
    <w:p>
      <w:r>
        <w:t>25. All the different types of retail outlets described have an assortment that extends to various categories of products for the nutrition and care of pets. However, the average number of references held in assortment by pet shops (specialized chains and traditional specialized retail outlets) is extremely different compared to those that are part of the average assortment of a GDO retail outlet (hereinafter also PdV) and, within that channel, between the number of references of a hypermarket and that of a supermarket or discount store.</w:t>
      </w:r>
    </w:p>
    <w:p>
      <w:r>
        <w:t>26. Pet shops, in particular, as specialized channels, offer a much wider and deeper assortment compared to that of the GDO, including niche products aimed at meeting specific nutritional and care needs of animals (dietary, for animals suffering from diseases, etc.). Pet shops are also more specialized in the premium product range, which has a higher unit value, unlike the GDO, which is predominantly oriented towards the economy and medium price range, with an offer primarily aimed at ensuring greater convenience, in terms of cost and speed of purchase.</w:t>
      </w:r>
    </w:p>
    <w:p>
      <w:r>
        <w:t>27. Furthermore, the offer of many specialized retail outlets, and especially that of traditional pet shops ("Mom &amp; Pops"), is not limited to the sale of pet articles, often extending to the sale of live animals and, almost always, to the provision of additional services related to the care and management of the animal (grooming, dog/cat sitting, home delivery, boarding, nutritional consulting, choice of veterinarian, etc.).</w:t>
      </w:r>
    </w:p>
    <w:p>
      <w:r>
        <w:t>28. Another element of differentiation between the various channels is given by the presence and relative quality of the sales assistance service offered to the consumer. In this regard, in particular, the traditional pet shop is the channel where the trust relationship of the customer with the retail outlet is most significant: in most cases, in fact, it is the shop owner who provides a qualified sales assistance service, interfacing directly with the end consumer.</w:t>
      </w:r>
    </w:p>
    <w:p>
      <w:r>
        <w:t>5.3 The ongoing evolutionary trends</w:t>
      </w:r>
    </w:p>
    <w:p>
      <w:r>
        <w:t>29. The sector of the sale of articles for the nutrition and care of pets shows a marked growth trend (+2.7% in the last year), higher than that of the overall packaged consumer goods.</w:t>
      </w:r>
    </w:p>
    <w:p>
      <w:r>
        <w:t>30. Based on the surveys conducted by IRI, the development trend of the various categories of retail outlets is extremely differentiated: the channel of specialized chains, in particular, is the one that shows the most significant increase, with double-digit growth dynamics in recent years (+12% in the last year, both in value and in volume). Pet shop chains, in fact, manage to combine the advantages of price convenience, typical of the GDO, with the advantages of high specialization (greater breadth and depth of assortment, provision of services, qualified sales assistance, etc.), typical of traditional retail outlets. The latter, in particular, have shown a slight decrease in sales volume (-1.1% in the last year) and a slight increase in value (+1.8% in the last year). The GDO, finally, has also recorded a slight overall growth in recent years (about 1% in the last year), resulting from a strongly differentiated trend among the various formats (supermarkets and discount stores are growing, while hypermarkets are decreasing).</w:t>
      </w:r>
    </w:p>
    <w:p>
      <w:r>
        <w:t>31. The marked dynamism of the market is confirmed by the fact that several GDO operators, aware of the development potential of the specialized chain formula, have entered the sector, opening chains of retail outlets exclusively dedicated to pet products, characterized by a specific brand. From the information gathered, it also appears that some of these chains plan to expand their presence in the sector in the coming years. Other GDO operators, on the other hand, have chosen to compete with the large specialized chains by extending their pet offer within existing stores, creating, in their larger retail outlets, a sort of "shop in shop" or dedicating more space to the specialized department. It therefore seems likely that, over the next few years, the competitive pressure exerted on pet shops by hypermarkets will intensify.</w:t>
      </w:r>
    </w:p>
    <w:p>
      <w:r>
        <w:t>32. The investigative findings, on the other hand, highlight a trend towards a reduction in the weight of "Mom &amp; Pops" in the sales of pet articles. These retail outlets, in fact, are strongly affected by the growth of large chains that, on the one hand, increasingly seek to ensure the presence in-store of qualified personnel with specific sector expertise (a characteristic that was the strong point of traditional pet shops), and on the other hand, manage to exploit managerial economies of scale, especially in product purchases, which small retail outlets cannot achieve. In particular, based on interviews conducted by the Guardia di Finanza with a sample of traditional stores in some local markets affected by concentration, it emerges that some traditional retail outlets report a significant loss of revenue precisely following the opening, in their area, of specialized stores belonging to large chains. A portion of traditional retail outlets is therefore trying to respond to the competitive pressure of the chains by primarily focusing their offer on grooming and animal care services.</w:t>
      </w:r>
    </w:p>
    <w:p>
      <w:r>
        <w:t>33. More generally, it appears that the expansion of the pet shop chain formula is largely occurring at the expense of small independent retail outlets, despite the "resilience" demonstrated by this type of store.</w:t>
      </w:r>
    </w:p>
    <w:p>
      <w:r>
        <w:t>34. Finally, the investigative findings confirm what the Parties stated regarding the marked growth trend characterizing online sales, to the extent that the specialized chains, including those managed by the Parties, have equipped themselves with e-commerce sites.</w:t>
      </w:r>
    </w:p>
    <w:p>
      <w:r>
        <w:t>5.4 Relevant markets</w:t>
      </w:r>
    </w:p>
    <w:p>
      <w:r>
        <w:t>i. Product markets</w:t>
      </w:r>
    </w:p>
    <w:p>
      <w:r>
        <w:t>35. In the context of the investigation, for the purpose of identifying the relevant market from a product perspective, numerous elements were acquired to assess the degree of substitutability for the consumer of the different sales channels described.</w:t>
      </w:r>
    </w:p>
    <w:p>
      <w:r>
        <w:t>36. In this regard, the investigative findings first confirmed that traditional pet shops and chains can be considered part of the same relevant market, despite the differences they present in the level of service offered and the average price positioning. However, it emerged that the generally higher price positioning of traditional pet shops compared to that of the chains depends not only on a greater incidence in the assortment of "premium" and specialized products but also and above all on the objective difficulty for retail outlets in this channel to compete on price with pet shop chains. This means that, although the consumer perceives the two channels as substantially substitutable, the competitive pressure exerted by the so-called "Mom &amp; Pops" on large retail outlets organized in chains is rather weak.</w:t>
      </w:r>
    </w:p>
    <w:p>
      <w:r>
        <w:t>37. The information gathered in the investigation, on the other hand, highlights the existence of rather limited substitutability for the consumer between pet shops and GDO chains. Within this channel, in particular, only the hypermarket segment (retail outlets with areas equal to or greater than 2,500 square meters) seems to exert some competitive pressure on specialized surfaces entirely dedicated to pet products, to an extent, however, insufficient to consider the two types of channel as part of the same relevant market.</w:t>
      </w:r>
    </w:p>
    <w:p>
      <w:r>
        <w:t>38. In particular, from the survey conducted on consumers by CSA on behalf of the Authority, the following emerged:</w:t>
        <w:br/>
        <w:t>- over 70% of consumers who source from both sales channels (GDO and pet shops) use the two types of outlets complementarily (and not alternatively), purchasing from pet shops products or references that are not available at the GDO or, in any case, using pet shops to supplement purchases made at the GDO;</w:t>
        <w:br/>
        <w:t>- the criteria that guide consumers in choosing their usual retail outlet differ depending on the chosen channel: for example, among consumers who regularly purchase from specialized stores, the percentage of those who select that retail outlet based on the assortment and quality of the products sold is higher, while among the reasons for choice of consumers who regularly turn to the GDO, proximity and the possibility of combining purchases with food shopping prevail.</w:t>
      </w:r>
    </w:p>
    <w:p>
      <w:r>
        <w:t>39. The survey also allowed for a true SSNIP test, based on the statements of the interviewed consumers regarding their reaction to a hypothetical 10% price increase on products offered by all pet shops in their area (chains and traditional).</w:t>
      </w:r>
    </w:p>
    <w:p>
      <w:r>
        <w:t>20 The data actually refers to the independent pet shop channel, which also includes small chains: IRI includes in the specialized chain channel only pet shop chains with more than 6 retail outlets, while including smaller chains within independent pet shops, along with traditional retail outlets.</w:t>
      </w:r>
    </w:p>
    <w:p>
      <w:r>
        <w:t>21 See docs. 60.1, 60.2, and 60.3.</w:t>
      </w:r>
    </w:p>
    <w:p>
      <w:r>
        <w:t>22 See, among others, doc. 58.</w:t>
      </w:r>
    </w:p>
    <w:p>
      <w:r>
        <w:t>23 See doc. no. 85.</w:t>
      </w:r>
    </w:p>
    <w:p>
      <w:r>
        <w:rPr>
          <w:b/>
        </w:rPr>
        <w:t>[Pages 31–33]</w:t>
      </w:r>
    </w:p>
    <w:p>
      <w:r>
        <w:t>BULLETIN NO. 18 OF MAY 14, 2018 33</w:t>
        <w:br/>
        <w:t>In particular, consumers were asked to indicate, first, whether their reaction would be to turn to another type of retail outlet for at least part of their purchases and, secondly, those who responded affirmatively were asked to specify which type of retail outlet they would turn to as an alternative, indicating the portion of spending they would redirect26.</w:t>
        <w:br/>
        <w:t>40. The outcome of the survey highlighted that, in the event of a 10% increase in prices charged by pet shops, the percentage of spending that would be redirected to other channels would be less than 20% (19.5%), thus making the price increase profitable for a hypothetical monopolist with a margin of less than 41%27.</w:t>
        <w:br/>
        <w:t>41. Among the alternative channels to which spending would be redirected in the presence of a 10% price increase in the specialized channel, the first choice was found to be hypermarkets, which would receive about half (48%) of the spending redirected to retail outlets other than pet shops (equivalent to 9.4% of total spending), while the second choice in order of importance was the online channel, which would absorb about 40% of the redirected spending (equivalent to 7.7% of total spending).</w:t>
        <w:br/>
        <w:t>42. The investigation indicates, therefore, that, for absolutely realistic margin values, a market consisting of large specialized chains and traditional pet shops is correctly defined from a merchandise perspective; the investigation also indicates that the type of store closest to specialized retail outlets, in consumer preferences, is represented by the hypermarket segment.</w:t>
        <w:br/>
        <w:t>43. Numerous other elements have also been acquired in the proceedings that support the exclusion of the GDO from the relevant market for this operation. In particular, all responses received from GDO operators and competing pet shop chains of the Parties confirmed a substantial difference in the type of assortment of the GDO compared to that of pet shops, which significantly limits its substitutability for consumers. More specifically, the assortment of the GDO appears to be more oriented towards "economy" products aimed at basic needs28, while that of specialized stores extends to dietary, functional, and para-pharmaceutical products; it has greater breadth and depth in the accessories segment and in the premium and super premium ranges; it is complemented by a qualified sales assistance service and, in many cases, by the offering of live animals and/or additional consulting, grooming services, etc.29.</w:t>
        <w:br/>
        <w:t>44. In relation to the type of assortment of the two channels, it is also worth noting that a very large part of the revenue of pet shop chains is generated from references that are not part of the GDO assortment. This percentage has been estimated: to be over 80% by a major competing pet shop chain of the Parties (including private labels); to be about 70%, with reference to dog and cat food only, by one of the leading operators in the supply of such products; and to be 50% by another competing chain30.</w:t>
        <w:br/>
        <w:t>45. On the other hand, the same suppliers of pet products have confirmed the existence of product lines intended exclusively for the specialized channel, which are not supplied to the GDO31: these are products that "both due to their low turnover and their positioning in a premium range, are more suited to being distributed in specialized retail outlets equipped with adequate sales assistance, rather than in self-service retail outlets"32.</w:t>
        <w:br/>
        <w:t>46. Finally, it is significant that some of the GDO chains that have entered the pet shop sector by opening specialized stores (inter alia COOP) still maintain the assortment of pet products within their hypermarkets, believing that consumers and consumption occasions in the two channels overlap to a very limited extent33.</w:t>
        <w:br/>
        <w:t>47. As for the online purchasing channel, the information collected, also with reference to the results of the CSA survey (cfr. supra, § 41), seems to indicate, at present, a less significant role as a possible substitute for the specialized channel, also considering the still limited diffusion of this purchasing system among consumers and the specific modes of access and use that it presents.</w:t>
        <w:br/>
        <w:t>ii. The geographic markets</w:t>
        <w:br/>
        <w:t>48. During the investigation, an additional analysis of the geographic dimension of the relevant local markets was conducted, aimed at identifying the actual catchment area of the retail outlets subject to acquisition. In this regard, the investigative findings confirmed that, in accordance with the established national and community orientation regarding retail distribution sectors, the geographic dimension of the relevant market must be considered local and substantially coinciding with the areas located around the Parties' retail outlets and accessible within a 20-minute drive (so-called isochrones). In particular, the width of the catchment areas was identified, following the practice of other national competition authorities, with reference to the travel time of 80% of customers34: in fact, based on the results of the survey conducted by CSA, it appears that, among consumers who regularly use a pet shop for their purchases of pet products, over 80% select it within an isochrone with a travel radius of 20 minutes from their home or workplace.</w:t>
        <w:br/>
        <w:t>49. More specifically, the travel time varies depending on the type of retail outlet regularly chosen, as indicated in the following Table No. 1.</w:t>
        <w:br/>
        <w:t>Table No. 1: travel times for purchasing pet care products</w:t>
        <w:br/>
        <w:t>Travel time</w:t>
        <w:br/>
        <w:t>REGULAR RETAIL OUTLET</w:t>
        <w:br/>
        <w:t>10-20 TOTAL&lt;20</w:t>
        <w:br/>
        <w:t>Total &lt;10 minutes</w:t>
        <w:br/>
        <w:t>minutes minutes</w:t>
        <w:br/>
        <w:t>respondents</w:t>
        <w:br/>
        <w:t>Specialized chain 228 45% 37% 82%</w:t>
        <w:br/>
        <w:t>Small specialized 126 60% 32% 91%</w:t>
        <w:br/>
        <w:t>Hypermarket 135 57% 38% 95%</w:t>
        <w:br/>
        <w:t>Super/discount 64 72% 25% 97%</w:t>
        <w:br/>
        <w:t>Source: Survey conducted by CSA</w:t>
        <w:br/>
        <w:t>50. The table also shows that, to reach their regular retail outlet, less than 50% of consumers using specialized chains take less than 10 minutes (45%), unlike what happens for both GDO retail outlets and small specialized retail outlets, which are selected within 10 minutes' distance by about 60% of consumers.</w:t>
        <w:br/>
        <w:t>5.5 Identification of competing retail outlets within each isochrone</w:t>
        <w:br/>
        <w:t>51. Within the investigations carried out, particular attention was paid to identifying the retail outlets to be included in the various isochrones, as the data provided by the Party repeatedly (most recently with submissions on March 30, April 3, 9, and 10, 2018) proved to be affected by numerous inaccuracies.</w:t>
        <w:br/>
        <w:t>52. The dataset of competitors used for the assessment was therefore subject to numerous revisions during the investigation (adding new retail outlets and removing closed outlets, those too distant, or with a particularly limited offering of pet products). In some cases, lacking precise data on the characteristics of the individual commercial establishment, it was deemed appropriate to adopt the most favorable approach to the Party: thus, the list of competing Mom &amp; Pops also included some retail outlets apparently specialized in only one merchandise category (e.g., cat products, bulk fresh food for dogs and cats, etc.).</w:t>
        <w:br/>
        <w:t>5.6 Estimation of the revenue of competing retail outlets</w:t>
        <w:br/>
        <w:t>53. Considering the number of isochrones affected by the operation and the retail outlets present in each of them, as well as the absence of official data sources, the revenue of individual competing retail outlets of the Parties in the various local markets was also attributed through an estimation procedure.</w:t>
      </w:r>
    </w:p>
    <w:p>
      <w:r>
        <w:rPr>
          <w:b/>
        </w:rPr>
        <w:t>[Pages 34–36]</w:t>
      </w:r>
    </w:p>
    <w:p>
      <w:r>
        <w:t>36 BULLETIN NO. 18 OF MAY 14, 2018</w:t>
        <w:br/>
        <w:t>54. In particular, during the investigation, information useful for estimating the average turnover of the respective retail outlets was requested from both the large-scale distribution (GDO) chains and the main pet shop chains. Furthermore, with reference to the 3 isochrones for which the Parties had provided specific data prior to the start of the investigation and to the retail outlets initially included in those isochrones, a specific field survey was commissioned, conducted by the Special Unit of the Guardia di Finanza, aimed at detecting the turnover of all independent specialized stores included by the Parties in the isochrones of Pianezza, San Salvatore a Cogorno, and Verbania. During the survey, information was also requested from the individual retail outlets regarding the breadth and composition of the assortment and the presence of additional services (such as pet grooming, veterinary consulting, etc.).</w:t>
      </w:r>
    </w:p>
    <w:p>
      <w:r>
        <w:t>55. The results of the surveys conducted by the Guardia di Finanza on 29 independent retail outlets (of which 4 were excluded as marginal or specialized solely in the provision of services) led to an estimated average turnover of approximately 191 thousand euros/year in the three isochrones subject to the survey. This average, however, represents a synthesis of values that are strongly differentiated internally, exceeding 300 thousand euros in only 3 cases and being below 100 thousand euros in as many as 14 cases. This demonstrates that the category of independent pet shops includes retail outlets of two clearly differentiated types: the Mom &amp; Pops and other pet shops that, although not organized in large chains, are substantially comparable, in terms of size and type of offering, to those organized in chains.</w:t>
      </w:r>
    </w:p>
    <w:p>
      <w:r>
        <w:t>56. The Party argued, during the investigation, that the use of the average data estimated based on the surveys of the Guardia di Finanza would not reflect the actual situation of independent retail outlets as it is based on certain geographical areas with specific characteristics (areas that are not particularly urbanized and have a low population density), where the turnover of pet care stores would be on average lower than that of similar retail outlets located in other areas of the Northwest, where the operation also produces its effects. The Party therefore provided its own estimate of the average turnover of independent retail outlets, based on data collected by IRI relating to the specific geographical area affected by the operation (the Northwest), adjusted to account for the percentage of sales related to pet accessories (not captured by IRI). This estimate amounts to 272 thousand euros/year per retail outlet. The Party also provided specific data, derived from financial statements, regarding some retail outlets for which such documents are available.</w:t>
      </w:r>
    </w:p>
    <w:p>
      <w:r>
        <w:t>57. The Party's estimate of the average turnover of independent retail outlets throughout the Northwest of the Country was deemed more reliable than that relating to only three isochrones, as it is based on a higher number of observations and on a geographical area that includes all 30 isochrones affected by the operation. In the CRI sent to the Parties, therefore, the calculation of the market shares of the Parties was made using, for independent pet shops, the average turnover value estimated by IRI.</w:t>
      </w:r>
    </w:p>
    <w:p>
      <w:r>
        <w:t>58. In this regard, it should be noted that, contrary to what was proposed by the Party, it was not deemed appropriate to integrate the average turnover data from IRI with the specific data for the retail outlets that prepare financial statements: it was observed that, in this sector, the average turnover already represents a synthesis of very low turnover values, relating to the vast majority of retail outlets, and turnover values comparable to those of large chain retail outlets, relating to a narrow minority of retail outlets. Therefore, the simultaneous use of financial data (available only for a limited number of retail outlets, which are presumably also the largest and/or organized in small chains) and average values would lead to a significant overestimation of the weight of independent pet shops competing with Arcaplanet and Fortesan.</w:t>
      </w:r>
    </w:p>
    <w:p>
      <w:r>
        <w:t>59. The estimate of the market share of the Parties in the affected isochrones was therefore made by attributing an average turnover of 272 thousand euros to all independent specialized retail outlets.</w:t>
      </w:r>
    </w:p>
    <w:p>
      <w:r>
        <w:t>60. Also for the average turnovers to be attributed to the pet department of hypermarkets, the Parties provided the average turnover estimated by IRI, amounting to 568 thousand euros. Since this average value proved consistent with the information provided by the individual distribution chains, it was deemed appropriate to apply the average turnover estimated by IRI to the pet department of hypermarkets present in the various isochrones.</w:t>
      </w:r>
    </w:p>
    <w:p>
      <w:r>
        <w:t>61. With reference to its retail outlets, the Party instead provided the actual turnover data. For the retail outlets of competing chains, estimates were made on a case-by-case basis, also based on data derived from financial statements and IRI data.</w:t>
      </w:r>
    </w:p>
    <w:p>
      <w:r>
        <w:t>62. In summary, in light of the above, the estimate of the market shares held by the Parties in the various isochrones was made by attributing the following turnovers to the different types of retail outlets:</w:t>
        <w:br/>
        <w:t>- retail outlets of the Parties: value provided by the Parties themselves;</w:t>
        <w:br/>
        <w:t>- retail outlets of competing chains: estimated turnover based on information provided directly by the chains, supplemented with financial data or, in the absence of both pieces of information, with the average value estimated by IRI, amounting to 972 thousand euros;</w:t>
        <w:br/>
        <w:t>- independent retail outlets: average sector turnover estimated by IRI, amounting to 272 thousand euros;</w:t>
        <w:br/>
        <w:t>- pet departments of hypermarkets: average turnover estimated by IRI, amounting to 568 thousand euros.</w:t>
      </w:r>
    </w:p>
    <w:p>
      <w:r>
        <w:t>VI. THE ARGUMENTS OF THE PARTY</w:t>
        <w:br/>
        <w:t>On the product market</w:t>
        <w:br/>
        <w:t>63. The Party strongly contested, in its submissions, a definition of the relevant market confined solely to specialized retail outlets. In its view, the exclusion of GDO retail outlets from the competitive analysis of the operation, in particular, would risk compromising the reliability and correctness of the analysis, preventing consideration of operators capable of exerting significant competitive pressure on the Parties involved in the concentration under examination.</w:t>
      </w:r>
    </w:p>
    <w:p>
      <w:r>
        <w:t>64. In this regard, Noah2 first argued the existence of a complete overlap between the assortment of the GDO and that of the pet shop chains: in particular, considering products with the same brand and belonging to the same product category as equal, the Party estimated that, regarding Arcaplanet and Fortesan, a percentage greater than [70-80%] of the turnover derives from the sale of brands also available at the GDO.</w:t>
      </w:r>
    </w:p>
    <w:p>
      <w:r>
        <w:t>65. Secondly, the Party presented a detailed study on the pet care sector prepared by the consulting firm Long Term Partners ("LTP study"), from which it would emerge the existence of a wide overlap between specialized chains and the GDO (with particular reference to hypermarkets and large supermarkets) also in terms of suitability to meet consumer preferences. In particular, from the demand perspective, the Party's study would demonstrate a wide permeability among all the different channels (chains, GDO, independents, and online), given that consumers would typically use two of them and that, more specifically, [50-60%] of pet shop customers would also shop at GDO retail outlets: this would demonstrate, according to the Party, that the GDO is the most natural alternative to the specialized channel. From the supply perspective, moreover, the LTP study would reveal: a complete overlap of the offerings of the two channels with respect to the main product categories of food (which constitute [70-80%] of the total sales of pet care products); an overlap of about [30-40%] of the total regarding the total number of references present in the two channels, equivalent, however, to about [50-60%] of sales, both in volume and value.</w:t>
      </w:r>
    </w:p>
    <w:p>
      <w:r>
        <w:t>66. The need to extend the relevant market to include GDO retail outlets was also argued by the Party in light of the fact that the GDO is gradually expanding into the distribution of PET products, both by increasing the number of references within its retail outlets, thereby expanding the areas dedicated to animals (such as Esselunga), and by opening specialized pet shops in addition to its grocery stores (e.g., COOP with "Amici di casa COOP" and Conad with "Petstore Conad").</w:t>
      </w:r>
    </w:p>
    <w:p>
      <w:r>
        <w:t>67. Finally, on April 19, 2018, the Party submitted a specific memorandum aimed at refuting the market definition used in the CRI, where the role and position of the Large-Scale Distribution ("GDO") would have been relegated to a mere element of external competitive pressure to the relevant market, qualifying this channel only as an actor in a "hypothetical broader relevant market." It was reiterated, on the contrary, that the GDO channel, at least with reference to retail outlets with a surface area greater than 1500 square meters, represents an important competitor of specialized chains and should therefore fully fall within the scope of the relevant market for the Operation.</w:t>
      </w:r>
    </w:p>
    <w:p>
      <w:r>
        <w:t>68. Again with reference to the product definition of the market, the Party argued that the online store channel, consisting of the "quintessential" specialized retail outlets, should also be included in the relevant market: online stores would indeed ensure the highest level of completeness and variety of offerings, even with respect to products reserved for particularly specific consumption needs, and aimed at a circumscribed target. This is also due to the high organizational flexibility of such retail outlets, due, among other things, to the absence of physical limits on the space to be allocated for storage.</w:t>
      </w:r>
    </w:p>
    <w:p>
      <w:r>
        <w:rPr>
          <w:b/>
        </w:rPr>
        <w:t>[Pages 37–39]</w:t>
      </w:r>
    </w:p>
    <w:p>
      <w:r>
        <w:t>BULLETIN NO. 18 OF MAY 14, 2018 39</w:t>
        <w:br/>
        <w:t>to the display. Moreover, since 2013, the operator Zooplus has also entered the Italian market, operating exclusively through the online channel, with a very wide assortment of products including private labels and the possibility of purchasing products from abroad, obtaining more favorable purchase prices41.</w:t>
        <w:br/>
        <w:t>69. The Party also emphasized the strong expansion potential of the online channel, which grew by 42% in 2017 and is expected to double its revenue within the next three years, so much so that the specialized chains themselves, including Arcaplanet and Fortesan, have implemented e-commerce sites, in addition to physical retail outlets42.</w:t>
        <w:br/>
        <w:t>On the absence of barriers to entry and the dynamism of the market</w:t>
        <w:br/>
        <w:t>70. During the investigation, the Party has repeatedly highlighted the high growth potential of the pet care sector. In particular, all the main players in the distribution chain are investing significant resources in the sector and in particular: i) the operators of large-scale distribution (GDO), on one hand, are progressively increasing the number of references in the "pet" segment within supermarkets and hypermarkets, and on the other hand, are developing dedicated and specific concepts, including through the opening of actual pet shops; ii) the rate of new openings by specialized operators continues to be very rapid (in the last two years, nearly 200 new openings have been recorded); iii) online operators are particularly aggressive competitors and exponentially increase their sales43.</w:t>
        <w:br/>
        <w:t>71. This dynamism is particularly pronounced also due to the substantial absence of barriers to entry in the sector.</w:t>
        <w:br/>
        <w:t>VII. EVALUATION OF THE OPERATION</w:t>
        <w:br/>
        <w:t>7.1 The relevant market</w:t>
        <w:br/>
        <w:t>72. Based on the investigative findings, the channel of specialized stores, including both pet shop chains and independent specialized stores, appears to be a market correctly defined from a product perspective. It therefore constitutes the relevant product market for the evaluation of this operation (see supra §§ 35-47).</w:t>
        <w:br/>
        <w:t>73. In this regard, the arguments put forth by the Party claiming the existence, at present, of complete substitutability between pet shops and GDO retail outlets do not appear fully justifiable for a number of reasons:</w:t>
        <w:br/>
        <w:t>i) the fact that many consumers use both sales channels does not in itself demonstrate substitutability, since, as also emerged from the survey commissioned by the Authority, the consumer who uses both sales channels does so in a complementary manner, making their purchases in one or the other channel for different needs and/or occasions of consumption;</w:t>
        <w:br/>
        <w:t>ii) the documents on file demonstrate the substantial difference in the type, breadth, and depth of the assortments of the two channels, as well as in the number and quality of additional services offered; even from the LTP study submitted by the Party (see supra, § 65), it appears that the overlap of assortments between the two channels concerns only [30-40%] of the references44;</w:t>
        <w:br/>
        <w:t>iii) the fact that some GDO chains are opening actual pet shops to respond to the growing demand for pet care products does not prove the GDO's belonging to the same relevant market, since the new pet shops would, in all respects, fall under the category of specialized retail outlets.</w:t>
        <w:br/>
        <w:t>74. In any case, due to the rapid and marked evolutionary trends currently taking place in this market, the effects of the operation will also be evaluated taking into account the GDO's adaptation process to the rapid evolution of PET product demand. In fact, as highlighted by the Party, some GDO chains have plans to strengthen (in terms of offered references and dedicated space) the pet departments of their hypermarkets. Therefore, it cannot be excluded that the described evolution may lead, in the short term, to greater substitutability of these departments with pet shops for consumers, and this will be taken into account in the evaluation of the present operation.</w:t>
        <w:br/>
        <w:t>75. Regarding the Parties' arguments concerning the need to also include the online channel in the evaluation, it is noted that: on one hand, the investigative findings have highlighted an even less significant role of the GDO as a possible substitute for the specialized channel (see supra, § 41); on the other hand, the inclusion of this channel in the evaluation of the operation does not significantly alter it, since it still represents a limited percentage of sales and, in any case, both the Parties and other pet shop chains are present in this channel.</w:t>
        <w:br/>
        <w:t>7.2 The effects of the operation</w:t>
        <w:br/>
        <w:t>i. The effects at the national level</w:t>
        <w:br/>
        <w:t>76. Arcaplanet represents, at the national level, the leading chain specialized in the sale of pet products, with a turnover of approximately [100-495] million euros and a national share of about [40-45%] in the specialized chain segment alone45. The second and third operators, Isola dei Tesori and Maxizoo, have national shares of approximately [15-20%] and [15-20%], respectively. With the acquisition of the Fortesan chain, which holds a national share of approximately [10-15%], the new operator would reach, in the specialized chain sales segment alone, a share slightly above [50-55%].</w:t>
        <w:br/>
        <w:t>Within the entire sector of distribution of pet products through specialized stores (including both large surface chains and traditional pet shops), the new operator's share would reach a national value of approximately [15-20%].</w:t>
        <w:br/>
        <w:t>ii. The effects at the local level</w:t>
        <w:br/>
        <w:t>77. The operation concerns a portion of territory located in the Northwest of the Country and, more precisely, certain areas of the regions of Liguria, Piemonte, and Lombardia. Within these regions, the Party initially identified 46 isochrones (constructed around the target company's stores based on distances that can be traveled by car in 20 minutes or less) in which the concentration was found to create horizontal overlaps. With reference to these isochrones, the Party estimated its market shares based on an estimate of the revenues generated by competing retail outlets. As a result of this estimation procedure, the joint shares of the acquiring company and the target company were found to be significant - and above 40% in the narrowest market hypothesis - in 11 isochrones.</w:t>
        <w:br/>
        <w:t>78. During the investigation, three additional isochrones were added and verified, constructed around three recently opened stores by Fortesan, and the market shares were recalculated in all local markets where there was an overlap of shares between the acquiring company and the target. The dataset of the stores present and the revenues attributed to each of them was also updated across all isochrones, producing new and different results regarding the market shares achieved by the Parties. The new screening conducted allowed for the identification of 29 isochrones where the Parties' share would exceed, as a result of the operation, 40% in the pet shop market identified in the previous paragraphs.</w:t>
        <w:br/>
        <w:t>79. In relation to these 29 isochrones, further investigations and more in-depth checks were conducted regarding the retail outlets actually present in each of them and their size. These checks revealed that, as a result of the operation, in 13 isochrones the joint share of the Parties in the market of specialized retail outlets will be between 45% and 55%. Therefore, since, also in light of the substantial absence of barriers to entry in these markets, the joint shares of the Parties do not reach values that, in themselves, can be considered presumptive of the existence of a dominant position, it was deemed necessary to evaluate, in these 13 markets, the competitive pressure exerted by hypermarkets. This is to take into account the plans to strengthen the pet care departments of various hypermarket chains that, prospectively, could become more substitutable with specialized retail outlets (see supra, § 74).</w:t>
        <w:br/>
        <w:t>80. In this regard, it is noted that only in three of the aforementioned isochrones would the joint market share of the Parties exceed 45% even considering the competitive pressure exerted to some extent by hypermarkets. In particular, including hypermarkets among the Parties' competitors: i) in the isochrone centered on the retail outlet in Arenzano, the joint share of the Parties would remain at [45-50%], with no hypermarkets present; ii) in the isochrone centered on the retail outlet in Genova Pisacane, the Parties' share, equal to [45-50%], would decrease by just 1 percentage point; iii) in the isochrone centered on the retail outlet in San Salvatore in Cogorno, the Parties' share, equal to [50-55%], would decrease by only 3 percentage points.</w:t>
      </w:r>
    </w:p>
    <w:p>
      <w:r>
        <w:rPr>
          <w:b/>
        </w:rPr>
        <w:t>[Pages 40–42]</w:t>
      </w:r>
    </w:p>
    <w:p>
      <w:r>
        <w:t>42 BULLETIN NO. 18 OF MAY 14, 2018</w:t>
        <w:br/>
        <w:t>Table No. 2 – Market Shares in the 3 Most Problematic Isocrones</w:t>
        <w:br/>
        <w:t>Strong- Arca- Total Other Petshops Total</w:t>
        <w:br/>
        <w:t>Isocron Name</w:t>
        <w:br/>
        <w:t>san planet Parties chains independent</w:t>
        <w:br/>
        <w:t>Arenzano [25-30]% [20-25]% [45-50]% [50-55]% 100%</w:t>
        <w:br/>
        <w:t>Genova Pisacane [15-20]% [30-35]% [45-50]% [1-5]% [45-50]% 100%</w:t>
        <w:br/>
        <w:t>San Salvatore in</w:t>
        <w:br/>
        <w:t>[5-10]% [45-50]% [50-55]% [45-50]% 100%</w:t>
        <w:br/>
        <w:t>Cogorno</w:t>
        <w:br/>
        <w:t>Source: AGCM elaborations of file data</w:t>
        <w:br/>
        <w:t>81. The position reached by the Parties in the three identified isocrones is indicative of a significant position of strength achieved by the new operator also considering the following circumstances: i) in the Arenzano isocron, there is a total absence of both the most direct competitors (the other petshop chains) and hypermarkets of the GDO. The only type of competition present is therefore represented by independent retail outlets (Mom &amp; Pops) which, as seen, exert rather limited competitive pressure; ii) a similar consideration can be made with reference to the San Salvatore in Cogorno isocron, where there is a single hypermarket and no direct competitor of the Parties among the organized petshop chains; iii) in the Genova Pisacane isocron, there is instead a single hypermarket and a newly opened petshop of the Isola dei Tesori chain, which nonetheless holds a share of less than [5%].</w:t>
        <w:br/>
        <w:t>iii. Conclusions on the effects of the operation</w:t>
        <w:br/>
        <w:t>82. From the analysis of the effects reported above, it can be concluded that the notified concentration operation is likely to produce detrimental effects on competition in the 3 local markets analyzed concerning the isocrones of Arenzano, Genova Pisacane, and San Salvatore in Cogorno.</w:t>
        <w:br/>
        <w:t>7.3 The corrective measures proposed by Noah</w:t>
        <w:br/>
        <w:t>83. On April 10, 2018, the acquiring company Noah2 presented some measures aimed at preventing the operation from leading to the establishment or strengthening of a dominant position.</w:t>
        <w:br/>
        <w:t>84. In particular, the measures consist of the sale to one or more buyers - who possess the characteristics suitable in light of national and international best practices, as well as the European Commission's Communication regarding corrective measures deemed adequate pursuant to Reg. EC No. 139/04 of the Council and Reg. EC No. 802/04 of the Commission, within [omitted] months from the day the Authority adopts the decision to close the investigation, of the following two retail outlets under the brand [omitted] (the "Retail Outlets"):</w:t>
        <w:br/>
        <w:t>i) [omitted];</w:t>
        <w:br/>
        <w:t>ii) [omitted].</w:t>
        <w:br/>
        <w:t>85. The Retail Outlets would be sold to an appropriate buyer, whose identity would be submitted in advance to the Authority, who:</w:t>
        <w:br/>
        <w:t>- is independent, including commercially, from the Parties and the companies connected to them, as well as from the individuals at the top of the Parties' control chain;</w:t>
        <w:br/>
        <w:t>BULLETIN NO. 18 OF MAY 14, 2018 43</w:t>
        <w:br/>
        <w:t>- possesses the financial means, proven relevant expertise, as well as the incentive and ability to maintain and develop the retail activity of pet care products as a profitable competitive force actively competing with the Parties and other competitors.</w:t>
        <w:br/>
        <w:t>86. The Retail Outlets could not be repurchased by the Party for a period of [omitted] years from the date of sale. The sale of the Retail Outlets to this buyer would also not create new competition problems.</w:t>
        <w:br/>
        <w:t>87. The sale of the Retail Outlets would involve all tangible and intangible assets available to the Parties related to the activity subject to sale and, in particular, in accordance with what will be agreed with the buyer: goodwill, licenses, authorizations, and permits related to each Retail Outlet; equipment and furnishings, shelving, inventory; employment relationships of employees working in the stores pursuant to Article 2112 of the Civil Code, limited to the personnel assigned to the retail activity at each retail outlet; security deposits paid in execution of lease contracts; contracts for the supply of electricity, gas, and water.</w:t>
        <w:br/>
        <w:t>7.4 Evaluation of the corrective measures proposed by the Party</w:t>
        <w:br/>
        <w:t>88. The remedies proposed by the Party would modify the shares reached by the new operator as a result of the operation as indicated in Table No. 3. The share of the sold retail outlets has been attributed, in this table, to the other petshop chains, although it is not excluded that the buyer may instead be an independent petshop.</w:t>
        <w:br/>
        <w:t>Table No. 3 – Market Shares Following the Implementation of the Commitments</w:t>
        <w:br/>
        <w:t>Arca- Total Other Petshops Total</w:t>
        <w:br/>
        <w:t>Isocron Name Fortesan</w:t>
        <w:br/>
        <w:t>planet Parties chains independent</w:t>
        <w:br/>
        <w:t>Arenzano [omitted] [omitted] [40-45]% [1-5]% [50-55]% 100%</w:t>
        <w:br/>
        <w:t>Genova Pisacane [omitted] [omitted] [45-50]% [1-5]% [50-55]% 100%</w:t>
        <w:br/>
        <w:t>San Salvatore in</w:t>
        <w:br/>
        <w:t>[omitted] [omitted] [45-50]% [5-10]% [45-50]% 100%</w:t>
        <w:br/>
        <w:t>Cogorno</w:t>
        <w:br/>
        <w:t>89. With reference to the Arenzano isocron, the sale of the retail outlet of [omitted] results in a decrease of the joint market share of the Parties from [45-50%] to [40-45%]. The same sale also has an effect on the Genova Pisacane isocron, where the market share goes from [45-50%] to [45-50%] and the post-merger entity remains exposed to the competitive pressure of a hypermarket located nearby. With reference to the Cogorno isocron, finally, where the Party's share remains above 45% even after the sales, it is noted that [omitted].</w:t>
        <w:br/>
        <w:t>90. The corrective measures proposed by the Party, consisting of the sale of the above-mentioned Retail Outlets, therefore appear suitable to eliminate the detrimental effects on competition arising from the realization of the operation in question.</w:t>
      </w:r>
    </w:p>
    <w:p>
      <w:r>
        <w:t>44 BULLETIN NO. 18 OF MAY 14, 2018</w:t>
        <w:br/>
        <w:t>91. That said, in order to ensure the effective and timely execution of the measures, it is necessary to specify the following modalities and timelines for the transfer of control46:</w:t>
        <w:br/>
        <w:t>i) the agreements related to the transfer of control of the Retail Outlets must be concluded, subject to submission to the Authority for approval, of the identity of the transferee and the agreements themselves, within no later than [omitted] months from the date of authorization of the Operation;</w:t>
        <w:br/>
        <w:t>ii) if, within [omitted] months from the date of authorization of the Operation (first transfer period), the buyers of all the retail outlets to be sold have not been identified, the Party must, within the following [omitted] months, identify the buyers for the sale of the remaining Retail Outlets [omitted], granting for this purpose an irrevocable mandate to an independent and qualified entity (trustee transfer period);</w:t>
        <w:br/>
        <w:t>iii) the Party must execute the transfer agreements concluded with third-party buyers of the Retail Outlets within [omitted] months from their conclusion;</w:t>
        <w:br/>
        <w:t>92. To this end, the Party (or the independent entity appointed for the transfer) must provide sufficient information on the retail outlets to be sold, to allow potential buyers of control to assess their value and presumed commercial capacity.</w:t>
        <w:br/>
        <w:t>93. Furthermore, in order to minimize the risks of potential loss of competitiveness of the retail outlets to be sold, during the period between the date of authorization of the Operation and the transfer of their control, the Party must preserve the economic operation, marketability, and competitiveness of the same in accordance with good commercial practice.</w:t>
        <w:br/>
        <w:t>94. Finally, regarding the execution of these measures, the Party will send to the Authority, after [omitted] months from the notification of this provision, a final report on their complete and effective implementation.</w:t>
        <w:br/>
        <w:t>CONSIDERED, therefore, based on the elements emerged in the investigation, that the operation in question is likely to determine, pursuant to Article 6, paragraphs 1 and 2, of Law No. 287/90, the creation or strengthening of a dominant position, such as to eliminate or substantially and durably reduce competition in the 3 relevant markets identified above for the retail distribution of pet products through the specialized channel;</w:t>
        <w:br/>
        <w:t>CONSIDERED necessary to prescribe to the company Noah2 S.p.A., pursuant to Article 6, paragraph 2, of Law No. 287/90, measures aimed at preventing such consequences;</w:t>
        <w:br/>
        <w:t>CONSIDERED, therefore, that the notified concentration operation is authorized subject to the full and effective execution of all measures prescribed in this provision;</w:t>
        <w:br/>
        <w:t>CONSIDERED, also, that the non-compete agreement between the Parties is accessory to this operation only to the limits described above and that the Authority reserves the right to evaluate, where the conditions exist, the aforementioned agreement that occurs beyond the time and geographical areas indicated therein;</w:t>
        <w:br/>
        <w:t>46 Where not expressly regulated, reference will be made to what is provided by the Commission in the Communication on corrective measures (see Communication of the Commission regarding corrective measures deemed adequate pursuant to Regulation (EC) No. 139/2004 of the Council and Regulation (EC) No. 802/2004 of the Commission 2008/C 267/01).</w:t>
      </w:r>
    </w:p>
    <w:p>
      <w:r>
        <w:rPr>
          <w:b/>
        </w:rPr>
        <w:t>[Pages 43–45]</w:t>
      </w:r>
    </w:p>
    <w:p>
      <w:r>
        <w:t>BULLETIN NO. 18 OF MAY 14, 2018 45</w:t>
        <w:br/>
        <w:t>RESOLUTION</w:t>
        <w:br/>
        <w:t>to authorize the communicated concentration operation, provided that Noah2 S.p.A. fully and effectively implements the following measures adopted pursuant to Article 6, paragraph 2, of Law no. 287/90:</w:t>
        <w:br/>
        <w:t>1) the transfer of control, both de facto and de jure, of the Retail Outlets as identified in point 84 above;</w:t>
        <w:br/>
        <w:t>2) the business branches subject to transfer must include all assets that contribute to their current management or that are necessary to ensure their profitability and competitiveness;</w:t>
        <w:br/>
        <w:t>3) the purchaser must meet the following requirements:</w:t>
        <w:br/>
        <w:t>i. be an independent entity, also commercially, from the Parties and the companies connected to them, as well as from the individuals at the top of the Parties' control chain;</w:t>
        <w:br/>
        <w:t>ii. possess the financial means, proven relevant expertise, as well as the incentive and capacity to maintain and develop, on an efficient scale, the management activity of pet shops;</w:t>
        <w:br/>
        <w:t>iii. the acquisition of the transferred business by the proposed purchaser must not create new problems for competition, nor entail the risk that the implementation of the measures will be delayed;</w:t>
        <w:br/>
        <w:t>4) the transfer of control must occur in the following ways and timelines:</w:t>
        <w:br/>
        <w:t>i. the agreements related to the transfer of control of the Retail Outlets must be concluded, subject to submission to the Authority for approval of the identity of the transferee and the agreements themselves, within no later than [omissis] months from the date of authorization of the Operation;</w:t>
        <w:br/>
        <w:t>ii. if, within [omissis] months from the date of authorization of the Operation (first transfer period), the purchasers of the retail outlets to be transferred have not been identified, the Parties must, within the following [omissis] months, identify the purchasers for the transfer [omissis], granting for this purpose an irrevocable mandate to an independent and qualified entity (trustee transfer period);</w:t>
        <w:br/>
        <w:t>iii. the Party must execute the sale agreements concluded with the third-party purchasers of the retail outlets within [omissis] months from their conclusion;</w:t>
        <w:br/>
        <w:t>5) the Parties (or the independent entity appointed for the transfer) must provide sufficient information about the retail outlets to be transferred, to allow potential purchasers of control to assess their value and presumed commercial capacity;</w:t>
        <w:br/>
        <w:t>6) the Parties must preserve the economic operation, marketability, and competitiveness of the retail outlets subject to the measures, in accordance with good commercial practice, during the period</w:t>
      </w:r>
    </w:p>
    <w:p>
      <w:r>
        <w:t>46 BULLETIN NO. 18 OF MAY 14, 2018</w:t>
        <w:br/>
        <w:t>between the date of authorization of the Operation and the full validity and effectiveness of their transfer;</w:t>
        <w:br/>
        <w:t>7) the Parties may not reacquire control of the transferred retail outlets for a period of [omissis] years;</w:t>
        <w:br/>
        <w:t>8) Noah2 S.p.A. must transmit to the Authority, after [omissis] months from the notification of this provision, a final report on the complete and effective implementation of the prescribed measures.</w:t>
        <w:br/>
        <w:t>The prescribed corrective measures will come into effect from the notification of the authorization provision for the concentration.</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f.f. THE PRESIDENT</w:t>
        <w:br/>
        <w:t>Roberto Chieppa Gabriella Muscolo</w:t>
      </w:r>
    </w:p>
    <w:p>
      <w:r>
        <w:t>BULLETIN NO. 18 OF MAY 14, 2018 47</w:t>
        <w:br/>
        <w:t>REPORTING AND ADVISORY ACTIVITIES</w:t>
        <w:br/>
        <w:t>AS1509 - CALABRIA REGION – LAW 3/2018 – INCENTIVIZATION OF INCOMING TOURISM THROUGH AIR, RAIL, ROAD, AND SEA TRANSPORT TO SUPPORT DESEASONALIZATION</w:t>
        <w:br/>
        <w:t>Rome, March 8, 2018</w:t>
        <w:br/>
        <w:t>Presidency of the Council of Ministers</w:t>
        <w:br/>
        <w:t>Department for Regional Affairs and Autonomies</w:t>
        <w:br/>
        <w:t>With reference to the request for an opinion made by this Department regarding the provisions of the regional law of the Calabria Region of February 6, 2018, no. 8, entitled "Incentivization of incoming tourism through air, rail, road, and sea transport to support deseasonalization," the Authority, in the meeting of March 7, 2018, intended to formulate the following observations, pursuant to Article 22 of Law no. 287/90.</w:t>
        <w:br/>
        <w:t>Regional Law no. 8/2018 regulates the capital contribution mechanism to which both Italian and foreign companies authorized to carry out travel organization activities, as well as associations operating in the tourism sector under Article 5, Legislative Decree no. 79/2011, can access. These measures aim to incentivize tourism in the Calabria Region during the period of the year between the months of September and June and concern the organization of trips that involve the stay of tourist groups composed of at least 25 people and for no less than 7 days of overnight stays.</w:t>
        <w:br/>
        <w:t>The law defines the scope of application of the contribution mechanism by specifically identifying the expenses on which the contribution applies, the subsidized percentage, the methods for submitting applications for admission to the contributions, the related administrative procedure, the disbursement phase, and the criteria for evaluating the applications.</w:t>
        <w:br/>
        <w:t>In particular, Article 2 of the aforementioned regional law provides that only travel organizations "authorized to carry out their activity" may benefit from regional contributions.</w:t>
        <w:br/>
        <w:t>The Authority believes that this regulatory provision presents competitive criticality profiles as it introduces an obstacle to access to regional contributions by requiring possession of an authorization title, which could alter competitive dynamics to the detriment of entities without an authorization title, who would be excluded from benefiting from regional contributions, with a consequent negative impact on the attractiveness of travel program offers,</w:t>
      </w:r>
    </w:p>
    <w:p>
      <w:r>
        <w:rPr>
          <w:b/>
        </w:rPr>
        <w:t>[Pages 46–48]</w:t>
      </w:r>
    </w:p>
    <w:p>
      <w:r>
        <w:t>48 BULLETIN NO. 18 OF MAY 14, 2018</w:t>
        <w:br/>
        <w:t>falling within the scope of application of the aforementioned regional law, which aims to incentivize deseasonalized tourism.</w:t>
        <w:br/>
        <w:t>The Authority notes in this regard that the current national legislation provides for the conduct of travel agency activities, the submission of the SCIA and not the possession of authorizations, pursuant to Article 13 of Legislative Decree 83/2014, converted with amendments by Law 106/2014. In light of these provisions, the authorization regime for the operation of travel and tourism agencies is outdated and has been replaced by the liberalized regime of certified notification of the start of activity (hereinafter, SCIA).</w:t>
        <w:br/>
        <w:t>Therefore, invoking the possession of a qualification title no longer required by the sector legislation is contrary to the European and national regulatory framework, which is clearly oriented towards the definitive overcoming of all constraints on access to or exercise of economic activities that are not strictly justified, in a perspective of proportionality, by general interests and that do not represent, therefore, the least restrictive measure for achieving the objectives set by the legislator (see the Services Directive and Legislative Decree no. 59/10 regarding inadequate and disproportionate authorization requirements).</w:t>
        <w:br/>
        <w:t>In conclusion, the Authority observes that the provision of Article 2 of the Calabria Region Law no. 3/2018, insofar as it could lead to unjustified restrictions or distortions of competition, presents profiles of unconstitutionality for violation of Article 117, paragraph 2, letter e) of the Constitution.</w:t>
        <w:br/>
        <w:t>This opinion will be published in the Bulletin referred to in Article 26 of Law no. 287/90, unless any reasons opposing publication are represented within 60 days from the receipt of this communication.</w:t>
        <w:br/>
        <w:t>THE PRESIDENT</w:t>
        <w:br/>
        <w:t>Giovanni Pitruzzella</w:t>
        <w:br/>
        <w:t>1 AS1350 published in the Authority Bulletin no. 6/2017.</w:t>
        <w:br/>
        <w:t>2 It is noted that at least until February 2, 2017, not all Regions had fully adopted the simplified regime for the opening of travel agencies, maintaining the older authorization regime. Currently, it appears that in some Regions, including Calabria and Basilicata, the authorization regime for the conduct of such activities is still in force. Therefore, the provision (and enhancement) among the requirements of possessing the authorization to operate a travel agency, in addition to being unjustified also considering the changed liberalized regulatory context, may be discriminatory for businesses that do not possess such title.</w:t>
      </w:r>
    </w:p>
    <w:p>
      <w:r>
        <w:t>BULLETIN NO. 18 OF MAY 14, 2018 49</w:t>
        <w:br/>
        <w:t>UNFAIR COMMERCIAL PRACTICES</w:t>
        <w:br/>
        <w:t>PS10340 - TELECOM-ONLINE ACCOUNT</w:t>
        <w:br/>
        <w:t>Provision no. 27143</w:t>
        <w:br/>
        <w:t>THE ANTITRUST AUTHORITY</w:t>
        <w:br/>
        <w:t>IN ITS MEETING of April 18, 2018;</w:t>
        <w:br/>
        <w:t>HEARD the Rapporteur Dr. Gabriella Muscolo;</w:t>
        <w:br/>
        <w:t>VIEWED Part II, Title III, of Legislative Decree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proceeding;</w:t>
        <w:br/>
        <w:t>I. THE PARTIES</w:t>
        <w:br/>
        <w:t>1. Telecom Italia S.p.A. (hereinafter Telecom or the "company"), with registered office in Milan, as a professional, pursuant to Article 18, letter b), of the Consumer Code. The company is active in the fixed and mobile telephony sectors and Internet communications. Telecom's financial statements closed on December 31, 2016, report revenues of approximately 13.7 billion euros.</w:t>
        <w:br/>
        <w:t>UDICON – Union for the Defense of Consumers, ADOC - National Association for the Defense and Orientation of Consumers and Users, and CRTCU - Research and Protection Center for Consumers and Users, as representative associations of consumers pursuant to Article 10 of the Regulation on investigative procedures.</w:t>
        <w:br/>
        <w:t>II. THE CONDUCT SUBJECT TO THE PROCEEDING</w:t>
        <w:br/>
        <w:t>2. The proceeding concerns the conduct that Telecom has engaged in:</w:t>
        <w:br/>
        <w:t>- starting from February 2016, towards all fixed-line consumer customers with ADSL and Fiber contracts in place at that date, charging an amount for each invoice of 2 euros (VAT included) in case of failure to activate the service of bank or postal domiciliation of TIM invoices, and/or in case of express request for the sending of invoices still in paper format. To avoid this charge, the aforementioned customers, who had an email address, would have had to activate the free service of receiving invoices in exclusively electronic format ("Online Account"), usable only on the condition of also having the bank or postal domiciliation of TIM invoices active. In case of receiving the paper invoice "by choice or because [the customer] was not in possession of both the above-described requirements (domiciliation of the invoice and configuration of an email address)," a charge of 2 euros for the production and shipment of the paper invoice was provided, thus applied even if the exclusively electronic version of it was requested, but in the absence of domiciliation;</w:t>
        <w:br/>
        <w:t>- starting from March 2016 towards business customers of fixed-line and multibusiness mobile lines in place at that date, charging an amount of 2 euros (VAT excluded) on each telephone invoice "with the frequency indicated in the Commercial Profile and/or in the Pricing Offers/Options activated on the line," in case of failure to activate the free service "NoCarta" or "Online Account only" for receiving invoices in exclusively electronic format, if they did not meet the mandatory condition, required to benefit from this option, of the bank or postal domiciliation of TIM invoices. From September 2017, business customers of fixed-line already contracted and multibusiness mobile customers were subjected to an increase in this charge. In fact, for each invoice produced, the amount was increased to 3.90 euros (VAT excluded).</w:t>
        <w:br/>
        <w:t>III. THE OUTCOMES OF THE PROCEEDING</w:t>
        <w:br/>
        <w:t>1) The course of the proceeding</w:t>
        <w:br/>
        <w:t>3. In relation to the conduct described above, on November 23, 2017, the Parties were notified of the initiation of the PS10340 investigative proceeding for possible violation by Telecom of Articles 20, 24, 25 paragraph 1 letter a) of the Consumer Code.</w:t>
        <w:br/>
        <w:t>4. On November 28, 2017, and on February 12, 2018, two requests for access to documents were received, held respectively on December 1, 2017, and on February 22, 2018.</w:t>
        <w:br/>
        <w:t>5. On December 13, 2017, Telecom provided the requested information and documentation at the initiation of the investigative proceeding, supplementing it on January 15, 2018, and produced a defense memorandum on December 21, 2017.</w:t>
        <w:br/>
        <w:t>6. The hearing requested on December 21, 2017, took place on January 25, 2018, followed by a communication sent by the Company on February 2, 2018, to supplement and clarify the information provided during the hearing.</w:t>
        <w:br/>
        <w:t>7. On February 6, 2018, the date of conclusion of the investigative phase was communicated to the Parties, pursuant to Article 16, paragraph 1, of the Regulation.</w:t>
      </w:r>
    </w:p>
    <w:p>
      <w:r>
        <w:rPr>
          <w:b/>
        </w:rPr>
        <w:t>[Pages 49–51]</w:t>
      </w:r>
    </w:p>
    <w:p>
      <w:r>
        <w:t>BULLETIN NO. 18 OF MAY 14, 2018 51</w:t>
        <w:br/>
        <w:t>8. On February 26, 2018, Telecom submitted its final memorandum15 and, on February 27, 201816, U.Di.Con. sent its observations regarding the contested conduct.</w:t>
        <w:br/>
        <w:t>9. On the same date, pursuant to and for the effects of Article 27, paragraph 1-bis, of the Consumer Code, as well as pursuant to and for the effects of Article 16, paragraph 5, of the Regulation, a request for an opinion was forwarded to the Authority for Communications Guarantees17, which rendered the opinion on March 23, 201818.</w:t>
        <w:br/>
        <w:t>2) The evidence acquired</w:t>
        <w:br/>
        <w:t>10. In relation to the conduct subject to contestation, 20 reports were received during the proceedings, of which 3 from the consumer associations ADOC, U.Di.Con., and CRTCU19.</w:t>
        <w:br/>
        <w:t>11. Telecom, at the beginning of 2016, changed the rules regarding billing methods, "to incentivize the use of the free online receipt service for invoices in exclusively electronic format"20. In fact, Telecom sent a communication announcing that "shipping charges" for sending paper invoices (from €0.34 to €0.65) would no longer be charged, but rather a fixed cost of €2 would be introduced "for production and shipping costs"21 of the same paper invoice, starting from February 2016, for all fixed-line consumer customers with ADSL and Fiber contracts, and starting from March 2016 for fixed-line business customers and mobile multibusiness customers23, simultaneously making the activation of bank or postal domiciliation a condition for receiving the free electronic invoice (service "Online Account" or "NoCarta"), which until that moment had been sent without any further obligation to customers who had requested it. Only in this way would it be possible to avoid the shipment of the paper document with the related charge.</w:t>
        <w:br/>
        <w:t>12. Furthermore, starting from May 2017, the same fixed-line business customers and, starting from September 2017, the same mobile multibusiness customers experienced an increase in the fixed cost "for production and shipping" of the paper invoice (from €2.00 to €3.90, VAT excluded)24.</w:t>
        <w:br/>
        <w:t>13. Starting from 2016, therefore, even those who had already activated and had long been receiving the electronic invoice received communication regarding the unilateral contractual modification that Telecom intended to implement in order to introduce the "Online Account" or "NoCarta" service25.</w:t>
        <w:br/>
        <w:t>14. By way of example, some excerpts from the reports received are as follows:</w:t>
        <w:br/>
        <w:t>“[…] I also requested via fax and online the sending of the invoice in electronic format; TIM says that this request cannot be fulfilled until I set up bank domiciliation.”26.</w:t>
        <w:br/>
        <w:t>“I already receive the electronic invoice, but Telecom continues to send me the paper invoice, charging me €2.00 every month as a service for production and shipping of the invoice […] Is bank domiciliation an essential requirement to have the invoice in exclusively electronic format?27”</w:t>
        <w:br/>
        <w:t>“I told you that for years my bill domiciliation has been WEB and you changed it on your own initiative to POST, charging me in this last invoice that you want paid of €81.79 the amount of – Service for production and shipping of the invoice €1.64 22% €2.00.”28</w:t>
        <w:br/>
        <w:t>15. The above is confirmed both by the text of the articles of the general contract conditions regarding the billing system, as modified by Telecom following the unilateral changes made, and by the Company's response to the request for information made by the Authority at the start29.</w:t>
        <w:br/>
        <w:t>16. In fact, for ADSL and Fiber consumer customers, by way of example, in Article 10 of the general contract conditions for ADSL, it is possible to find:</w:t>
        <w:br/>
        <w:t>Art. 10 Economic conditions and payment methods</w:t>
        <w:br/>
        <w:t>2. To the Customer who has activated the bank or postal domiciliation service for the TIM Invoice and who has configured an email address associated with the Service, the free service of receiving invoices in exclusively electronic format (hereinafter "Online Account") will be automatically activated, which consists of the email notification of the possibility to view the Invoice in the MyTIM Fixed section of the tim.it website and thus the elimination of the paper Invoice and related costs […] If the customer has configured only an email address associated with the service, but has not activated the bank or postal domiciliation service for the TIM invoice, they will still receive the email notification of the possibility to view the invoice in the MyTIM Fixed section of the tim.it website.</w:t>
        <w:br/>
        <w:t>4. The Customer who receives the paper Invoice (and possibly also the Postal Bulletin), by choice or because they do not possess both requirements described in paragraph 2 of this article, will be charged a monthly amount of €2 including VAT, covering shipping costs30.</w:t>
        <w:br/>
        <w:t>25 Cfr. Doc. N. 1,2,4,6,12,17,19</w:t>
        <w:br/>
        <w:t>26 Cfr. Doc. N. 9</w:t>
        <w:br/>
        <w:t>27 Cfr. Doc. N. 11</w:t>
        <w:br/>
        <w:t>28 Cfr. Doc. N. 23</w:t>
        <w:br/>
        <w:t>29 Cfr. Doc. N. 59 already cited. For fixed-line ADSL and Fiber consumers, these are respectively Articles 10 and 9 of the relevant general contract conditions; for fixed-line business customers and mobile multibusiness customers, these are respectively Articles 14 paragraphs 6 and 8 and 5 paragraph 4 of the relevant general contract conditions.</w:t>
        <w:br/>
        <w:t>30 Ibidem.</w:t>
      </w:r>
    </w:p>
    <w:p>
      <w:r>
        <w:t>BULLETIN NO. 18 OF MAY 14, 2018 53</w:t>
        <w:br/>
        <w:t>17. A similar situation applies to fixed-line business customers and mobile multibusiness customers. By way of example, from Article 14 of the General Contract Conditions for access to the basic telephone service (TIM Impresa Semplice) it emerges:</w:t>
        <w:br/>
        <w:t>Art. 14 Fees for the Service and payment methods</w:t>
        <w:br/>
        <w:t>6. […] The billing method for the Service is electronic; the Invoice will be made available in the Customer Area of TIM Impresa Semplice or for large Companies, in the Customer Area myBusiness.it. To view the Invoice, the Customer must register on the site impresasemplice.it or for large Companies on the site mybusiness.it. The Customer who does not request bank or postal domiciliation of the Invoice and does not configure the "Online Account only" service will also receive the paper Invoice, with a charge, for each Invoice produced, of an amount equal to €3.90 excluding VAT, including shipping costs.</w:t>
        <w:br/>
        <w:t>[…]</w:t>
        <w:br/>
        <w:t>8. TIM will send the invoices and/or communications to the postal address indicated by the Customer. The Customer with activated email services may receive from TIM at the email address they provided the invoices and/or specific communications regarding the availability of the documentation referred to in the following paragraph 9 also, or exclusively, if they are a Customer using the free Online Account service, via the internet […]32</w:t>
        <w:br/>
        <w:t>18. Therefore, the electronic invoice is made available by the Company to all customers who can access it, regardless of automatic bank charges, as also emerges in the aforementioned response from Telecom to the request for information, in which the Company claims to be "absolutely favorable to promoting invoicing in digital format; this is evidenced by the fact that, to maximize the information available to the consumer, TIM enables all its correctly registered customers on the TIM site to view and archive invoices in .pdf format, also sending specific informative emails”33. Therefore, customers registered on the Company's website receive an informative email upon the issuance of the invoice and can view it in pdf format directly on Telecom's website.</w:t>
        <w:br/>
        <w:t>19. The aforementioned maneuver involved approximately [6-10]* million users, divided into [2,000,000-6,000,000] consumers for fixed telephony with ADSL and Fiber Offer contracts and [2,000,000-5,000,000] customers for fixed business telephony and multibusiness mobile telephony [TIM Impresa Semplice]34.</w:t>
        <w:br/>
        <w:t>20. In May 2017, [1,000-2,800,000] fixed telephony business users and in September [1,000-2,500,000] multibusiness mobile telephony users were</w:t>
        <w:br/>
        <w:t>31 Previously €2.</w:t>
        <w:br/>
        <w:t>32 Cfr. Doc. N. 59 already cited.</w:t>
        <w:br/>
        <w:t>33 Cfr. Doc. N. 72.</w:t>
        <w:br/>
        <w:t>* In this version, some data is omitted, as there were deemed to be elements of confidentiality or secrecy of the information.</w:t>
        <w:br/>
        <w:t>34 Cfr. Doc. N. 59 already cited, pp. 3 and 4. Based on the information provided, the two identified types (business users and multibusiness) would overwhelmingly fall into the "microenterprise" category considering the number of accesses and the number of SIMs in use. In fact, Telecom, to allow for the determination of the size of the enterprises that fall within the "Tim Impresa Semplice" area, provided data regarding the number of accesses for fixed and mobile users (over 92% of enterprises have a maximum of 2 accesses) and the number of SIMs used (over 97% of enterprises use up to a maximum of 10 SIMs).</w:t>
      </w:r>
    </w:p>
    <w:p>
      <w:r>
        <w:rPr>
          <w:b/>
        </w:rPr>
        <w:t>[Pages 52–54]</w:t>
      </w:r>
    </w:p>
    <w:p>
      <w:r>
        <w:t>54 BULLETIN NO. 18 OF MAY 14, 2018</w:t>
        <w:br/>
        <w:t>subject to the further increase in production and shipping costs of the paper invoice (from 2 euros to 3.90 euros)35.</w:t>
        <w:br/>
        <w:t>21. Based on the data provided by the Company itself, it emerges that the percentage of consumers with ADSL or Fiber Offer contracts who currently receive only the electronic invoice, having activated bank or postal domiciliation, has slightly increased (from [10-35%] to [15-45%]) compared to those who, even in the period prior to the unilateral contractual modification implemented by Telecom, adopted the same methods of receiving the invoice (electronic) and payment (domiciliation).</w:t>
        <w:br/>
        <w:t>22. Following the contractual modification by Telecom, the dual invoicing (paper and electronic) sent to customers has decreased, for example, from [35%-55%] to [25%-45%] of ADSL/Fiber customers, remaining nonetheless high ([1,800,000-2,800,000] users)36. In fact, for customers who already had the electronic invoice, Telecom, in the absence of activation of domiciliation, would have sent "also" the invoice in paper format, charging the cost37.</w:t>
        <w:br/>
        <w:t>3) The defensive arguments of the professional</w:t>
        <w:br/>
        <w:t>a) Professional diligence and objective good faith</w:t>
        <w:br/>
        <w:t>23. Regarding the merits of the contestation of the initiation, the first exception proposed by the professional concerns the alleged failure by the company to comply with the standard of professional diligence, as provided for by Article 20 of the Consumer Code. In fact, Telecom would have complied with the current sector regulation (Resolution 418/07/CONS), which allows operators to send invoices in paper format. It would also have sent its customers a comprehensive notice in advance to illustrate the new types and methods of invoicing, aiming "to promote the digitalization process of its customers, by incentivizing the use of the free online invoice receipt service in exclusively electronic format [...] and, at the same time, to limit paper invoicing"38.</w:t>
        <w:br/>
        <w:t>24. Telecom's conduct, therefore, would be "diligent in itself," demonstrating the objective good faith of the professional as it complies with the regulation, also aiming "to protect users from the risks associated with unintentional defaults" pursuant to Article 1375 of the Civil Code.</w:t>
        <w:br/>
        <w:t>25. "In fact, the investigated conduct represents the only practically feasible solution to protect, also under Article 1375 of the Civil Code, the interest of the counterparty in avoiding unwanted and unintentional interruptions of the user relationship [...]. In fact, only through the bi-directional correlation between invoicing in (exclusively) electronic format and bank domiciliation [...] was it possible to nip in the bud the prejudices that users who are innocently in default could have suffered"39, namely the possible suspension or interruption of voice telephony and/or data connectivity services in case of non-payment.</w:t>
        <w:br/>
        <w:t>35 Ibidem.</w:t>
        <w:br/>
        <w:t>36 See Doc. No. 59 already cited.</w:t>
        <w:br/>
        <w:t>37 See Doc. No. 59 already cited.</w:t>
        <w:br/>
        <w:t>38 See Doc. No. 63 cited, pp. 11-13.</w:t>
        <w:br/>
        <w:t>39 See Doc. No. 83 cited, pp. 6-10.</w:t>
      </w:r>
    </w:p>
    <w:p>
      <w:r>
        <w:t>BULLETIN NO. 18 OF MAY 14, 2018 55</w:t>
        <w:br/>
        <w:t>b) Non-existence of aggressive conduct for violation of consumer choice freedom</w:t>
        <w:br/>
        <w:t>26. The second exception on the merits concerns the "radical non-existence, in this case, of the typical predicates of aggressiveness" of the conduct, particularly the "undue conditioning," the exploitation of a position of power to exert pressure on the consumer in order to condition their freedom of choice.</w:t>
        <w:br/>
        <w:t>27. In fact, there would be no "imposition" by Telecom to extort the consent of its users, coercing their will. The customer would be placed in a position to "freely and consciously choose the invoicing method most suitable for them, based on the comprehensive information (also regarding the economic consequences associated with each of the hypotheses) made available to them in advance by TIM, also through the specific campaign aimed at promoting the digitalization of invoices"40.</w:t>
        <w:br/>
        <w:t>28. Even for already contracted customers, who would have been affected by the modification of the contractual conditions related to the invoicing and payment methods of invoices, adequate information would have been provided to allow users to "choose consciously and freely, without burdens or impositions of any kind, whether to use the service of receiving invoices in paper format or to withdraw from the relationship with TIM, without costs or penalties, to turn to another provider. Each customer, in fact, was fully informed of the contractual modification [...] and of the right of withdrawal that accompanied it"41. "Consequently, the consumer's freedom of self-determination has never been minimally compromised"42.</w:t>
        <w:br/>
        <w:t>4) The arguments of U.Di.Con.</w:t>
        <w:br/>
        <w:t>29. In its concluding memorandum of February 27, 2018, U.Di.Con. presented its considerations regarding the ongoing procedure and Telecom's conduct in the case under evaluation.</w:t>
        <w:br/>
        <w:t>30. U.Di.Con. asserts that "Telecom S.p.A. would not allow the payment of invoices issued digitally via postal payment slip; [...] following investigations, it was found that users, requesting digital invoicing, were forced to settle the invoices issued by Telecom Italia S.p.A. via direct debit. [...] the aforementioned Telephone Operator induces its customers to choose the payment method of direct debit on their bank account [...] This mechanism is configured through the arbitrary establishment by Telecom of an inseparable link between invoicing method and payment method. In this regard, it is reiterated that there appear to be no reasons, either in fact or in law, why payment and invoicing methods cannot be chosen separately by the consumer"43.</w:t>
        <w:br/>
        <w:t>IV. OPINION OF THE AUTHORITY FOR GUARANTEES IN COMMUNICATIONS</w:t>
        <w:br/>
        <w:t>31. Since the conduct subject to this procedure concerns an operator active in the communications sector, on February 27, 2018, a request for an opinion was sent to the Authority for Guarantees in Communications pursuant to Article 27, paragraph 1-bis, of the Consumer Code, as well as pursuant to and for the effects of Article 16, paragraph 5, of the Regulation.</w:t>
        <w:br/>
        <w:t>32. On March 23, 2018, the opinion44 of the Authority for Guarantees in Communications was received. The Authority deemed it appropriate to highlight that "the conduct consisting of sending the paper documentation related to the invoice of the telephone operator is partially attributable to the current regulatory framework for the electronic communications sector and, specifically, to what is provided for by Article 3 of Annex A to Resolution No. 418/07/CONS, containing 'Provisions regarding the transparency of the telephone bill, selective call blocking, and user protection,' which provides indications regarding the methods of sending the paper invoice as well as the information that this invoicing documentation must contain."</w:t>
        <w:br/>
        <w:t>V. CONCLUDING EVALUATIONS</w:t>
        <w:br/>
        <w:t>33. The conduct subject to this procedure consists of requesting already contracted users to adhere to the payment method via direct debit from their bank or postal account for invoices, in order to benefit from the electronic invoicing service and not have to, on the contrary, bear the cost of paper invoicing.</w:t>
        <w:br/>
        <w:t>34. It should be noted that the domiciliation of invoices constitutes a preferred collection method by companies in the telecommunications sector, as it ensures the secure and immediate collection of billed amounts, without delays, while it may not be convenient for consumers as, in light of positive aspects, such as the simplicity and ease of use of the payment method, or the security of payment even in case of non-receipt of the invoice, it may have negative implications, such as automatic withdrawal, even in the presence of incorrectly billed amounts (e.g., for excess consumption or for the unsolicited activation of paid services), and the consequent difficulty in recovering the amounts withdrawn from the bank account. For this reason, the consumer should be placed in a position to choose consciously and without conditioning the payment method to be used without having to endure the choices of the professional.</w:t>
        <w:br/>
        <w:t>35. In this specific case, however, the evidence on record does not allow for the identification of the necessary elements to configure an undue conditioning that would significantly limit the consumer's freedom of choice, also taking into account the opinion of the Authority for Guarantees in Communications and the regulatory and legislative context within which the conduct was carried out, as well as the particular clarity of the information sent to consumers, thanks to which they were placed in a position to choose whether or not to accept the new invoicing methods adopted by Telecom.</w:t>
        <w:br/>
        <w:t>THEREFORE, based on and within the limits of the considerations outlined above, it is believed that the behavior under examination does not constitute, limited to the aspects subject to evaluation, an unfair commercial practice in violation of Articles 20, 24, and 25, paragraph 1, letter a) of the Consumer Code;</w:t>
        <w:br/>
        <w:t>44 See Doc. No. 91.</w:t>
      </w:r>
    </w:p>
    <w:p>
      <w:r>
        <w:rPr>
          <w:b/>
        </w:rPr>
        <w:t>[Pages 55–57]</w:t>
      </w:r>
    </w:p>
    <w:p>
      <w:r>
        <w:t>BULLETIN NO. 18 OF MAY 14, 2018 57</w:t>
        <w:br/>
        <w:t>RESOLUTION</w:t>
        <w:br/>
        <w:t>that the behavior described in point II of this provision, carried out by Telecom Italia, does not constitute, limited to the aspects under evaluation, an unfair commercial practice in violation of Articles 20, 24, and 25, paragraph 1, letter a) of the Consumer Code, for the reasons and within the limits set forth in the motivation.</w:t>
        <w:br/>
        <w:t>This provision will be notified to the interested parties and published in the Bulletin of the Authority for the Guarantee of Competition and the Market.</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period of one hundred and twenty days from the date of notification of the provision itself.</w:t>
        <w:br/>
        <w:t>f.f. THE SECRETARY GENERAL THE PRESIDENT</w:t>
        <w:br/>
        <w:t>Serena Stella Giovanni Pitruzzella</w:t>
      </w:r>
    </w:p>
    <w:p>
      <w:r>
        <w:t>58 BULLETIN NO. 18 OF MAY 14, 2018</w:t>
        <w:br/>
        <w:t>IP285 - MEVALUATE-RATING OF LEGALITY</w:t>
        <w:br/>
        <w:t>Provision No. 27149</w:t>
        <w:br/>
        <w:t>THE AUTHORITY FOR THE GUARANTEE OF COMPETITION AND THE MARKET</w:t>
        <w:br/>
        <w:t>IN ITS MEETING of April 24, 2018;</w:t>
        <w:br/>
        <w:t>HEARD the Rapporteur Professor Michele Ainis;</w:t>
        <w:br/>
        <w:t>VIEWED Part II, Title III of Legislative Decree No. 206 of September 6, 2005, containing the "Consumer Code" and subsequent amendments (hereinafter, Consumer Code);</w:t>
        <w:br/>
        <w:t>VIEWED, in particular, Article 27, paragraph 12, of the Consumer Code, according to which in the event of non-compliance with urgent measures or those prohibitory or for the removal of effects, the Authority applies an administrative pecuniary sanction from 10,000 to 5,000,000 euros and in cases of repeated non-compliance, the Authority may order the suspension of business activity for a period not exceeding thirty days;</w:t>
        <w:br/>
        <w:t>VIEWED Law No. 689 of November 24, 1981;</w:t>
        <w:br/>
        <w:t>VIEWED its resolution No. 26640 of June 7, 2017, with which the Authority ascertained the unfairness of the commercial practice consisting of the dissemination of misleading and omissive information, through the websites http://consulenti.it.mevaluate.com and www.it.mevaluate.com, carried out by Mevaluate Italia S.r.l. and Associazione Mevaluate Onlus (hereinafter, also jointly, the Party or the "professionals");</w:t>
        <w:br/>
        <w:t>VIEWED its resolution No. 26912 of December 20, 2017, with which the Authority contested to Mevaluate Italia S.r.l. and Associazione Mevaluate Onlus the violation of Article 27, paragraph 12, of the Consumer Code, for failing to comply with the aforementioned resolution No. 26640 of June 7, 2017;</w:t>
        <w:br/>
        <w:t>VIEWED the documents of the proceeding;</w:t>
        <w:br/>
        <w:t>CONSIDERED the following:</w:t>
        <w:br/>
        <w:t>I. PREMISE</w:t>
        <w:br/>
        <w:t>1. With provision No. 26640 of June 7, 2017, notified on June 20, 2017, the Authority declared the unfairness, pursuant to Articles 20, 21, paragraph 1, letter b) and 22 of the Consumer Code, of the methods of presentation of the reputational rating services offered by the professionals through the "Mevaluate System" advertised on the websites http://consulenti.it.mevaluate.com and www.it.mevaluate.com.</w:t>
        <w:br/>
        <w:t>2. In particular, in the cited provision, the Authority noted that the overall setup of the aforementioned sites - due to the expressions used to describe the services offered by the professionals - was likely to mislead consumers about the actual nature of the professionals and the qualifications held by them, as well as i) about the characteristics of the activity carried out. In this sense, indeed, the statements regarding the improper comparison between the reputational rating activity of Mevaluate and the legality rating of companies established by Decree Law No. 1/2012 were significant; ii) the "references" claimed by Mevaluate in terms of sponsorships and endorsements allegedly received from public entities; iii) the represented methods of establishing the Mevaluate consultant network.</w:t>
      </w:r>
    </w:p>
    <w:p>
      <w:r>
        <w:t>BULLETIN NO. 18 OF MAY 14, 2018 59</w:t>
        <w:br/>
        <w:t>Based on these elements, the Authority considered that the messages accredited and amplified the relevance and reliability of the Mevaluate project, overall leading recipients to believe that Mevaluate's activity could be considered a para-public and official activity, as if it were normatively provided.</w:t>
        <w:br/>
        <w:t>3. In detail, regarding the methods of establishing the Mevaluate consultant network, the training activity preparatory to entering the consultant network was presented on the websites as free, being included among the "free services and benefits for the 12,000 Mevaluate reputational consultants," while it was essentially always chargeable, considering that to follow the 22-hour e-learning training course, candidates were required to make a one-time investment of 1,900 euros if they became members of Mevaluate Italia Advisory S.r.l. Similarly, for those who assumed the status of member, access to the same services would always be chargeable, but at a higher cost, amounting to 4,500 euros plus VAT, justified by the professionals on the basis that the failure to opt to become members entailed a waiver of the claimed free services.</w:t>
        <w:br/>
        <w:t>4. Regarding the actual characteristics of the activity carried out and the services offered, in the box titled "insights" on the website http://consulenti.it.mevaluate.com, under the heading "The Mevaluate Rating," the professionals made a parallel with the legality rating of companies referred to in Article 5 ter of the aforementioned Decree Law No. 1/2012. This comparison was misleading, as it improperly compared a private reputational assessment initiative with the official legality "rating," as established by the aforementioned decree law, which entrusted its application to a public entity, whose attribution determines effects equally established by law. Such an explicit comparison, through a summary table of the "main differences between the Mevaluate Reputational Rating and the AGCM Legality Rating," under the profiles of nature, scope, characteristics, and security, in the absence of information capable of clarifying its scope, was likely to mislead the average consumer.</w:t>
        <w:br/>
        <w:t>5. In this regard, the Authority considered that this decoding was further supported by the contents of the "references" section, found in the same box called "insights," which contained the list of public entities, companies, and associations that "during the work of weaving the network of collaborations necessary for the development of the Mevaluate System" would have interacted with Mevaluate, having had the opportunity "to evaluate our project, showing us truly significant interest."</w:t>
        <w:br/>
        <w:t>On this point, in light of the investigative findings, the Authority noted that the claims regarding the involvement of numerous public entities appeared disproportionate and excessive, given their overall presentation, compared to the actual nature of the relationships that may have occurred with the entities themselves. Essentially, the advertising communication, as a whole, was likely to create in the consumer the erroneous belief that there was a generalized and unconditional public support for the Mevaluate initiative, which, however, was not supported by the evidence in the records.</w:t>
        <w:br/>
        <w:t>6. In light of the above, the Authority prohibited the further dissemination of the commercial practice and ordered the professionals to communicate the initiatives taken in compliance with the warning, within sixty days from the notification of the aforementioned provision No. 26640 of June 7, 2017, which took place on June 20, 2017.</w:t>
      </w:r>
    </w:p>
    <w:p>
      <w:r>
        <w:rPr>
          <w:b/>
        </w:rPr>
        <w:t>[Pages 58–60]</w:t>
      </w:r>
    </w:p>
    <w:p>
      <w:r>
        <w:t>60 BULLETIN NO. 18 OF MAY 14, 2018</w:t>
        <w:br/>
        <w:t>7. In a note received on August 2, 2017, Mevaluate claimed that the activity had ceased, since the Call for the selection of reputational consultants was closed as of October 31, 2016, and that it had fully refunded all amounts paid by the participants in the aforementioned Call, removing any detrimental effects of the practice. Following a request for information on October 3, 2017, aimed at acquiring further necessary elements for the assessment of the case, Mevaluate produced, on October 17, 2017, an additional note in which it reiterated that the warning referred to in provision no. 26640 did not require further interventions on its part, as the statements present on the aforementioned websites pertained to "conducts that are now completely exhausted and sanctioned." From the official investigations conducted on the websites on November 7 and 9, 2017, it emerged that the professionals made significant changes to the site www.it.mevaluate.com, including the removal of the call for the selection of reputational consultants, as well as the comparison with the legality rating of companies established by Legislative Decree no. 1/2012 and the reference to the University of Tor Vergata in the "References" section. On November 13, 2017, Mevaluate expressed the intention to extend the same changes to the site http://consulenti.it.mevaluate.com.</w:t>
      </w:r>
    </w:p>
    <w:p>
      <w:r>
        <w:t>8. Based on the information acquired officially by the Authority and, specifically, the observations made on the professionals' websites on December 6 and 19, 2017, it emerged, with regard to the site www.it.mevaluate.com, that the changes made by the professionals, as described above, were nonetheless insufficient for compliance. This is because the unchanged representation, among the "References," of the subjects who would have, in various capacities, sponsored or supported the advertised initiative appeared suitable, in the absence of adequate clarifications regarding the actual nature of the relationships between those subjects and Mevaluate, to substantially reiterate the same profile of incorrectness already censured, determining the same effect of accrediting the Mevaluate project beyond its real nature, as well as amplifying its actual scope.</w:t>
      </w:r>
    </w:p>
    <w:p>
      <w:r>
        <w:t>9. Furthermore, with regard to the site http://consulenti.it.mevaluate.com, although it had removed the comparison with the legality rating of companies established by Legislative Decree no. 1/2012 and the reference to the University of Tor Vergata, Mevaluate continued to disseminate both the same representation regarding the "References" described above and the full text of the call for the selection of reputational consultants in which the preparatory training activity for entry into the network of consultants was falsely presented as free of charge. Therefore, as evidenced by the documentary evidence that the commercial practice presented the same profiles of incorrectness already established, with provision of December 20, 2017, no. 26912, the Authority contested to Mevaluate Italia S.r.l. and Associazione Mevaluate Onlus the violation referred to in Article 27, paragraph 12, of the Consumer Code, for failing to comply with the Authority's resolution no. 26640 of June 7, 2017.</w:t>
      </w:r>
    </w:p>
    <w:p>
      <w:r>
        <w:t>II. THE ARGUMENTS OF THE PARTY</w:t>
        <w:br/>
        <w:t>10. The notice of contestation of non-compliance with the aforementioned resolution of June 7, 2017, was communicated to the professionals on January 10, 2018.</w:t>
        <w:br/>
        <w:t>11. Following the initiation of this proceeding, the Party stated, in the defense note of February 7, 2018, and in the minutes of the hearing of February 22, 2018, that it had believed in good faith that it had correctly complied with the provisions of the resolution of June 7, 2017, and had demonstrated the willingness to comply with it. In proof of its collaborative attitude, the Party points out that it promptly modified, following the receipt of the notice of initiation of this proceeding, the websites http://consulenti.it.mevaluate.com, http://www.it.mevaluate.com/mevitalia, and http://www.it.mevaluate.com/mevonlus, removing the text of the Call for the selection of reputational consultants, the comparison between the Mevaluate reputational rating and the legality rating of companies established by Legislative Decree no. 1/2012, as well as the reference to all the "references" claimed by Mevaluate in terms of sponsorships and alleged support received from public entities.</w:t>
      </w:r>
    </w:p>
    <w:p>
      <w:r>
        <w:t>III. EVALUATIONS</w:t>
        <w:br/>
        <w:t>12. In light of the investigative findings, it is believed that the behavior exhibited by the professionals constitutes non-compliance with the resolution of June 7, 2017, no. 26640, as Mevaluate, as hypothesized in the initiation provision, has reiterated the conduct sanctioned by the Authority, thus violating the prohibition of continuation of the commercial practice established in the aforementioned resolution.</w:t>
        <w:br/>
        <w:t>13. As highlighted, in fact, following the notification of the aforementioned provision of June 7, 2017, on the site www.it.mevaluate.com, the section of the so-called "References" retained the same structure already censured, consisting of a list of various subjects who would have sponsored or supported the advertised initiative, a list that appeared suitable, in the absence of adequate clarifications regarding the actual nature of the relationships between those subjects and Mevaluate, to substantially reiterate the same profile of incorrectness already established: in other words, such representation determined the same effect of accrediting the Mevaluate project beyond its real nature, as well as implying that such services, contrary to the truth, are in some way institutionalized or officially usable in commercial transactions or social relations. The same representation regarding the "References" described above also remained on the site http://consulenti.it.mevaluate.com, as well as the full text of the Call for the selection of reputational consultants in which the preparatory training activity for entry into the network of consultants was falsely presented as free of charge.</w:t>
      </w:r>
    </w:p>
    <w:p>
      <w:r>
        <w:t>14. By reason of the elements outlined, it is believed that the Party has reiterated the already censured incorrect conduct, disseminating misleading and omissive information regarding the actual nature and real qualifications of the professionals, as well as regarding the characteristics of the activity carried out.</w:t>
        <w:br/>
        <w:t>15. Non-compliance with the provision of June 7, 2017, cannot be considered excluded by the circumstance that the professional believed in good faith that it had complied with the same by merely partially modifying the websites.</w:t>
        <w:br/>
        <w:t>16. The professional, in fact, should have communicated within 60 days from the notification of the provision of June 7, 2017, that is, by August 20, 2017, the initiatives adopted in order to comply with the Authority's warning. On the contrary, it limited itself to interlocutory communications and partial modifications, without providing the Authority with a correct representation of the timing and measures it intended to actually adopt in execution of the Authority's warning, intervening to substantially modify the sites only in February 2018 and, therefore, after the contestation of non-compliance.</w:t>
      </w:r>
    </w:p>
    <w:p>
      <w:r>
        <w:t>62 BULLETIN NO. 18 OF MAY 14, 2018</w:t>
        <w:br/>
        <w:t>Indeed, from the official investigations conducted on February 14 and 28, 2018, it emerged that the professionals removed from the sites http://www.it.mevaluate.com and http://consulenti.it.mevaluate.com the text of the Call for the selection of aspiring reputational consultants, the comparison between the Mevaluate reputational rating and the legality rating of companies referred to in Legislative Decree no. 1/2012, and the reference to the public "references" claimed by Mevaluate.</w:t>
        <w:br/>
        <w:t>17. In conclusion, based on the preceding considerations, Mevaluate Italia S.r.l. and Associazione Mevaluate Onlus do not appear to have complied with resolution no. 26640 of June 7, 2017.</w:t>
      </w:r>
    </w:p>
    <w:p>
      <w:r>
        <w:t>IV. QUANTIFICATION OF THE SANCTION</w:t>
        <w:br/>
        <w:t>18. Pursuant to Article 27, paragraph 12, of the Consumer Code, the Authority orders the application of an administrative pecuniary sanction from €10,000 to €5,000,000, taking into account the severity and duration of the violation.</w:t>
        <w:br/>
        <w:t>19.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as well as the economic conditions of the company itself.</w:t>
        <w:br/>
        <w:t>20. With regard to the severity of the violation, account is taken of the quality and quantity of the profiles of which the repeated dissemination has been established, as well as the high offensive potential of the practice as it is disseminated via the internet, that is, a means inherently capable of reaching a wide audience of users.</w:t>
        <w:br/>
        <w:t>21. With regard to the duration, from the elements in the records, it appears that the failure to comply with the warning within the aforementioned terms has been in effect since August 20, 2017 (i.e., after the 60-day period from the notification of the provision for the communication of the initiatives adopted in compliance with the Authority's decision) and ceased in February 2018 due to the changes made by the Party following the initiation of the proceeding itself.</w:t>
        <w:br/>
        <w:t>22. Considering these elements, also taking into account the characteristics and the role played by each of the two professionals, as well as their economic size, it is deemed appropriate to impose on Mevaluate Italia S.r.l. an administrative pecuniary sanction of €75,000 (seventy-five thousand euros) and on Associazione Mevaluate Onlus an administrative pecuniary sanction of €15,000 (fifteen thousand euros).</w:t>
        <w:br/>
        <w:t>All of the above having been stated and considered;</w:t>
        <w:br/>
        <w:t>RESOLVES</w:t>
        <w:br/>
        <w:t>a) that the behavior of Mevaluate Italia S.r.l. and Associazione Mevaluate Onlus, consisting of violating resolution no. 26440 of June 7, 2017, constitutes non-compliance with the latter;</w:t>
        <w:br/>
        <w:t>b) to impose on Mevaluate Italia S.r.l. an administrative pecuniary sanction of €75,000 (seventy-five thousand euros);</w:t>
      </w:r>
    </w:p>
    <w:p>
      <w:r>
        <w:rPr>
          <w:b/>
        </w:rPr>
        <w:t>[Pages 61–63]</w:t>
      </w:r>
    </w:p>
    <w:p>
      <w:r>
        <w:t>BULLETIN NO. 18 OF MAY 14, 2018 63</w:t>
        <w:br/>
        <w:t>c) to impose an administrative monetary penalty on Associazione Mevaluate Onlus in the amount of € 15,000 (fifteen thousand euros).</w:t>
        <w:br/>
        <w:t>The administrative penalties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date the role is transmitted to the collector for collection; in this case, the increase absorbs the late payment interest accrued during the same period.</w:t>
        <w:br/>
        <w:t>Notification of the payment must be immediately communicated to the Authority by sending the documentation certifying the payment made.</w:t>
        <w:br/>
        <w:t>This provision will be notified to the interested parties and published in the Bulletin of the Authority for the Guarantee of Competition and the Market.</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f.f. THE PRESIDENT</w:t>
        <w:br/>
        <w:t>Roberto Chieppa Gabriella Muscolo</w:t>
      </w:r>
    </w:p>
    <w:p>
      <w:r>
        <w:t>64 BULLETIN NO. 18 OF MAY 14, 2018</w:t>
        <w:br/>
        <w:t>PS10816 - TRIVEO - FAILURE TO DELIVER - FAILURE TO REFUND</w:t>
        <w:br/>
        <w:t>Provision no. 27150</w:t>
        <w:br/>
        <w:t>THE AUTHORITY FOR THE GUARANTEE OF COMPETITION AND THE MARKET</w:t>
        <w:br/>
        <w:t>IN ITS MEETING of April 24, 2018;</w:t>
        <w:br/>
        <w:t>HEARD the Rapporteur Dr. Gabriella Muscolo;</w:t>
        <w:br/>
        <w:t>VIEWED Part II, Title III, and Part III, Title III, of Legislative Decree of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November 8, 2017, which ordered the inspection, pursuant to Article 27, paragraphs 2 and 3, of the Consumer Code at the headquarters of the company Rocket S.r.l.;</w:t>
        <w:br/>
        <w:t>VIEWED its provision of December 5, 2017, which resolved to adopt the precautionary measure, pursuant to Article 27, paragraph 3, of the Consumer Code;</w:t>
        <w:br/>
        <w:t>VIEWED its provision of March 7, 2018, which, pursuant to Article 7, paragraph 3, of the Regulation, ordered the extension of the deadline for concluding the procedure, for specific investigative needs;</w:t>
        <w:br/>
        <w:t>VIEWED the acts of the procedure;</w:t>
        <w:br/>
        <w:t>I. THE PARTY</w:t>
        <w:br/>
        <w:t>1. The company Rocket S.r.l. (VAT no. 13102111005) (hereinafter "the Party" or "the Professional"), as a professional pursuant to Article 18, paragraph 1, letter b), of the Consumer Code, primarily engages in the wholesale trade of electronic telecommunications equipment and other electrical components. The Professional operates through the website identified by the domain https://www.triveo.it/ and its revenue for the year 2016 amounted to € 4,521,466.00.</w:t>
        <w:br/>
        <w:t>II. COMMERCIAL PRACTICES</w:t>
        <w:br/>
        <w:t>2. The procedure concerns the unfairness of commercial conduct carried out by the professional to promote and sell various products through the company website triveo.it (hereinafter, also the "Site") and originates from information acquired ex officio and from 68 reports from consumers who reported (even during the procedure) that, despite having placed the order and paid the corresponding amount, the professional did not proceed with the delivery of the purchased product. This despite the order confirmation and the fact that the product was available on the Site. The reporters also highlighted the difficulty, even the impossibility, of contacting the professional, even after numerous attempts, as well as the dissemination of false and contradictory information by the assistance service regarding the status of orders and the developments of the transactions carried out.</w:t>
        <w:br/>
        <w:t>3. More specifically, the conduct subject to investigative analysis concerns:</w:t>
        <w:br/>
        <w:t>(i) the presentation of the products offered on the Site as available and the subsequent purchase procedures (payment, confirmation email), when in reality such products were not available to the professional;</w:t>
        <w:br/>
        <w:t>(ii) the failure to deliver the goods ordered and paid for by consumers;</w:t>
        <w:br/>
        <w:t>(iii) in the context of assistance provided to consumers, the dissemination of false and contradictory information, as well as the absence of timely responses regarding the actual status and concrete developments of purchase orders and the actual delivery times thereof;</w:t>
        <w:br/>
        <w:t>(iv) also in the context of consumer assistance, the obstruction to refunds for consumers despite numerous requests and complaints;</w:t>
        <w:br/>
        <w:t>(v) the absence and/or incompleteness of the publication, on the professional's site, of the information legally required regarding, in particular, contact details, the right of withdrawal, the legal guarantee of conformity, the extrajudicial complaint mechanism, and finally, the competent Forum.</w:t>
        <w:br/>
        <w:t>III. THE OUTCOMES OF THE PROCEDURE</w:t>
        <w:br/>
        <w:t>1) The course of the procedure</w:t>
        <w:br/>
        <w:t>4. In relation to the conduct described above, on November 8, 2017, the Party was notified of the initiation of investigative procedure no. PS10816 against Rocket S.r.l. for possible violation of Articles 20 paragraph 2, 21, paragraph 1, letters b) and g), 22, 24, 25, letter d), 49, paragraph 1, letters a), c), h), m), n) and v), 51, 54, paragraph 1, 56, paragraph 1, 57, paragraphs 1 and 2, 61 paragraph 1, 63 paragraph 1, and 66-bis of the Consumer Code.</w:t>
        <w:br/>
        <w:t>5. Concurrently with the initiation communication, the professional was invited, pursuant to Article 8, paragraph 2, of the Regulation, to submit written statements and documents within ten days of receipt, for the purpose of assessing the existence of the conditions for the provisional suspension of the practices, pursuant to Article 27, paragraph 3, of the Consumer Code.</w:t>
        <w:br/>
        <w:t>6. On November 13, 2017, inspection checks were carried out to acquire documentation useful in relation to the conduct subject to the procedure at the professional's premises.</w:t>
        <w:br/>
        <w:t>7. The professional, on November 15, 2017, submitted a request for access to the documents which was positively responded to on November 17, 2017. Access to the file was made on November 20, 2017.</w:t>
        <w:br/>
        <w:t>8. On November 24, 2017, and December 4, 2017, the Party submitted defensive statements accompanied by the documentation requested at the initiation stage.</w:t>
        <w:br/>
        <w:t>9. With a provision of December 5, 2017, the Authority ordered the suspension of the practice related to the sale of unavailable products, as well as the charging of costs on the credit card for products not actually ready for delivery, considering the existence of the conditions of fumus boni iuris and periculum in mora.</w:t>
        <w:br/>
        <w:t>10. On December 29, 2017, the Party submitted an additional defensive statement.</w:t>
      </w:r>
    </w:p>
    <w:p>
      <w:r>
        <w:rPr>
          <w:b/>
        </w:rPr>
        <w:t>[Pages 64–66]</w:t>
      </w:r>
    </w:p>
    <w:p>
      <w:r>
        <w:t>66 BULLETIN NO. 18 OF MAY 14, 2018</w:t>
        <w:br/>
        <w:t>11. On February 19, 2018, the Party was informed of the conclusion date of the investigative phase pursuant to Article 16, paragraph 1, of the Regulation.</w:t>
        <w:br/>
        <w:t>12. By note dated March 1, 2018, the professional requested to be heard in a hearing.</w:t>
        <w:br/>
        <w:t>13. In order to positively respond to the party's request, on March 7, 2018, the deadline for concluding the procedure was extended until April 27, 2017.</w:t>
        <w:br/>
        <w:t>14. On March 9, 2017, the hearing of the company took place.</w:t>
        <w:br/>
        <w:t>15. On March 13, 2017, the Party submitted the final memorandum.</w:t>
        <w:br/>
        <w:t>16. On March 14, 2018, a request for an opinion was sent to the Authority for Guarantees in Communications, which was received on April 13, 2018.</w:t>
        <w:br/>
        <w:t>2) The evidence acquired</w:t>
        <w:br/>
        <w:t>a) The reports</w:t>
        <w:br/>
        <w:t>17. The behaviors described in point II were inferred from the 68 reports received between May 2016 and March 2018, including after the initiation of the present procedure, concerning the failure to deliver electronic products purchased by consumers.</w:t>
        <w:br/>
        <w:t>18. The extent of the described behaviors can be better understood by considering the content of some reports, in particular:</w:t>
        <w:br/>
        <w:t>a) one reporter notes that the professional did not deliver the purchased product within the promised time on the website, and subsequently did not refund the amount received after the withdrawal from the contract1;</w:t>
        <w:br/>
        <w:t>b) a consumer purchased a mobile phone on the professional's website on March 2, 2017; having not yet received the product, on March 16, 2017, he communicated to the seller his intention to withdraw, requesting a refund of the amount paid2;</w:t>
        <w:br/>
        <w:t>c) a buyer ordered and paid for a smartphone on April 18, 2017, and, in the absence of delivery, contacted the professional who informed him that the product was not available, despite the contrary being indicated on the website. After communicating the intention to withdraw from the contract, he is still waiting to receive the refund of the amount paid, despite the professional having informed him that a reversal in his favor had been made3;</w:t>
        <w:br/>
        <w:t>d) lastly, three reports received in August 2017 state that the professional fails to deliver the goods ordered to buyers, not respecting the deadline indicated on the website (from 24 to 48 hours from the date indicated in the product sheet) and would not respond to requests for withdrawal4 or clarification5 submitted by consumers.</w:t>
        <w:br/>
        <w:t>b) The information available on the site</w:t>
        <w:br/>
        <w:t>19. From further checks carried out on the Party's website6, some omissions of the pre-contractual information obligations, which burden the professional in the case of distance contracts, suitable to induce consumers to make commercial decisions that they otherwise would not have made, were identified.</w:t>
        <w:br/>
        <w:t>20. In particular:</w:t>
        <w:br/>
        <w:t>a) The Professional fails to indicate an email address where consumers can quickly contact him: in the "Contact Us" section of the website, there is only a web form that does not provide any confirmation of the successful sending of the communication by the consumer;</w:t>
        <w:br/>
        <w:t>b) The information concerning the exercise of the right of withdrawal (available on the "Returns, Withdrawals, and Refunds" page) contains incomplete and imprecise data. There is no form for exercising the right of withdrawal. On the contrary, the methods of communicating the intention to exercise it impose unjustified burdens on consumers, as well as the necessity of acceptance by the professional: it is indeed indicated that those withdrawing are required to send a registered letter with acknowledgment of receipt to the professional indicating their intention to withdraw. The seller, after receiving the letter, contacts the consumer by email informing him of the address to which to send the goods within fourteen days from the acceptance of the withdrawal;</w:t>
        <w:br/>
        <w:t>c) On the page dedicated to the right of withdrawal, it is stated: "the company will refund all payments received (...) no later than 30 days from the day it received the products subject to the withdrawal request." However, this deadline, as evidenced by the documentation on file, is not respected; moreover, there is no information regarding the circumstances under which the consumer would not have the right to exercise the right of withdrawal;</w:t>
        <w:br/>
        <w:t>d) The information regarding the legal guarantee of conformity contains completely insufficient information and is inadequate to inform consumers of their rights and the terms within which they could be asserted;</w:t>
        <w:br/>
        <w:t>e) There is no reference to the possibility of using an extrajudicial complaint and appeal mechanism;</w:t>
        <w:br/>
        <w:t>f) Finally, the professional provides that the competent court is exclusively that of Rome.</w:t>
        <w:br/>
        <w:t>c) The inspection findings</w:t>
        <w:br/>
        <w:t>21. The inspection carried out at the company's headquarters confirmed that the professional has received 33,808 orders since the beginning of the activity (November 2014). Of these, 12,365 were made in 2017 and are attributable to the categories listed in the table below:</w:t>
        <w:br/>
        <w:t>ORDERS RELATING TO 2017</w:t>
        <w:br/>
        <w:t>BLOCKED FOR</w:t>
        <w:br/>
        <w:t>IN PROCESS OF</w:t>
        <w:br/>
        <w:t>TOTAL FULFILLED REFUNDED CANCELED PAYMENT ISSUES</w:t>
        <w:br/>
        <w:t>REFUND PROCESSING</w:t>
        <w:br/>
        <w:t>12,365 6,405 1,416 1,957 391 1,290 906</w:t>
      </w:r>
    </w:p>
    <w:p>
      <w:r>
        <w:t>68 BULLETIN NO. 18 OF MAY 14, 2018</w:t>
        <w:br/>
        <w:t>22. Regarding the 1,416 customers to be refunded, the Party specified that a "recovery plan" is being structured and that the professional has proceeded with the return of what is owed, prioritizing customers who have proposed settlement agreements through their lawyers7.</w:t>
        <w:br/>
        <w:t>23. Regarding the management of complaints, from the extraction of 60,794 emails related to "conversations" that took place with consumers and managed by the Party during 2017, it appears that the professional follows a recurring method: upon the first complaint, he requests the administrative data of the order and reassures the buyer regarding the delivery of the ordered good; subsequently, in response to the numerous further complaints, he states that the delays are due to administrative problems and/or delays in the shipment of products; finally, following the buyer's request for a refund, he replicates the same strategy and, in the end, does not proceed with the refund.</w:t>
        <w:br/>
        <w:t>24. By way of mere example, it is possible to recall the series of messages exchanged between the party and a buyer who8, starting from May 16, 2017, repeatedly asked whether the ordered and paid device had been shipped. To the numerous complaints, the professional responded by reassuring the consumer about the imminent fulfillment of the order. Given the continued non-fulfillment, the buyer threatened to contact the Police. Subsequently, despite the buyer's pressing requests to obtain a refund of what was owed, the professional not only did not refund but also continued to engage in delaying practices. The last exchange of messages obtained – dated July 11, 2017 – replicates the pattern in which the consumer requests a refund and the professional responds that the transaction would be completed, at the latest, in the afternoon.</w:t>
        <w:br/>
        <w:t>3) The defensive arguments of the Party</w:t>
        <w:br/>
        <w:t>25. The professional highlighted that he adopted sales policies that provided for marketing via the web "showcasing only available products, the quantities present in stock, the geographical origin, the detailed product sheet, the delivery times, and the payment methods provided"9.</w:t>
        <w:br/>
        <w:t>26. The Party also specified that it has overcome the informational deficiencies related to the regulation and exercise of the right of withdrawal, introducing significant changes to the structure of the company website and has published the correct references to the ODR body for extrajudicial conciliation and to the competent court to decide on disputes with consumers.</w:t>
        <w:br/>
        <w:t>27. In a subsequent defensive writing10, the Party illustrated the salient features of the chosen business profile. In particular, it emphasized that the choice to operate using so-called dropshipping was determined by the increase in purchase orders that "were received regularly."</w:t>
        <w:br/>
        <w:t>28. These circumstances would have led the professional to make significant investments "in web marketing and social marketing" and only due to the failure of deliveries by suppliers would cases of non-fulfillment towards consumers have occurred.</w:t>
        <w:br/>
        <w:t>7 See Report on the inspection findings of November 13, 2017.</w:t>
        <w:br/>
        <w:t>8 See messages no. 28320, 28360, 28471, 28525, 28842, 28955, 30750, 30837, 30850, 30873, 33273, 33397, 33686, 33791, 34171, 36272, 36387, 39237, 42155, 43946, 44056, 45385, 45427, 45428 of the file EXPORT_MESSAGES_2017, an integral part of the report of the inspection findings of November 13, 2017.</w:t>
        <w:br/>
        <w:t>9 Memorandum of the professional, prot. 87150 of November 24, 2017.</w:t>
        <w:br/>
        <w:t>10 Note prot. 89039 of December 4, 2017.</w:t>
      </w:r>
    </w:p>
    <w:p>
      <w:r>
        <w:rPr>
          <w:b/>
        </w:rPr>
        <w:t>[Pages 67–69]</w:t>
      </w:r>
    </w:p>
    <w:p>
      <w:r>
        <w:t>BULLETIN NO. 18 OF MAY 14, 2018 69</w:t>
        <w:br/>
        <w:t>29. The negative trend – continued the Party – would have been exacerbated by liquidity problems.</w:t>
        <w:br/>
        <w:t>30. In order to address the described critical issues, the company, on one hand, would have entered into a contract with a specialized company to provide responses to dissatisfied consumers through a dedicated call center and, on the other hand, would have turned to a law firm "to manage customer complaints and find an amicable solution to the various requests."</w:t>
        <w:br/>
        <w:t>31. The professional also reported the reimbursement of some complainants, carried out based on the findings of the previous access to the documents.</w:t>
        <w:br/>
        <w:t>32. Subsequently, the company highlighted that it had further intervened on the informational content, limiting the use of the term "available" to cases of products that were actually available and to those for which the company's usual suppliers would ensure supply within two days. Finally, Rocket recalled the circumstance that, during 2017, it would have refunded 154 consumers.</w:t>
        <w:br/>
        <w:t>33. During the hearing on March 9, 2018, the Party recalled the previously mentioned supply and liquidity problems and communicated that it would proceed with the delivery of 320 devices and the reimbursement of 470 consumers, against the 1,416 requests recorded. Regarding the still pending situations, the professional stated that he intended to proceed with the return of the amounts received from dissatisfied purchasers within four months. As for the commercial policy, the professional emphasized that he was no longer active in e-commerce, that a good portion of recent orders would not have come from consumers, and finally, that complaints had decreased thanks to an improvement in customer care.</w:t>
        <w:br/>
        <w:t>34. Finally, Rocket reported the results of the refund activity described in the hearing and drew attention to the fact that, following the initiation of the investigation, it had correctly fulfilled the obligations arising from consumer orders.</w:t>
        <w:br/>
        <w:t>IV. OPINION OF THE AUTHORITY FOR GUARANTEES IN COMMUNICATIONS</w:t>
        <w:br/>
        <w:t>35. Since the commercial practice subject to this provision was disseminated via the internet, on March 14, 2018, an opinion was requested from the Authority for Guarantees in Communications, pursuant to Article 27, paragraph 6, of the Consumer Code.</w:t>
        <w:br/>
        <w:t>36. In an opinion received on April 13, 2018, the aforementioned Authority, limiting its evaluations to the suitability of the specific means of communication used to disseminate the commercial practice to affect and amplify any unfairness of the same practice, expressed its opinion that the consumer, influenced by the information disseminated via the internet regarding the products offered for sale on the professional's website, could then actually proceed to purchase and simultaneously pay the price without being able to receive the purchased goods and therefore without being able to recover the amounts paid, concretely developing the full promotional potential of online communication.</w:t>
        <w:br/>
        <w:t>37. Therefore, the Authority for Guarantees in Communications deemed that, in this case, the internet is a suitable tool to significantly influence the realization of the commercial practice subject to the request for opinion.</w:t>
        <w:br/>
        <w:t>11 Note prot.94816 of December 29, 2017.</w:t>
        <w:br/>
        <w:t>12 Note prot.26869 of March 13, 2018.</w:t>
      </w:r>
    </w:p>
    <w:p>
      <w:r>
        <w:t>70 BULLETIN NO. 18 OF MAY 14, 2018</w:t>
        <w:br/>
        <w:t>V. CONCLUDING EVALUATIONS</w:t>
        <w:br/>
        <w:t>Preliminary Observations</w:t>
        <w:br/>
        <w:t>38. The investigation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 Hence the need to ensure the correctness of commercial relationships, primarily the fulfillment of the main obligations of the contract and, therefore, the delivery of the purchased goods, corresponding to those subject to promotion and offer. In the pre-purchase decision phase, it is therefore necessary to provide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professional's statements. Moreover, considering the characteristics and articulation via the internet, greater detail in providing complete and exhaustive information, in a clear and understandable manner, from the first contact with the consumer regarding a commercial transaction does not entail any additional burden for the professional.</w:t>
        <w:br/>
        <w:t>39. Furthermore, it should be noted that, in the e-commerce sector, the informational obligations of the professional remain, albeit with different significance, even after the submission of an order: during the execution phase of the consumer relationship, not only the rapid execution of a transaction is relevant, but also the dissemination of correct information about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w:t>
        <w:br/>
        <w:t>Violations of the Consumer Code referred to in point II</w:t>
        <w:br/>
        <w:t>40. From the evidence collected during the investigation, it emerges that, as of the date of the inspection (November 13, 2017), 1,461 orders regularly paid by consumers were not properly honored by the professional.</w:t>
        <w:br/>
        <w:t>41. Additionally, it must be noted that many products not delivered to consumers were presented as available on the website at the time of purchase, even though they were not in the professional's availability, nor that of the reference supplier. Consumers, after making the purchase, learned of problems in order management and delays in the delivery of the purchased products, sometimes managing to obtain refunds only after numerous complaints. Moreover, the professional, before the intervention of the Authority, rarely provided responses to consumers, and when this occurred, they were vague and indeterminate and entirely inadequate concerning the content of the complaints made by consumers.</w:t>
        <w:br/>
        <w:t>42. Numerous consumers, despite repeated reminders made during the time elapsed from the withdrawal from the contract and the request for a refund, still did not obtain the refund, encountering significant obstacles in exercising their contractual rights.</w:t>
        <w:br/>
        <w:t>43. Furthermore, the high number of cancellations of orders paid by consumers (1,290) highlights how the professional's sales scheme is not suitable to ensure the proper fulfillment of the obligations undertaken and, therefore, is incompatible with diligent online sales activity.</w:t>
        <w:br/>
        <w:t>44. Moreover, it should be noted that the observations made at the start and during the investigation did not find adequate responses in the defenses of the Party, which, on one hand, admitted the serious breaches detected and, on the other hand, was unable to justify the reasons for the occurrence of such a significant number of violations to the detriment of consumers, limiting itself to invoking generic supply and liquidity issues.</w:t>
        <w:br/>
        <w:t>45. The described conduct – considered as a whole – is characterized as an aggressive commercial practice, due to the marked position of weakness in which consumers find themselves, also due to the informational asymmetries that characterize the tool used for concluding the purchase contract. Consumers, in fact, base their commercial choice not only on price but also on the presentation of the chosen product as available and, therefore, deliverable through simple shipping. It follows that the informational methods present on the site regarding the immediate availability of the products offered online are suitable to mislead consumers, pushing them to make a commercial decision that they would not have otherwise made and, therefore, subsequently to the cancellation of the order, they are unable to obtain from the professional the refund of the money paid.</w:t>
        <w:br/>
        <w:t>46. For the above reasons, the commercial practice must therefore be considered aggressive pursuant to Articles 24 and 25, letter d), of the Consumer Code, as it is capable, through misleading indications and omissive or obstructive conduct, of unduly conditioning the freedom of choice of the average consumer regarding the exercise of contractual rights.</w:t>
        <w:br/>
        <w:t>47. Furthermore, with reference to the absence and/or incompleteness of the publication, on the professional's website, of information relating to the contacts through which to reach the professional, the right of withdrawal, the legal guarantee of conformity, the extra-judicial complaint mechanism, and the indication of the competent court, it must be deemed that such deficiencies are in contrast with Articles 49 paragraph 1 letters a), c), h), m), n) and v), 54 paragraph 1, 56 paragraph 1, 57 paragraphs 1 and 2, 61 paragraph 1, 62 paragraph 1, 63 paragraph 1, 66-bis of the Consumer Code.</w:t>
        <w:br/>
        <w:t>VI. QUANTIFICATION OF THE SANCTION</w:t>
        <w:br/>
        <w:t>48.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49. Regarding the quantification of the sanction, account must be taken, as applicable, of the criteria identified by Article 11 of Law No. 689/81, by virtue of the reference provided for in Article 27, paragraph 13, of the Consumer Code: in particular, the severity of the violation, the work carried out.</w:t>
      </w:r>
    </w:p>
    <w:p>
      <w:r>
        <w:rPr>
          <w:b/>
        </w:rPr>
        <w:t>[Pages 70–72]</w:t>
      </w:r>
    </w:p>
    <w:p>
      <w:r>
        <w:t>72 BULLETIN NO. 18 OF MAY 14, 2018</w:t>
        <w:br/>
        <w:t>by the company to eliminate or mitigate the infringement, the personality of the agent, as well as the economic conditions of the company itself.</w:t>
        <w:br/>
        <w:t>50. With regard to the commercial practice, in assessing the severity of the violation, account is taken of the overall extent of the economic harm potentially resulting to consumers, the size of the professional, who has been operating since November 2014,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br/>
        <w:t>51. As for the duration of the violation, from the available evidence, it appears that the practice has been in place since at least May 2016 and is still ongoing regarding the failure to refund. Based on these elements, it is deemed appropriate to determine the applicable administrative monetary penalty for Rocket S.r.l. in the amount of €280,000 (two hundred eighty thousand euros).</w:t>
        <w:br/>
        <w:t>52. Regarding the severity of the violations referred to in point 47, the elements indicated in point 50 are recalled, while for the duration, from the available evidence, it appears that the contested conduct has been in place since at least September 2017 and ceased at the end of December 2017. Based on these elements, it is deemed appropriate to determine the applicable administrative monetary penalty for Rocket S.r.l. in the amount of €20,000 (twenty thousand euros).</w:t>
        <w:br/>
        <w:t>CONSIDERING, based on the aforementioned considerations, that the commercial practice is deemed unfair pursuant to Articles 24 and 25 letter d) of the Consumer Code, as it is contrary to professional diligence and capable, through misleading indications and omissive or obstructive conduct, of unduly conditioning the average consumer in relation to the exercise of contractual rights;</w:t>
        <w:br/>
        <w:t>CONSIDERING, based on the aforementioned considerations, that the conduct related to the failure to publish the legally required information constitutes distinct violations of Articles 49 paragraph 1 letters a), c), h), m), n) and v), 54 paragraph 1, 56 paragraph 1, 57 paragraphs 1 and 2, 61 paragraph 1, 62 paragraph 1, 63 paragraph 1, and 66-bis of the Consumer Code in relation to the absence and/or incompleteness of the publication, on the professional's website, of information regarding the contact details through which to reach the professional, the right of withdrawal, the legal warranty of conformity, the extra-judicial complaint mechanism, and the indication of the competent court;</w:t>
        <w:br/>
        <w:t>RESOLVES</w:t>
        <w:br/>
        <w:t>a) that the commercial practice described in point II of this provision, carried out by Rocket S.r.l., constitutes, for the reasons and within the limits stated in the motivation, an unfair commercial practice pursuant to Articles 24 and 25, letter d) of the Consumer Code, and prohibits its dissemination or continuation;</w:t>
        <w:br/>
        <w:t>b) that the conduct carried out in relation to the legally required information constitutes, for the reasons and within the limits stated in the motivation, violations of Articles 49, paragraph 1,</w:t>
      </w:r>
    </w:p>
    <w:p>
      <w:r>
        <w:t>BULLETIN NO. 18 OF MAY 14, 2018 73</w:t>
        <w:br/>
        <w:t>letters a), c), h), m), n) and v), 54, paragraph 1, 56, paragraph 1, 57, paragraphs 1 and 2, 61, paragraph 1, 62, paragraph 1, 63, paragraph 1, and 66-bis of the Consumer Code;</w:t>
        <w:br/>
        <w:t>c) that, with reference to the commercial practice described in sub a) against Rocket S.r.l., an administrative monetary penalty of €280,000 (two hundred eighty thousand euros) is imposed;</w:t>
        <w:br/>
        <w:t>d) that with reference to the conduct described in sub b), an administrative monetary penalty of €20,000 (twenty thousand euros) is imposed on Rocket S.r.l.;</w:t>
        <w:br/>
        <w:t>e) that the professional shall communicate to the Authority, within sixty days from the notification of this provision, the initiatives taken in compliance with the injunction referred to in point a).</w:t>
        <w:br/>
        <w:t>The imposed administrative penalties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74 BULLETIN NO. 18 OF MAY 14, 2018</w:t>
        <w:b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f.f. THE PRESIDENT</w:t>
        <w:br/>
        <w:t>Roberto Chieppa Gabriella Muscolo</w:t>
      </w:r>
    </w:p>
    <w:p>
      <w:r>
        <w:rPr>
          <w:b/>
        </w:rPr>
        <w:t>[Pages 73–73]</w:t>
      </w:r>
    </w:p>
    <w:p>
      <w:r>
        <w:t>Antitrust Authority Weekly Bulletin</w:t>
        <w:br/>
        <w:t>of Competition and Market Year XXVIII - No. 18 - 2018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