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https://www.agcm.it/dotcmsdoc/bollettini/2022/18-22.pdf</w:t>
      </w:r>
    </w:p>
    <w:p>
      <w:r>
        <w:t>Pages translated : 153</w:t>
      </w:r>
    </w:p>
    <w:p/>
    <w:p>
      <w:r>
        <w:rPr>
          <w:b/>
        </w:rPr>
        <w:t>[Pages 1–3]</w:t>
      </w:r>
    </w:p>
    <w:p>
      <w:r>
        <w:t>Bulletin</w:t>
        <w:br/>
        <w:t>Weekly</w:t>
        <w:br/>
        <w:t>Year XXXII - no. 18</w:t>
        <w:br/>
        <w:t>Published on the website www.agcm.it</w:t>
        <w:br/>
        <w:t>May 16, 2022</w:t>
      </w:r>
    </w:p>
    <w:p>
      <w:r>
        <w:t>SUMMARY</w:t>
        <w:br/>
        <w:t>AGREEMENTS AND ABUSE OF DOMINANT POSITION 5</w:t>
        <w:br/>
        <w:t>A544 - ERION WEEE/ANTICOMPETITIVE CONDUCT</w:t>
        <w:br/>
        <w:t>Measure no. 30130 5</w:t>
        <w:br/>
        <w:t>CONCENTRATION OPERATIONS 25</w:t>
        <w:br/>
        <w:t>C12246B - FRATELLI ARENA/BRANCHES OF SMA-DISTRIBUTION CAMBRIA-ROBERTO ABATE</w:t>
        <w:br/>
        <w:t>Measure no. 30131 25</w:t>
        <w:br/>
        <w:t>C12444 - CIRSA INTERNATIONAL BUSINESS CORPORATION/EPLAY 24 ITA</w:t>
        <w:br/>
        <w:t>Measure no. 30132 39</w:t>
        <w:br/>
        <w:t>C12446 - CVC CAPITAL PARTNERS SICAV-FIS/RGI</w:t>
        <w:br/>
        <w:t>Measure no. 30133 43</w:t>
        <w:br/>
        <w:t>ACTIVITIES OF REPORTING AND CONSULTATION 47</w:t>
        <w:br/>
        <w:t>AS1833 - LIST OF ENTITIES AUTHORIZED TO SELL ELECTRICITY 47</w:t>
        <w:br/>
        <w:t>UNFAIR TRADE PRACTICES 50</w:t>
        <w:br/>
        <w:t>IP357 - RBM HEALTH INSURANCE-PREVIMEDICAL/VARIOUS CONDUCTS</w:t>
        <w:br/>
        <w:t>Measure no. 30134 50</w:t>
        <w:br/>
        <w:t>PS11888 - BLUENERGY GROUP-COMMERCIAL OFFERS</w:t>
        <w:br/>
        <w:t>Measure no. 30136 58</w:t>
        <w:br/>
        <w:t>PS11889 - UBROKER-COMMERCIAL OFFERS</w:t>
        <w:br/>
        <w:t>Measure no. 30137 86</w:t>
        <w:br/>
        <w:t>PS12047 - VISITEL-COMMERCIAL OFFERS</w:t>
        <w:br/>
        <w:t>Measure no. 30138 116</w:t>
        <w:br/>
        <w:t>PS12151 - EQ ELEVATOR QUALITY-ELEVATOR ASSISTANCE</w:t>
        <w:br/>
        <w:t>Measure no. 30139 143</w:t>
        <w:br/>
        <w:t>PS11804 - DAZN-REFUND OF FOOTBALL PACKAGE</w:t>
        <w:br/>
        <w:t>Measure no. 30142 148</w:t>
        <w:br/>
        <w:t>PS11990 – TIK TOK – CRYSTAL DROPS</w:t>
        <w:br/>
        <w:t>Notice of communication of the conclusion of the investigation phase and extension of the</w:t>
        <w:br/>
        <w:t>proceeding deadline 150</w:t>
      </w:r>
    </w:p>
    <w:p>
      <w:r>
        <w:t>BULLETIN NO. 18 OF MAY 16, 2022 5</w:t>
        <w:br/>
        <w:t>AGREEMENTS AND ABUSE OF DOMINANT POSITION</w:t>
        <w:br/>
        <w:t>A544 - ERION WEEE/ANTICOMPETITIVE CONDUCT</w:t>
        <w:br/>
        <w:t>Measure no. 30130</w:t>
        <w:br/>
        <w:t>THE ITALIAN COMPETITION AUTHORITY</w:t>
        <w:br/>
        <w:t>IN ITS MEETING of April 27, 2022;</w:t>
        <w:br/>
        <w:t>HEARD the Rapporteur President Roberto Rustichelli;</w:t>
        <w:br/>
        <w:t>HAVING REGARD to Article 102 of the Treaty on the Functioning of the European Union (“TFEU”);</w:t>
        <w:br/>
        <w:t>HAVING REGARD to Regulation no. 1/2003 of the European Council of December 16, 2002, concerning</w:t>
        <w:br/>
        <w:t>the application of the competition rules laid down in Articles 81 and 82 of the Treaty establishing the</w:t>
        <w:br/>
        <w:t>European Community (now Articles 101 and 102 TFEU);</w:t>
        <w:br/>
        <w:t>HAVING REGARD to the law of October 10, 1990, no. 287, and subsequent amendments;</w:t>
        <w:br/>
        <w:t>HAVING REGARD to the Presidential Decree of April 30, 1998, no. 217;</w:t>
        <w:br/>
        <w:t>HAVING REGARD to its resolution of May 18, 2021, by which an investigation was initiated, pursuant to Article 14</w:t>
        <w:br/>
        <w:t>of law no. 287/90, against ERION WEEE, Erion Compliance Organization S.c.a.r.l. and Remedia Tecnologie e Servizi per il Riciclo S.r.l. (later renamed Interseroh TSR Italia S.r.l.) to ascertain the existence of possible violations of Article 102 TFEU consisting of the inclusion, in contracts with treatment plants, of a most-favored-nation clause, the use of reserves for exclusionary purposes, and the provision of statutory exclusivity constraints;</w:t>
        <w:br/>
        <w:t>HAVING REGARD to the communications of October 25, 2021, by which all parties to the proceeding submitted commitments pursuant to Article 14-ter of law no. 287/90, according to the methods indicated in the specific “Form for the submission of commitments pursuant to Article 14-ter of law no. 287/90,” aimed at removing the possible anticompetitive profiles subject to the investigation;</w:t>
        <w:br/>
        <w:t>HAVING REGARD to its resolution of December 3, 2021, by which the publication, on December 10, 2021, of the commitments proposed by ERION WEEE, Erion Compliance Organization S.c.a.r.l. and Interseroh TSR Italia S.r.l. was ordered, in order to allow interested third parties to express their observations;</w:t>
        <w:br/>
        <w:t>HAVING REGARD to the observations on the commitments submitted by interested third parties;</w:t>
        <w:br/>
        <w:t>HAVING REGARD to the accessory modifications to the commitments submitted by ERION WEEE, Erion Compliance Organization S.c.a.r.l. and Interseroh TSR Italia S.r.l. on February 9, 2022;</w:t>
        <w:br/>
        <w:t>HAVING REGARD to its communication to the European Commission, of March 3, 2022, pursuant to Article 11, paragraph 4, of Regulation no. 1/2003;</w:t>
        <w:br/>
        <w:t>HAVING REGARD to the acts of the proceeding;</w:t>
        <w:br/>
        <w:t>CONSIDERING the following:</w:t>
      </w:r>
    </w:p>
    <w:p>
      <w:r>
        <w:rPr>
          <w:b/>
        </w:rPr>
        <w:t>[Pages 4–6]</w:t>
      </w:r>
    </w:p>
    <w:p>
      <w:r>
        <w:t>6 BULLETIN NO. 18 OF MAY 16, 2022</w:t>
        <w:br/>
        <w:t>I. THE PARTIES</w:t>
        <w:br/>
        <w:t>1. The consortium ERION WEEE (“Erion”) is a collective waste management system for waste electrical and electronic equipment (“WEEE”), established effective October 1, 2020, following the merger of the consortia Ecodom and Remedia, both of which were already active in the same sector. In addition to the WEEE sector, the Erion system operates, through the other sector consortia Erion Professional, Erion Energy, and Erion Packaging, also as a collection system for exhausted lead batteries and packaging waste. In 2020, Erion generated revenue of approximately 87 million euros.</w:t>
        <w:br/>
        <w:t>2. Erion Compliance Organization S.c.a.r.l. (“ECO”) is a consortium company established on July 22, 2020, in anticipation of the merger between Ecodom and Remedia, to which the operational functions of the Erion system have been entrusted, namely coordination and organizational/administrative support to the various sector consortia1. In 2020, ECO generated revenue of approximately 1.5 million euros.</w:t>
        <w:br/>
        <w:t>3. Remedia Tecnologie e Servizi per il Riciclo S.r.l., renamed Interseroh TSR Italia S.r.l. with a deed registered in the Business Register on June 1, 2021 (hereinafter also referred to as “Interseroh TSR”), is a service company to which Erion has entrusted the management of the WEEE under its responsibility, with reference to the execution phase of the collection, transport, and treatment processes2. In 2020, Interseroh TSR generated revenue of approximately 73 million euros.</w:t>
        <w:br/>
        <w:t>4. [Omitted]* is a collective management system for WEEE [omitted]. In 2020, [omitted] generated revenue of approximately [omitted] euros.</w:t>
        <w:br/>
        <w:t>5. [Omitted] is a company for [omitted] management of WEEE under its responsibility3. In 2020, [omitted] generated revenue of approximately [omitted] euros.</w:t>
        <w:br/>
        <w:t>6. [Omitted] is a collective management system for WEEE. [Omitted]. In 2020, [omitted] generated revenue of approximately [omitted] euros.</w:t>
        <w:br/>
        <w:t>II. The complaint of [omitted] and [omitted] and the investigative activity carried out</w:t>
        <w:br/>
        <w:t>7. With a report received on October 21, 2020, supplemented on January 29, 2021, and April 8, 2021, [omitted] reported a series of behaviors carried out by Ecodom and Remedia initially, and then by Erion, aimed at marginalizing and ultimately excluding the complainant from the market, in violation of Article 102 TFEU. Firstly, [omitted] reported the use, initially by Ecodom and then by Erion, of a contractual clause for the best price, under which the WEEE treatment plants are required to guarantee Ecodom/Erion the best transport and treatment tariff. Secondly, the report of [omitted] accounts for an additional allegedly excluding behavior consisting of the use, first by Ecodom and Remedia and then, following the merger, by Erion, of reserves generated from profits of previous years to cover the losses of current management, in order to offer the producers adhering to them, and potential new producers, environmental contributions below cost, irreplicable by competing systems.</w:t>
        <w:br/>
        <w:t>8. The report of [omitted] was joined by that of [omitted] on February 26, 2021, which focuses on the use by Erion of the aforementioned best price clause and the possible excluding effects generated by it, both for competing systems and, downstream, for the logistics operators working for them (including the complainant [omitted]).</w:t>
        <w:br/>
        <w:t>9. Following the initiation of the proceeding, decided in the Authority's meeting on May 18, 2021, inspections were carried out at the premises of the parties involved in the proceeding; on June 18, 2021, a request for participation in the proceeding was submitted by [omitted], accepted with communication on June 21, 20214.</w:t>
        <w:br/>
        <w:t>III. THE REFERENCE REGULATORY FRAMEWORK</w:t>
        <w:br/>
        <w:t>10. The sector concerned by this proceeding is that of WEEE management, namely the collection, transport, treatment, recovery, and environmentally compatible disposal of waste electrical and electronic equipment (“EEE”). The sector is currently governed by Legislative Decree No. 49 of March 14, 2014 (“WEEE Decree”), which came into force on April 12, 2014, which transposed into our legal system the second Directive 2012/19/EU, which contemplates the regime of extended producer responsibility in implementation of the European principle “the polluter pays.” WEEE can be distinguished into two macro-categories: household WEEE and professional WEEE5.</w:t>
        <w:br/>
        <w:t>11. According to Annex 1 to Regulation No. 185 of September 25, 2007, of the then Ministry of the Environment (now Ministry of Ecological Transition), household WEEE is divided into the following five groups: (i) refrigerating appliances such as refrigerators, freezers, air conditioning units (“R1”); (ii) other large white goods such as washing machines, dishwashers, microwave ovens (“R2”); (iii) TVs and monitors (“R3”); (iv) small appliances, consumer electronics, information and communication technologies, lighting equipment (excluding light sources) and similar (“R4”); as well as (v) light sources such as neon and light bulbs (“R5”). However, the process of redefining the scope of these groups is still ongoing in light of Legislative Decree No. 46/2014, which should culminate in a so-called “Grouping Decree,” which has been awaited since 2008.</w:t>
        <w:br/>
        <w:t>12. Producers of EEE can fulfill their obligations through individual or collective WEEE management systems; currently, only collective systems are present in Italy6.</w:t>
        <w:br/>
        <w:t>4 See Docs. 171 and 172.</w:t>
        <w:br/>
        <w:t>5 Professional WEEE is considered to be all those EEE waste that, due to quantity, cannot be considered as resulting from domestic use (which falls into the category of so-called household WEEE), or resulting from equipment specifically designed for professional use; the sector of professional WEEE, which is profoundly different in characteristics and management dynamics, is outside the scope of this proceeding.</w:t>
        <w:br/>
        <w:t>6 Producers opting for an individual system are required to organize “a self-sufficient system operating uniformly throughout the national territory for the management of WEEE resulting from the consumption of their own EEE and they</w:t>
      </w:r>
    </w:p>
    <w:p>
      <w:r>
        <w:t>8 BULLETIN NO. 18 OF MAY 16, 2022</w:t>
        <w:br/>
        <w:t>13. Collective systems, non-profit and organized in a consortial form, operate under the supervision of the Ministry of Ecological Transition and the Ministry of Economic Development, to which Article 10 of the WEEE Decree has entrusted the approval of a model statute, that is, a model on the basis of which collective systems prepare their Statute7; the same provision also requires that each collective system submit its Statute to the Ministry of Ecological Transition for approval within 15 days of adoption.</w:t>
        <w:br/>
        <w:t>14. Each collective system is required to manage a quantity of household WEEE proportional to the amount of EEE placed on the market each year by the producers adhering to it. To this end, Articles 33 and 34 of the WEEE Decree have assigned to the WEEE Coordination Center (“CdC WEEE”), an entity managed and governed by the collective systems of household WEEE under the supervision of the Ministry of Ecological Transition and the Ministry of Economic Development, the task of assigning to each collective system a volume of waste equal to that placed on the market by its producers in the previous year8.</w:t>
        <w:br/>
        <w:t>15. Since the value of the secondary raw materials generated downstream of the treatment of WEEE never covers the cost of the entire recovery process, the activity of collective systems is financed through contributions paid by the producers adhering to them (so-called eco-contributions or environmental contributions). By virtue of Article 8 of the WEEE Decree, each collective system annually calculates, based on the “best estimate of the costs actually incurred,” and communicates to the Ministry of Ecological Transition, the amount of the contribution – for each grouping – necessary to fulfill, in the reference calendar year, the obligations of collection, treatment, recovery, and disposal of WEEE (i.e., the environmental contribution); furthermore, Article 6, paragraph 2, of the ministerial regulation approving the model statute of consortia for the management of WEEE (Ministerial Decree No. 235 of December 13, 2017) further specifies that “[a]ny surplus constitutes an advance for the following financial year and, if derived from the environmental contribution, is intended for the reduction of the amount of the contribution itself in the first subsequent financial year. In any case, surpluses cannot be used to reduce the environmental contribution owed by producers who did not contribute to their formation, or who did not participate in the system request for recognition to the Ministry of the Environment” (Article 9, paragraph 1, of the WEEE Decree). Producers who do not fulfill their obligations through an individual system “must adhere to a collective system” (Article 10, paragraph 1). Currently, all producers/importers placing WEEE on the Italian market have opted to join one of the various collective systems, which thus manage the entirety of household WEEE (hearing minutes of [omitted] of February 26, 2021, Doc. 7). In order to operate, pursuant to Article 10, paragraph 10-bis, of the WEEE Decree, each collective system must represent a market share of EEE, placed on the market in the previous calendar year by the producers constituting it, of at least more than 3 percent, in at least one grouping.</w:t>
        <w:br/>
        <w:t>7 The model statute of the WEEE consortia was approved by decree of the Ministry of the Environment on December 13, 2017, No. 235, “Regulation approving the model statute of consortia for the management of waste electrical and electronic equipment (WEEE), pursuant to Article 10, paragraph 3, of Legislative Decree No. 49 of March 14, 2014.”</w:t>
        <w:br/>
        <w:t>8 During the hearing, the complainant [omitted] explained that the CdC WEEE assigns to each collective system some WEEE collection centers present in the national territory based on a series of rules aimed at optimizing collection; the CdC WEEE also takes into account logistical hardship situations and therefore tends to allocate the disadvantaged areas (mountain areas, islands, and some areas of the South) equitably among the various operators. The management of logistics is very different depending on the area where the assigned collection center is located, being easier in the North (due to the very articulated road network) and progressively more complex as one moves down the peninsula, also considering the presence of a progressively lower number of plants. The assignment of collection centers to the various collective systems is carried out annually by the CdC WEEE, but is then reviewed quarterly based on the data collected on the quantities moved by such collection centers, in order to ensure that each collective system is guaranteed a volume of waste equal to that placed on the market in the previous year by the adhering producers/importers (hearing minutes of [omitted] of February 26, 2021, Doc. 7).</w:t>
      </w:r>
    </w:p>
    <w:p>
      <w:r>
        <w:rPr>
          <w:b/>
        </w:rPr>
        <w:t>[Pages 7–9]</w:t>
      </w:r>
    </w:p>
    <w:p>
      <w:r>
        <w:t>BULLETIN NO. 18 OF MAY 16, 2022 9</w:t>
        <w:br/>
        <w:t>"consortium in the two previous financial years." Since the activity of defining the environmental contribution by the various collective systems is a complex task that requires an ex ante estimate of a series of highly variable factors (primarily the market value of secondary raw materials, the quantities of products sold by the members, and the quantities of WEEE to be managed), the presence of management surpluses in a given financial year is an event that occurs with particular frequency9; the model statute from ministerial sources establishes that such sums due to management surpluses should be immediately used to reduce the amount of environmental contributions due in the following year exclusively from the producers who contributed to their formation (thus from those already members and not from new members).</w:t>
        <w:br/>
        <w:t>16. Article 6, paragraph 4, of the aforementioned Regulation provides that “[w]ithout prejudice to what is provided in paragraph 2 regarding the allocation of management surpluses arising from the environmental contribution, the fund referred to in paragraph 110 may be used in the management of the consortium system, with a reasoned resolution of the Board of Directors approved by the Ordinary Assembly, where the other sources of financial provisions are insufficient, but must be replenished during the following financial year.”</w:t>
        <w:br/>
        <w:t>17. The model statute of the WEEE collective systems, last approved in 2017, also contemplates the hypothesis in which a given WEEE consortium has reserves accumulated in previous financial years, a faculty also contemplated by Article 3, paragraph 3, of the Decree of the Ministry of the Environment and Protection of Land and Sea of March 9, 2017, no. 68 in order to certify the consortium's possession of adequate financial capacity; in the case of using these reserves due to insufficient other sources of financial provisions, Article 6, paragraph 4, of the model statute establishes that the reserve fund “must be replenished during the following financial year.”</w:t>
        <w:br/>
        <w:t>18. It is evident that a producer/importer of EEE chooses the collective system to which to adhere primarily with regard to the amount of the eco-contribution requested by it, and that therefore the competition among systems to secure the adherence of producers (which allows the consortia to increase the pool of waste assigned to them) is mainly expressed in terms of the amount of the eco-contribution11.</w:t>
        <w:br/>
        <w:t>19. More specifically, the task of a collective system is to organize, directly or through third-party operators, the collection of WEEE for which it is responsible, deposited by citizens and distributors at the municipal collection centers assigned to it by the WEEE Coordination Center (among the approximately 5,000 present throughout the national territory) to one or more treatment plants authorized under Article 20 of the WEEE Decree for recovery and recycling operations.</w:t>
        <w:br/>
        <w:t>20. Treatment plants typically take care, at the request of the various collective systems, of recovering WEEE from the collection centers and transporting them to their facilities for treatment, in order to recover recyclable materials and transform them into secondary raw materials, ensuring the proper disposal of other non-recyclable materials. Since these are two distinct activities (transport and treatment), the plants apply two distinct tariffs to the collective systems, namely a tariff for the transport service and a tariff for the treatment service. Transport tariffs are expressed in price per ton (euro/ton) or per load (euro/pickup), while treatment tariffs are always expressed in price per ton (euro/ton); treatment tariffs vary widely for the various WEEE groupings, due to the fact that treatment costs and the type and quantities of secondary raw materials obtained from recovery and recycling operations vary significantly from one grouping to another. Collective systems and plants can negotiate variable tariffs, linked to the official price lists of raw materials, or fixed tariffs, according to their economic assessments. For a collective system, it is particularly important to select a tariff in line with its business model, which allows it to internalize any efficiencies generated through more effective management of logistics activities, which can then translate into lower environmental eco-contributions for the producers adhering to it12.</w:t>
        <w:br/>
        <w:t>IV. RELEVANT MARKETS AND ERION'S DOMINANT POSITION</w:t>
        <w:br/>
        <w:t>21. In its document “Paper Concerning issues of Competition in Waste Management Systems” from 2005, the European Commission considered that in the WEEE management sector, at least three different relevant product markets could be identified, corresponding to three levels of the supply chain:</w:t>
        <w:br/>
        <w:t>(i) a market for the organization of systems for the fulfillment, by producers, of the obligations set forth by the WEEE Directive, a market in which the supply is represented by the various collective WEEE management systems that compete with each other to attract EEE producers;</w:t>
        <w:br/>
        <w:t>(ii) a market for the treatment of WEEE in which the collective systems represent the demand while, on the supply side, there are entities operating treatment plants that are responsible for the treatment, recovery, recycling, and disposal of WEEE, as well as typically also for transportation;</w:t>
        <w:br/>
        <w:t>(iii) a market for the recovery and sale of secondary raw materials, in which the supply is represented by the entities operating treatment plants and the demand by buyers of the secondary raw materials obtained from the recovery and recycling operations of WEEE13.</w:t>
        <w:br/>
        <w:t>22. In this case, the product markets in which the conduct subject to the proceeding has been implemented are those referred to in (i) and (ii), which actually constitute the two sides of a two-sided competitive platform, in which collective systems compete with each other to acquire producers, on the supply side of environmental compliance services, and to obtain the services of the plants, on the demand side for transport and treatment services for WEEE. From a commodity perspective, at the start of the proceeding, the Authority had hypothesized that both of these markets could be defined at the level of the individual WEEE groupings (R1, R2, R3, R4, and R5).</w:t>
        <w:br/>
        <w:t>12 See the hearing minutes of [omissis] of February 26, 2021, Doc. 7. The transport and treatment tariffs paid to treatment plants represent the main cost item incurred by collective systems for the management of WEEE (see the report of [omissis] of October 21, 2020, Doc. 1).</w:t>
        <w:br/>
        <w:t>13 See European Commission, Paper Concerning issues of Competition in Waste Management Systems, 2005, paras. 145-146, available on its official website.</w:t>
      </w:r>
    </w:p>
    <w:p>
      <w:r>
        <w:t>BULLETIN NO. 18 OF MAY 16, 2022 11</w:t>
        <w:br/>
        <w:t>23. With regard to the geographical dimension of the market for the provision of environmental compliance services referred to in point (i), the information on file indicates that collective systems operate throughout the national territory, and all producers active in Italy adhere to them, thus entrusting the system with the mandate to recover the share of waste for which they are responsible without any geographical constraints.</w:t>
        <w:br/>
        <w:t>24. The market referred to in (ii) for the treatment of WEEE appears instead possibly to be of sub-national dimension, as also hypothesized by the Commission14, to the extent that the selection of the destination plant for waste by the collective system is made within a defined radius, beyond which the cost of transport becomes excessive compared to the value of the good and the overall recovery cost. However, the strong position that each collective system holds on these sub-national markets, from the demand side, appears in any case substantially mirrored by the position it holds at the national level in its reference market, as the WEEE Coordination Center assigns collection points to the various collective systems according to a geographical distribution criterion aimed at evenly distributing the different areas that make up the territory, and particularly those disadvantaged areas.</w:t>
        <w:br/>
        <w:t>25. In other words, since the market for the treatment of WEEE features a mechanism centrally administered by the WEEE Coordination Center for the allocation of WEEE from the various collection centers to the collective systems, it can be assumed that the position of a given collective system at the local level cannot differ from that which it holds at the national level, and therefore that the strength of each collective system can only be assessed with reference to the position held in the entire Italian market, by virtue of the number of producers adhering to it.</w:t>
        <w:br/>
        <w:t>26. The exact size of the geographical market for treatment can nonetheless be left open, as the relative position of each consortium, even at the local level, appears linked to the outcomes of competitive dynamics in the compliance services market, mediated by the decisions of the WEEE Coordination Center.</w:t>
        <w:br/>
        <w:t>27. Based on the data processed by the WEEE Coordination Center for the year 2019, at the start of the present proceeding, the Authority had hypothesized that both Ecodom and Remedia already individually held, prior to the merger into Erion, a strong market power in terms of demand for treatment services in various WEEE groupings (in particular, Ecodom was dominant in grouping R2, where it accounted for 67% of the requested services, and Remedia in grouping R3, where the services it requested covered almost 64% of the market). The combined market share of the two operators then became, as a result of the merger between Ecodom and Remedia that gave rise to the new consortium Erion, almost a monopsony in groupings R1 (80%), R2 (86%), and R3 (70%), as well as in the WEEE sector as a whole (70%).</w:t>
        <w:br/>
        <w:t>28. It is worth reiterating that, considering the relationship between the quantities of waste managed attributable to each consortium and the quantities placed on the market by the entities in it, at the start of the proceeding, the Authority had considered that the described dominance of demand was nothing more than a reflection of an equivalent dominance, this time from the supply side, of each system in its own market, namely that of offering compliance services to EEE producers of each grouping. Therefore, Ecodom, Remedia, and Erion</w:t>
        <w:br/>
        <w:t>14 See European Commission, Paper Concerning issues of Competition in Waste Management Systems, cited, paras. 150-151.</w:t>
      </w:r>
    </w:p>
    <w:p>
      <w:r>
        <w:rPr>
          <w:b/>
        </w:rPr>
        <w:t>[Pages 10–12]</w:t>
      </w:r>
    </w:p>
    <w:p>
      <w:r>
        <w:t>12 BULLETIN NO. 18 OF MAY 16, 2022</w:t>
        <w:br/>
        <w:t>were also considered dominant in the provision of compliance services for the types of WEEE corresponding to the different WEEE groupings R1, R2, and R3, as well as in the WEEE sector as a whole, as previously illustrated.</w:t>
        <w:br/>
        <w:t>V. THE CONDUCTS ALLEGED</w:t>
        <w:br/>
        <w:t>29. At the start of the proceedings, the Authority hypothesized that Erion, also through ECO and Interseroh TSR, had engaged in an abuse of its dominant position held, on the demand side, in the market for the treatment services of WEEE belonging to the groupings R1, R2, and R3 and, on the supply side, in the market for the provision of compliance services to producers of EEE corresponding to the WEEE groupings R1, R2, and R3 or, in any case, in the WEEE sector as a whole.</w:t>
        <w:br/>
        <w:t>30. The alleged abusive strategy would have been articulated in a complex exclusionary strategy, consisting of three different conducts functional to the sole objective of excluding competing collective systems.</w:t>
        <w:br/>
        <w:t>31. Firstly, Erion, and even earlier Ecodom, would have included in the contracts concluded with the treatment plants, by virtue of their market power on the demand side, a best price clause likely to determine an artificial, permanent, and systematic increase in the costs incurred by competing collective systems. The Authority hypothesized that this clause had been last negotiated and included in the contracts with the treatment plants signed by Interseroh TSR as the general contractor of the Erion group (and therefore by virtue of a service contract concluded with Erion or ECO); in this scenario, and for the purposes of the present proceedings, Erion, ECO, and Interseroh TSR thus appeared to represent a single economic entity, by virtue of the contractual ties existing between them and the fact that Interseroh TSR operated as a service provider that did not appear independent, also due to the participation held in its capital by Erion (and then by ECO).</w:t>
        <w:br/>
        <w:t>32. In particular, according to the reconstruction provided in the initiation measure, the best price clause would have contemplated the obligation for the plants not to grant competing collective systems "more favorable economic terms and conditions" than those granted to Erion to the extent that, in a given WEEE grouping, Erion represented the collective system that delivers to the plant in question the largest volumes of household-origin WEEE.</w:t>
        <w:br/>
        <w:t>33. According to the Authority, the clause was employed in a context of multiple and complex criteria for defining the price for transport and treatment services, criteria often vague and with outcomes difficult to predict due to indexing formulas, parameters, and discounts15. The clause itself was also characterized by the use of undefined concepts (such as that, from the perspective of the geographical scope of application, of "analogous areas"), and was therefore likely to generate a situation of uncertainty regarding the tariffs that could be applied by the plants to the competing collective systems of Erion without violating the obligation to guarantee the best price to Erion. To the extent that it appeared likely to generate a situation such that the plant is not in a position to easily define ex ante the amount of Erion's tariff, the effect of such uncertainty and opacity could be to effectively compel the treatment plants to systematically include a differential (increasing) in the tariffs charged to competing collective systems, so as to ensure that they do not violate the best price obligation16, also considering Erion's right to withdraw from the contract in the event of a violation of the clause17.</w:t>
        <w:br/>
        <w:t>34. The best price clause thus seemed to generate a true "stiffening" of the market likely to prevent Erion's competitors from appropriating any efficiencies generated in the conduct of their activities.</w:t>
        <w:br/>
        <w:t>35. The undue competitive advantage that the reported parties seemed to establish in this way could be used in the upstream market to attract new producers of EEE. Given that, as already noted, the main cost item incurred by collective systems for the management of WEEE is precisely the tariffs they pay to treatment plants, the significant competitive advantage pre-established by the reported parties in the downstream markets would allow them to offer EEE producers in the upstream market eco-contributions lower than those of competing collective systems which, suffering from an artificial increase in costs incurred in the downstream market due to the clause, would be forced to apply higher eco-contributions, also to comply with the regulatory obligation to "ensure the balance of their financial management" (Article 10, paragraph 10, of the WEEE Decree).</w:t>
        <w:br/>
        <w:t>36. Secondly, from the information on file, it seemed to emerge that the reported parties had offered their producers below-cost eco-contributions, using for this purpose the reserves accumulated in previous years, with a view to retaining the producers already adhering to them and acquiring new producers, to the detriment of competing systems.</w:t>
        <w:br/>
        <w:t>37. On this point, the initiation measure had reported the existence of losses from ordinary management in the most recent financial statements of Remedia, Ecodom, and Erion, and the circumstance that such losses appeared to have been covered by resorting to reserves accumulated in previous years, which would thus have been used for exclusionary purposes to artificially maintain the level of the environmental contribution required from their members at a low level.</w:t>
        <w:br/>
        <w:t>38. The offer to potential new clients (producers) of environmental contributions below costs, financed by an improper use of reserves, appeared to take on an abusive nature to the extent that it integrated the elements of a possible exclusionary practice carried out by a dominant operator, which thus adopted a commercial policy possibly unreplicable by competing systems regardless of their efficiency (as these are required, by virtue of the sector regulations18, to comply with the regulatory principle of cost orientation, in light of the aforementioned constraints contemplated by Article 6, paragraphs 2 and 4, of the standard statute to use any management surpluses generated in a given year in the following year as well as to restore any reserves generated in previous years, where used in a given year, in the following year). In this regard, the reporter [omissis] had provided elements regarding the transition to Ecodom of its producer [omissis], in exchange for environmental contributions significantly lower than those required by competing systems, a circumstance that seemed to confirm that the eco-contributions offered to it by Ecodom for the year 2020 were indeed unreplicable considering the level of contributions practiced by [omissis]19.</w:t>
        <w:br/>
        <w:t>39. On the other hand, the Authority had hypothesized that the practice of using reserves accumulated in past years to finance reductions in current contributions appeared to raise competitive concerns even where such reductions were directed at producers already adhering to the dominant consortium (Ecodom, Remedia, or Erion), who had contributed with their past payments to the formation of the reserves. The return of excess payments made through a discount on the contribution of "subsequent" periods, not clearly identified, appeared indeed likely to represent a loyalty constraint that could compel the producer to remain a client of the consortium under penalty of losing what had already been improperly advanced, with a consequent reduction in the contestability of the producer for competing systems20.</w:t>
        <w:br/>
        <w:t>40. Thirdly, Erion would have included in its Statute, partially derogating from the standard statute, a provision whereby producers adhering to Erion cannot simultaneously adhere to other collective systems for the management of WEEE (see, in particular, Articles 4, paragraph 1, and 6, paragraph 3, letter (i), of the Erion Statute). This provision, not contemplated by the standard statute, appeared likely to further exacerbate the possible exclusionary effects generated by the other two conducts described above to the extent that it bound a given producer to confer to Erion the mandate to recover all WEEE attributable to it, thus further extending Erion's potential dominance, to the detriment of competing systems.</w:t>
        <w:br/>
        <w:t>18 Based on the principle "the polluter pays," each producer of EEE is required to finance the costs actually incurred for the management of its WEEE, which does not occur in the case of applying to adhering producers eco-contributions that do not cover the actual management costs, using surpluses from previous years to fill the gap; in this sense, in fact, Article 8 of the WEEE Decree establishes that each collective system must calculate the environmental contribution based on the "best estimate of the costs actually incurred." The relevant regulations then provide that management surpluses may – if applicable exclusively in the financial year following the one in which they were generated – be used only to reduce the environmental contribution of producers already adhering to such consortia in that previous year, for the specific amounts they contributed as surplus in their respective WEEE groupings, and may not "be used to reduce the environmental contribution owed by producers who have not contributed to their formation, or who have not participated in the consortium system in the two previous financial years" (Article 6, paragraph 2, D.M. 13.12.2017, no. 235).</w:t>
        <w:br/>
        <w:t>19 According to the Ecodom price list for the year 2019 valid also for the year 2020, with reference to the WEEE of interest for [omissis], Ecodom applied [omissis] against the [omissis] and € [omissis] offered by [omissis] (Doc. 8).</w:t>
        <w:br/>
        <w:t>20 In this regard, it should also be noted that, while allowing the use of management surpluses to reduce the environmental contribution of producers who have contributed to their formation, as repeatedly noted, the sector regulation limits this possibility to the "first useful financial year following" (Article 6, paragraph 2, D.M. 13.12.2017, no. 235).</w:t>
      </w:r>
    </w:p>
    <w:p>
      <w:r>
        <w:rPr>
          <w:b/>
        </w:rPr>
        <w:t>[Pages 13–15]</w:t>
      </w:r>
    </w:p>
    <w:p>
      <w:r>
        <w:t>BULLETIN NO. 18 OF MAY 16, 2022 15</w:t>
        <w:br/>
        <w:t>VI. THE PROPOSED COMMITMENTS</w:t>
        <w:br/>
        <w:t>41. In response to the possible critical issues outlined by the Authority in the initiation measure, on October 25, 2021, Erion and ECO submitted a set of commitments common under Article 14-ter of law no. 287/90, more extensively described below, aimed at resolving the critical issues highlighted by the Authority in the initiation measure. On the same date, Interseroh TSR submitted a separate Form in which – as will be seen – the company committed to accept and share the commitments proposed by the other parties and to support their implementation.</w:t>
        <w:br/>
        <w:t>42. Considering these commitments not manifestly unfounded, by resolution of December 3, 2021, the Authority ordered their publication on its website on December 10, 2021, in order to allow interested third parties to express their observations. By the deadline set for the conclusion of the market test, observations were received from [omissis] and [omissis] 21.</w:t>
        <w:br/>
        <w:t>43. In response to the outcome of the public consultation on the commitments, Erion and ECO submitted the final version of their commitments on February 9, 2022, attached to this measure and forming an integral part thereof; in this version, the original commitments were supplemented with some ancillary modifications. Interseroh TSR also submitted a new version of its commitments, supplemented with ancillary modifications following the market test, also attached to this measure and forming an integral part thereof.</w:t>
        <w:br/>
        <w:t>44. Erion, ECO, and Interseroh also submitted accompanying memoranda for the ancillary modifications, in which they illustrate the additional measures presented following the public consultation and account for the reasons why they deemed it appropriate not to follow up on some observations made by participants in the market test.</w:t>
        <w:br/>
        <w:t>45. Below, for each of the commitments presented to remedy the three competitive concerns expressed above, the original and final content of the commitments is illustrated in light of the ancillary modifications made following the market test, as well as the Authority's assessments on the suitability of these measures to remove the competitive concerns expressed at the initiation of this proceeding.</w:t>
        <w:br/>
        <w:t>VI.1. The commitment to abolish the most-favored-nation clause and not to include clauses with similar subject matter or effect, presented by Erion, ECO, and Interseroh TSR</w:t>
        <w:br/>
        <w:t>VI.1.1. The originally proposed measures</w:t>
        <w:br/>
        <w:t>46. Erion committed to fully abolish the most-favored-nation clause and all consequent and necessarily related clauses, consequently modifying the "Service Contract Model" attached to the outsourcing contract signed with Interseroh TSR. Erion also committed, due to the removal of the clause, not to disseminate the explanatory note on this contractual provision which was also accounted for in the initiation measure. For its part, Interseroh TSR submitted a mirror commitment consisting of removing the most-favored-nation clause and the clauses related to it both in contracts with Erion and in contracts with third-party suppliers, and to promptly communicate this to third-party suppliers in the case of existing contracts.</w:t>
        <w:br/>
        <w:t>47. On the assumption that the contractual relationships with the treatment plants were defined by Interseroh TSR on behalf of Erion, in an initial phase ECO limited itself to presenting a general commitment, adhering to the commitment presented by Erion as far as it was concerned, being a company operational without market activity.</w:t>
        <w:br/>
        <w:t>VI.1.2. The elements that emerged during the market test</w:t>
        <w:br/>
        <w:t>48. As a result of the market test, [omissis] argued that the measures as presented by Erion, ECO, and Interseroh TSR were not suitable to resolve the critical issues identified by the Authority in the initiation measure regarding the presence of the most-favored-nation clause in the contracts signed by Interseroh TSR on behalf of Erion. This, in particular, due to the fact that: (i) Erion could in the future entrust the management of WEEE to entities other than Interseroh TSR, who would be free to include the most-favored-nation clause in contracts concluded with the treatment plants; and, (ii) both Erion and Interseroh TSR would still be free to include in the contracts clauses "suitable to ensure identical or better conditions and/or prices compared to those practiced by other entities active in the management of WEEE." According to [omissis], Erion and Interseroh TSR should also commit (iii) not to verify with the treatment plants, directly or through third parties, the conditions they apply to other entities active in the management of WEEE and in any case, in any instance of non-compliance with the most-favored-nation clause, not to exercise the right of withdrawal and not to request the retroactive application of any better price applied to other operators. [omissis] also argued that ECO should better clarify its involvement in Erion's commitments.</w:t>
        <w:br/>
        <w:t>VI.1.3. The ancillary modifications</w:t>
        <w:br/>
        <w:t>49. In response to the observations of [omissis], Erion, ECO, and Interseroh TSR presented the following additional measures in the context of ancillary modifications:</w:t>
        <w:br/>
        <w:t>- firstly, in addition to the elimination of the most-favored-nation clause, Erion formally committed not to include in contracts with the treatment plants conditions that obligate them to communicate to Erion the conditions they apply to other entities active in the management of WEEE. A parallel commitment in this sense was included by Interseroh TSR in its Form;</w:t>
        <w:br/>
        <w:t>- secondly, Erion committed not to include in contracts with the treatment plants clauses with content and/or effects similar to those of the most-favored-nation clause being abolished, and a similar commitment was presented by Interseroh TSR;</w:t>
        <w:br/>
        <w:t>- thirdly, Erion committed not to entrust the management of WEEE under its responsibility to entities (clearly different from Interseroh TSR) that include in contracts with the treatment plants or with WEEE consortia clauses with content and/or effects similar to those of the most-favored-nation clause being abolished;</w:t>
        <w:br/>
        <w:t>- fourthly, ECO presented a commitment whereby, in the event of its future involvement in relationships with the treatment plants on behalf of Erion, it will not include in any contracts the aforementioned most-favored-nation clause or clauses with content and/or effects similar to those of the clause being abolished.</w:t>
        <w:br/>
        <w:t>VI.1.4. Assessments</w:t>
        <w:br/>
        <w:t>50. The Authority believes that the commitment, in its final formulation that takes into account the ancillary modifications, effectively resolves the competitive concern expressed in the initiation measure regarding the presence, in contracts concluded by the dominant operator, of a most-favored-nation clause, considered suitable to "freeze" the market and to define a potential increase in the procurement costs of transport and treatment services of WEEE by competing consortia of Erion. Competing WEEE consortia will indeed be free to negotiate their rates with the treatment plants, opting for fixed or indexed rates according to their business model and within negotiations with the plants that will no longer be influenced by the need, for the treatment plants, to position themselves above the quotation offered to Erion, in order not to violate the most-favored-nation clause (running the risk of losing the most important customer).</w:t>
        <w:br/>
        <w:t>51. This is, therefore, a result of absolute significance, capable of invigorating the competitive conditions in the market for the provision of environmental compliance services and ensuring that each WEEE compliance system can internalize, in terms of lower costs incurred, any logistical efficiencies generated in carrying out its activity.</w:t>
        <w:br/>
        <w:t>52. The ancillary modifications then provide stability to this effect, to the extent that (i) Erion, ECO, and Interseroh TSR have committed not to include clauses with content and/or effects similar to that of the clause subject to the initiation measure; (ii) Erion and ECO have committed not to include either the most-favored-nation clause or clauses of possible similar content or effect in any future contracts concluded with entities other than Interseroh TSR for the possible outsourcing of the WEEE management activity.</w:t>
        <w:br/>
        <w:t>VI.2. Erion's commitment not to use reserves for exclusionary purposes</w:t>
        <w:br/>
        <w:t>VI.2.1. The originally proposed measures</w:t>
        <w:br/>
        <w:t>53. Erion initially committed to modify Article 8 of its Statute, titled "Consortium Fund and Financing of Activities," adopting the provisions of the model statute for consortia for the management of WEEE (the aforementioned D.M. 13.12.2017, no. 235). Furthermore, Erion committed to publish on its website the amount of environmental contributions requested from its members, distinguished by (i) contributions requested from members to whom the presence of reserves in a given financial year is attributable and (ii) contributions requested from producers who wish to join Erion, who therefore do not benefit from the possible allocation of existing reserves.</w:t>
        <w:br/>
        <w:t>VI.2.2. The elements that emerged during the market test</w:t>
        <w:br/>
        <w:t>54. [Omissis] first argued that Erion's commitment to modify its Statute is generic, as it does not indicate to what extent the Statute would be modified in order to implement the provision of the model statute regarding the use of management surpluses.</w:t>
        <w:br/>
        <w:t>55. [Omissis] presented observations regarding the use of management surpluses generated on an annual basis, believing that it is necessary to provide a series of additional constraints beyond those contemplated by the model statute regarding the use in the following year and only in favor of the entities that generated such surpluses. In particular, [omissis] argued that:</w:t>
        <w:br/>
        <w:t>- for possible new members, who therefore cannot benefit from management surpluses they did not contribute to generate in the previous year, the eco-contributions offered to new producers joining Erion should always be set at a level sufficient to cover the actual management costs of WEEE, thus requiring Erion to supplement its commitment with a clause specifying that the contributions offered to possible new producers joining Erion will be "higher than those of the members or at most equal in the case where the contributions applied to the latter are not reduced due to the use of reserves";</w:t>
        <w:br/>
        <w:t>- for producers already members of Erion:</w:t>
      </w:r>
    </w:p>
    <w:p>
      <w:r>
        <w:rPr>
          <w:b/>
        </w:rPr>
        <w:t>[Pages 16–18]</w:t>
      </w:r>
    </w:p>
    <w:p>
      <w:r>
        <w:t>18 BULLETIN NO. 18 OF MAY 16, 2022</w:t>
        <w:br/>
        <w:t>˗ the possible use of management surpluses to reduce the eco-contributions owed by producers already consorted – which such surpluses have contributed to constitute – should occur solely at the time of the (annual) definition of the list of eco-contributions that will be applied to such producers;</w:t>
        <w:br/>
        <w:t>˗ the possible use of management surpluses to reduce the eco-contributions applied to producers already consorted should occur at the level of individual WEEE grouping, for example, using the management surpluses resulting from the excess payments of producers (already consorted) of a particular type of EEE (e.g., refrigerators, belonging to grouping R1), to reduce the eco-contributions applied only and exclusively to the same producers of that grouping in the following financial year.</w:t>
        <w:br/>
        <w:t>56. [Omissis] also submitted a broader observation regarding the use of any reserves of Erion, accumulated during previous financial years, last renewed with an additional communication of April 11, 2022. In particular, [omissis] believes that Erion should, for each WEEE grouping, indicate the reserves accumulated to date, and that these should be fully utilized in the first useful financial year to reduce the environmental contributions for the producers who generated them, so that in the long term the environmental contribution is always set at an amount equal to the management costs, without being able to rely on previous reserves for exclusionary purposes.</w:t>
        <w:br/>
        <w:t>VI.2.3. Accessory modifications</w:t>
        <w:br/>
        <w:t>57. In response to the first observation of [omissis], Erion presented in its Commitment Form the new text of Article 8 of its Statute, indicating how this will be modified in line with Article 6, paragraph 2, of the model statute. In particular, paragraph 5 of Article 8 of the Erion Statute will provide that: “[e]very management surplus constitutes an advance for the following financial year and, if derived from the Periodic Contributions, is intended for the reduction of the amounts of the Periodic Contributions in the first subsequent useful financial year. In any case, management surpluses cannot be used to reduce the Periodic Contributions owed by Consortia that have not contributed to their formation, or that have not participated in the consortium system in the two previous financial years.” In other words, in the long term, any management surpluses generated by Erion in a given financial year must be used to reduce the amount of contributions owed in the following year by the consorted members who contributed to generating them.</w:t>
        <w:br/>
        <w:t>58. Furthermore, Erion has included in the text of its commitment the clause requested by [omissis] regarding the offer to new producers of contributions that, since they do not benefit from any management surpluses generated in the previous financial year, must be “higher than those of the consorted members or at most equal in the case where the contributions applied to the latter are not reduced due to the use of reserves.”</w:t>
        <w:br/>
        <w:t>59. Finally, paragraph 6 of Article 8 of the Erion Statute will establish, also in this case in line with Article 6, paragraph 4, of the model statute, that the use of any reserves related to previous financial years, which have therefore not yet been used in subsequent financial years (in the absence – in the past, in the Erion Statute – of the provision that will now be inserted in Article 8, paragraph 5), is subject to the following restoration constraint in the subsequent financial year: “[s]ubject to the provisions of paragraph 5 above regarding the destination constraint of management surpluses derived from the Periodic Contributions, the part of the Consortium Fund constituted by the Membership Contributions may be used in the management of the consortium system, with reasoned resolution of the Board of Directors approved by the Ordinary Assembly, where the other sources of financial provisions are insufficient, but must be replenished during the following financial year.”</w:t>
        <w:br/>
        <w:t>VI.2.4. Assessments</w:t>
        <w:br/>
        <w:t>60. The Authority believes that the commitments presented by Erion are fully suitable to resolve the competitive concern expressed at the start of the procedure regarding the possible exclusion of competing consortia. In fact, in the long term, any management surpluses generated by Erion in a given financial year must be used only to reduce the amount of contributions owed in the following year by the consorted members who contributed to generating them. In this way, possible concerns are mitigated (i) of a loyalty effect regarding producers already consorted in Erion (who will see any management surpluses related to them returned in the following year) and (ii) of implementing policies of offering below-cost contributions to new producers (who will not be able to benefit from discounts on the list to the extent that they have not contributed to generating such management surpluses). On this point, in addition to aligning the provision of the Erion Statute in line with the model statute, as requested by [omissis], Erion has also followed up on [omissis]'s request to specify that the contributions offered to new producers will be “higher than those of the consorted members or at most equal in the case where the contributions applied to the latter are not reduced due to the use of reserves.”</w:t>
        <w:br/>
        <w:t>61. The Authority does not consider the further observations expressed by [omissis] and [omissis] regarding the need to contemplate additional constraints on the use of management surpluses on an annual basis and/or reserves to be shareable.</w:t>
        <w:br/>
        <w:t>62. On this latter point, [omissis] believed that (i) Erion should indicate the reserves accumulated to date, which should be fully utilized in the first useful financial year to reduce the environmental contributions for the producers who generated them. Adhering to the reconstruction offered by Erion in a response memorandum to the observations of the market test22, and during the hearing23, the Authority notes that the same model statute contemplates the possibility for WEEE consortia to have reserves derived from past management surpluses: in the event of insufficient other sources of financial provisions, reserves may legitimately be used during the year with reasoned resolution of the Board of Directors approved by the Ordinary Assembly, with the only constraint contemplated by paragraph 6 of Article 8 of the model statute – which, as seen, following the commitments, will flow into the Erion Statute – to replenish such amounts during the following financial year. Similarly, the availability of reserves for WEEE consortia is viewed favorably by Article 3, paragraph 3, of the Ministerial Decree of March 9, 2017, no. 68, in order to attest to the possession of adequate financial capacity by environmental consortia. Moreover, if such utilized reserves must, by virtue of the new provision of the Erion Statute (in line with the model statute), be replenished in the financial year following their use, it is not clear how they can be used in an exclusionary manner to offer below-cost environmental contributions; in other words, the constraint to restore any utilized reserves removes in essence the competitive concern expressed by the Authority at the start of the procedure24.</w:t>
        <w:br/>
        <w:t>22 See Erion and ECO memorandum of 09.02.2022 (Doc. 209).</w:t>
        <w:br/>
        <w:t>23 See minutes of the Erion and ECO hearing of 31.01.2022 (Doc. 207).</w:t>
        <w:br/>
        <w:t>24 For the same reasons, the concerns expressed by [omissis] in the communication of April 11, 2022, in which a concern already expressed is renewed but with reference to the new data relating to the Erion budget, are not shareable.</w:t>
        <w:br/>
        <w:t>20 BULLETIN NO. 18 OF MAY 16, 2022</w:t>
        <w:br/>
        <w:t>63. Similarly, the Authority does not consider the observations made by [omissis] regarding the use of management surpluses accrued during the year (ii) solely at the time of defining the list of eco-contributions that will be applied to such producers, and (iii) based on the individual WEEE grouping to be shareable.</w:t>
        <w:br/>
        <w:t>64. In this regard, the “flexible” use of surpluses during the year is an operation that appears not only legitimate (in the absence of any specific contestation on the point in the initiation measure, with the consequence that an intervention in this regard by the Authority would be disproportionate to the purpose of the intervention) but also useful in order to allow WEEE consortia to promptly address any unforeseen events that may occur during the year: on this point, the aforementioned Article 8, paragraph 6, indeed provides that the use of reserves is possible only where “the other sources of financial provisions are insufficient,” with the consequence that any management surpluses related to the current year can evidently be freely used during the year to address any unforeseen cost variations. In this sense, during the hearing, Erion reported that, if it were not possible to use such surpluses during the year (as is instead expressly provided for by the model statute), Erion would be obliged to impose continuous adjustments to the list of environmental contributions, causing great inconvenience for its producers (who would in turn have to renegotiate such adjustments with their customer base) and, more importantly, with significant difficulties in reacting quickly to any unforeseen events given the rather long reaction times for the possible approval of new lists (calling an assembly with 30 days' notice and communication of the new lists from producers to distributors at least one month in advance). The ex ante definition of the amount of the environmental contribution is, in fact, a complex operation based on a multitude of highly variable factors (and, in particular, on the value of secondary raw materials, on the quantities of products sold by consorted members, and on the amount of WEEE managed), subject to a margin of error; the use of any excess surpluses freely during the year is therefore contemplated as a legitimate faculty for the consortia evidently also to allow them to absorb any unforeseen cost variations in the budget without having to always proceed with the modifications outlined above.</w:t>
        <w:br/>
        <w:t>65. Likewise, for similar reasons, the Authority does not consider the request made by [omissis] to bind the use of management surpluses to the individual grouping in which they were generated to be shareable: in addition to being constraints not provided for by the model statute, nor necessary to remedy specific concerns outlined at the start of the procedure, according to what was represented by Erion, the allocation of surpluses to individual groupings is a complex operation (and management from an accounting perspective), also considering that the scope of the individual grouping is far from defined, and should soon be subject to possible reorganization in the context of the expected “Grouping Decree.” At the same time, the constraint on the use of management surpluses in the individual grouping in which they were generated is likely to hinder the supply chain in a penalizing manner from a systemic perspective, that is to say, effective for the year 2021, and this to the extent that any reserves used in 2021 must be replenished during 2022, and therefore cannot be used to practice contributions allegedly below cost and not replicable by competing consortia; to demonstrate this, Erion reported that it had been contacted by a major EEE producer currently belonging to a competing consortium who, in light of the presentation of Erion's rates for 2022, chose not to join Erion.</w:t>
      </w:r>
    </w:p>
    <w:p>
      <w:r>
        <w:rPr>
          <w:b/>
        </w:rPr>
        <w:t>[Pages 19–21]</w:t>
      </w:r>
    </w:p>
    <w:p>
      <w:r>
        <w:t>BULLETIN NO. 18 OF MAY 16, 2022 21</w:t>
        <w:br/>
        <w:t>fulfillment of the environmental protection task assigned to the WEEE consortia: in this sense, during the hearing, Erion reported on what has recently occurred following the Government's incentives on the so-called "bonus-tv," which have generated a significant (and above all completely unexpected) workload for the collection phase in grouping R3. The possibility of intervening transversely, using management surpluses flexibly during the year in the grouping that requires any corrections within a given time frame, has allowed Erion to perform a supporting function for the proper functioning of a sustainable environmental supply chain and to support government action.</w:t>
        <w:br/>
        <w:t>66. More generally, the Authority believes that the commitment to publish two separate price lists, with the obligation to use the management surpluses generated in the previous year only for the producers who generated them (and thus not also for any new members of the Erion consortium), which has already been implemented for the year 2022 even in the absence of a resolution from the Authority making the commitments mandatory in part, demonstrates how the concern about possible exclusionary conduct by Erion to the detriment of competing consortia appears to be fully dispelled at this stage; to demonstrate this, Erion reported that it had been contacted by an important producer of EEE currently belonging to a competing consortium which, in light of the presentation of Erion's rates for 2022, chose not to join Erion25.</w:t>
        <w:br/>
        <w:t>67. In conclusion, the management surpluses generated during the year appear to be subject to significant purpose constraints in favor of only those who generated them, with the consequence that such sums cannot be used to implement aggressive purchasing policies for new producers in the market, nor to "loyalize" its pool of producers to the extent that they must be returned in their favor in the following year; at the same time, any reserves generated in previous years cannot be used for similar purposes as, by virtue of a specific provision of the model statute incorporated in that of Erion, they must be restored in the following year, thus effectively addressing the concern expressed by the Authority at the outset (as it cannot, evidently, go beyond what appears necessary for this purpose).</w:t>
        <w:br/>
        <w:t>VI.3. The commitment to abolish the exclusivity clause</w:t>
        <w:br/>
        <w:t>VI.3.1. The measures originally proposed</w:t>
        <w:br/>
        <w:t>68. Erion has committed to amend the provisions of Article 4, paragraph 1, and Article 6, paragraph 3, letter (i), of its Statute in order to remove the exclusivity obligation therein contemplated.</w:t>
        <w:br/>
        <w:t>VI.3.2. The elements that emerged during the market test</w:t>
        <w:br/>
        <w:t>69. In the context of the market test, [omissis] argued that the commitment appears insufficient as Erion would still be free to impose obstacles or additional burdens on consortia wishing to withdraw or join other WEEE consortia, for example, to confer a mandate for a single specific WEEE grouping.</w:t>
        <w:br/>
        <w:t>VI.3.3. The ancillary modifications</w:t>
        <w:br/>
        <w:t>70. Erion has amended the text of the measure providing, in addition to the removal of references to the exclusivity obligation in the statutory provisions, also the commitment not to impose additional burdens on producers should they decide to confer a mandate for one or more specific WEEE groupings to other consortia, in line with what was requested by [omissis].</w:t>
        <w:br/>
        <w:t>VI.3.4. Assessments</w:t>
        <w:br/>
        <w:t>The Authority believes that the commitment effectively and definitively resolves the competitive concern expressed in the initiation measure, as it completely eliminates the obligation for producers adhering to Erion to confer to the dominant consortium the mandate to recover all WEEE attributable to a given producer, which appeared likely to extend Erion's potential dominance basin to the detriment of competing systems. On the contrary, the commitment will allow competing collective systems to fully benefit from any efficiencies generated in carrying out their activities, should they translate into reductions in environmental contributions offered to Erion producers even in a single grouping, making those producers fully contestable.</w:t>
        <w:br/>
        <w:t>VII. CONCLUDING ASSESSMENTS</w:t>
        <w:br/>
        <w:t>71. In conclusion, the commitments presented by Erion, ECO, and Interseroh TSR appear overall suitable to remedy the competitive concerns expressed at the initiation of the procedure, and of possible harm to intra-European trade, as they allow for the full contestability of the pool of EEE producers present at the national level, and remove a series of contractual and statutory constraints that would have allowed Erion to implement loyalty policies in the market, to the detriment of competing consortia.</w:t>
        <w:br/>
        <w:t>72. In exercising its broad discretion in this matter26, the Authority believes that the institution of commitments, in light of the far-reaching measures proposed and the radical removal of the identified contractual and statutory obstacles, offers an effective and timely resolution to the possible issues identified in the initiation measure, thus the general arguments expressed by [omissis] regarding the inadequacy of resorting to commitments in this case are not shareable27, nor are those expressed by [omissis] regarding the necessity for Erion to present a series of measures also concerning the alleged power of Erion in the WEEE CDC28 or the allegedly non-independent role of Interseroh TSR29, which appear entirely extraneous to the purpose of the procedure.</w:t>
        <w:br/>
        <w:t>26 See, e.g., Council of State, section VI, judgment of April 20, 2011, no. 2438, paragraph 2.3.3.</w:t>
        <w:br/>
        <w:t>27 In particular, in its memorandum received on January 10, 2022 (Doc. 202), [omissis] argued that it is not appropriate to close the investigative procedure with a decision to accept the commitments.</w:t>
        <w:br/>
        <w:t>28 In the memorandum of [omissis] of January 10, 2022 (Doc. 201), the competing consortium argued in general terms that, due to the dominant position that Erion holds in the WEEE market, Erion would have weight within the governing bodies of the WEEE CDC that would allow it to interfere, to its advantage, in the definition of collection points and the quantities of WEEE to be collected in the market, i.e., on important competitive levers among the consortia active in the sector. The Authority believes that this argument cannot in any case be evaluated in this context as it pertains to issues and facts extraneous to those contested at the initiation of the procedure, so that any measures in this regard would be disproportionate to the purpose of the Authority's intervention. In any case, during the hearing (Doc. 207), Erion reported that the alleged possibility for Erion to favor its position within the WEEE CDC in the assignment to consortia of the points and quantities of WEEE to be collected asserted by [omissis] is a statement not only foreign to the perimeter but also unfounded, as Article 11 of the Statute of the WEEE CDC establishes, for decisions in the matters indicated by [omissis], a quorum of 80% (not individually reachable by Erion).</w:t>
        <w:br/>
        <w:t>29 In particular, in the context of the market test [omissis] argued that Erion should commit to divesting its participation in Interseroh TSR, and ECO should simultaneously commit not to acquire shares in the same company, as such ties "affect the independence" of Interseroh TSR. These observations presented by [omissis] appear extraneous to the objections raised by the Authority at the initiation of the procedure and therefore not admissible in this context.</w:t>
        <w:br/>
        <w:t>73. Likewise, and contrary to what was argued by [omissis] who requested that the implementation of the commitments occur within 15 days or at most one month from the date of notification of the possible decision to accept the commitments, the Authority believes that the implementation of the commitments within three months – as proposed by the parties – is a sufficiently limited, reasonable, and appropriate time, also considering the need for contractual and statutory changes to be negotiated with commercial counterparts and fully implemented also through the Consortium Assembly30.</w:t>
        <w:br/>
        <w:t>74. In conclusion, the commitments presented appear overall suitable to remedy the competitive concerns expressed at the initiation of the procedure, and of possible harm to intra-European trade, as they allow for the restoration of competitive dynamics in the markets for WEEE treatment services and the provision of compliance services to EEE producers.</w:t>
        <w:br/>
        <w:t>75. The Authority will monitor the execution of the commitments and reserves the right to reopen the procedure ex officio for the purposes and effects of what is provided for by Article 14-ter, paragraphs 2 and 3, of law no. 287/90.</w:t>
        <w:br/>
        <w:t>CONSIDERING, therefore, that the commitments presented by ERION WEEE, Erion Compliance Organization S.c.a.r.l. and Interseroh TSR Italia S.r.l. are suitable to eliminate the anticompetitive profiles subject to the investigation;</w:t>
        <w:br/>
        <w:t>CONSIDERING to make the commitments presented by ERION WEEE, Erion Compliance Organization S.c.a.r.l. and Interseroh TSR Italia S.r.l. mandatory pursuant to Article 14-ter, paragraph 1, of law no. 287/90;</w:t>
        <w:br/>
        <w:t>all of the above having been stated and considered:</w:t>
        <w:br/>
        <w:t>RESOLVES</w:t>
        <w:br/>
        <w:t>a) to make the commitments presented mandatory for ERION WEEE, Erion Compliance Organization S.c.a.r.l. and Interseroh TSR Italia S.r.l. pursuant to Article 14-ter, paragraph 1, of law no. 287/90, in the terms described above and attached to this measure, which constitute an integral part thereof;</w:t>
        <w:br/>
        <w:t>b) that ERION WEEE, Erion Compliance Organization S.c.a.r.l. and Interseroh TSR Italia S.r.l. present to the Authority a detailed report on the implementation of the commitments undertaken by December 31 of each of the years 2022-2025;</w:t>
        <w:br/>
        <w:t>c) to close the procedure without ascertaining the infringement, pursuant to Article 14-ter, paragraph 1, of law no. 287/90.</w:t>
        <w:br/>
        <w:t>[omissis] regarding the "role of ITI" [i.e., Interseroh TSR, ed.] appear extraneous to the purpose of the procedure, see also the memorandum of Interseroh TSR of February 9, 2022 (Doc. 208). In any case, the Authority also takes note of what was indicated by Erion in its memorandum of February 9, 2022 (Doc. 209) regarding the fact [omissis], thus also from this perspective the premise of the argument made by [omissis] has evidently come to an end.</w:t>
        <w:br/>
        <w:t>30 See, on this point, the memoranda of Erion, ECO, and Interseroh TSR of February 9, 2022 (Doc. 208 and Doc. 209).</w:t>
      </w:r>
    </w:p>
    <w:p>
      <w:r>
        <w:rPr>
          <w:b/>
        </w:rPr>
        <w:t>[Pages 22–24]</w:t>
      </w:r>
    </w:p>
    <w:p>
      <w:r>
        <w:t>24 BULLETIN NO. 18 OF MAY 16, 2022</w:t>
        <w:br/>
        <w:t>This measure will be notified to the interested parties and published in the Bulletin of the Italian Competition Authority.</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measure itself.</w:t>
        <w:br/>
        <w:t>THE SECRETARY GENERAL THE PRESIDENT</w:t>
        <w:br/>
        <w:t>Guido Stazi Roberto Rustichelli</w:t>
      </w:r>
    </w:p>
    <w:p>
      <w:r>
        <w:t>BULLETIN NO. 18 OF MAY 16, 2022 25</w:t>
        <w:br/>
        <w:t>CONCENTRATION OPERATIONS</w:t>
        <w:br/>
        <w:t>C12246B - FRATELLI ARENA/BRANCHES OF SMA-DISTRIBUTION</w:t>
        <w:br/>
        <w:t>CAMBRIA-ROBERTO ABATE</w:t>
        <w:br/>
        <w:t>Measure no. 30131</w:t>
        <w:br/>
        <w:t>THE ITALIAN COMPETITION AUTHORITY</w:t>
        <w:br/>
        <w:t>IN ITS MEETING of April 27, 2022;</w:t>
        <w:br/>
        <w:t>HEARD the Rapporteur Professor Michele Ainis;</w:t>
        <w:br/>
        <w:t>HAVING REGARD to the law of October 10, 1990, no. 287;</w:t>
        <w:br/>
        <w:t>HAVING REGARD to the Presidential Decree of April 30, 1998, no. 217;</w:t>
        <w:br/>
        <w:t>HAVING REGARD to the law of November 24, 1981, no. 689;</w:t>
        <w:br/>
        <w:t>HAVING REGARD to its resolution of July 27, 2021, by which a proceeding was initiated against the company Fratelli Arena S.r.l., to ascertain the existence of non-compliance with the Authority's resolution no. 28038 of December 20, 2019, pursuant to Article 19, paragraph 1, of law no. 287/90, and the possible need to impose new measures, in addition or in substitution of those originally provided, in order to restore effective competition conditions, pursuant to Article 18, paragraph 3, of the aforementioned law;</w:t>
        <w:br/>
        <w:t>HAVING REGARD to the Communication of Investigative Results sent to the Party on November 8, 2021;</w:t>
        <w:br/>
        <w:t>HAVING REGARD to the final memorandum of Fratelli Arena S.r.l., received on December 9, 2021;</w:t>
        <w:br/>
        <w:t>HEARD in the final hearing, on December 13, 2021, the representatives of Fratelli Arena S.r.l.;</w:t>
        <w:br/>
        <w:t>HAVING REGARD to its resolution of December 21, 2021, which ordered a supplementary investigation, aimed at acquiring further informational elements on the new point of sale allegedly opened by a competing operator in December 2021 and belonging to the local markets affected by this proceeding, and extended the deadline for concluding the proceeding to April 30, 2022;</w:t>
        <w:br/>
        <w:t>HAVING REGARD to the Integration to the Communication of Investigative Results sent to the Party on March 25, 2022;</w:t>
        <w:br/>
        <w:t>HAVING REGARD to the acts of the proceeding;</w:t>
        <w:br/>
        <w:t>CONSIDERED the following:</w:t>
        <w:br/>
        <w:t>I. THE PARTY</w:t>
        <w:br/>
        <w:t>1. Fratelli Arena S.r.l. (hereinafter also "Fratelli Arena") is a company subject to the direction and coordination of the company Gruppo Arena S.p.A. (hereinafter also "the Gruppo Arena"), which holds its entire share capital. The Gruppo Arena, in turn subject to the control of individuals, operates in the Organized Large Distribution sector (hereinafter also "GDO") almost exclusively in the Sicily region, through approximately 180 points of sale (hereinafter also "pv") belonging to the traditional channel, under the brands Decò, IperConveniente, SuperConveniente, and NonSoloCash. The Gruppo Arena is part of the Gruppo Végé, a cooperative company of the GDO with purchasing center functions, which also offers its members IT and data processing services. The Gruppo Arena achieved a turnover of approximately 890 million euros in 2020, entirely developed in the national territory.</w:t>
        <w:br/>
        <w:t>II. THE INITIATION OF THE PROCEEDING AND THE INVESTIGATIVE ACTIVITY</w:t>
        <w:br/>
        <w:t>2. With resolution no. 28038 of December 20, 2019 (hereinafter also "the Measure"), the Authority authorized, subject to the full and effective execution of the measures prescribed pursuant to Article 6, paragraph 2, of law no. 287/90, the concentration operation communicated by Fratelli Arena, under which it acquired exclusive control of three groups of branches of business, respectively composed of: i) 33 branches of business operated by SMA S.p.A.; ii) 8 branches of business operated by Distribuzione Cambria S.r.l.; iii) 11 branches of business operated by Roberto Abate S.p.A., a company in liquidation.</w:t>
        <w:br/>
        <w:t>3. The Authority imposed, among other things, the transfer of control, both de facto and de jure, of 6 points of sale identified in letters a) to e) of the aforementioned resolution to buyers/tenants possessing the following requirements: “i) to be independent entities, also commercially, from the Parties and from the companies connected to them, as well as from the individuals at the top of the control chain of the Parties; ii) to possess the financial means, as well as the incentive and capacity to maintain and develop, on an efficient scale, the retail sale of food and non-food products; iii) to preferably be primary operators in the sector active at the national level, and in any case already active in the retail sale of food and non-food products; iv) the acquisition of the divested activity by a proposed buyer must not create new problems for competition, nor pose the risk that the implementation of the measures will be delayed.”</w:t>
        <w:br/>
        <w:t>4. With regard to the point of sale indicated in letter d) of the resolution, namely [omissis]*, the transfer of which was prescribed by the Authority to prevent the realization of the distorting effects of competition caused by the concentration on three local markets (identified in the Measure as I_1, S_10, and S_131), the Party, with communication of May 20, 20212, supplemented on May 28, 3 June 11, 4 and July 6, 20215, requested the revocation/revision of the measure relating to the transfer of this point of sale (hereinafter also "the Measure"), considering the changed competitive situation following new openings of competing points of sale that had occurred or were about to occur in the meantime.</w:t>
        <w:br/>
        <w:t>5. At the same time, the Party requested an extension of the deadline for the transfer of the aforementioned point of sale [omissis], set for May 31, 2021, due to the extensions granted, for the time strictly necessary for the Authority to examine the request for revocation of the Measure.</w:t>
        <w:br/>
        <w:t>* In this version, some data are omitted, as elements of confidentiality or secrecy of the information were deemed to exist.</w:t>
        <w:br/>
        <w:t>1 These are the local markets corresponding to the isochrones built around, respectively, the pv of Via Acicastello 17 in Catania, Via Messina 625/627 in Catania, and Via Morgioni 47 in San Gregorio di Catania (CT).</w:t>
        <w:br/>
        <w:t>2 Doc. 1.</w:t>
        <w:br/>
        <w:t>3 Doc. 2.</w:t>
        <w:br/>
        <w:t>4 Doc. 3.</w:t>
        <w:br/>
        <w:t>5 Doc. 4.</w:t>
      </w:r>
    </w:p>
    <w:p>
      <w:r>
        <w:rPr>
          <w:b/>
        </w:rPr>
        <w:t>[Pages 25–27]</w:t>
      </w:r>
    </w:p>
    <w:p>
      <w:r>
        <w:t>BULLETIN NO. 18 OF MAY 16, 2022 27</w:t>
        <w:br/>
        <w:t>6. On May 21 and June 7, 20216, the Party informed the Authority that it had received two non-binding expressions of interest from two GDO operators for the acquisition of the point of sale, to which no follow-up was given pending the Authority's determinations.</w:t>
        <w:br/>
        <w:t>7. The Authority, considering it necessary to assess whether the reported facts constituted a non-compliance with the Measure, pursuant to Article 19, paragraph 1, of law no. 287/90, and whether it was necessary to impose new measures, in addition to or in replacement of those originally provided, in order to restore effective competition conditions, pursuant to Article 18, paragraph 3, of the same law, initiated, with resolution no. 29794 of July 27, 2021, the proceeding against the Party.</w:t>
        <w:br/>
        <w:t>8. On August 3, 2021, a request for information was sent to the Party7, aimed at acquiring information on the current competitive structure of the three local markets mentioned above, to which a response was provided on September 16, 20218.</w:t>
        <w:br/>
        <w:t>9. On September 21 and October 6, 2021, requests for information were sent to Eurospin Italia S.p.A.9, Lidl Italia S.r.l.10, MD S.p.A.11, and Penny Market S.r.l.12 to verify the openings of planned points of sale in the province of Catania by 2022.</w:t>
        <w:br/>
        <w:t>10. On October 12, 2021, a hearing was held with the Party13, during which the company proposed, as a measure in replacement of the sale of the original point of sale, the alternative divestiture of two different points of sale located in the same local markets ([omissis] or [omissis]).</w:t>
        <w:br/>
        <w:t>11. On November 8, 2021, the Communication of Investigative Findings14 was transmitted to the Party.</w:t>
        <w:br/>
        <w:t>12. Fratelli Arena submitted a final memorandum on December 9, 202115, in which, among other things, it proposed the replacement of the Measure with the sale of two points of sale located in the same local markets ([omissis] and [omissis]).</w:t>
        <w:br/>
        <w:t>13. On December 13, 2021, the final hearing was held before the College16, during which Fratelli Arena proposed the possibility of divesting an additional point of sale, in addition to the two mentioned above, in replacement of the Measure. As subsequently specified17, this concerns the [omissis]. During the final hearing, the Party also disclosed the news, just learned, of the "imminent opening of a new competing supermarket under the Tocal brand in the central area of Catania"18.</w:t>
        <w:br/>
        <w:t>14. In consideration of the new fact regarding the opening of a competing point of sale in the central area of Catania, on December 21, 2021, the Authority decided to conduct a supplementary investigation. In particular, the measure adopted by the Authority ordered the Offices to "acquire further elements regarding the new point of sale allegedly opened in December 2021 by a competing operator belonging to the local markets affected by this proceeding." The measure also requested the transmission to the Party of "an integration of the Communication of Investigative Findings in order to allow the full exercise of the right of defense" and extended the final deadline for closing the proceeding to April 30, 2022.</w:t>
        <w:br/>
        <w:t>15. On January 10, 2022, a request for information was sent to To.Cal. Distribuzione S.r.l.19, holder of the Tocal brand, to verify the points of sale opened and/or opening in the years 2020-2021-2022 in the province of Catania. The company responded on January 19, 202220.</w:t>
        <w:br/>
        <w:t>16. On March 25, 2022, the Integration of the Communication of Investigative Findings21 was transmitted to the Party.</w:t>
        <w:br/>
        <w:t>17. On April 8, 2022, the Party communicated that it accepted without contest the conclusions contained in the Integration of the Communication of Investigative Findings and waived the hearing before the College22.</w:t>
        <w:br/>
        <w:t>III. INVESTIGATIVE FINDINGS</w:t>
        <w:br/>
        <w:t>III.1) Premise</w:t>
        <w:br/>
        <w:t>18. The investigative proceeding was initiated to verify whether there had been non-compliance with the Measure, pursuant to Article 19, paragraph 1, of law no. 287/90, and whether it was necessary to impose new measures, in addition to or in replacement of those originally provided, in order to restore effective competition conditions, pursuant to Article 18, paragraph 3, of the same law.</w:t>
        <w:br/>
        <w:t>III.2) The affected markets</w:t>
        <w:br/>
        <w:t>19. The markets affected by this proceeding are:</w:t>
        <w:br/>
        <w:t>− the local hypermarket market with the centroid at the point of sale of Via Acicastello 17 in Catania (hereinafter also "I_1");</w:t>
        <w:br/>
        <w:t>− the local supermarket market with the centroid at the point of sale of Via Messina 625/627 in Catania (hereinafter also "S_10");</w:t>
        <w:br/>
        <w:t>− the local supermarket market with the centroid at the point of sale of Via Morgioni 47 in San Gregorio di Catania (hereinafter also "S_13").</w:t>
        <w:br/>
        <w:t>20. The product and geographic definition of these markets has been extensively examined in numerous precedents23. In particular, from a product perspective, the hypermarket market is composed of hypermarkets, all supermarkets, and discount stores, that is, all points of sale with sizes equal to or greater than 400 square meters. The supermarket market, on the other hand, is composed of all supermarkets, convenience stores, hypermarkets, and discount stores, that is, all points of sale from 100 square meters upwards.</w:t>
        <w:br/>
        <w:t>21. From a geographic perspective, the extent of the local markets, both for hypermarkets and supermarkets, corresponds to the area bounded by a 15-minute driving isochrone constructed around the target company's points of sale subject to acquisition, namely, in this case, the hypermarket at Via Acicastello 17 in Catania, the supermarket at Via Messina 625/627 in Catania, and the supermarket at Via Morgioni 47 in San Gregorio di Catania.</w:t>
        <w:br/>
        <w:t>III.3) The effects of operation C12246 in the affected markets and the Measure prescribed by the Authority</w:t>
        <w:br/>
        <w:t>22. Below is a summary of the competitive situation of the affected markets that emerged during the investigation for operation C12246, which led to the imposition of the Measure.</w:t>
        <w:br/>
        <w:t>III.3.1 Local Market of Isochrone I_1 - Via Acicastello 17, Catania</w:t>
        <w:br/>
        <w:t>23. In the local market in question, Fratelli Arena, as a result of the concentration operation assessed in the context of proceeding C12246, would come to hold a market share of [45-50%], with an increase of [20-25%], compared to a market share of [10-15%] attributable to the second operator (Eurospin). The diversion ratio towards the other points of sale of the acquirer within the isochrone was also very high (36%). In light of these elements, it was deemed that the operation in question was likely to create a dominant position for Fratelli Arena and that the divestiture of the point of sale of [omissis] (carried out to resolve competitive issues in other local markets affected by the operation) was not sufficient to avert this risk.</w:t>
        <w:br/>
        <w:t>III.3.2 Local Market of Isochrone S_10 - Via Messina 625/627, Catania</w:t>
        <w:br/>
        <w:t>24. This market was characterized by a post-merger market share of [35-40%], with an increase attributable to the operation of [10-15%], and a diversion ratio from the target to the acquirer of 29%. The main competitors were Eurospin ([15-20%]), NEW FDM ([10-15%]), Lidl, and Coop ([5-10%]). Due to the high values of both market share and diversion ratio, as well as the fact that the main national competitors of the GDO were present with small shares, it was deemed that the concentration operation was likely to create a dominant position for Fratelli Arena. The divestitures of the three points of sale of [omissis], [omissis], and [omissis], due to their limited impact on both market share and diversion ratio, were not considered sufficient to resolve the competitive issues identified in this local market.</w:t>
        <w:br/>
        <w:t>23 See, in addition to the Measure, C12314 - UNICOMM/TWO BRANCHES OF MARGHERITA DISTRIBUZIONE, measure no. 28378 of October 13, 2020, C12315 - BENNET/MARGHERITA DISTRIBUZIONE-8 POINTS OF SALE, measure no. 28351 of September 15, 2020; C12279 - DIPERDÌ/BRANCHES OF SMA AND SOCIETÀ GENERALE DISTRIBUZIONE, measure no. 28326 of August 4, 2020; C12247B – BDC ITALIA-CONAD/AUCHAN, measure no. 28163 of February 25, 2020.</w:t>
      </w:r>
    </w:p>
    <w:p>
      <w:r>
        <w:rPr>
          <w:b/>
        </w:rPr>
        <w:t>[Pages 28–30]</w:t>
      </w:r>
    </w:p>
    <w:p>
      <w:r>
        <w:t>30 BULLETIN NO. 18 OF MAY 16, 2022</w:t>
        <w:br/>
        <w:t>III.3.3 Local market of Isocrona S_13 - Via Morgioni 47, San Gregorio di Catania, CT</w:t>
        <w:br/>
        <w:t>25. In this isocrona, the post-merger market share was [30-35%], with an increase of [10-15%], and the diversion ratio from target to acquirer amounted to 32%. The main competitors were Eurospin, with a market share of [10-15%] and Coop [10-15%]. These factors led to the conclusion that, in the local market in question, the concentration operation was likely to create a dominant position for Fratelli Arena. Even in this case, the impact of the divestitures of the three sales points of [omissis], [omissis], and [omissis], carried out to resolve the anti-competitive effects of the operation in other markets, was modest and insufficient to alleviate the competitive concerns in the isocrona in question.</w:t>
        <w:br/>
        <w:t>26. The Authority, believing that in the three aforementioned local markets the operation was likely to create or strengthen a dominant position such as to eliminate or substantially and durably reduce competition, imposed, among other measures, the divestiture of the sales point of [omissis].</w:t>
        <w:br/>
        <w:t>27. This divestiture was to take place by June 30, 2020 (first divestiture period); if no buyer was identified by that deadline, the Party was to identify, by September 30, 2020 (second divestiture period), the buyer [omissis], granting an irrevocable mandate to an independent and qualified entity for this purpose. The aforementioned deadlines were repeatedly extended at the request of the Party: the deadline for the first divestiture period was initially postponed to December 31, 2020, and subsequently set to February 28, 2021; the deadline for the second divestiture period was first extended to March 31, 2021, and then to May 31, 2021.</w:t>
        <w:br/>
        <w:t>28. On March 25, 2021, Fratelli Arena mandated an independent intermediary to sell the sales point [omissis], selling, in the case of multiple interested parties, to the highest bidder.</w:t>
        <w:br/>
        <w:t>III.4) The current positioning of Fratelli Arena in the affected markets</w:t>
        <w:br/>
        <w:t>29. During the present proceeding, the positioning of Fratelli Arena in the affected markets was analyzed with reference to the current situation, in order to compare it with that examined during proceeding C12246. Furthermore, the competitive situation of the aforementioned isocrone in the near future was examined, taking into account the openings of new sales points planned by competitors until 2022.</w:t>
        <w:br/>
        <w:t>30. In response to a request for information from the Authority, the Party provided the list of sales points (both of the Party and of competitors) already operational and in the process of opening in each isocrona, the related turnover, and the travel time from the centroid to them.</w:t>
        <w:br/>
        <w:t>31. The travel times indicated by the Party were verified using the "Google Distance Matrix API" application, setting the measurement under normal traffic conditions (departing Wednesday, November 24, 2021, at 6 PM), in line with what was done in the C12246 investigation. Further measurements were taken regarding subsequent dates (January 26 and March 9, 2022, also on Wednesdays at 6 PM) and yielded consistent results. This allowed for the identification of which sales points, of the Party and competitors, actually belonged to the affected markets and their respective distances from the centroid. Additionally, a competing sales point that was found to be closed as a result of the checks was removed from the dataset provided by the Party24.</w:t>
        <w:br/>
        <w:t>32. Regarding the future openings of 12 sales points of competing operators represented by the Party, they were verified through requests for information to the same competitors25 and only for 7 sales points was the planned opening confirmed by December 31, 2022; of these, 5 were found to be outside the isocrone in question26. For the sales points opening by 2022 and belonging to the affected markets, the turnover estimated by the operators themselves was considered.</w:t>
        <w:br/>
        <w:t>33. Specifically regarding a sales point that, based on what was communicated by the Party, Eurospin is about to open [omissis], the same company stated [omissis] that it is not in a position to carry out this opening by 202227. In any case, even taking this sales point into account, the evidence reported below would not change significantly.</w:t>
        <w:br/>
        <w:t>34. Finally, during the supplementary investigation ordered by the Authority, the impact on the competitive situation of the three local markets affected by the opening, on December 14, 2021, of a new supermarket (with a sales area of 300 sqm) under the Tocal brand at Via Oliveto Scammacca 29 in Catania28 was examined in depth. This sales point was found to be outside the local market I_1, having as centroid the hypermarket at Via Acicastello 17 in Catania, as, from a merchandise perspective, the hypermarket market consists of hypermarkets, all supermarkets, and discounters, i.e., all sales points with sizes equal to or greater than 400 sqm, while supermarkets are excluded. The new Tocal sales point was also found to be outside the local market S_13, having as centroid the supermarket at Via Morgioni 47 in San Gregorio di Catania (CT), as the travel time between the centroid and this sales point, calculated using the "Google Distance Matrix API" application, is 18 minutes. The sales point is, therefore, outside the 15-minute driving isocrona that geographically delimits the local market. The only local market subject to the present proceeding where the new opening is relevant is the one having as centroid the supermarket at Via Messina 625/627 in Catania (S_10); the new Tocal supermarket is indeed located 11 minutes from the centroid.</w:t>
        <w:br/>
        <w:t>35. Table 1 shows the market shares and diversion ratios (DR) for the three local markets under examination, both in the situation as of November 2021 and in the situation that, ceteris paribus, is expected at the end of 2022 following the new openings of the competing sales points identified during the investigation.</w:t>
        <w:br/>
        <w:t>24 This refers to the sales point MD at Via De Caro 52 in Catania.</w:t>
        <w:br/>
        <w:t>25 See docs. 10-13 (requests for information), 14, 15, 18, and 19 (responses).</w:t>
        <w:br/>
        <w:t>26 One operator communicated the opening of an additional sales point compared to those communicated by the Party, within the isocrone in question, which was considered within the analysis.</w:t>
        <w:br/>
        <w:t>27 See doc. 20.</w:t>
        <w:br/>
        <w:t>28 See doc. 38.</w:t>
      </w:r>
    </w:p>
    <w:p>
      <w:r>
        <w:t>32 BULLETIN NO. 18 OF MAY 16, 2022</w:t>
        <w:br/>
        <w:t>Table 1 – Market shares and DR in the affected markets with the new openings</w:t>
        <w:br/>
        <w:t>Situation as of November Situation at the end</w:t>
        <w:br/>
        <w:t>2021 2022</w:t>
        <w:br/>
        <w:t>isocrona</w:t>
        <w:br/>
        <w:t>address QdM DR QdM DR</w:t>
        <w:br/>
        <w:t>na</w:t>
        <w:br/>
        <w:t>I_1 Via Acicastello 17, Catania, CT [40-45%] 24% [40-45%] 24%</w:t>
        <w:br/>
        <w:t>Via Messina 625/627 Catania,</w:t>
        <w:br/>
        <w:t>S_10 [35-40%] 22% [30-35%] 22%</w:t>
        <w:br/>
        <w:t>CT</w:t>
        <w:br/>
        <w:t>Via Morgioni 47 San Gregorio di</w:t>
        <w:br/>
        <w:t>S_13 [30-35%] 27% [30-35%] 26%</w:t>
        <w:br/>
        <w:t>Catania, CT</w:t>
        <w:br/>
        <w:t>36. In the isocrona I_1, taking into account also the new openings planned by 2022, the first competing operator is Eurospin with a market share of [10-15%], followed by Lidl with [5-10%]. It should be noted that, even considering the opening of the Eurospin sales point [omissis], the share of this operator would rise at most to [10-15%], against a marginal reduction in the Party's share ([35-40%]).</w:t>
        <w:br/>
        <w:t>37. In the local market S_10, following the openings of new sales points that will take place until the end of the current year, Eurospin is the first competing operator with a share of [15-20%], followed by New FDM ([5-10%]) and Lidl ([5-10%]).</w:t>
        <w:br/>
        <w:t>38. Also in the isocrona S_13, looking at the competitive situation at the end of 2022, Eurospin is the main competitor, with a share of [10-15%], followed by Coop with [10-15%] and New FDM with [5-10%].</w:t>
        <w:br/>
        <w:t>III.5) The divestitures proposed by Fratelli Arena in replacement of the Measure</w:t>
        <w:br/>
        <w:t>39. During the present proceeding, Fratelli Arena, acknowledging the decrease in the values of its market share and the DR recorded in the affected markets, which however remained above the threshold values identified in the Measure, proposed as a measure in replacement of the original one the divestiture, through the sale or multi-year lease of a business branch to an independent third party, of the following three sales points [omissis]: [omissis], [omissis], and [omissis].</w:t>
        <w:br/>
        <w:t>40. The divestiture of the aforementioned three sales points, considering the scenario including the new openings made (including that of the Tocal sales point) as well as those that will take place by 2022, would lead to a moderate reduction in market share, against a more marked reduction in the DR, which in the isocrone I_1 and S_10 would fall below 20% (see Table 2).</w:t>
      </w:r>
    </w:p>
    <w:p>
      <w:r>
        <w:rPr>
          <w:b/>
        </w:rPr>
        <w:t>[Pages 31–33]</w:t>
      </w:r>
    </w:p>
    <w:p>
      <w:r>
        <w:t xml:space="preserve">BULLETIN NO. 18 OF MAY 16, 2022 33  </w:t>
        <w:br/>
        <w:t xml:space="preserve">Table 2 – Market shares and DR in the affected markets with the divestiture of the 3 sales points  </w:t>
        <w:br/>
        <w:t xml:space="preserve">Situation at the end of 2022  </w:t>
        <w:br/>
        <w:t xml:space="preserve">isocrona address QdM DR  </w:t>
        <w:br/>
        <w:t xml:space="preserve">I_1 Via Acicastello 17, Catania, CT [35-40%] 19%  </w:t>
        <w:br/>
        <w:t xml:space="preserve">S_10 Via Messina 625/627 Catania, CT [30-35%] 17%  </w:t>
        <w:br/>
        <w:t xml:space="preserve">Via Morgioni 47 San Gregorio di Catania,  </w:t>
        <w:br/>
        <w:t xml:space="preserve">S_13 [30-35%] 24%  </w:t>
        <w:br/>
        <w:t xml:space="preserve">CT  </w:t>
        <w:br/>
        <w:t xml:space="preserve">IV. THE ARGUMENTS OF THE PARTY  </w:t>
        <w:br/>
        <w:t xml:space="preserve">41. Fratelli Arena presented its position both during the investigative hearing and by submitting written statements and information. The company also represented its defenses by filing a memorandum in view of the final hearing before the Board and during the latter, as well as, finally, in an additional communication sent subsequently to the Integration of the Communication of Investigative Results.  </w:t>
        <w:br/>
        <w:t xml:space="preserve">IV.1) On non-compliance with the Measure  </w:t>
        <w:br/>
        <w:t xml:space="preserve">42. The Party, during the final hearing29, represented that the failure to divest the sales point, at least in the immediate phase following the closure of the authorization procedure with conditions of the concentration, would not be attributable to negligent conduct of the company, but rather to objective factors, such as, primarily, the pandemic emergency, which caused a halt to all economic activities and led the Authority itself to grant a first extension for the divestiture. Upon resumption of activities, the company would have noted significant changes in the market, which would have led it, before the expiration of the deadline for the transfer [omissis], to submit the request for revocation/revision of the measure. The opening of the present investigation by the Authority, aimed at also evaluating the aforementioned request, would then have generated reliance on the possibility that the Measure could actually be revoked or at least revised.  </w:t>
        <w:br/>
        <w:t xml:space="preserve">IV.2) On the request for revocation of the Measure and on the imposition of new measures in addition to or in replacement of the originally provided one  </w:t>
        <w:br/>
        <w:t xml:space="preserve">43. In the communication of May 20, 2021, in the integrations of May 28, June 11, and July 6, 2021, in the memorandum of December 9, 2021, as well as in the investigative hearing of October 12, 2021, and in the final hearing of December 13, 2021, the Party represented that the markets in question would be characterized by very dynamic effective competition and the absence of barriers to entry, which would make the risk of creating or strengthening a lasting dominant position absolutely remote. In particular, numerous competing operators, first among them the discount chains Eurospin and Lidl, would have opened or would be about to open a high number of new sales points. This, together with the divestitures imposed by the Authority with the Measure and carried out by the Party (except for the Measure), would have significantly changed the market position of Fratelli Arena, reducing its market share by several percentage points.  </w:t>
        <w:br/>
        <w:t xml:space="preserve">44. Additionally, further elements of dynamism would be attributable to a strong increase in e-commerce and the possible decision of Coop to divest its sales points in the Sicilian territory, which could further change the competitive context.  </w:t>
        <w:br/>
        <w:t xml:space="preserve">45. In the final memorandum30, the Party contested that potential competition had not been adequately assessed, as the new openings of competing sales points scheduled until 2022 were taken into account, although openings with a longer time horizon, if already planned and initiated, would not be without relevance to the competitive situation of the markets in question. The Party also objected that the survey commissioned by it to Nielsen31, concerning the behavior of GDO customers in the city of Catania, would highlight "numerous and significant changes" that occurred in the last two years, which had not been adequately considered and that would render the evaluative framework used by the Authority inadequate.  </w:t>
        <w:br/>
        <w:t xml:space="preserve">46. According to the requesting company, the absence of a dominant position capable of substantially and durably reducing competition in the markets under consideration would today render the completion of the divestiture plan imposed by the Measure and in particular the transfer [omissis] disproportionate and "unnecessarily punitive." Based on these considerations, the Party initially requested the revocation of the Measure. In light of the investigative results, which recognized an objective change in the market, although deemed insufficient for the revocation of the Measure, Fratelli Arena proposed the implementation of substitute divestitures (initially of one sales point32, then of two sales points33, ultimately proposing a third sales point34). The sales point subject to the Measure, in fact, constitutes [omissis]. The Party represented that the alternative divestitures "would still bring the required market values below the required thresholds"35.  </w:t>
        <w:br/>
        <w:t xml:space="preserve">47. In the communication of April 8, 2022, subsequent to the sending of the Integration of the Communication of Investigative Results, the Party represented that it accepted without contestation the conclusions reached therein.  </w:t>
        <w:br/>
        <w:t xml:space="preserve">V. EVALUATIONS  </w:t>
        <w:br/>
        <w:t xml:space="preserve">48. The investigative activity has allowed to ascertain that in the affected local markets the values of market shares and DR have moderately decreased compared to the situation analyzed in 2019. However, the effects of the evolution of the competitive context presented by the Party appear to be of limited relevance: taking into account not only the effect of the new openings of competing sales points that have already occurred (including the most recently reported one related to the Tocal supermarket), but also those that will occur in the near future, such values remain high. The choice to consider in the competitive analysis also the sales points that competitors have planned to open until the end of 2022, contrary to what the Party claimed, appears particularly lenient, since the concentration operation has already been producing its effects since 2019.  </w:t>
        <w:br/>
        <w:t xml:space="preserve">49. The preeminent position of Fratelli Arena does not appear to be significantly undermined: despite the opening of numerous sales points by competitors, the Party remains firmly the leading operator in all three local markets considered, with a significant share at least double that of the first competing operator (in one case, that of isocrona I_1, it is even over triple).  </w:t>
        <w:br/>
        <w:t xml:space="preserve">50. Also, the other indicator of market power used in the Measure, namely the diversion ratio, remains above the threshold of concern: this indicates that there are still strong incentives for the purchasing entity to raise prices, since, in that case, a good portion of consumers would shift to another sales point of the chain.  </w:t>
        <w:br/>
        <w:t xml:space="preserve">51. The dominant position of Fratelli Arena does not appear to be challenged by the development of e-commerce, which, despite the impetus given by the pandemic emergency, remains very limited in the sector and in the geographical area in question. Moreover, Fratelli Arena is one of the few operators offering online shopping in the aforementioned local markets.  </w:t>
        <w:br/>
        <w:t xml:space="preserve">52. As for Coop's exit from the Sicilian territory, it does not appear capable of significantly altering the competitive structure under examination, as this operator has a rather limited market share in the three isocrones under consideration, being present with only one sales point in isocrones I_1 and S_10 and with three sales points in isocrona S_13. The possible transfer of Coop-branded sales points to another competing operator could moderately strengthen the latter's positioning, but would not challenge Arena's dominant position, whose market share is in all isocrones at least double that of the first competitor.  </w:t>
        <w:br/>
        <w:t xml:space="preserve">53. Contrary to what the Party claimed, the results of the new survey commissioned to Nielsen, concerning the behavior of GDO customers in the city of Catania, do not provide particularly relevant elements for the analysis and indeed confirm the trends already identified in the survey conducted by the Authority in 2019, on which the Measure was based. In particular, the discounts, which the survey highlights as having increased substitutability with traditional GDO sales points, have already been fully included in the relevant product market. Furthermore, the willingness of Catanese consumers to shift appears to be even lower than that recorded for Sicily in 2019, confirming the definition of the geographic market adopted by the Authority. The new survey also confirms the strength of the Fratelli Arena brand in the Catanese territory (far and away the leading brand in terms of regular shoppers and considerers).  </w:t>
        <w:br/>
        <w:t xml:space="preserve">54. In conclusion, the developments in the competitive context recorded in the affected local markets have not diminished the dominant position of Fratelli Arena, nor will they do so in the short term. It is therefore not possible to proceed with the revocation of the measure originally imposed by the Authority in order to restore effective competition conditions in the affected local markets.  </w:t>
        <w:br/>
        <w:t>55. However, the investigative checks have highlighted that the alternative measures proposed by the Party may, as a whole, be suitable for reshaping the competitive context in the affected local markets.</w:t>
      </w:r>
    </w:p>
    <w:p>
      <w:r>
        <w:rPr>
          <w:b/>
        </w:rPr>
        <w:t>[Pages 34–36]</w:t>
      </w:r>
    </w:p>
    <w:p>
      <w:r>
        <w:t>36 BULLETIN NO. 18 OF MAY 16, 2022</w:t>
        <w:br/>
        <w:t>56. In particular, the analysis of the impact of the new proposed measures shows that the divestiture of the stores of [omitted], of [omitted], and of [omitted] represents a suitable solution for restoring competitive conditions in the markets affected by this proceeding. In fact, such divestitures reduce, albeit marginally, the market share of the post-merger entity (1-2 percentage points in each isochrone), but allow for a significant decrease in the value of the DR. In two of the three isochrones, it falls below the "threshold level" for assessing the creation of a dominant position, identified by the Authority in this and other recent concentration operations in the retail sector (equal to 20%); in the third isochrone (S_13), the DR would assume a value of 24%, lower than what was expected in the Measure to be reached with the divestiture of the store of [omitted] (29%) and which was deemed sufficient, considering the specific characteristics of that local market, to alleviate competitive concerns.</w:t>
        <w:br/>
        <w:t>57. The timing for the implementation of such divestitures must be very tight to ensure the rapid restoration of contractual conditions in the relevant markets, in light of the prolonged phase of compliance with the Measure. It is believed that, for this purpose, they must be implemented by [omitted]. If the aforementioned divestitures do not take place by that deadline, the Party must [omitted].</w:t>
        <w:br/>
        <w:t>VI. CONCLUSIONS</w:t>
        <w:br/>
        <w:t>58. In light of all the above, the investigation has established that the developments in the competitive context do not allow for the revocation of the Measure, while the conditions exist for the imposition, pursuant to Article 18, paragraph 3, of law no. 287/90, of new measures in place of the originally provided one, in the terms that follow. Instead of the divestiture of [omitted], the restoration of effective competition conditions in the affected local markets must occur through the divestiture of [omitted], [omitted], and [omitted].</w:t>
        <w:br/>
        <w:t>59. Based on the considerations that precede, it is believed that the Party is not responsible for a violation of Article 19, paragraph 1, of law no. 287/90.</w:t>
        <w:br/>
        <w:t>All of the above having been stated and considered;</w:t>
        <w:br/>
        <w:t>CONSIDERED, therefore, based on the elements that emerged in the investigation, that the failure to divest to third parties the [omitted] does not constitute a case of non-compliance with the Measure pursuant to Article 19, paragraph 1, of law no. 287/90;</w:t>
        <w:br/>
        <w:t>CONSIDERED, furthermore, that the request for revocation of the same measure does not merit acceptance and that it is necessary to impose on the company Fratelli Arena S.r.l., pursuant to Article 18, paragraph 3, of law no. 287/90, new measures, in place of the originally provided one, necessary to restore effective competition conditions in the relevant local markets;</w:t>
        <w:br/>
        <w:t>RESOLVES</w:t>
        <w:br/>
        <w:t>a) that the failure to divest [omitted] does not constitute non-compliance with measure no. 28038 of December 20, 2019, pursuant to Article 19, paragraph 1, of law no. 287/90;</w:t>
        <w:br/>
        <w:t>b) to reject the request for revocation of the measure relating to the divestiture [omitted];</w:t>
      </w:r>
    </w:p>
    <w:p>
      <w:r>
        <w:t>BULLETIN NO. 18 OF MAY 16, 2022 37</w:t>
        <w:br/>
        <w:t>c) that Fratelli Arena S.r.l. shall fully and effectively implement the following new measures prescribed pursuant to Article 18, paragraph 3, of law no. 287/90, in place of the divestiture referred to in letter a):</w:t>
        <w:br/>
        <w:t>c.1) divestiture, by [omitted], to one or more third-party independent entities, active in the retail distribution of food and non-food products, of the following 3 stores:</w:t>
        <w:br/>
        <w:t>- [omitted];</w:t>
        <w:br/>
        <w:t>- [omitted];</w:t>
        <w:br/>
        <w:t>- [omitted];</w:t>
        <w:br/>
        <w:t>c.2) the buyers of the stores must meet the following requirements:</w:t>
        <w:br/>
        <w:t>i. be independent entities, also commercially, from the Party and from the companies connected to it, as well as from the individuals at the top of the Party's control chain;</w:t>
        <w:br/>
        <w:t>ii. possess the financial means, as well as the incentive and capacity to maintain and develop, on an efficient scale, the retail sale of food and non-food products;</w:t>
        <w:br/>
        <w:t>iii. preferably be primary operators in the sector active at the national level and, in any case, already active in the retail sale of food and non-food products;</w:t>
        <w:br/>
        <w:t>iv. the acquisition of the divested activity by a proposed buyer must not create new problems for competition, nor pose the risk that the implementation of the measures will be delayed;</w:t>
        <w:br/>
        <w:t>c.3) the agreements related to the transfer of the stores referred to in point c.1) must be submitted to the Authority for approval of the identity of the transferee and the agreements themselves, at least one week before the relevant deadlines mentioned above;</w:t>
        <w:br/>
        <w:t>c.4) if the buyers of the stores to be divested referred to in point c.1) have not been identified by the deadlines provided therein, the Party must, within [omitted] from the expiration of that deadline, divest the stores in question by identifying the buyers [omitted], granting an irrevocable mandate to an independent and qualified entity for this purpose;</w:t>
        <w:br/>
        <w:t>c.5) the Party (or the independent entity appointed for the divestiture) must provide all necessary information about the stores to be divested, to allow potential buyers to assess their value and presumed commercial capacity;</w:t>
        <w:br/>
        <w:t>c.6) the Party must preserve the economic operation, marketability, and competitiveness of the stores subject to the measures, in accordance with good commercial practice, during the period between the notification date of this measure and the full validity and effectiveness of their divestiture;</w:t>
        <w:br/>
        <w:t>c.7) the Party must send to the Authority, within [omitted] from the notification of this measure, an initial report regarding the execution of these measures. This report must contain, among other things, a detailed description of the stores referred to in point c.1), specifying all elements that are part of the business branches subject to transfer. The Party must, by [omitted], send a final report confirming the transfer of the stores and promptly inform the Authority of any event that may affect measure c.1).</w:t>
        <w:br/>
        <w:t>This measure will be notified to the interested parties and published in the Bulletin of the Italian Competition Authority.</w:t>
      </w:r>
    </w:p>
    <w:p>
      <w:r>
        <w:t>38 BULLETIN NO. 18 OF MAY 16, 2022</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rPr>
          <w:b/>
        </w:rPr>
        <w:t>[Pages 37–39]</w:t>
      </w:r>
    </w:p>
    <w:p>
      <w:r>
        <w:t>BULLETIN NO. 18 OF MAY 16, 2022 39</w:t>
        <w:br/>
        <w:t>C12444 - CIRSA INTERNATIONAL BUSINESS CORPORATION/EPLAY 24 ITA</w:t>
        <w:br/>
        <w:t>Measure no. 30132</w:t>
        <w:br/>
        <w:t>THE ITALIAN COMPETITION AUTHORITY</w:t>
        <w:br/>
        <w:t>IN ITS MEETING of April 27, 2022;</w:t>
        <w:br/>
        <w:t>HEARD the Rapporteur Professor Michele Ainis;</w:t>
        <w:br/>
        <w:t>HAVING REGARD to Regulation (EC) no. 139/2004;</w:t>
        <w:br/>
        <w:t>HAVING REGARD to the law of October 10, 1990, no. 287;</w:t>
        <w:br/>
        <w:t>HAVING REGARD to the Presidential Decree of April 30, 1998, no. 217;</w:t>
        <w:br/>
        <w:t>HAVING REGARD to the communication from the company Cirsa International Business Corporation S.L., received on April 4, 2022;</w:t>
        <w:br/>
        <w:t>HAVING REGARD to the documentation on file;</w:t>
        <w:br/>
        <w:t>CONSIDERED the following:</w:t>
        <w:br/>
        <w:t>I. THE PARTIES</w:t>
        <w:br/>
        <w:t>1. Cirsa International Business Corporation S.L. (hereinafter, “Cirsa”) is a company of the Cirsa Group, whose parent company is Cirsa Enterprises S.L.U., controlled by Blackstone Group L.P. (hereinafter, “Blackstone Group”).</w:t>
        <w:br/>
        <w:t>The Cirsa Group operates in the gaming and betting sector in various countries; in Italy, it primarily engages in the collection from entertainment and amusement machines (VLT and AWP), and, to a marginal extent, in the collection from Bingo halls.</w:t>
        <w:br/>
        <w:t>The Blackstone Group is one of the leading investment firms globally. The investments of the Blackstone Group focus on private equity, real estate, public debt securities, equities, bonds, real estate securities, and hedge funds. In Italy, Blackstone does not operate in the gaming and betting sector except through the companies of the Cirsa Group.</w:t>
        <w:br/>
        <w:t>In 2020, the Blackstone Group achieved a consolidated global revenue (including the Cirsa Group) of approximately [70-80]* billion euros, of which approximately [10-20] billion euros were generated in Europe and approximately [700-1,000] million euros in Italy.</w:t>
        <w:br/>
        <w:t>2. Eplay 24 ITA Limited (hereinafter, “Eplay” or “Target”) is a Maltese company that operates, through its controlled companies, in the gaming and betting sector in Italy, particularly in the markets of betting collection and online gaming collection. In Italy, Eplay does not engage in the collection from entertainment and amusement machines (VLT and AWP) or in the collection from Bingo halls.</w:t>
        <w:br/>
        <w:t>In 2020, Eplay achieved a consolidated global revenue of approximately [31-100] million euros, of which approximately [31-100] million euros were generated in Italy.</w:t>
        <w:br/>
        <w:t>* In this version, some data are omitted, as elements of confidentiality or secrecy of the information were deemed to exist.</w:t>
      </w:r>
    </w:p>
    <w:p>
      <w:r>
        <w:t>40 BULLETIN NO. 18 OF MAY 16, 2022</w:t>
        <w:br/>
        <w:t>II. DESCRIPTION OF THE OPERATION</w:t>
        <w:br/>
        <w:t>3. The operation in question concerns the acquisition of 100% of Eplay by Cirsa. The transfer is carried out by the companies Igame 24 Limited (hereinafter, “Seller 1”) and Noblenoise capital S.r.l.s. (hereinafter, “Seller 2” and together with “Seller 1” also referred to as the “Selling Companies”), which hold the entire share capital of the Target, as stated in the Share Purchase Agreement (hereinafter, “SpA”) dated February 14, 2022, signed by Cirsa and the Selling Companies.</w:t>
        <w:br/>
        <w:t>II.1. Accessory Restrictions</w:t>
        <w:br/>
        <w:t>4. The SpA contains restrictions in the form of a non-compete clause on the part of the purchaser. In fact, in order to guarantee the purchaser the value of the goodwill of the Target's business1, a non-compete agreement is provided for the Selling Companies (Seller 1 and Seller 2) and any legal entity affiliated with them as well as for employees, directors, and individuals who have family or personal relationships with employees, directors, or shareholders of these Selling Companies, in the markets where the Target operates in the Maltese and Italian territories. The duration of the non-compete agreement is 5 years.</w:t>
        <w:br/>
        <w:t>III. QUALIFICATION OF THE OPERATION</w:t>
        <w:br/>
        <w:t>5. The notified operation, as it involves the acquisition of control of companies, constitutes a concentration pursuant to Article 5, paragraph 1, letter b), of law no. 287/90. It falls within the scope of application of law no. 287/90, as the conditions of Article 1 of Regulation EC 139/2004 do not apply, and it is subject to the obligation of prior notification provided for by Article 16, paragraph 1, of the same law, as the total revenue achieved, in the last financial year at the national level, by the group of companies involved was over 517 million euros and the total revenue achieved, in the last financial year at the national level, individually by at least two of the companies involved was over 31 million euros2.</w:t>
        <w:br/>
        <w:t>6. Regarding the above-described restrictions, it is represented that the non-compete clause constitutes a restriction directly connected and necessary for the realization of the operation, as it is strictly functional to safeguarding the value of the acquired companies, provided that it is limited in terms of the goods and services offered by the acquired companies and that it has a duration not exceeding the period of 2 years3.</w:t>
        <w:br/>
        <w:t>IV. EVALUATION OF THE CONCENTRATION</w:t>
        <w:br/>
        <w:t>7. The operation in question does not involve either horizontal overlaps or vertical integrations as the Purchaser and its subsidiaries do not operate in the same activities as the Target and its subsidiaries and, therefore, the operation is configured from a competitive perspective as the mere substitution in the relevant markets of one operator with another. More specifically, the Target and its subsidiaries engage in betting collection and online gaming activities, as further detailed below.</w:t>
        <w:br/>
        <w:t>8. Furthermore, there are no competitive concerns regarding the fact that the Purchaser operates in relevant markets adjacent to those in which the Target operates, belonging to the same sector, i.e., that of gaming and betting, as in these markets the Purchaser holds limited market shares4 and there are several qualified competitors, who hold much more significant market shares and own more well-known brands. Moreover, these are markets that present marked differences from those affected by the concentration, from the demand side, in terms of gaming penetration and user profiles, as well as in relation to the peculiarities in the offer, concerning the characteristics of the products and the impact of regulation on the competitive levers used by operators.</w:t>
        <w:br/>
        <w:t>IV.I. Betting Collection and Online Gaming Activities</w:t>
        <w:br/>
        <w:t>9. Based on the Authority's decision-making practice5, the concentration operation in question concerns the market of betting collection and the market of online gaming collection in which Eplay operates while no company of the Blackstone Group (including Cirsa) is present.</w:t>
        <w:br/>
        <w:t>10. In any case, Cirsa estimates that the market shares held by Eplay respectively in the markets of betting collection and online gaming collection in Italy in 2020 are [1-5%], and, therefore, as a result of the operation, the Blackstone Group will still hold very limited market shares in the relevant markets concerned.</w:t>
        <w:br/>
        <w:t>11. In light of the above considerations, given the absence of horizontal overlaps, as well as possible vertical competitive issues, the operation does not appear to result in changes in the competitive structure of the markets and, therefore, is not likely to produce significant effects from a competitive perspective.</w:t>
        <w:b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br/>
        <w:t>IT IS ALSO CONSIDERED that the non-compete clause present in the SpA can be considered accessory to this operation only within the above-mentioned goods and services and temporal limits and that the Authority reserves the right to evaluate, where the conditions exist, the aforementioned clause if it is realized beyond those limits;</w:t>
        <w:br/>
        <w:t>RESOLVES</w:t>
        <w:br/>
        <w:t>not to initiate the investigation referred to in Article 16, paragraph 4, of law no. 287/90.</w:t>
        <w:br/>
        <w:t>4 In particular, in the market of collection from entertainment and amusement machines (VLT and AWP), the market share held by the Purchaser in 2020 is equal to 5%. See measure no. 29652 of May 4, 2021, regarding case C12371 - GAMENET GROUP/LOTTOMATICA VIDEOLOT RETE-LOTTOMATICA SCOMMESSE, in Bulletin no. 21/2021.</w:t>
        <w:br/>
        <w:t>5 See measure no. 29652 of May 4, 2021, regarding case C12371 - GAMENET GROUP/LOTTOMATICA VIDEOLOT RETE-LOTTOMATICA SCOMMESSE, cited.</w:t>
      </w:r>
    </w:p>
    <w:p>
      <w:r>
        <w:rPr>
          <w:b/>
        </w:rPr>
        <w:t>[Pages 40–42]</w:t>
      </w:r>
    </w:p>
    <w:p>
      <w:r>
        <w:t>42 BULLETIN NO. 18 OF MAY 16, 2022</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Guido Stazi Roberto Rustichelli</w:t>
      </w:r>
    </w:p>
    <w:p>
      <w:r>
        <w:t>BULLETIN NO. 18 OF MAY 16, 2022 43</w:t>
        <w:br/>
        <w:t>C12446 - CVC CAPITAL PARTNERS SICAV-FIS/RGI</w:t>
        <w:br/>
        <w:t>Measure no. 30133</w:t>
        <w:br/>
        <w:t>THE ITALIAN COMPETITION AUTHORITY</w:t>
        <w:br/>
        <w:t>IN ITS MEETING of April 27, 2022;</w:t>
        <w:br/>
        <w:t>HEARD the Rapporteur Professor Michele Ainis;</w:t>
        <w:br/>
        <w:t>HAVING REGARD to the law of October 10, 1990, no. 287;</w:t>
        <w:br/>
        <w:t>HAVING REGARD to the Presidential Decree of April 30, 1998, no. 217;</w:t>
        <w:br/>
        <w:t>HAVING REGARD to the communication from the company CVC Capital Partners SICAV-FIS S.A., received on April 6, 2022;</w:t>
        <w:br/>
        <w:t>HAVING REGARD to the documentation on file;</w:t>
        <w:br/>
        <w:t>CONSIDERING the following:</w:t>
        <w:br/>
        <w:t>I. THE PARTIES</w:t>
        <w:br/>
        <w:t>1. CVC Capital Partners SICAV-FIS S.A. (hereinafter CVC) is a public limited company (société anonyme), established as an investment company with variable capital and governed by the laws of the Grand Duchy of Luxembourg. CVC, together with its subsidiaries and CVC Capital Partners Advisory Group Holding Foundation and its subsidiaries, is part of the CVC Network (the “CVC Network”). The CVC Network provides consultancy and/or manages investments on behalf of certain funds and investment platforms (the “CVC Funds”). The CVC Funds hold stakes in various companies active in different industrial sectors worldwide, including the chemical, services, manufacturing, retail, and distribution sectors, primarily in Europe, the United States, and the Asia-Pacific region. The revenue generated by the CVC funds in 2020 was approximately [40-50] * billion euros, of which [2-3] billion in Italy.</w:t>
        <w:br/>
        <w:t>2. RGI S.p.A. (hereinafter, together with its subsidiaries “Target Group”) is an Italian provider of software applied in the European insurance sector, with end-to-end solutions that cover the entire value chain of the insurance sector, whose clients include insurance companies, agents, and intermediaries. In particular, the complete and modular offering proposed by the Target Group includes processes for policy management, claims requests, analysis, market management, reporting, sales, and distribution, as well as a wide range of cloud technology software intended for clients in the Property/Casualty and Life segments throughout Europe. In 2020, the consolidated revenue generated globally by the Target Group was approximately [100-517] million euros, of which approximately [31-100] million euros were generated in Italy.</w:t>
        <w:br/>
        <w:t>II. DESCRIPTION OF THE OPERATION</w:t>
        <w:br/>
        <w:t>3. The communicated Operation consists of the acquisition, by CVC, through the controlled vehicle company Irene Investments S.à r.l., of exclusive control of the Target Group.</w:t>
        <w:br/>
        <w:t>* In this version, some data are omitted, as elements of confidentiality or secrecy of the information were deemed to exist.</w:t>
      </w:r>
    </w:p>
    <w:p>
      <w:r>
        <w:t>44 BULLETIN NO. 18 OF MAY 16, 2022</w:t>
        <w:br/>
        <w:t>III. QUALIFICATION OF THE OPERATION</w:t>
        <w:br/>
        <w:t>4. The communicated operation, being aimed at the acquisition of exclusive control of a company, constitutes a concentration pursuant to Article 5, paragraph 1, letter b), of law no. 287/90. It falls within the scope of application of law no. 287/90 as the conditions of Article 1 of Regulation EC 139/2004 do not apply, and it is subject to the obligation of prior notification provided for by Article 16, paragraph 1, of the same law as the total revenue generated, in the last financial year at the national level, by the group of interested companies exceeded 517 million euros and the total revenue generated individually, in the last financial year at the national level, by at least two of the interested companies exceeded 31 million euros.</w:t>
        <w:br/>
        <w:t>IV. EVALUATION OF THE CONCENTRATION</w:t>
        <w:br/>
        <w:t>5. The operation in question concerns the market for Information Technology services (hereinafter also “IT Services”).</w:t>
        <w:br/>
        <w:t>The relevant market: Information Technology</w:t>
        <w:br/>
        <w:t>6. IT Services can be segmented considering the type of services, as well as the characteristics of the sectors in which the clients operate1.</w:t>
        <w:br/>
        <w:t>7. As highlighted in numerous precedents of the Authority2, the high rate of innovation and the rapid and constant technological evolution that characterize the IT sector do not always make it easy to draw a clear demarcation between the different markets (and even more so between the segments) that this sector comprises.</w:t>
        <w:br/>
        <w:t>8. The companies operating in this sector tend, in fact, to offer a multitude of services, adapting their offerings to the same technological evolution, demand, and customer needs.</w:t>
        <w:br/>
        <w:t>9. More generally, within IT Services, the European Commission has identified seven segments that identify a plurality of IT services directed at businesses3. These include services for: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assistance (also online or by phone); (vi) hardware maintenance, to optimize systems through installation, maintenance, and technical assistance of hardware components; (vii) training and education, for the transfer of knowledge outside of professional training.</w:t>
        <w:br/>
        <w:t>1 See, among others, Authority Measure no. 28331 of August 4, 2020, case C12312 – OEP 14 Coöperatief U.A./Techedge, in Bulletin no. 34/2020; Authority Measure no. 26818 of October 25, 2017, case C12119 – Engineering Ingegneria Informatica/Infogroup Informatica e Servizi Telematici, in Bulletin no. 43/2017; European Commission Decision of June 19, 2013, case M.6921 – IBM Italia/UBIS.</w:t>
        <w:br/>
        <w:t>2 See, among others, Authority Measure no. 24851 of March 27, 2014, case C11943 – ICCREA Holding/I.S.I.D.E., in Bulletin no. 15/2014; Authority Measure no. 23925 of September 27, 2012, case C11772 – Accenture Sub/Octagon Research Solution, in Bulletin no. 39/12.</w:t>
        <w:br/>
        <w:t>3 See the cases: M.7458 – IBM/INF Business of Deutsche Lufthansa; M.9205 – IBM/Red Hat; M.6921 – IBM Italia/UBIS; M.6237 – Computer Sciences Corporation/Isoft Group; M.6127 – Atos Origin/Siemens It Solutions &amp; Services; M.5666 – Xerox/Affiliated Computer Services; M.5301 – CAP Gemini/BAS; M.2946 – IBM/PWC Consulting.</w:t>
      </w:r>
    </w:p>
    <w:p>
      <w:r>
        <w:rPr>
          <w:b/>
        </w:rPr>
        <w:t>[Pages 43–45]</w:t>
      </w:r>
    </w:p>
    <w:p>
      <w:r>
        <w:t>BULLETIN NO. 18 OF MAY 16, 2022 45</w:t>
        <w:br/>
        <w:t>10. Such segments are further subdivisible into groups of services and are characterized by high fragmentation and substitutability on the supply side, also considering the fact that IT service providers generally offer a more or less wide range of different services in packages that may concern all or some of the segments listed above. In this specific case, further segmentation of the market can be carried out based on the characteristics of the target sector, namely the insurance sector.</w:t>
        <w:br/>
        <w:t>11. Based on the information provided, regarding the target sector, the CVC group limits its commercial offer to markets related to IT management, software maintenance, and hardware maintenance, in which the Target Group is also operational, only concerning the software component, which is also present in the segments related to business management and software development and integration.</w:t>
        <w:br/>
        <w:t>12. In particular, within the overall IT Services market, according to what was communicated by the Parties, the Target Group registers a market share of approximately [1-5%], while CVC has approximately [less than 1%]. As for the respective segments into which the market in question is divided, according to what reported by the Parties, CVC registers, in the IT management segment, a share of approximately [less than 1%] and in the software maintenance and hardware maintenance segments a total share of approximately [less than 1%]. Regarding the Target Group, according to what reported by the Parties, it registers in the IT management segment a share of [less than 1%] and approximately [5-10%] in the software maintenance segment. Finally, concerning the remaining segments in which only the Acquiring Group operates, namely those related to business management and software development and integration, the shares recorded by the same are approximately [1-5%] and approximately [10-15%], respectively.</w:t>
        <w:br/>
        <w:t>13. If we further segment the reference market based on services specifically directed at the insurance sector, in which, according to what reported by the Parties, only the Target Group operates, the latter registers a market share of approximately [25-30%].</w:t>
        <w:br/>
        <w:t>14. From a geographical perspective, it is deemed appropriate to leave the definition of the market open and, in particular, whether this market is national or broader, as in both configurations there would be no detrimental effects on competition.</w:t>
        <w:br/>
        <w:t>Effects of the operation</w:t>
        <w:br/>
        <w:t>15. Based on the information produced during the notification, within the Information Technology sector, in 2020, at the national level, the Target Group registers a market share of approximately [1-5%], while the Acquiring Group has approximately [less than 1%]. Therefore, following the operation, the share of the Acquiring Party, while increasing, will still be marginal in value, settling at a percentage value of approximately [1-5%] and will not alter the market structures.</w:t>
        <w:br/>
        <w:t>16. Also concerning the segments in which both Parties are operational, namely that of IT management and software maintenance, following the operation, the cumulative shares held by the Acquiring Party in the same will be approximately [less than 1%] and [5-10%], respectively, and therefore, while experiencing an increase in value, they do not appear suitable to alter the competitive balances in the market. Thus, even in the aforementioned markets, where there is an overlap between the Parties, the operation, by allowing a consolidation in value of the share held by the Acquiring Group, will not alter the current market structures.</w:t>
        <w:br/>
        <w:t>17. Similar considerations also apply to the further segment of IT Services specifically directed at the insurance sector, in which only the Target Group operates and where, following the operation, the entire share held by it, amounting to approximately [25-30%], will be transferred to CVC. Therefore, the notified operation does not appear capable of producing anti-competitive effects, as it results in the replacement of an operator and thus does not alter the current market structures.</w:t>
        <w:br/>
        <w:t>18. Regarding the competitive context, it should be noted that, from the information provided by the Parties, concerning the broader market of IT Services, numerous and qualified competitors operate therein with market shares higher than those held by the Parties themselves, such as, for example, Accenture S.p.A., IBM, Engineering Ingegneria Informatica S.p.A.</w:t>
        <w:br/>
        <w:t>19. As for the market of IT Services intended for the insurance sector, from the information provided by the Parties, there are numerous and qualified competitors, albeit with market shares lower than those of the Target Group, such as Guidewire Software Inc. and Accenture Plc.</w:t>
        <w:br/>
        <w:t>20. In conclusion, considering the market shares held by the interested Parties, the marginal overlap of the Parties' activities, and the presence of significant competitors, the operation in question does not appear likely to substantially alter the structure and competitive dynamics of the affected markets.</w:t>
        <w:br/>
        <w:t>THEREFORE, it is deemed that the operation in question does not entail, pursuant to Article 6, paragraph 1, of law no. 287/90, the establishment or strengthening of a dominant position in the ICT services market, and its possible further delimitations,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Guido Stazi Roberto Rustichelli</w:t>
      </w:r>
    </w:p>
    <w:p>
      <w:r>
        <w:t>BULLETIN NO. 18 OF MAY 16, 2022 47</w:t>
        <w:br/>
        <w:t>ACTIVITIES OF REPORTING AND CONSULTATION</w:t>
        <w:br/>
        <w:t>AS1833 - LIST OF ENTITIES AUTHORIZED TO SELL ELECTRICITY</w:t>
        <w:br/>
        <w:t>Rome, January 28, 2021</w:t>
        <w:br/>
        <w:t>Minister of Economic Development</w:t>
        <w:br/>
        <w:t>On January 11, 2021, the Italian Competition Authority (hereinafter, Authority) received a copy of the Draft Regulation containing criteria, methods, and requirements for registration in the list of entities authorized to sell electricity pursuant to Article 1, paragraphs 80 to 82 of law no. 124 of August 4, 2017, for the purpose of expressing the assessments within its competence, as provided for by Article 1, paragraph 81 of the same law.</w:t>
        <w:br/>
        <w:t>The Draft Regulation establishes the List of entities authorized to sell electricity to final customers (List of sellers), defining the requirements that electricity sellers must possess to be admitted, as well as the registration methods and conditions for permanence, in application of Article 1, paragraphs 80 to 82 of law no. 124 of August 4, 2017.</w:t>
        <w:br/>
        <w:t>First of all, the Authority intends to express its appreciation for the establishment of the List, which, by providing minimum requirements for entities that can engage in the retail sale of electricity, is functional, as also provided for by law, to ensuring the stability and certainty of the electricity market. The establishment of the List of sellers represents an essential step for the completion of the liberalization process of electricity sales, which must be completed with the total abolition, starting from January 1, 2022, of the so-called enhanced protection regime1 and, consequently, with the complete elimination of any form of regulation of the economic conditions of service offers.</w:t>
        <w:br/>
        <w:t>Following what is provided for by paragraph 81bis of Article 1 of the aforementioned law no. 124/2017, the Draft identifies, among other things, the conditions under which the imposition of a sanction by the Authority for violations committed in the activity of selling electricity constitutes grounds for exclusion of sellers from the List, as well as the procedures for the verification of the latter. In particular, pursuant to Article 9, paragraph 3, of the draft decree, the verification measures that are relevant for the aforementioned purposes must be definitive and no longer contestable; moreover, pursuant to letter b) of the same paragraph, for the Authority to be obliged to report it to the</w:t>
      </w:r>
    </w:p>
    <w:p>
      <w:r>
        <w:rPr>
          <w:b/>
        </w:rPr>
        <w:t>[Pages 46–48]</w:t>
      </w:r>
    </w:p>
    <w:p>
      <w:r>
        <w:t>48 BULLETIN NO. 18 OF MAY 16, 2022</w:t>
        <w:br/>
        <w:t xml:space="preserve">For the Ministry to exclude from the List, it is necessary that the violations are repeated2. Finally, according to the provisions of paragraph 4, letter b), of the same Article 9, violations for which the Authority has granted a reduction or non-application of the sanction in implementation of the leniency programs referred to in Article 15, paragraph 2-bis of the law of October 10, 1990, no. 287, are not subject to reporting. </w:t>
        <w:br/>
        <w:t xml:space="preserve">The Authority believes that the set of rules outlined defines reasonable and effective conditions and procedures to implement the legal provision according to which the permanence in the List of sellers, and thus the very possibility of operating in the market, must also be evaluated taking into account any violations that may have occurred in the sale of electricity, ascertained and sanctioned by the Italian Competition Authority. </w:t>
        <w:br/>
        <w:t xml:space="preserve">The framework outlined by the draft regulation, in fact, appears suitable to serve a deterrent function against violations of the rules for which the Authority is responsible for protection, thereby ensuring a more correct functioning of the liberalized market. </w:t>
        <w:br/>
        <w:t xml:space="preserve">With reference to the provisions of the Draft Regulation not directly concerning the consequences of its measures, the Authority considers it necessary to focus on the effects of any non-compliance by sellers regarding the payment of transport invoices. The regularity of payment of transport invoices is one of the financial requirements of the seller referred to in Article 5 of the Draft, the lack of which constitutes grounds for exclusion from the List pursuant to Article 9, paragraph 2, letters c) and d). However, pursuant to the subsequent paragraph 6 of Article 9, the exclusion from the List of the non-compliant seller does not proceed if it is found that the lack of regularity in payments is not attributable to them, also taking into account the existing regulation established by ARERA. </w:t>
        <w:br/>
        <w:t xml:space="preserve">As is known, distribution invoices consist, to a significant extent, of the so-called general system charges, the payment of which represents an obligation solely of the end customers, as has now been firmly established following repeated rulings by administrative judges3. Regarding system charges, therefore, the role played by the seller consists solely in collecting them from end customers in order to pay them to the distributor. In the event of default by the end customer, therefore, requiring the seller to pay the invoice in full (and thus all system charges, including those not collected) to the distributor means forcing them to assume an obligation of another party. </w:t>
        <w:br/>
        <w:t xml:space="preserve">The Authority has previously criticized4 the provisions through which the ultimate responsibility for the payment of the entire amount of system charges has been improperly placed solely on sellers. The sale of electricity to end customers, in fact, is a free market, in which companies operate in competition with each other: the imposition of improper charges on sellers can, therefore, distort competition to the detriment of end consumers; in particular, considering that all distributors are integrated downstream into sales, any action they take to enforce the consequences of such improper responsibility harms entities that are also direct competitors in the downstream market. </w:t>
        <w:br/>
        <w:t xml:space="preserve">That said, the Draft Regulation intervenes in the matter of attributing responsibility for the payment of system charges in an institutional context that does not contemplate ownership unbundling between distribution and sales, despite the drawbacks of vertical integration already highlighted by the Authority on other occasions5, and in which, at present, the requests made both by the Authority6 and by the sector regulator ARERA7 for at least a partial shift of system charges from the electricity bill to general taxation have not been accepted. </w:t>
        <w:br/>
        <w:t xml:space="preserve">In the absence of such corrections, the Authority appreciates that the Draft Regulation seeks, with the provision of paragraph 6 of Article 9, to ensure that any non-compliance in the payment of the transport invoice does not constitute grounds for exclusion from the List if it is found that it is not attributable to the seller. </w:t>
        <w:br/>
        <w:t xml:space="preserve">However, in order to ensure the proportionality of the measure, which affects a liberalized market such as that of sales, it is necessary that the severe sanction of exclusion from the List is limited only to cases of ascertained non-compliance by the seller with their own obligation, for which the Authority believes that the contemplated verification of attribution should be more fully articulated, expressly providing for a full adversarial process aimed at assessing, in concrete and subjective terms, the actual impact of the default on the revenue of the non-compliant seller, without resorting to general assessments or flat-rate estimates unsuitable for identifying the real extent of the default of their end customers. </w:t>
        <w:br/>
        <w:t xml:space="preserve">The Authority hopes, for the purposes of a competitive market development, that the aforementioned considerations will be accepted in the final version of the measure under discussion. </w:t>
        <w:br/>
        <w:t xml:space="preserve">This opinion will be published in the Bulletin referred to in Article 26 of law no. 287/1990. </w:t>
        <w:br/>
        <w:t xml:space="preserve">THE PRESIDENT </w:t>
        <w:br/>
        <w:t xml:space="preserve">Roberto Rustichelli </w:t>
        <w:br/>
        <w:t xml:space="preserve">5 For example, due to the distortions that vertical integration has generated in the sales market because in Italy price protections have been ensured by granting only sellers integrated into distribution the possibility of offering the protection service (see AS1646 LIBERALIZATION OF ELECTRICITY AND GAS SALES MARKETS, February 4, 2020, bulletin no. 7/2020). </w:t>
        <w:br/>
        <w:t xml:space="preserve">6 See AS1397, cited. </w:t>
        <w:br/>
        <w:t>7 See, for example, resolution 136/2020/I/COM of April 23, 2020, "Report of the regulatory authority for energy networks and environment to Parliament and Government regarding measures to support investments and protect end users of the integrated waste management service, urban and similar, and the integrated water service and end customers of electricity and natural gas, as a result of the epidemiological emergency from COVID-19."</w:t>
      </w:r>
    </w:p>
    <w:p>
      <w:r>
        <w:t>50 BULLETIN NO. 18 OF MAY 16, 2022</w:t>
        <w:br/>
        <w:t>UNFAIR TRADE PRACTICES</w:t>
        <w:br/>
        <w:t>IP357 - RBM HEALTH INSURANCE-PREVIMEDICAL/VARIOUS CONDUCTS</w:t>
        <w:br/>
        <w:t>Measure no. 30134</w:t>
        <w:br/>
        <w:t>THE ITALIAN COMPETITION AUTHORITY</w:t>
        <w:br/>
        <w:t xml:space="preserve">IN ITS MEETING of April 27, 2022; </w:t>
        <w:br/>
        <w:t xml:space="preserve">HEARD the Rapporteur Professor Michele Ainis; </w:t>
        <w:br/>
        <w:t xml:space="preserve">HAVING REGARD to Part II, Title III of Legislative Decree of September 6, 2005, no. 206, containing the "Consumer Code" and subsequent amendments (hereinafter, Consumer Code); </w:t>
        <w:br/>
        <w:t xml:space="preserve">HAVING REGARD in particular to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 </w:t>
        <w:br/>
        <w:t xml:space="preserve">HAVING REGARD to law of November 24, 1981, no. 689; </w:t>
        <w:br/>
        <w:t xml:space="preserve">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HAVING REGARD to its resolution no. 29769 of July 13, 2021, by which the Authority ascertained the unfairness of the commercial practice carried out by the companies Intesa Sanpaolo RBM Salute S.p.A. (hereinafter, also "ISP RBM" or "The Company") and Previmedical - Servizi per la sanità integrativa S.p.A. (hereinafter, also "Previmedical" or "The Provider") in the offering of insurance services, consisting of conducts and omissions aimed at hindering the exercise of rights arising from the contractual relationship; </w:t>
        <w:br/>
        <w:t xml:space="preserve">HAVING REGARD to the acts of the proceeding; </w:t>
        <w:br/>
        <w:t xml:space="preserve">CONSIDERED as follows: </w:t>
        <w:br/>
        <w:t xml:space="preserve">1. With measure no. 29769 of July 13, 2021, the Authority, at the conclusion of the investigative proceeding PS11828, resolved, pursuant to Articles 20, 24, and 25, paragraph 1, letter d), of the Consumer Code, the unfairness of the described commercial practice, ascertaining that the professionals have placed obstacles to the exercise of the contractual rights of consumers, making the enjoyment of insurance services burdensome and exhausting. In light of the above, the Authority has prohibited the continuation of the unfair commercial practice. </w:t>
        <w:br/>
        <w:t>With the aforementioned resolution, it was also ordered that the professionals communicate to the Authority the initiatives taken in compliance with the injunction within 90 days from the notification of the same, which took place on July 30, 2021.</w:t>
      </w:r>
    </w:p>
    <w:p>
      <w:r>
        <w:rPr>
          <w:b/>
        </w:rPr>
        <w:t>[Pages 49–51]</w:t>
      </w:r>
    </w:p>
    <w:p>
      <w:r>
        <w:t>BULLETIN NO. 18 OF MAY 16, 2022 51</w:t>
        <w:br/>
        <w:t>2. On October 28, 2021, ISP RBM submitted a compliance report, in which it highlighted how, following the adoption of the unfairness measure, it continued voluntarily with the implementation of the 27 initiatives described in the commitments presented during the PS11828 proceeding and rejected by the Authority1. Furthermore, the professional indicated a desire to implement an additional 7 measures aimed at overcoming the remaining critical issues subject to censure within the measure2. Finally, ISP RBM illustrated the specific activities carried out towards the insured individuals who had submitted reports to the Authority after the adoption of the final measure.</w:t>
        <w:br/>
        <w:t>3. On January 3, 2022, the compliance report from Previmedical3 was received, which provides, first of all, a set of measures functional to the realization of the initiatives proposed by ISP RBM, which necessarily require the involvement of the Provider. In addition, Previmedical intended to adopt autonomous measures, including an examination of complaint cases4.</w:t>
        <w:br/>
        <w:t>1 The proposed measures concern: 1) the internalization of complex claims; 2) the preparation of a corporate training program regarding consumer protection legislation; 3) the strengthening of the monitoring of performance indicators (KPIs) provided for in the contract with Previmedical; 4) the strengthening of the governance process for new products; 5) the creation of online interactive guides to assist the insured in submitting claims; 6) the updating of communications to the insured; 7) the revision of the internal authorization procedure for multiple dental and physiotherapy services; 8) the modification of policy conditions regarding the need to produce the emergency room certificate; 9) the monitoring of the call-back procedure by Previmedical's call center; 10) the monitoring of assistance provided by call center operators; 11) the implementation of a call review process; 12) the creation of a customer satisfaction project for the operations center; 13) the revision of the form for the authorization of takeovers and monitoring of authorizations granted and subsequently withdrawn; 14) modifications and improvements to contractual documentation; 15) interventions on the list of contracted healthcare facilities; 16) interventions on the methods of selecting the healthcare facility by the insured; 17) inclusion in all contracts of the maximum time frame for claims settlement; 18) strengthening of monitoring on average claims settlement times and implementation of a payment control system; 19) references in the contractual documentation to the activities carried out by the medical consulting team; 20) establishment of a medical team of ISP RBM for internalized claims and provision for a second level of control in case of rejection of the request; 21) establishment of technical-consultative commissions; 22) specific interventions aimed at more effectively identifying the complaints of the insured and the issues underlying the complaints; 23) systematic sharing with the competent functions of the issues arising from complaints; 24) improvement of responses to communications from the insured; 25) extension of the duration of the Health Voucher; 26) extension of guarantees on interventions carried out with innovative medical techniques; 27) coverage of reconstructive interventions following oncological demolition interventions.</w:t>
        <w:br/>
        <w:t>2 The additional measures are: A) customer advocacy program; B) training of Previmedical call center operators; C) revision/update of the records of contracted professionals within the network; D) measurement of KPIs for each Fund/Company; E) elimination of the option for Previmedical to withdraw the Health Voucher; F) advanced assistance system (so-called Smart Form); G) verification of the quality of data provided by Previmedical.</w:t>
        <w:br/>
        <w:t>3 For the formalization of the report, the professional wanted to wait for the discussion of the precautionary request related to the unfairness measure PS11828, which took place on December 1, 2021. Subsequently, on December 6, he requested to be heard in a hearing, which was held on December 20, 2021.</w:t>
        <w:br/>
        <w:t>4 The proposed measures concern: 1) the realization of a customer satisfaction project; 2) the improvement of access to healthcare facilities/healthcare professionals; 3) interventions on the methods of selecting the healthcare facility/professional by the insured; 4) strengthening of monitoring on average claims settlement times and implementation of a payment control system; 5) improvement of responses to communications from the insured; 6) training of call center operators; 7) revision/update of the records of operating professionals; 8) introduction of an advanced assistance system; 9) revision of the process for canceling an authorization Voucher at the initiative of Previmedical operators; 10) modification of policy conditions regarding the need to produce the emergency room certificate and the need for additional documentation; 11) automatic extension, during the contractual period, of the duration of the Voucher; 12) implementation of the monitoring system regarding the application practices of contracts and their conditions and characteristics.</w:t>
      </w:r>
    </w:p>
    <w:p>
      <w:r>
        <w:t>52 BULLETIN NO. 18 OF MAY 16, 2022</w:t>
        <w:br/>
        <w:t>4. On February 18, 2022, ISP RBM and Previmedical submitted an update of the compliance reports, in response to the communication of January 20, 2022, in which the Authority requested the professionals to provide information regarding the status of implementation of the measures proposed as "still ongoing" in the original compliance reports.</w:t>
        <w:br/>
        <w:t>5. On February 21, the response from IVASS to the Authority's request for information regarding the complaints received by the Institute after the notification of the unfairness measure was received. IVASS indicated that, in the period from July 2021 to January 2022, it received a significantly higher number of complaints compared to the same period of the previous year. The complaints continue to concern compliance with the timing in the management of Mètasalute vouchers and the correction/update/revocation of vouchers already granted, the poor quality of assistance provided by the call center, repeated requests to the insured for additional documentation, and the discretion of medical consulting in the evaluation of pathologies/diagnoses.</w:t>
        <w:br/>
        <w:t>6. After the 90-day period from the notification of the aforementioned measure no. 29769 of July 13, 2021, numerous reports from consumers were also received by the Authority, highlighting the persistence of significant critical issues in the provision of insurance services by the professionals.</w:t>
        <w:br/>
        <w:t>7. From the reading of the complaints, the difficulties encountered by consumers in relating to the professionals for the enjoyment of the services provided in the policy conditions are evident. In many cases, the indicated difficulties were reported by members of the Mètasalute health fund, that is, the supplementary health assistance fund for workers in the metalworking industry5. By way of example, a consumer6 complained: “I am once again reporting what now seems to have become effectively a method for the insurance company Rbm Salute-Previmedical: I refer to the rejection of reimbursement requests based on unclear and pretextual reasons, when not entirely unfounded. The effect created for the user is, at best, a tedious extension of the time for receiving the reimbursement caused by the request for further documentation; or, especially in the case of low amounts, the renunciation to carry on an endless and possibly fruitless dialogue with the company, going through a call center that agrees with you but can do nothing, it depends on the adjuster or for written complaints to which no one responds.” The reporter continued by referring to the rejection of a specific reimbursement request “which had been granted without problems no later than 6 months ago for an identical case” and concluded by stating: “once a formalized and even reiterated interpretative line is established, a complete turnaround is unacceptable. What credibility can a company have that dictates and officializes a modus operandi only to then contradict itself after 6 months? And, above all, what tools does a user have to face this arbitrariness of judgment?” After about a month, the professionals reassessed the reimbursement case, ordering the payment of the amounts requested by the consumer.</w:t>
        <w:br/>
        <w:t>5 See prot. 87298 of November 22, 2021 and prot. 92146 of December 13, 2021.</w:t>
        <w:br/>
        <w:t>6 See prot. 95825 of December 28, 2021 supplemented by prot. 15806 of January 28, 2022.</w:t>
      </w:r>
    </w:p>
    <w:p>
      <w:r>
        <w:t>BULLETIN NO. 18 OF MAY 16, 2022 53</w:t>
        <w:br/>
        <w:t>The rejection of reimbursement requests that were previously accepted by the professionals under the same conditions without raising objections constitutes a recurring issue in consumer complaints7.</w:t>
        <w:br/>
        <w:t>8. Some Mètasalute insured individuals learned that the requested and authorized service was not contracted and that, therefore, it could only be provided at a cost, once they arrived at the healthcare facility. A consumer nonetheless underwent the service, paying 220 euros for which he requested reimbursement explaining the situation, but the request was rejected8. Regarding the Mètasalute policy, the complaints received also concern the mere sending of medical devices covered by the policy. In this regard, in response to a consumer's reminder motivated by the non-receipt of Intolerance Kits and Allergy Kits requested in 2020 and 2021, ISP RBM, in a communication dated November 2, 2021, stated the following: “your requests…[…]…have been verified and are all being processed. Delivery will take place with the next scheduled shipment, the date of which is currently not yet known. We apologize for the wait.” In February 2022, the consumer again requested to receive the kits as soon as possible, and ISP RBM, in a communication dated March 8, 2022, invited the insured “to wait for the technical processing times required”9.</w:t>
        <w:br/>
        <w:t>9. Numerous complaints received concern the rejection of requests with pretextual or inconsistent reasons with the documentation provided by the insured10. This circumstance is described, for example, in the complaint of a consumer11 who was informed that physiotherapy is reimbursable only if performed by a surgeon, by a physiotherapist with a diploma, or at facilities with a medical director, not considering that the service was provided by a hospital facility. To another reporter, an “aesthetic purpose” was opposed regarding a request for a dermatological visit following epiluminescence that had highlighted atypical lesions in a patient with a family history of melanoma12. After the submission of this complaint also to IVASS, the service was authorized. In many cases, the rejection of the case was justified by the professionals with the lack of indication of a pathology that, however, was evident from the documentation provided by the insured13. An insured individual with the indication of the pathology in the medical prescription received authorization for the service at a contracted facility, but a denial of reimbursement for the same service performed at a non-contracted facility; then the consumer concluded: “if the prescription with declared pathology is valid for a voucher at a contracted facility, then</w:t>
        <w:br/>
        <w:t>7 See prot. 82368 of November 2, 2021 supplemented by prott. 91687 and 92435, respectively, of December 10 and 14, 2021, prot. 92945 of December 15, 2021, prot. 12497 of January 14, 2022 supplemented by prott. 14888 and 15219, respectively, of January 25 and 26, 2022, prot. 19079 of February 10, 2022, prot. 19868 of February 14, 2022, prot. 21465 of February 21, 2022, prot. 22996 of February 25, 2022, prot. 24786 of March 4, 2022, prot. 25717 of March 10, 2022.</w:t>
        <w:br/>
        <w:t>8 See prot. 91030 of December 7, 2021 and prot. 95675 of December 27, 2021.</w:t>
        <w:br/>
        <w:t>9 See prot. 23291 of February 28, 2022 supplemented by prot. 25474 of March 9, 2022.</w:t>
        <w:br/>
        <w:t>10 See prot. 21073 of February 18, 2022 supplemented by prot. 21878 of February 22, 2022, prot. 29547 of March 25, 2022, prot. 33513 of April 11, 2022.</w:t>
        <w:br/>
        <w:t>11 See prot. 11319 of January 11, 2022.</w:t>
        <w:br/>
        <w:t>12 See prot. 95039 of December 22, 2021 supplemented by prott. 95150 and 20316, respectively, of December 23, 2021 and February 16, 2022.</w:t>
        <w:br/>
        <w:t>13 See prot. 82720 of November 2, 2021, prot. 26883 of March 16, 2022, prot. 29273 of March 24, 2022, prot. 29524 of March 25, 2022, prot. 29752 of March 28, 2022, prot. 32405 of April 6, 2022.</w:t>
      </w:r>
    </w:p>
    <w:p>
      <w:r>
        <w:rPr>
          <w:b/>
        </w:rPr>
        <w:t>[Pages 52–54]</w:t>
      </w:r>
    </w:p>
    <w:p>
      <w:r>
        <w:t>54 BULLETIN NO. 18 OF MAY 16, 2022</w:t>
        <w:br/>
        <w:t>must also be valid for requesting reimbursement for the same service performed in a non-contracted facility!”14.</w:t>
        <w:br/>
        <w:t xml:space="preserve">10. The reports also reveal repeated and unjustified requests for additional documentation made by the professionals, which have had the effect of hindering the enjoyment of insurance benefits15. </w:t>
        <w:br/>
        <w:t>For example, the case of an insured person16 who submitted a request for the allowance for trisomy 21 - Down syndrome affecting their child is cited. The user was asked to supplement the request with documentation related to a different type of benefit, specifically “self-certification for the request for social benefits”17. Another consumer reported that the professionals, considering the documentation supporting a reimbursement request for a surgical procedure to be insufficient, initially requested a breakdown of the costs of the already submitted invoice, then indicated the need to obtain the radiographic examinations performed before and after the procedure, and finally rejected the application because the service was not provided in direct assistance18. In other cases, the request for additional documentation included a request for the emergency room certificate19, despite the fact that the practice and the liquidation guidelines have provided, starting from November 1, 2021, the possibility for the insured to submit an equivalent certificate. Other requests for additional documentation were made even though the documentation was already in the possession of the professionals20.</w:t>
        <w:br/>
        <w:t>11. Further complaints concern difficulties in contacting customer service and/or its ineffectiveness. A complainant who had to pay the amount of €1,205.00 for a cycle of chemotherapy, despite it having been pre-approved by the Previmedical operations center, complained that “all my countless phone attempts with the Previmedical operations center were in vain (moreover, it is noted that every time it is a challenge to try to speak with the telephone operators to whom I have to explain the situation from the beginning each time) to clarify why I had to make the payment”21. In a complaint regarding a reimbursement request for dental expenses, a consumer stated: “Between January 7 and 14, I tried several times to speak with an operator using the call option, without any success. On January 17, I wrote to the operations center asking for information, on January 18 they took charge of the request but no one contacted me. On January 28 I sent the documentation that I considered suitable. On February 16, I wrote indicating the inertia and that I had sent the documents. On February 17, they communicated that the signed reimbursement request by the doctor was missing, I immediately pointed out that it was present on the web portal. On February 18, they communicated that my report had been taken into account. On February 22, I called the call center, the operator could not tell me what was missing, to wait a week for them to urge the facility. I waited in vain and on March 4 I urged for a response; they replied that they had urged the facility. I am still waiting”22. Another insured person, who on March 28, 2022, contacted the call center due to the lack of authorization for a specialist visit, reported: “I immediately started calling the call center asking for explanations, half an hour of phone calls in which the operator on duty was vague and told me to call back because the system is slow, or it freezes and does not know why. On March 29, I called the call center several times and various operators continued in various calls to find all sorts of different excuses 1. ah the system is not working, it freezes; 2. The doctor is not contracted, no wait, the facility is not contracted; 3. The facility is contracted, but it’s strange that the system is not progressing in the request process… In one of the last calls, the operator… […]… from Previmedical, after 32 minutes of call and waiting while speaking with a Supervisor, told me let’s do this, I will manually enter the request and then I will send you the email and… AND HANGS UP ON ME! I called the call center several times but I could not hear the recording, the connection does not work and the line often drops without hearing anything. I finally managed to speak with a new operator asking to speak with… […]… because the line had “dropped”, and… […]… they told me that they could not transfer me to the same operator as before, that they are hundreds and whoever is available is available… So I explained everything again to… […]…, who told me more lies upon lies, and in the meantime another 29 minutes of call… I was left that… […]… had entered a report with which a Supervisor would contact me later. It cannot be known within how long… […]… In the end, the insured commented: “The day of the visit is approaching and I do not know if I will be able to do it in person as always or not… DURING THE PANDEMIC PREVIMEDICAL MADE A LOT OF MONEY… […]… without us beneficiaries requesting visits and reimbursements… […]… and now that we are thinking of doing some check-ups and health prevention, PREVIMEDICAL is obstructing and shamefully extending response times”23.</w:t>
        <w:br/>
        <w:t>12. From the elements collected in the records, it emerges that the professionals have substantially repeated the improper practice established in the aforementioned measure of July 13, 2021. The complaints received after the closure of the PS11828 procedure, in fact, demonstrate difficulties in accessing the services provided by the professionals, rejections of requests with pretextual or inconsistent reasons with the documentation provided by the insured, repeated and unjustified requests for additional documentation, difficulties in contacting customer service and/or its ineffectiveness. Furthermore, the number of reports received by the Authority has significantly increased since January 2022. It follows that the articulated initiatives proposed by the professionals in compliance with the measure, some of which have not yet been implemented, have not produced the expected effects in terms of service improvement.</w:t>
        <w:br/>
        <w:t>22 See prot. 28408 of March 22, 2022.</w:t>
        <w:br/>
        <w:t>23 See prot. 30376 of March 29, 2022.</w:t>
      </w:r>
    </w:p>
    <w:p>
      <w:r>
        <w:t>56 BULLETIN NO. 18 OF MAY 16, 2022</w:t>
        <w:br/>
        <w:t xml:space="preserve">This is also confirmed by the response of February 21, 2022, provided by IVASS to the Authority's request for collaboration, in which the Institute pointed out that the number of complaints received in the period from July 2021 to January 2022 has significantly increased compared to the same period of the previous year and that the complaints concern the profiles examined in measure no. 29769 of July 13, 2021. </w:t>
        <w:br/>
        <w:t xml:space="preserve">In conclusion, the conditions for initiating the procedure provided for by Article 27, paragraph 12, of the Consumer Code, aimed at imposing an administrative pecuniary sanction from €10,000 to €5,000,000, are present. </w:t>
        <w:br/>
        <w:t xml:space="preserve">THEREFORE CONSIDERED, that the described facts could constitute a case of non-compliance with the Authority's resolution no. 29769 of July 13, 2021, pursuant to Article 27, paragraph 12, of the Consumer Code; </w:t>
        <w:br/>
        <w:t xml:space="preserve">RESOLVES </w:t>
        <w:br/>
        <w:t xml:space="preserve">a) to contest to the companies Intesa Sanpaolo RBM Salute S.p.A. and Previmedical - Servizi per la sanità integrativa S.p.A. the violation referred to in Article 27, paragraph 12, of the Consumer Code, for failing to comply with the Authority's resolution no. 29769 of July 13, 2021; </w:t>
        <w:br/>
        <w:t xml:space="preserve">b) the initiation of the procedure for the possible imposition of the pecuniary sanction provided for by Article 27, paragraph 12, of the Consumer Code; </w:t>
        <w:br/>
        <w:t xml:space="preserve">c) that the person responsible for the procedure is Dr. Massimo D’Abaldo; </w:t>
        <w:br/>
        <w:t xml:space="preserve">d) that the acts of the procedure can be viewed at Directorate C of the Directorate General for Consumer Protection, of the Authority, by the legal representatives of the aforementioned companies, or by persons delegated by them; </w:t>
        <w:br/>
        <w:t xml:space="preserve">e) that, within thirty days from the communication of this measure, the interested parties may submit defensive writings and documents to the Authority, as well as request to be heard; </w:t>
        <w:br/>
        <w:t xml:space="preserve">f) that the procedure must be concluded within one hundred and twenty days from the date of communication of this measure. </w:t>
        <w:br/>
        <w:t>For the purposes of quantifying the possible pecuniary sanction provided for by Article 27, paragraph 12, of the Consumer Code, Intesa Sanpaolo RBM Salute S.p.A. and Previmedical - Servizi per la sanità integrativa S.p.A. are requested to provide a copy of the latest financial statements or suitable accounting documentation certifying the economic conditions in the last year.</w:t>
      </w:r>
    </w:p>
    <w:p>
      <w:r>
        <w:rPr>
          <w:b/>
        </w:rPr>
        <w:t>[Pages 55–57]</w:t>
      </w:r>
    </w:p>
    <w:p>
      <w:r>
        <w:t>BULLETIN NO. 18 OF MAY 16, 2022 57</w:t>
        <w:br/>
        <w:t>This measure will be communicated to the interested parties and published in the Bulletin of the Italian Competition Authority.</w:t>
        <w:br/>
        <w:t>THE SECRETARY GENERAL THE PRESIDENT</w:t>
        <w:br/>
        <w:t>Guido Stazi Roberto Rustichelli</w:t>
      </w:r>
    </w:p>
    <w:p>
      <w:r>
        <w:t>58 BULLETIN NO. 18 OF MAY 16, 2022</w:t>
        <w:br/>
        <w:t>PS11888 - BLUENERGY GROUP-COMMERCIAL OFFERS</w:t>
        <w:br/>
        <w:t>Measure no. 30136</w:t>
        <w:br/>
        <w:t>THE ITALIAN COMPETITION AUTHORITY</w:t>
        <w:br/>
        <w:t>IN ITS MEETING of April 27, 2022;</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measures of October 19, 2021, and January 11, 2022, each of which, pursuant to Article 7, paragraph 3, of the Regulation, ordered an extension of the deadline for concluding the proceeding, for specific investigative needs;</w:t>
        <w:br/>
        <w:t>HAVING REGARD to its measure of February 22, 2022, with which, acknowledging the request made by the Regulatory Authority for Energy Networks and Environment (hereinafter also ARERA) regarding the issuance of its opinion on the case, a further extension of the deadline for concluding the proceeding was ordered;</w:t>
        <w:br/>
        <w:t>HAVING REGARD to the documents of the proceeding;</w:t>
        <w:br/>
        <w:t>I. THE PARTIES</w:t>
        <w:br/>
        <w:t>1. The company Bluenergy Group S.p.A. (hereinafter also "Bluenergy"), as a professional, pursuant to Article 18, paragraph 1, letter b), of the Consumer Code, operates in the sector of electricity and natural gas supply. The company's financial statements for the fiscal year ending June 30, 2021, report revenues of approximately 389 million euros.</w:t>
        <w:br/>
        <w:t>2. The consumer association CO.DI.CI. Onlus.</w:t>
        <w:br/>
        <w:t>II. THE COMMERCIAL PRACTICE</w:t>
        <w:br/>
        <w:t>3. The proceeding concerns the conduct carried out by Bluenergy since 2019-2020, regarding the supply of commercial offers for electricity and gas supply services provided by it in the free market, consisting of:</w:t>
        <w:br/>
        <w:t>a) lack of complete information regarding the economic conditions of electricity and/or natural gas supply, specifically concerning the omission and/or confusing indication, both in the contractual documentation and in the advertising material, of the marketing charges related to the electricity and natural gas supply services, such as, for example, the PCV, QVD, and CCR charges provided by the Professional, the amount of which is defined by reference to ARERA resolutions, as well as the provision of additional commercial and/or administrative management charges in relation to unspecified activities;</w:t>
      </w:r>
    </w:p>
    <w:p>
      <w:r>
        <w:t>BULLETIN NO. 18 OF MAY 16, 2022 59</w:t>
        <w:br/>
        <w:t>b) methods of communicating unilateral changes to the contractual economic conditions, also by means of notice on the bill, rather than with separate communication;</w:t>
        <w:br/>
        <w:t>c) absence of specifications regarding the existence of any limits and/or conditions of applicability of the bonuses and/or discounts provided within the commercial offers proposed by the professional.</w:t>
        <w:br/>
        <w:t>III. THE OUTCOMES OF THE PROCEEDING</w:t>
        <w:br/>
        <w:t>1) The course of the proceeding</w:t>
        <w:br/>
        <w:t>4. Based on consumer complaints1, concerning the conduct described above, on July 22, 2021, the professional was notified of the initiation of the PS11888 investigative proceeding for possible violation of Articles 20, 21, and 22 of the Consumer Code, and a request for information and related documentation regarding the contested facts was simultaneously made to the professional, in order to acquire useful knowledge elements for the assessment of the commercial practice in question.</w:t>
        <w:br/>
        <w:t>5. On August 10, 2021, a first defensive memorandum from the professional was received, along with the requested information in the initiation communication of the proceeding2.</w:t>
        <w:br/>
        <w:t>6. On September 6, 2021, Bluenergy submitted a proposal for commitments, which was ultimately presented in its final and consolidated version on October 1, 2021. On September 16, 2021, a hearing of the Company's representatives took place.</w:t>
        <w:br/>
        <w:t>7. On September 24, 2021, a request for participation in the investigative proceeding3 was received from the consumer association CO.DI.CI. Onlus, the acceptance of which was communicated to the parties on October 6 of the same year4.</w:t>
        <w:br/>
        <w:t>8. On November 17, 2021, the company was notified of the rejection of the proposal for commitments, as formulated and integrated by the same, decided by the Authority on November 16, 2021.</w:t>
        <w:br/>
        <w:t>8. Bluenergy accessed the file and extracted the documentation contained therein on August 11 and December 24, 2021.</w:t>
        <w:br/>
        <w:t>9. On December 15, 2021, the parties were notified of the conclusion date of the investigative phase pursuant to Article 16, paragraph 1, of the Regulation5, and on February 1, 2022, Bluenergy's final memorandum was received6.</w:t>
        <w:br/>
        <w:t xml:space="preserve">10. On February 1, 2022, opinions were requested pursuant to Article 27, paragraph 1-bis, of Legislative Decree No. 206 of September 6, 2005, and subsequent amendments, from the Authority for Guarantees in Communications7 (hereinafter also AGCOM) and ARERA8 - which requested on February 10, 2022, a 45-day extension of the deadline for issuing its opinion, which was granted. </w:t>
        <w:br/>
        <w:t>1 See reports of May 13, 2020 (prot. no. 38647), August 3 and October 21, 2020 (prot. nos. 61125-77819), September 7 (prot. no. 67184), October 16 and 22-23 (prot. nos. 76760-78232-78674), November 27, 2021 (prot. no. 88200), January 7 (prot. no. 10668), February 8, 2021 (prot. no. 19098).</w:t>
        <w:br/>
        <w:t>2 Defensive memorandum of Bluenergy, prot. 65349/2021.</w:t>
        <w:br/>
        <w:t>3 Prot. 73594/2021.</w:t>
        <w:br/>
        <w:t>4 Prot. 76122-76123/2021.</w:t>
        <w:br/>
        <w:t>5 Prot. no. 93193-93194/2021.</w:t>
        <w:br/>
        <w:t>6 Prot. no. 16401/2022.</w:t>
        <w:br/>
        <w:t>7 Prot. no. 16656/2022.</w:t>
        <w:br/>
        <w:t>8 Prot. no. 16665/2022.</w:t>
      </w:r>
    </w:p>
    <w:p>
      <w:r>
        <w:rPr>
          <w:b/>
        </w:rPr>
        <w:t>[Pages 58–60]</w:t>
      </w:r>
    </w:p>
    <w:p>
      <w:r>
        <w:t>60 BULLETIN NO. 18 OF MAY 16, 2022</w:t>
        <w:br/>
        <w:t>accepted limited to a period of 30 days. The opinions were received on March 3, 20229 and March 30, 202210, respectively.</w:t>
        <w:br/>
        <w:t>2) The evidence acquired</w:t>
        <w:br/>
        <w:t>11. Based on the evidence acquired during the investigation, relating to consumer reports11, as well as the information provided by the Professional12, the following emerged regarding the offers for the supply of electricity and gas promoted by the professional from 2019 to 2021: in particular, these include the offer named “Dinamico Casa” marketed in 2019 for the supply of electricity and gas, the offer named “Deciso Casa Green” for the supply of gas, marketed in 2020, as well as the offers named “Relax” and “Jump”, for the supply of electricity and gas, marketed from 2021 and still available on the Company's website.</w:t>
        <w:br/>
        <w:t>The conduct under a): The lack of complete information regarding the economic conditions of electricity and/or natural gas supply</w:t>
        <w:br/>
        <w:t>12. The methods of representation of the components of the energy expenditure, with reference both to the contractual documentation (i.e., the Technical Economic Conditions - CTE - and the General Contract Conditions - CGC) and to the promotional material used by the Company for the promotion and sale of electricity and natural gas supply services, presented numerous profiles of incompleteness and inaccuracy.</w:t>
        <w:br/>
        <w:t>13. Firstly, in the case of offers for the supply of natural gas - such as in the offer “Deciso Casa Green” marketed already in 202013 - the marketing costs were not indicated and quantified, but merely referred to the components “CCR, QTint, QTPSV, and the fixed quota of QVD, established in the TIVG and periodically updated by ARERA” for the protected market (emphasis added).</w:t>
        <w:br/>
        <w:t>14. The same applies to the offers recently proposed by the professional, as the CTE related to the supply of electricity marketed during 202114 - such as, for example, in the Relax Gas Casa and Relax Luce Casa offers (Figure 1) and in the Jump offer of summer 202115 - provided for “the PCV component, as established in the TIV and published and periodically updated by the Regulatory Authority for Energy Networks and Environment (www.arera.it/it/dati/condec.htm)” (emphasis added).</w:t>
        <w:br/>
        <w:t>9 Prot. n. 24258/2022.</w:t>
        <w:br/>
        <w:t>10 Prot. n. 30871/2022.</w:t>
        <w:br/>
        <w:t>11 See cited reports (see supra).</w:t>
        <w:br/>
        <w:t>12 Prot. 65349/2021.</w:t>
        <w:br/>
        <w:t>13 See annex to the report prot. 61125/2020, cited, which reports the economic conditions applied for the Deciso Casa Green offer, marketed already in 2020.</w:t>
        <w:br/>
        <w:t>14 See CTE related to the “Relax Casa Luce” offer, annex 6b to the professional's response of August 10, 2021 (prot. 65349).</w:t>
        <w:br/>
        <w:t>15 The latter marketed exclusively through online subscription on the Company's website; see CTE for the Relax and Jump offers to domestic customers attached to the response to the information request from Bluenergy of August 10, 2021, cited.</w:t>
      </w:r>
    </w:p>
    <w:p>
      <w:r>
        <w:t>BULLETIN NO. 18 OF MAY 16, 2022 61</w:t>
        <w:br/>
        <w:t>Figure 1 – Excerpt from the CTE of the “Relax Casa Luce” offer subscribable until 8/15/202116</w:t>
        <w:br/>
        <w:t>15. Similarly for the supply of natural gas, - as highlighted in Figure 2 below - the CTE related to the offers proposed by the professional in 202117, provided for “the components CCR, QTint, QTPSV, and QVD (the latter only fixed quota), as established in the TIVG and published and periodically updated by the Regulatory Authority for Energy Networks and Environment (www.arera.it/it/dati/condec.htm)” (emphasis added).</w:t>
        <w:br/>
        <w:t>16 See CTE related to the Relax Luce Casa offer, annex 4 to the professional's response of August 10, 2021, cited.</w:t>
        <w:br/>
        <w:t>17 See CTE related to the Relax Gas Casa offer, annex 4 to the professional's response of August 10, 2021, cited.</w:t>
      </w:r>
    </w:p>
    <w:p>
      <w:r>
        <w:t>62 BULLETIN NO. 18 OF MAY 16, 2022</w:t>
        <w:br/>
        <w:t>Figure 2 - Excerpt from the CTE of the “Relax Casa Gas” offer subscribable until 8/15/202116</w:t>
        <w:br/>
        <w:t>16. Furthermore, as highlighted in the following Figure 3, relating to the CTE of the “Dinamico Casa” offer - marketed already in October 2019, for the supply of electricity18 - it appears that the “Energy Material Expenditure” included, in addition to the energy component and regulated costs, also a series of other charges such as: i) “a fee for retail marketing, equal to €6.00/month and €0.004/kWh”; ii) “a fee for the remuneration of the management costs of operations on the wholesale market, equal to €1.54/month for each kW of committed power, applied only to the first 4.5 kW of committed power”; iii) “a Technical-Administrative Management charge, equal to €0.048/day” (emphasis added), referring overall to the activities of wholesale purchasing, marketing, and sales. Furthermore, there was no specific description regarding the distinct and actual services rendered by the professional, justifying the application of each of these charges.</w:t>
        <w:br/>
        <w:t>18 See annex 15 to the report of October 22, 2020, prot. n. 78232.</w:t>
      </w:r>
    </w:p>
    <w:p>
      <w:r>
        <w:rPr>
          <w:b/>
        </w:rPr>
        <w:t>[Pages 61–63]</w:t>
      </w:r>
    </w:p>
    <w:p>
      <w:r>
        <w:t>BULLETIN NO. 18 OF MAY 16, 2022 63</w:t>
        <w:br/>
        <w:t>Figure 3 – Excerpt from the CTE of the "Dinamico Casa" offer</w:t>
        <w:br/>
        <w:t>17. The same applies to the offer named "Deciso Casa Green," marketed in 2020, under which the following were provided: i) "a contribution for wholesale purchase of 0.035 €/Smc"; ii) a "fixed fee of 0.230 €/day"; iii) a "Technical-Administrative Management charge of 0.048 €/day" (emphasis added), once again not accompanied by specific information regarding the services corresponding to the charge of such fees.</w:t>
        <w:br/>
        <w:t>18. Finally, with reference to the offers named "Relax" and "Jump" - marketed in 2021 - for the supply of electricity, the presence of: i) "consideration for retail marketing, equal to 0.015 €/kWh"; ii) "a consideration for the remuneration of management charges for operations in the wholesale market, equal to 19.20 €/year for kWh of committed power, applied only to the first 4.5 kWh of currently committed power"; iii) a "Technical-Administrative Management charge, equal to 17.52 €/year" is noted.</w:t>
        <w:br/>
        <w:t>19. Similarly, for the supply of gas, it was provided: i) "a contribution for wholesale purchase equal to 0.035 €/Smc"; ii) "a fixed fee charged to the customer equal to 84.68 €/year"; iii) "a consideration for retail marketing, equal to 0.010 €/Smc"; and iv) "a Technical-Administrative Management charge equal to 17.52 €/year."</w:t>
        <w:br/>
        <w:t>20. At the same time, regarding the offers promoted through the company website - such as the offer named Jump - as can be seen from Figures 4 and 5 below19, the advertising material was characterized by a clear omission of economic information conveyed to consumers, as, with reference to the expenditure for energy supply, 19 See annex 16 to the professional's response of August 10, 2021, cited.</w:t>
      </w:r>
    </w:p>
    <w:p>
      <w:r>
        <w:t>64 BULLETIN NO. 18 OF MAY 16, 2022</w:t>
        <w:br/>
        <w:t>only the cost of the energy commodity (equal, for example, to 0.304 euro/Smc for gas) was reported, without any mention of the fees provided for marketing, such as the "annual fixed fee," "the components CCR, QTint, QTPSV, and QVD," the "consideration for retail marketing," and the "Technical-Administrative Management charge."</w:t>
        <w:br/>
        <w:t>Figure 4 – Excerpt from the page of the website www.bluenergygroup.it/offer related to the Jump Gas offer</w:t>
        <w:br/>
        <w:t>21. Similarly, for electricity, the same advertisement - as seen in Figure 5 below - reported exclusively the price of the energy component (equal to 0.0848 euro/kWh), omitting any indication regarding the fees provided by the offer "for wholesale purchase," "fixed fee," "retail marketing," and "Technical-Administrative Management."</w:t>
      </w:r>
    </w:p>
    <w:p>
      <w:r>
        <w:t>BULLETIN NO. 18 OF MAY 16, 2022 65</w:t>
        <w:br/>
        <w:t>Figure 5 – Excerpt from the page of the website www.bluenergygroup.it/offer related to the Jump Luce offer</w:t>
        <w:br/>
        <w:t>22. The same informational omissions regarding the cost of supplies also concerned all other forms of advertising for the offers used in 2021, such as internet banners (Figure 6)20 or promotional posters distributed through other commercial partners21, in which the professional, during 2021, limited itself to advertising the advantages and discounts provided in its offers ("€60 BONUS, LOCKED PRICE, ZERO INCREASES ON BILL"), without indicating either the price of the raw material or the remaining charges that make up the expenditure for energy, preventing consumers from assessing the actual convenience of the offer, due to the partiality of the information provided therein.</w:t>
        <w:br/>
        <w:t>20 See Annex 15 to the professional's response of August 10, 2021, cited.</w:t>
        <w:br/>
        <w:t>21 See Annex 13 to the professional's response of August 10, 2021, cited, in which the Bluenergy offer is advertised to the customers of a bank.</w:t>
      </w:r>
    </w:p>
    <w:p>
      <w:r>
        <w:rPr>
          <w:b/>
        </w:rPr>
        <w:t>[Pages 64–66]</w:t>
      </w:r>
    </w:p>
    <w:p>
      <w:r>
        <w:t>66 BULLETIN NO. 18 OF MAY 16, 2022</w:t>
        <w:br/>
        <w:t>Figure 6 – Text of the banner related to the summer 2021 offer called “Promo Summer Days”</w:t>
        <w:br/>
        <w:t>23. According to what was specified by the professional, in 2020, the revenues of Bluenergy related to marketing and sales services, concerning the supply of gas and electricity for domestic customers and micro-enterprises, amounted to approximately [15-20]* million euros for gas and approximately [10-15] million euros for electricity, distributed respectively in (see Tables 1 and 2, referring to 2019 and 2020 and the first half of 2021): i) daily fee, CCR revenues, fixed QVD revenues, variable QVD revenues, administrative management fees, for gas; and ii) fixed and variable marketing revenues, wholesale fee compensation, PCV, administrative management fees, for electricity.</w:t>
        <w:br/>
        <w:t>* In this version, some data are omitted, as elements of confidentiality or secrecy of the information were deemed to exist.</w:t>
      </w:r>
    </w:p>
    <w:p>
      <w:r>
        <w:t>BULLETIN NO. 18 OF MAY 16, 2022 67</w:t>
        <w:br/>
        <w:t>Table 1 – Revenues for marketing and sales services – Electricity (2019-2020-2021)</w:t>
        <w:br/>
        <w:t>Domestic Customers 2019 2020 2021</w:t>
        <w:br/>
        <w:t>Marketing Revenues</w:t>
        <w:br/>
        <w:t>[500,000-600,000] [700,000-800,000] [1,300,000-1,400,000]</w:t>
        <w:br/>
        <w:t>Variable</w:t>
        <w:br/>
        <w:t>Wholesale Fee Compensation [700,000-800,000] [2,000,000-2,500,000] [2,000,000-2,500,000]</w:t>
        <w:br/>
        <w:t>PCV [3,500,000-4,000,000] [3,500,000-4,000,000] [2,500,000-3,000,000]</w:t>
        <w:br/>
        <w:t>Fixed Marketing Revenues [700,000-800,000] [1,000,000-1,500,000] [700,000-800,000]</w:t>
        <w:br/>
        <w:t>Administrative Management Fees [100,000-200,000] [500,000-600,000] [700,000-800,000]</w:t>
        <w:br/>
        <w:t>[6,000,000-6,500,000] [8,500,000-9,000,000] [7,500,000-8,000,000]</w:t>
        <w:br/>
        <w:t>Non-Domestic Customers 2019 2020 2021</w:t>
        <w:br/>
        <w:t>Marketing Revenues</w:t>
        <w:br/>
        <w:t>[1,000,000-1,500,000] [800,000-900,000] [200,000-300,000]</w:t>
        <w:br/>
        <w:t>Variable</w:t>
        <w:br/>
        <w:t>Wholesale Fee Compensation [100,000-200,000] [400,000-500,000] [200,000-300,000]</w:t>
        <w:br/>
        <w:t>PCV [2,000,000-2,500,000] [2,500,000-3,000,000] [1,500,000-2,000,000]</w:t>
        <w:br/>
        <w:t>Fixed Marketing Revenues [400,000-500,000] [800,000-900,000] [500,000-600,000]</w:t>
        <w:br/>
        <w:t>Administrative Management Fees [0-5] [50,000-60,000] [50,000-60,000]</w:t>
        <w:br/>
        <w:t>Total Non-Domestic Electricity [3,500,000-4,000,000] [4,500,000-5,000,000] [3,000,000-3,500,000]</w:t>
      </w:r>
    </w:p>
    <w:p>
      <w:r>
        <w:t>68 BULLETIN NO. 18 OF MAY 16, 2022</w:t>
        <w:br/>
        <w:t>Table 2 – Revenues for marketing and sales services – Gas (2019-2020-2021)</w:t>
        <w:br/>
        <w:t>Domestic Customers 2019 2020 2021</w:t>
        <w:br/>
        <w:t>Daily Fee [2,000,000-2,500,000] [3,000,000-3,500,000] [4,000,000-4,500,000]</w:t>
        <w:br/>
        <w:t>Purchase Contribution</w:t>
        <w:br/>
        <w:t>0 0 [1,500,000-2,000,000]</w:t>
        <w:br/>
        <w:t>Wholesale</w:t>
        <w:br/>
        <w:t>CCR [2,000,000-2,500,000] [2,000,000-2,500,000] [2,000,000-2,500,000]</w:t>
        <w:br/>
        <w:t>Fixed QVD [5,000,000-5,500,000] [6,500,000-7,000,000] [3,500,000-4,000,000]</w:t>
        <w:br/>
        <w:t>Variable QVD [600,000-700,000] [700,000-800,000] [700,000-800,000]</w:t>
        <w:br/>
        <w:t>Management Fees</w:t>
        <w:br/>
        <w:t>[200,000-300,000] [1,000,000-1,500,000] [1,000,000-1,500,000]</w:t>
        <w:br/>
        <w:t>Administrative</w:t>
        <w:br/>
        <w:t>Total Domestic Gas [10,000,000-11,000,000] [14,000,000-15,000,000] [14,000,000-15,000,000]</w:t>
        <w:br/>
        <w:t>Non-Domestic Customers 2019 2020 2021</w:t>
        <w:br/>
        <w:t>Daily Fee [100,000-200,000] [100,000-200,000] [200,000-300,000]</w:t>
        <w:br/>
        <w:t>Purchase Contribution</w:t>
        <w:br/>
        <w:t>0 0 [100,000-200,000]</w:t>
        <w:br/>
        <w:t>Wholesale</w:t>
        <w:br/>
        <w:t>CCR [400,000-500,000] [400,000-500,000] [300,000-400,000]</w:t>
        <w:br/>
        <w:t>Fixed QVD [600,000-700,000] [700,000-800,000] [400,000-500,000]</w:t>
        <w:br/>
        <w:t>Variable QVD [100,000-200,000] [100,000-200,000] [100,000-200,000]</w:t>
        <w:br/>
        <w:t>Management Fees</w:t>
        <w:br/>
        <w:t>[10,000-20,000] [70,000-80,000] [50,000-60,000]</w:t>
        <w:br/>
        <w:t>Administrative</w:t>
        <w:br/>
        <w:t>Total Non-Domestic Gas [1,000,000-1,500,000] [1,500,000-2,000,000] [1,000,000-1,500,000]</w:t>
        <w:br/>
        <w:t>The conduct sub b): The methods of communication of unilateral changes to the contractual economic conditions</w:t>
        <w:br/>
        <w:t>24. According to what emerged during the proceeding, based on Article 12.2 of the General Contract Conditions (version CGC07), in force since 201922, by the deadline indicated in the CTE, Bluenergy reserved the right “to propose to the Customer in writing new Economic Conditions, either by ordinary mail, by email, or also with a notice on the bill, or communication in the reserved customer web area where activated” (emphasis added), instead of through a specific written communication, separate from the billing documents, as instead prescribed by Article 13, paragraph 4 of the Commercial Code of Conduct.</w:t>
        <w:br/>
        <w:t>25. In this regard, reference is made to a complaint from a consumer, who already in October 2019, signed a contract for the offer called Dinamico Luce Casa, in which it was provided that the</w:t>
        <w:br/>
        <w:t>22 See General Contract Conditions, version 07, contained in annexes 7-8-9-10-11-12 to the report of October 22, 2020, prot. no. 78232.</w:t>
      </w:r>
    </w:p>
    <w:p>
      <w:r>
        <w:rPr>
          <w:b/>
        </w:rPr>
        <w:t>[Pages 67–69]</w:t>
      </w:r>
    </w:p>
    <w:p>
      <w:r>
        <w:t>BULLETIN NO. 18 OF MAY 16, 2022 69</w:t>
        <w:br/>
        <w:t>communication from Bluenergy of unilateral contractual economic changes also with notice on the bill23.</w:t>
        <w:br/>
        <w:t>The conduct sub c): the absence of indication regarding the conditions for the applicability of the advertised bonuses</w:t>
        <w:br/>
        <w:t>26. Based on the promotional documentation, produced as an example by the professional24, it emerges that, in the offers marketed in 2021 (such as Relax and Jump), the conditions for the recognition of bonuses were only partially specified: for example, in the case of the offer called Jump, the message on the website stated the claim “Up to €90 in bonuses* equal to the RAI Fee,” and in a note with an asterisk “*€30 bonus granted at the start of the supply, €15 after 7 months, and starting from the 13th month from activation you will receive a 10% discount on the raw material. By subscribing to both electricity and gas offers, the €45 bonus will be recognized on both supplies. Discover the details of the offer at our sales points. Find the nearest sales point to you at www.bluenergygroup.it.”</w:t>
        <w:br/>
        <w:t>27. However, none of the promotional messages produced by the professional contained information regarding the limitation related to obtaining the aforementioned bonuses, specifically concerning the provision for a reversal of the bonuses already enjoyed in case of withdrawal before 12 months of supply. This information was, in fact, provided only at the sales points or in the contractual documentation (CTE), where it was specified that “the customer will fully acquire the right to benefit from such discounts only at the end of the 12 months of supply; therefore, in case of termination of the contract during the 12-month period from the start of the supply, due to the customer's withdrawal for changing supplier, the customer will have to return the amounts of such discounts to the extent already enjoyed in the bill”25.</w:t>
        <w:br/>
        <w:t>3) The defensive arguments of the professional</w:t>
        <w:br/>
        <w:t>28. The professional made some preliminary observations26 regarding the limited number of reports from customers (amounting to three) contained in the investigation file, which were received, moreover, during 2020 and subsequently supplemented. Furthermore, the professional emphasized that, in general, “the offers of electricity and gas have characteristics of complexity such that they objectively make it difficult to present the final price to the consumer in a concise and immediately readable manner,” thus making it necessary “to complete the advertising material and/or the CTE by referring to other sources, both ‘internal’ and ‘external’ to the operator.”</w:t>
        <w:br/>
        <w:t>29. With reference to the individual allegations, the professional then presented multiple defensive observations during the investigation, which are summarized below.</w:t>
        <w:br/>
        <w:t>23 See art. 12.2 of the General Conditions of Contract, version 07, annex 11 to the report of October 22, 2020, prot. no. 78232, cited.</w:t>
        <w:br/>
        <w:t>24 See promotional messages related to the offers called “Relax” and “Jump,” annexes 12, 13, 14, 15, 16, 17, 18, and 19 to the professional's response of August 10, 2021, cited.</w:t>
        <w:br/>
        <w:t>25 See CTE related to the Jump offer, annex 6h to the professional's response of August 10, 2021, cited.</w:t>
        <w:br/>
        <w:t>26 See final memorandum (prot. 16401 of February 1, 2022).</w:t>
      </w:r>
    </w:p>
    <w:p>
      <w:r>
        <w:t>70 BULLETIN NO. 18 OF MAY 16, 2022</w:t>
        <w:br/>
        <w:t>Conduct sub a)</w:t>
        <w:br/>
        <w:t>30. As for the completeness and transparency of the economic conditions in the contractual documentation27, the professional first clarified that the application of a fee for retail marketing, a fee for the remuneration of the management costs of operations on the wholesale market, technical-administrative management costs, and a CCR charge, refers to “free market offers for which suppliers can freely establish the price components.”</w:t>
        <w:br/>
        <w:t>31. Bluenergy emphasized that, where “in general, marketing fees constitute a price component related to the commercial management activities of customers,” and as such “are recognized in the tariff also for the greater protection service of electricity and for the gas protection service where, respectively, the PCV and QVD components are provided (in fixed quota, i.e., due regardless of the consumption made by the customer, and in variable quota, i.e., due based on the consumption made by the customer),” in the free market, the supplier “may have customer management costs different from those average of the tariff of the protection service,” consequently “it is common for the free market to provide for marketing fees freely defined in amount by the supplier.”</w:t>
        <w:br/>
        <w:t>32. In particular, Bluenergy argues that in the case of its supplies, “such costs are related to the numerous activities undertaken both with respect to the customer contracting phase and with respect to the so-called post-sales activity.” Specifically, this involves the management of: i) numerous counters (located mainly in Northern Italy, where most of Bluenergy's customers are located); ii) the call center – managed with its own resources residing in the territory of the Friuli-Venezia Giulia Region; iii) the indirect physical sales network (agencies, franchising); iv) teleselling agencies – towards which Bluenergy carries out constant control activities.</w:t>
        <w:br/>
        <w:t>33. As for the “fee for the remuneration of the management costs of operations on the wholesale market,” Bluenergy explained that this is a tariff component to cover the risk due to wholesale purchases, concerning the actual consumption of customers; as well as the risk of market volatility, between the moment of wholesale purchase (upstream) and the moment of final sale (downstream); as well as modulation costs, due to the deviation of actual consumption from planned consumption.</w:t>
        <w:br/>
        <w:t>34. Finally, the technical-administrative management charge, provided in Bluenergy's offers, refers both to the “numerous technical and/or administrative activities” carried out by the Company to “ensure the customer levels of service quality superior to the standards,” as well as “to cover the costs related to credit risk (non-collection due to default)” and the technical-administrative management of the gas billing activity nine times a year, that is, with a higher frequency than the minimum standard provided by ARERA (six times a year).</w:t>
        <w:br/>
        <w:t>35. Regarding the advertising material, the professional emphasized that “most of the promotional material examined by the Authority does not present claims focused on price” and even where the price of energy is advertised - as in the page of the Company's website related to the Jump offer mentioned in the initiation communication - “there is an invitation to read all the other details of the offer to know it in its entirety.” In general, therefore, according to the professional, the circumstance that the existence of a discount within the offer is represented in the advertising material “cannot be considered misleading and/or omissive in itself, as the promotional communication is not focused on price”28.</w:t>
        <w:br/>
        <w:t>Conduct sub b)</w:t>
        <w:br/>
        <w:t>36. As for the methods of communication of unilateral changes to the contract, Bluenergy pointed out that, in the case reported by a consumer in the proceedings29, the communication sent to the same by Bluenergy concerned the new economic conditions applicable at the time of renewal of the offer, that is, after the expiration (and not during) of the validity of the CTE, and, consequently, Article 13 of the Commercial Code of Conduct, which concerns the case of changes to the conditions “during the validity period” of the supply contract and not the renewal of contractual conditions after expiration, would not actually apply.</w:t>
        <w:br/>
        <w:t>37. Bluenergy therefore believes that “the communication on the bill is an effective and immediate means of communication with the customer and that, under other profiles, it is expressly identified as the means by which to indicate any contractual changes,” as Article 13.2 of the Commercial Code of Conduct provides that in the case of “changes to the fees resulting from the application of contractual clauses regarding indexing or automatic adjustment of fees not determined by the seller” the final customer may be informed of the change in the first bill30.</w:t>
        <w:br/>
        <w:t>Conduct sub c)</w:t>
        <w:br/>
        <w:t>38. As for the alleged informational shortcomings regarding the limitations and conditions for the application of bonuses and/or discounts provided by the commercial offers subject to promotion, Bluenergy emphasized, first of all, that some of the advertising messages disseminated during the considered period “concern offers that were dedicated to conventions” and that, therefore, contain unconditional discounts; moreover, “the information on limits and conditions of bonuses and/or discounts – where applicable – has been accurately and in detail provided in the CTE”31.</w:t>
        <w:br/>
        <w:t>IV. THE CHANGES TO THE CONDUCTS ADOPTED BY THE PROFESSIONAL DURING THE INVESTIGATION</w:t>
        <w:br/>
        <w:t>39. During the proceedings, the professional, after presenting a proposal for commitments, voluntarily adopted some measures, outlined below, aimed at overcoming the contested criticalities at the outset.</w:t>
        <w:br/>
        <w:t>Conduct sub a)</w:t>
        <w:br/>
        <w:t>40. Following the initiation of this proceeding, starting from February 2022, Bluenergy adopted a new model of economic conditions (CTE), which will be used for all current and future fixed-price commercial offers of the Company (Figures 7 and 8).</w:t>
        <w:br/>
        <w:t>28 See final memorandum, cited.</w:t>
        <w:br/>
        <w:t>29 See art. 12.2 of the General Conditions of Contract, version 07, annex 11 to the report of October 22, 2020, prot. no. 78232, cited.</w:t>
        <w:br/>
        <w:t>30 See final memorandum, cited.</w:t>
        <w:br/>
        <w:t>31 See final memorandum, cited.</w:t>
      </w:r>
    </w:p>
    <w:p>
      <w:r>
        <w:rPr>
          <w:b/>
        </w:rPr>
        <w:t>[Pages 70–72]</w:t>
      </w:r>
    </w:p>
    <w:p>
      <w:r>
        <w:t>72 BULLETIN NO. 18 OF MAY 16, 2022</w:t>
        <w:br/>
        <w:t>Figure 7 – CTE related to the Jump Luce Casa offer</w:t>
        <w:br/>
        <w:t>Figure 8 – CTE related to the Jump Gas Casa offer</w:t>
        <w:br/>
        <w:t>41. This new format of the contractual document provides, in addition to "a better arrangement and graphic presentation of the economic conditions as a whole (with the same graphic prominence for the cost of the energy component and the other cost items)," a clear and transparent indication of the marketing costs applied by the Company - in fixed quota and in variable quota - and, in the case of the application of charges defined by the regulator, the indication of the current reference value and the periodicity of updates by ARERA.</w:t>
        <w:br/>
        <w:t>42. In particular, the professional has provided for the elimination of the various charges and the related fees that were previously described; in particular, it was indicated "the elimination of the fee for the remuneration of the management charges for operations on the wholesale market/contribution for wholesale purchases, the elimination of the Technical-Administrative Management charge, the elimination of the fixed fee."</w:t>
        <w:br/>
        <w:t>43. Also, as of February 2022, Bluenergy has updated its advertising communications, in line with the changes made to the contractual documentation, specifying "in the case of promotions focused on the supply price, on every communication channel (and within the limits imposed by them), the price of the energy component is indicated and the further cost items set at discretion are indicated, ensuring equal graphic prominence"32.</w:t>
        <w:br/>
        <w:t>Figure 9 - Excerpt from the page of the website www.bluenergygroup.it/offer related to the Jump Luce/Gas offer</w:t>
        <w:br/>
        <w:t>32 See concluding memorandum, cited.</w:t>
      </w:r>
    </w:p>
    <w:p>
      <w:r>
        <w:t>74 BULLETIN NO. 18 OF MAY 16, 2022</w:t>
        <w:br/>
        <w:t>44. The Company has finally communicated that it has consequently updated the script models for teleselling based on the content of the new CTE model adopted since February 202233.</w:t>
        <w:br/>
        <w:t>Conduct sub b)</w:t>
        <w:br/>
        <w:t>45. As for the methods of communication to customers regarding unilateral contractual changes, Bluenergy has informed the Authority that it has updated the document containing the General Conditions of Contract, introducing a new formulation of Article 12.2 which provides for the sending of a communication, by the expiration of the CTE, by mail (ordinary or electronic) separate from the bill34. In the new contractual document, it is indeed provided that "by the expiration indicated in the Economic Conditions, Bluenergy shall have the right to propose to the Customer in writing new Economic Conditions, either by ordinary mail, or by e-mail, (only if the customer has provided the e-mail address to receive communications related to the supply contract)."</w:t>
        <w:br/>
        <w:t>Conduct sub c)</w:t>
        <w:br/>
        <w:t>46. As for the methods of representation of the conditions applicable to bonuses, Bluenergy has proceeded to simplify the various types of bonuses and/or discounts offered: in particular, the 10% discount on the energy component (so-called "COMMUNITY discount," previously applied starting from the 13th month of supply, previously subject to specific limitations) has been eliminated, and it has been specified in the header of the CTE that the bonus is granted on the condition of remaining in supply for at least 9 months. In particular, as specified both in the CTE and in the advertising material disseminated through the Company's website, the conditions for obtaining the bonus are as follows: "For each month in supply with Bluenergy, the customer earns the right to a discount of €5.00, up to a maximum discount of €45 for the first 9 months of supply, which will be granted during the first 3 months of supply (€15/month). In the event of termination of the Contract due to withdrawal and change of supplier during the first 9 months of supply, Bluenergy shall have the right to reverse the discounts already applied in the bill but not yet accrued by the customer."</w:t>
        <w:br/>
        <w:t>47. Furthermore, in the new version of the CTE, in the sections "Discount on the supply of electricity" and "Discount on the supply of natural gas," all the methods of application, conditions, and limitations of the bonuses/discounts are "described exhaustively and in detail"35.</w:t>
        <w:br/>
        <w:t>Restitution measures</w:t>
        <w:br/>
        <w:t>48. Bluenergy has finally voluntarily adopted some economic restitution measures for customers who may have been affected by the above-described conduct, namely those customers "to whom the QVD, CCR, and PCV fees have been applied since 2019 without indicating the unit value except by referring to the relevant resolutions of ARERA, as well as for those who have signed offers that provided for the payment of bonuses, the indication of which in the promotional material, according to the approach of the Communication, did not provide sufficient specifications regarding limits and/or conditions of applicability of the bonus itself.</w:t>
        <w:br/>
        <w:t>33 See annexes 4a and 4b of the concluding memorandum, cited.</w:t>
        <w:br/>
        <w:t>34 See the new version of the GTC in annex 3 of the concluding memorandum, cited.</w:t>
        <w:br/>
        <w:t>35 See concluding memorandum, cited.</w:t>
      </w:r>
    </w:p>
    <w:p>
      <w:r>
        <w:rPr>
          <w:b/>
        </w:rPr>
        <w:t>[Pages 73–75]</w:t>
      </w:r>
    </w:p>
    <w:p>
      <w:r>
        <w:t>BULLETIN NO. 18 OF MAY 16, 2022 75</w:t>
        <w:br/>
        <w:t>49. In particular, for active customers, Bluenergy grants an amount of €2.00 per customer, through direct credit to the bank accounts of customers with direct debits or by offsetting the corresponding amounts in the invoice; regarding ceased customers, Bluenergy has sent a communication via email and – following the response to that communication from the customer, with the communication of bank details – will issue the refund by bank transfer or alternatively, at the customer's choice, at the Company's counters.</w:t>
        <w:br/>
        <w:t>50. Bluenergy specified that the measure concerns all customers contracted between 2019 and 2021 inclusive, whose compensation will result in an estimated total outlay for the company of [€500,000-600,000].</w:t>
        <w:br/>
        <w:t>IV. OPINION OF THE AUTHORITY FOR GUARANTEES IN COMMUNICATIONS</w:t>
        <w:br/>
        <w:t>51. Since the commercial practice subject to this measure was also disseminated via teleselling and the internet, on February 1, 2022, an opinion was requested from the Authority for Guarantees in Communications, pursuant to Article 27, paragraph 6, of the Consumer Code36.</w:t>
        <w:br/>
        <w:t>52. In a communication received on March 3, 202237, the aforementioned Authority expressed the requested opinion, limiting its assessments to the suitability of the specific means of communication used to disseminate the commercial practices to affect and amplify any misleading and/or unfairness of the same practice.</w:t>
        <w:br/>
        <w:t>53. With reference to the practice in question, the Authority for Guarantees in Communications considered that the communications carried out by Bluenergy were conveyed via the Internet. In particular, “the Internet is a global communication network, capable of quickly offering the user a wide sequence of information likely to influence their behavior.”</w:t>
        <w:br/>
        <w:t>54. With reference to the case at hand, therefore, the means of communication used, in relation to the service offered by Bluenergy, is suitable to determine “a significant impact on consumers who, based on the information received through the Professional's website, could be induced to make a commercial decision that they otherwise would not have made, thus concretely developing the full promotional potential of online communication”; consequently, in this case, the Internet is a “tool suitable to significantly influence the realization of the commercial practice subject to this proceeding.”</w:t>
        <w:br/>
        <w:t>V. OPINION OF THE REGULATORY AUTHORITY FOR ENERGY NETWORKS AND ENVIRONMENT</w:t>
        <w:br/>
        <w:t>55. Since the commercial practice subject to this measure concerns the energy sector, on February 1, 2022, an opinion was requested from the Regulatory Authority for Energy, Networks and Environment, pursuant to and for the effects of Article 27, paragraph 1-bis, of the Consumer Code, introduced by Article 1, paragraph 6, letter a), of Legislative Decree no. 21/201438.</w:t>
        <w:br/>
        <w:t>36 Prot. 16656/2022.</w:t>
        <w:br/>
        <w:t>37 Prot. 24258/2022.</w:t>
        <w:br/>
        <w:t>38 Prot. 16665/2022.</w:t>
      </w:r>
    </w:p>
    <w:p>
      <w:r>
        <w:t>76 BULLETIN NO. 18 OF MAY 16, 2022</w:t>
        <w:br/>
        <w:t>56. In an opinion received on March 30, 202239, the aforementioned Authority preliminarily represented that such conduct involves issues relevant from a regulatory perspective, relating to:</w:t>
        <w:br/>
        <w:t>a) the informational obligations at the offer and contract signing stage;</w:t>
        <w:br/>
        <w:t>b) the methods of notice for unilateral changes to contractual conditions;</w:t>
        <w:br/>
        <w:t>c) the prohibition of imposing penalties for withdrawal.</w:t>
        <w:br/>
        <w:t>57. ARERA then specified that “for the purposes of evaluating the conduct carried out by the Professional during the period subject to the proceeding (from 2019 until the end of 2021), the provisions contained in both the text of the Code of Commercial Conduct referred to in Annex A to resolution 366/2018/R/COM in force until June 30, 2021, and in the text of the Code of Commercial Conduct in force from July 1, 2021, as amended and supplemented by resolutions 426/2020/R/COM and 97/2021/R/COM, are relevant.” This refers to the Code of Commercial Conduct for the sale of electricity and natural gas to final customers – as per Annex A to Resolution June 28, 2018, 366/2018/R/COM – aimed at protecting all final customers (including small non-domestic customers) during the promotion, offer, and signing of contracts for the supply of electricity and/or natural gas in the free market and preventing harmful conduct by sellers by imposing specific obligations of information and transparency towards the contractors/users. This Resolution was amended by the subsequent resolution 426/2020/R/COM of October 27, 2020, whose provisions came into force from July 1, 2021 (except for the innovations regarding unilateral changes and automatic evolutions referred to in Articles 13 and 14, which are effective from October 1, 2021, as provided by resolution March 9, 2021, 97/2021/R/COM).</w:t>
        <w:br/>
        <w:t>The Code of Commercial Conduct</w:t>
        <w:br/>
        <w:t>58. With regard to the relevant sector regulation, ARERA extensively referenced the provisions of the “Code of Commercial Conduct for the sale of electricity and natural gas to final customers”40, which represents a sector-specific specification of the general regulations on consumer protection, adopted with the general objective of preventing harmful conduct towards final customers (including small non-domestic customers) when they receive offers for the conclusion of contracts for the supply of electricity and/or natural gas in the free market.</w:t>
        <w:br/>
        <w:t>59. The obligations on sellers concern the pre-contractual phase and specific aspects of the contractual phase, within the relationship that occurs between the parties following the signing of the contract. The Code of Commercial Conduct, of which the main provisions are summarized below, provides that sellers must transparently, completely, and non-discriminatorily provide information regarding their contractual offers and take all reasonable measures to meet the information and assistance needs of customers in evaluating such offers.</w:t>
        <w:br/>
        <w:t>39 Prot. 30871/2022.</w:t>
        <w:br/>
        <w:t>40 See Annex A of resolution June 28, 2018, 366/2018/R/COM as amended and supplemented by resolution October 27, 2020, 426/2020/R/COM (hereinafter: 426/2020/R/COM), whose provisions came into force from July 1, 2021 (except for the innovations regarding unilateral changes and automatic evolutions referred to in Articles 13 and 14, effective from October 1, 2021, as provided by resolution 97/2021/R/COM).</w:t>
      </w:r>
    </w:p>
    <w:p>
      <w:r>
        <w:t>BULLETIN NO. 18 OF MAY 16, 2022 77</w:t>
        <w:br/>
        <w:t>The new text (in force from July 1, 2021)</w:t>
        <w:br/>
        <w:t>60. The new text of the Code of Commercial Conduct introduces, starting from July 1, 2021, a revision of the criteria for communicating supply prices, as per Article 5, providing for the obligation for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due are indicated exclusively in €/POD/year or €/PdR/year, those in proportion to the contracted power exclusively in €/kW while those for any withdrawals of reactive energy exclusively in €/kvarh.</w:t>
        <w:br/>
        <w:t>61. Also in Article 5, it is specified that the amounts cannot have the same name as the unit amounts, components, or elements defined by the Authority except in cases where the values of the aforementioned amounts are set equal to those currently defined by the Authority itself.</w:t>
        <w:br/>
        <w:t>62. 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text)41.</w:t>
        <w:br/>
        <w:t>The regulation on withdrawal</w:t>
        <w:br/>
        <w:t>63. As for the provisions regulating withdrawal, ARERA recalled that with resolution June 9, 2016, 302/2016/R/com, as last amended by resolution 783/2017/R/com, the previous regulation was revised and the timelines for withdrawal following switching were aligned also to make the entire supplier switching process coherent in all its aspects, including the activities for the development of the Integrated Information System (hereinafter: SII). The notice period has therefore been reduced in line with the duration of the switching process – currently about three weeks – for all domestic and non-domestic customers, even if multi-site, thus allowing the possibility for the withdrawal to be notified by the incoming seller by the 10th day of the month preceding the date of supplier change. The resolution in question also expressly provides that the right of withdrawal, exercised within the aforementioned terms, cannot be subject to penalties or any fees and that any clauses in this sense must be considered non-existent.</w:t>
        <w:br/>
        <w:t>64. Finally, the regulation on withdrawal was further modified by Legislative Decree November 8, 2021, no. 210, in force from December 26, 202142, which allows, in compliance with specific principles of transparency and for certain contractual situations, the request for a fee in</w:t>
        <w:br/>
        <w:t>41 The Summary Sheet, in place of the Information Note, is a new tool that summarizes all the informational obligations, on the part of the seller, related to the offer, in a standardized and understandable format for the final customer, to be delivered to all customers supplied at low voltage and/or with natural gas consumption not exceeding 200,000 Smc/year.</w:t>
        <w:br/>
        <w:t>42 Implementing “EU Directive 2019/944 of the European Parliament and of the Council of June 5, 2019, on common rules for the internal electricity market and amending Directive 2012/27/EU, as well as containing provisions for the adaptation of national legislation to the provisions of EU Regulation 943/2019 on the internal electricity market and EU Regulation 941/2019 on risk preparedness in the electricity sector and repealing Directive 2005/89/EC.”</w:t>
      </w:r>
    </w:p>
    <w:p>
      <w:r>
        <w:rPr>
          <w:b/>
        </w:rPr>
        <w:t>[Pages 76–78]</w:t>
      </w:r>
    </w:p>
    <w:p>
      <w:r>
        <w:t>78 BULLETIN NO. 18 OF MAY 16, 2022</w:t>
        <w:br/>
        <w:t>in the case of early withdrawal from an electricity supply contract (Article 7, paragraph 5 of the aforementioned legislative decree).</w:t>
        <w:br/>
        <w:t>Considerations regarding the conduct contested to the professional</w:t>
        <w:br/>
        <w:t>65. As a preliminary matter, ARERA specified that the evaluations expressed in the opinion do not address the possible non-compliance with the provisions of the Consumer Code, but relate exclusively to possible profiles of alleged non-compliance of such conduct with the regulatory provisions deemed most significant also due to the sector-specific nature.</w:t>
        <w:br/>
        <w:t>66. With reference to the unfair commercial practice under examination, occurring in the period 2019-2021, ARERA confirmed that the aforementioned provisions of the Code would appear to be disregarded by the professional, as "Bluenergy would not have complied with the provisions of the Code of Commercial Conduct which require the seller, both in the pre-contractual phase and in the contractual phase, to apply to the final customer amounts previously communicated and determined according to the criteria outlined above. In this regard, it is indeed necessary that all expenses and fees related to the charges invoiced to final customers find specific and adequate correspondence within the contractual documentation and promotional material."</w:t>
        <w:br/>
        <w:t>67. In particular, according to ARERA's opinion, the provisions of the Code of Commercial Conduct appear to be disregarded by the professional, as:</w:t>
        <w:br/>
        <w:t>− "Bluenergy did not indicate in the Technical Economic Conditions (CTE) for the supply of electricity and/or gas the unit value of certain fees invoiced to final customers (such as the marketing charges related to the supply of electricity and natural gas services), limiting itself to referring, for the definition of their amount, to what is established by the resolutions adopted by ARERA;</w:t>
        <w:br/>
        <w:t>− The Professional did not correctly indicate in the contractual documentation certain fees related to commercial and/or administrative management charges43" By way of example, in the CTE of the Dinamico Casa offer, the fixed component of the fee for retail marketing is indicated in euros/month, while the technical administrative management charge is indicated exclusively in euros/day, in contrast to Article 5, paragraph 1, letter b) of the Code of Commercial Conduct (which provides that fixed unit fees must be indicated in euros/POD/year).</w:t>
        <w:br/>
        <w:t>68. Finally, regarding the method of communicating unilateral changes to the contractual economic conditions, Bluenergy's conduct would seem to be in contrast with sector regulation. Specifically, according to ARERA, from the General Conditions of Contract (CGC) acquired during the procedure, "it emerges that Bluenergy communicated the variation of the aforementioned conditions also through notice on the bill rather than with a separate communication from the billing documents," as instead prescribed by paragraph 4 of Article 13 of the Code of Commercial Conduct. Therefore, "it is evident that the Professional reserved the right to communicate the new economic conditions in force after the expiration of the contracted economic conditions (thus, in fact, a unilateral change falling within the scope of Article 13) by email, or with notice on the bill, or with communication in the web area reserved for customers, if activated."</w:t>
        <w:br/>
        <w:t>69. Lastly, in ARERA's opinion, it is emphasized "also the non-compliance with Article 7 of the Code of Commercial Conduct concerning the informational obligations on the conditions of service supply that fall on the seller when promoting contractual offers. In particular, from the examination of the promotional material produced by Bluenergy, it appears that the information prescribed by the aforementioned regulation regarding the characteristics of the offer and any limiting conditions thereof was not clearly stated, as the information regarding limitations and the methods of recognition of bonuses and/or discounts was completely absent in this case."</w:t>
        <w:br/>
        <w:t>70. Finally, ARERA specified that "the regulatory provisions regarding withdrawal would appear to be disregarded by the Professional in all cases where it has provided for the recovery of previously discounted fees in the event of early withdrawal." In fact, the provisions regarding withdrawal44 expressly provide that the right of withdrawal cannot be subject to penalties or any charges and that any clauses in this sense must be considered not applied, without prejudice to any subsequent conduct, the specific provision referred to in Article 7, paragraph 5, introduced by legislative decree no. 210 of November 8, 2021, in force since December 26, 2021, which allows, in compliance with precise principles of transparency and for specific cases, the request for a fee in the event of early withdrawal from an energy supply contract.</w:t>
        <w:br/>
        <w:t>VI. CONCLUDING EVALUATIONS</w:t>
        <w:br/>
        <w:t>71. The procedure under examination concerns the behaviors carried out by Bluenergy, starting from 2019, regarding the methods of presenting the characteristics and economic conditions of supply, both within the contractual documentation and the promotional material, related to the commercial offers proposed by the Company. This, in particular, with regard to the transparency of marketing costs; the methods of communicating unilateral changes to economic conditions; the methods of representing the applicability conditions of advertised bonuses.</w:t>
        <w:br/>
        <w:t>72. Before addressing the conduct subject to evaluation, it is necessary to clarify that the procedure was initiated as part of a generalized verification regarding the behavior of the main operators in the energy sector during the promotion and dissemination of commercial offers in the free market for the supply of electricity and natural gas services. In this context, the small number of reports present in the file is not relevant, given the general power that the regulation grants to the Authority to inhibit the continuation of unfair commercial practices and to eliminate their effects. Therefore, the circumstance, emphasized by the professional in the final memorandum, that only three reports are present in the file, as well as the fact that the same file was opened more than a year before the initiation of the procedure, is irrelevant, since the verification activity of the examined conduct was carried out by the Authority with reference to the entire market of energy services.</w:t>
        <w:br/>
        <w:t>73. On the merits, the behaviors described above in paragraph II can be traced back to a single and complex unfair commercial practice related to the methods of presenting the professional's commercial offers, thus regarding the economic conditions generally applied, their modification, and the specific promotional activities in contrast with Articles 20, 21, and 22 of the Consumer Code.</w:t>
        <w:br/>
        <w:t>74. Specifically, regarding the omission of indicating, both in the contractual documentation and in the advertising material, the value of the marketing charges related to the supply of electricity and natural gas services - such as the PCV component for electricity, and the CCR, QTint, QTPSV, and QVD components for gas - the investigative findings have highlighted that their amount is defined only by referring to ARERA resolutions.</w:t>
        <w:br/>
        <w:t>75. Specifically, the indication of the existence of such fees in the CTE by mere reference to ARERA resolutions instead of indicating their actual amount constitutes a significant informational omission that prevents consumers from determining the actual expenditure for energy before signing the supply contract.</w:t>
        <w:br/>
        <w:t>76. Contrary to what the professional claimed, even in the free market, operators are obliged to explicitly indicate, both in the contractual documentation and in the advertising material, the value of all fees and charges billed to customers for the various marketing and sales services included in the offers, regardless of any alignment of the same with the contributions provided by ARERA for the protected market. This is in order to overcome the structural informational asymmetry that exists in energy markets between the proposer and the consumer.</w:t>
        <w:br/>
        <w:t>77. As already highlighted by the Authority in various precedents in the sector, the amount of marketing charges related to the supply of energy products, which in the free market are set at the seller's discretion, represents a cost item, even significant, that must be expressly indicated in its unit value in the economic conditions of supply and in the advertising material, as it significantly affects the overall expenditure for energy, especially in the case of residential customers.</w:t>
        <w:br/>
        <w:t>78. In this context, the mere reference to the value of the marketing fees set by ARERA for the protected market does not constitute a valid indicator for consumers, as also highlighted by the Regulator in its opinion, who find themselves having to retrieve, not easily, the relevant resolutions in order to know the amount of such charges. It should be noted in this regard that, in the free market for energy products, the marketing and sales fee represents an important competitive lever that suppliers can use to characterize their offers. For this purpose, such a charge must be clearly indicated by the seller from the first contact with the consumer, so as to allow the latter to make an informed purchasing choice.</w:t>
        <w:br/>
        <w:t>79. The failure to indicate the value of the marketing charges for electricity and gas in the contractual documentation (CTE), limiting itself to referring to the values set in the ARERA resolutions related to the protected market or completely omitting the existence of such charges in advertising communications, represents a serious informational deficiency.</w:t>
      </w:r>
    </w:p>
    <w:p>
      <w:r>
        <w:rPr>
          <w:b/>
        </w:rPr>
        <w:t>[Pages 79–81]</w:t>
      </w:r>
    </w:p>
    <w:p>
      <w:r>
        <w:t>BULLETIN NO. 18 OF MAY 16, 2022 81</w:t>
        <w:br/>
        <w:t>80. In particular, the reference to the ARERA resolutions for the quantification of marketing charges in offers on the free market also appears likely to mislead the consumer regarding the nature of such price components, generating the – false – belief in their “predetermined” and mandatory character for the user, whereas instead such charges (unlike those that are actually binding but not defined therein) can be established at the discretion of the company and constitute - or should constitute - the true elements of differentiation and competitive comparison among sales companies in the free energy market. Moreover, in view of the complete liberalization of this market, it is essential - to guarantee not only consumers but also the professionals in the sector themselves - that buyers are ensured correctness, transparency, and completeness of information regarding the price variable and, also, the determining characteristics of the specific commercial proposal, from the very first contact.</w:t>
        <w:br/>
        <w:t>81. Furthermore, in the case at hand, the professional has provided for and applied additional commercial and/or administrative management charges, in exchange for unspecified activities for which he did not indicate the purpose and without even distinguishing them from the regulated energy expenditure components (such as, for example, dispatching charges). Such a representation of costs is likely to generate a confusing effect on the consumer, who is not placed in a position to distinguish between regulated costs and those set at the seller's discretion, whereas, in reality, these latter items constitute the very basis for the development of a competitive offer among the various operators in the free market. Moreover, the opacity of such information has allowed and resulted, as seen above, in the acquisition of considerable amounts related to the aforementioned additional charges.</w:t>
        <w:br/>
        <w:t>82. Therefore, the indication of the economic supply conditions in the contractual documentation regarding the marketing and sales costs of electricity and gas through the reference to the values (PCV, QVD, CCR, etc.) set in the ARERA resolutions for the protected market, as well as the provision and fragmentation of multiple charges, also inadequately highlighted and explained, did not allow consumers to immediately know the actual amount of the supply cost. Similarly, the failure to indicate the very existence of such charges in commercial communications did not allow consumers to grasp the actual extent of the advantages of the offer.</w:t>
        <w:br/>
        <w:t>83. With the conduct referred to in sub b), the professional had provided for the methods of communication of unilateral changes to the contractual economic conditions, also by means of notice on the bill, rather than with a separate communication. It is noted that the General Conditions of Contract provided for a wide discretion in favor of the professional to communicate any type of unilateral modification even in the bill and not on the occasion of the renewal of the offer.</w:t>
        <w:br/>
        <w:t>84. In fact, the provisions of the General Conditions of Contract related to Bluenergy's offers provided that unilateral changes to the contractual economic conditions could be communicated by the professional also by means of notice on the bill, by email, or communication in the web area, rather than with a separate communication.</w:t>
        <w:br/>
        <w:t>85. Such contractual provision was therefore in contrast with what is prescribed by the Code of Commercial Conduct as confirmed in the opinion issued by ARERA, which observed, among other things, that the professional reserved the right to communicate the new economic conditions of the contract (“therefore in fact a unilateral change falling within the scope of Article 13”) in ways that do not comply with the aforementioned provision.</w:t>
      </w:r>
    </w:p>
    <w:p>
      <w:r>
        <w:t>82 BULLETIN NO. 18 OF MAY 16, 2022</w:t>
        <w:br/>
        <w:t>86. The circumstance whereby consumers were informed of unilateral changes to the contract in forms not suitable to adequately inform them of the increased supply charges further limited their ability to evaluate the new offer conditions and possibly withdraw within the prescribed terms without charges. It should be specifically noted that these are changes that substantially affect the consumer relationship established with the company at the time of signing the supply offer: the customer, therefore, was not placed in a position to be adequately alerted to the potential relevance of the proposed changes (due to the indistinct communication together with the billing data within the bill) precisely regarding those elements (i.e., the economic characteristics) that led him to conclude the contract.</w:t>
        <w:br/>
        <w:t>87. Finally, the presentation, within the promotional material, of the conditions of applicability and the limitations related to bonuses with specific reference to the withdrawal of the same discounts in the event of early withdrawal as per the previous conduct referred to in sub c), is also misleading.</w:t>
        <w:br/>
        <w:t>88. Given the complexity of energy offers, the correct indication of the application methods of a discount or bonus and the limitations underlying the recognition of the same cannot be deferred to other sources, as claimed by the professional. The latter is indeed burdened with the obligation to present the convenience of the offer through connection methods that do not merely emphasize the advantages without specifying the conditions for obtaining the discounts.</w:t>
        <w:br/>
        <w:t>89. The representation of the advantages of a commercial offer in the absence of the conditions of applicability of discounts/bonuses represents a misleading promotional method, as it is likely to alter the perception that the consumer has regarding the actual convenience of the offers promoted by the professional. In particular, in this case, considering that, in the event of early withdrawal, the bonuses already paid were deducted in the adjustment bill, consumers may have been induced to adopt commercial behaviors that they otherwise would not have adopted.</w:t>
        <w:br/>
        <w:t>90. Moreover, ARERA emphasizes that penalties of any kind cannot be applied at the time of withdrawal. In this case, the provision for the deduction of the bonus, although not properly configured as a penalty, being a loyalty-type offer, that is, conditioned on the customer's continued supply for a limited period (12 months), a condition adequately specified in the CTE, was not adequately illustrated in the advertising communications.</w:t>
        <w:br/>
        <w:t>91. In conclusion, with reference to the aforementioned conducts and the mentioned profiles of unfairness, Bluenergy has evaded the diligence imposed by Article 20 of the Consumer Code on companies in the sector, regarding the lacunary methods implemented, in order to adequately and promptly inform its customers about the entirety of the charges, the modifications thereof, and the actual burdens on them following the signing of the supply contract provided by the Professional. The behavior of Bluenergy, considered globally in relation to each of the conducts outlined above, is also in contrast with Articles 21 and 22 of the Consumer Code.</w:t>
      </w:r>
    </w:p>
    <w:p>
      <w:r>
        <w:t>BULLETIN NO. 18 OF MAY 16, 2022 83</w:t>
        <w:br/>
        <w:t>VII. QUANTIFICATION OF THE SANCTION</w:t>
        <w:br/>
        <w:t>92.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93.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94. With regard to the severity of the violation, account is taken, in the case at hand: i) the economic size of the professional; ii) the widespread nature of the commercial practice - likely to harm the rights of all Bluenergy customers and the extent of the economic harm suffered by consumers - as well as iii) the specific harm to consumers measurable by the high amount related to the cost items inadequately highlighted (see par. III.2) and, finally, iv) the behavior of the professional regarding the adoption, during the investigation, of corrective measures for some critical profiles contested in the initiation communication of the proceeding. Furthermore, account is taken of the specificities that characterize the energy sector, in which the purchasing consumer finds himself in a position of inevitable informational asymmetry compared to the professional.</w:t>
        <w:br/>
        <w:t>95. As for the duration of the violation, from the available elements in the records, it appears that the practice in question was carried out by Bluenergy from October 2019 until February 2022, following the adoption of updated versions of the CTE for all marketed offers, in which the charges set by the professional were collected in a single marketing and sales fee (fixed and variable) for the supply of electricity and natural gas, eliminating the previous multiplicity of marketing contributions, the provision regarding communications of unilateral contractual changes was modified, providing that the same would be communicated with a separate note from the bill, and the promotional messages of the offers on the Company's website were accordingly integrated with reference to the commercial conditions and specifying the conditions of usability and the limitations related to the bonuses offered on electricity and gas supplies.</w:t>
        <w:br/>
        <w:t>96. In light of the above, it is deemed appropriate to determine the amount of the administrative pecuniary sanction applicable to Bluenergy Group S.p.A. at the base amount of €2,500,000 (two million five hundred thousand euros), which is reduced to €2,000,000 (two million euros) taking into account the measures adopted during the proceeding, also of a restitutive nature.</w:t>
        <w:br/>
        <w:t>IT IS THEREFORE CONSIDERED, based on the above considerations and taking into account the opinion of the Authority for Guarantees in Communications and in accordance with the opinion of the Regulatory Authority for Energy Networks and Environment, that the commercial practice is unfair pursuant to Articles 20, 21, and 22 of the Consumer Code as it is likely, through misleading presentation or omission of relevant information regarding all the price components of the marketed offers, the improper communication of unilateral economic contractual changes, as well as the failure to indicate the conditions of usability and the limitations of the related bonuses.</w:t>
      </w:r>
    </w:p>
    <w:p>
      <w:r>
        <w:rPr>
          <w:b/>
        </w:rPr>
        <w:t>[Pages 82–84]</w:t>
      </w:r>
    </w:p>
    <w:p>
      <w:r>
        <w:t>84 BULLETIN NO. 18 OF MAY 16, 2022</w:t>
        <w:br/>
        <w:t>with the activation of the professional's services, significantly distorting the economic behavior of the average consumer in relation to the services offered by the same;</w:t>
        <w:br/>
        <w:t>RESOLUTION</w:t>
        <w:br/>
        <w:t>a) that the commercial practice described in point II of this measure, carried out by the company Bluenergy Group S.p.A., constitutes, for the reasons and within the limits set out in the motivation, an unfair commercial practice pursuant to Articles 20, 21, and 22 of the Consumer Code, and prohibits its dissemination and repetition;</w:t>
        <w:br/>
        <w:t>b) to impose on the company Bluenergy Group S.p.A. an administrative pecuniary sanction of €2,000,000 (two million euros).</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br/>
        <w:t>Immediate notification of the payment must be given to the Authority by sending the documentation certifying the payment made.</w:t>
        <w:br/>
        <w:t>This measure will be notified to the interested parties and published in the Bulletin of the Italian Competition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b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t>86 BULLETIN NO. 18 OF MAY 16, 2022</w:t>
        <w:br/>
        <w:t>PS11889 - UBROKER-COMMERCIAL OFFERS</w:t>
        <w:br/>
        <w:t>Measure no. 30137</w:t>
        <w:br/>
        <w:t>THE ITALIAN COMPETITION AUTHORITY</w:t>
        <w:br/>
        <w:t>IN ITS MEETING of April 27, 2022;</w:t>
        <w:br/>
        <w:t>HEARD the Rapporteur Professor Michele Ainis;</w:t>
        <w:br/>
        <w:t>HAVING REGARD to Part II, Title III and Part III, Title III of Legislative Decree of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measures of October 19, 2021, and January 11, 2022, each of which, pursuant to Article 7, paragraph 3, of the Regulation, ordered an extension of the deadline for concluding the procedure, for specific investigative needs;</w:t>
        <w:br/>
        <w:t>HAVING REGARD to its measure of February 22, 2022, with which, acknowledging the request made by the Regulatory Authority for Energy Networks and Environment (ARERA) regarding the issuance of its opinion on the case, a further extension of the deadline for concluding the procedure was ordered;</w:t>
        <w:br/>
        <w:t>HAVING REGARD to the acts of the procedure;</w:t>
        <w:br/>
        <w:t>I. THE PARTIES</w:t>
        <w:br/>
        <w:t>1. Ubroker S.r.l. (hereinafter also "Ubroker" or "the Company"), as a professional, pursuant to Article 18, letter b), of the Consumer Code. The Company is active in the sale of natural gas and electricity to final customers in the free market. According to the latest available accounting document, relating to the financial year 2020, the Company generated revenues of nearly €43 million1.</w:t>
        <w:br/>
        <w:t>2. CO.DI.CI. ONLUS - Center for Citizen Rights, as an intervenor.</w:t>
        <w:br/>
        <w:t>II. COMMERCIAL CONDUCT</w:t>
        <w:br/>
        <w:t>3. The procedure concerns the behaviors carried out by the Professional, since 20192, regarding the commercial offers of energy and gas supply services provided by it in the free market, with reference to:</w:t>
        <w:br/>
        <w:t>a) the omissive nature and the lack of transparency and completeness of the information provided, particularly in the technical-economic supply conditions (“CTE”) and in the promotional material</w:t>
        <w:br/>
        <w:t>1 In particular, the revenues for 2020 amount to €42,969,504, an increase compared to those of the previous year, amounting to €28,399,839 (Source Telemaco-Infocamere).</w:t>
        <w:br/>
        <w:t>2 See response to the request for information made simultaneously with the communication of the initiation of the procedure, provided with the memorandum of August 11, 2021, prot. no. 65697, and related attachments.</w:t>
      </w:r>
    </w:p>
    <w:p>
      <w:r>
        <w:rPr>
          <w:b/>
        </w:rPr>
        <w:t>[Pages 85–87]</w:t>
      </w:r>
    </w:p>
    <w:p>
      <w:r>
        <w:t>BULLETIN NO. 18 OF MAY 16, 2022 87</w:t>
        <w:br/>
        <w:t>available on its website, regarding the existence and quantification of the various components of cost and the price of electricity and gas, such as the price of the energy component, marketing charges, and other charges autonomously determined by the company (such as the components "electric profile management," "gas profile management," "research and development," "dynamic," and "administrative charges") as well as regarding the security deposit;</w:t>
        <w:br/>
        <w:t>b) to the misleading representation of the promised discount system and the opacity and incompleteness of the description of the related recognition and calculation mechanism of the discounts themselves;</w:t>
        <w:br/>
        <w:t>c) to the potential charge to the incoming or transferring customer of past due amounts attributable to the previous account holder of the supply;</w:t>
        <w:br/>
        <w:t>d) to the provision of additional costs for the payment of invoices using methods other than the SEPA DD formula.</w:t>
        <w:br/>
        <w:t>III. THE RESULTS OF THE PROCEEDING</w:t>
        <w:br/>
        <w:t>1) The procedure process</w:t>
        <w:br/>
        <w:t>4. Based on some consumer reports, and the outcome of information acquired for the application of the Consumer Code3 in relation to the aforementioned commercial practices, on July 22, 2021, the initiation of the investigative procedure PS11889 for possible violation of Articles 20, 21, 22, 23, letter p), 24, 25, and 62 of the Consumer Code was communicated to the Professional.</w:t>
        <w:br/>
        <w:t>5. Concurrently with the communication of the initiation of the investigative procedure, the Professional was requested, pursuant to Article 27, paragraphs 3 and 4, of the Consumer Code and Article 12, paragraph 1, of the Regulation, to provide information and related documentation useful for the assessment of the contested behaviors.</w:t>
        <w:br/>
        <w:t>6. On July 27, 2021, Ubroker requested access to the documents of the investigative file, which was granted on the same date4; following a subsequent, similar request received on December 27, 2021, the Company also gained access to the same file on December 30, 20215.</w:t>
        <w:br/>
        <w:t>7. On September 3 and October 28, 2021, the hearing of the representatives of the Professional took place.</w:t>
        <w:br/>
        <w:t>8. On September 2, 2021, the company submitted a proposal for commitments, which was last supplemented on October 5, 2021.</w:t>
        <w:br/>
        <w:t>9. On October 21, 2021, the company was informed of the rejection of the proposal for commitments, as formulated and supplemented by it, decided by the Authority on October 19, 2021.</w:t>
        <w:br/>
        <w:t>10. On October 20, 2021, the company submitted a new proposal for commitments, supplemented on November 2, 2021.</w:t>
        <w:br/>
        <w:t>11. On November 10, 2021, the company was informed of the rejection for inadmissibility of the new proposal for commitments, as formulated and supplemented by it, decided by the Authority on November 9, 2021.</w:t>
        <w:br/>
        <w:t>3 See the minutes of acquisition to the records of July 21, 2021.</w:t>
        <w:br/>
        <w:t>4 Document nos. 61885 and 61928 of July 27, 2021.</w:t>
        <w:br/>
        <w:t>5 Document no. 95612 of December 27, 2021, and document no. 96438 of December 30, 2021.</w:t>
      </w:r>
    </w:p>
    <w:p>
      <w:r>
        <w:t>88 BULLETIN NO. 18 OF MAY 16, 2022</w:t>
        <w:br/>
        <w:t>12. On September 24, 2021, a request for participation in the investigative procedure was received from the consumer association CO.DI.CI. Onlus, the acceptance of which was communicated to the Parties on the following October 5th6.</w:t>
        <w:br/>
        <w:t>13. On August 11, 2021, documented responses to the request for information made at the start were received from Ubroker, accompanied by a defensive memorandum7.</w:t>
        <w:br/>
        <w:t>14. On December 15, 2021, the date of conclusion of the investigative phase was communicated to the Parties pursuant to Article 16, paragraph 1, of the Regulation8.</w:t>
        <w:br/>
        <w:t>15. On January 31, 2022, Ubroker submitted a documented final memorandum9.</w:t>
        <w:br/>
        <w:t>16. On February 1, 2022, opinions were requested pursuant to Article 27, paragraph 1-bis, of the Consumer Code, from the Authority for Communications Guarantees10 (hereinafter also AGCOM) and from ARERA11 - which requested an extension of 45 days for the issuance of its opinion on February 10, 2022 - received respectively on March 3, 202212 and March 30, 202213.</w:t>
        <w:br/>
        <w:t>2) The evidence acquired</w:t>
        <w:br/>
        <w:t>17. From the various elements acquired in the context of the procedure in question – derived from consumer reports14, from the documented responses submitted by Ubroker S.r.l.15, and from official surveys16 – the following emerges.</w:t>
        <w:br/>
        <w:t>a) Methods of representation and dissemination of information regarding the economic supply conditions</w:t>
        <w:br/>
        <w:t>18. The findings concerning the conduct under a) relate to the methods of representation and dissemination of the characteristics and economic supply conditions of electricity/natural gas, within the contractual and promotional documentation, in effect from 2019 until November 19, 2022, with specific regard to the cost items of electricity and gas discretionarily provided and applied to the contractors by the selling Company (which stated that it does not use teleselling for the conclusion of distance contracts17).</w:t>
        <w:br/>
        <w:t>6 Document no. 73604 of September 24, 2021, and documents nos. 76047 and 76049 of October 5, 2021.</w:t>
        <w:br/>
        <w:t>7 Document no. 65697 of August 11, 2021.</w:t>
        <w:br/>
        <w:t>8 Document nos. 93209 and 93211 of December 15, 2021.</w:t>
        <w:br/>
        <w:t>9 Document no. 16270 of January 31, 2022.</w:t>
        <w:br/>
        <w:t>10 Document nos. 16686 and 16687 of February 1, 2022.</w:t>
        <w:br/>
        <w:t>11 Document nos. 16688 and 16689 of February 1, 2022.</w:t>
        <w:br/>
        <w:t>12 Document no. 24292 of March 3, 2022.</w:t>
        <w:br/>
        <w:t>13 Document no. 30871 of March 30, 2022.</w:t>
        <w:br/>
        <w:t>14 See consumer reports no. 77683 of October 20, 2020, no. 82727 of November 6, 2020, no. 88165 of November 6, 2020, no. 88165 of November 26, 2020, no. 19175 of February 8, 2021, and no. 35989 of April 9, 2021, which particularly complain about the presence in the Professional's forms of "charges that do not find correspondence or analogy in the nomenclature used by sector regulations."</w:t>
        <w:br/>
        <w:t>15 Document nos. 65697 of August 11, 2021, and 79024 of October 18, 2021.</w:t>
        <w:br/>
        <w:t>16 See the minutes of acquisition to the records of July 21, 2021, and December 2, 2021, from the websites www.ubroker.it, www.scelgozero.it, and www.zeroacademy.eu.</w:t>
        <w:br/>
        <w:t>17 See the response to the request for information made concurrently with the communication of the initiation of the procedure, provided with the memorandum of August 11, 2021, document no. 65697, page 10.</w:t>
      </w:r>
    </w:p>
    <w:p>
      <w:r>
        <w:t>BULLETIN NO. 18 OF MAY 16, 2022 89</w:t>
        <w:br/>
        <w:t>19. In this regard, based on the investigation conducted, issues emerged such as the failure to indicate the amount of marketing charges for the provision of electricity and gas and the provision of additional charges, such as the components "electric profile management," "gas profile management," "research and development," "dynamic," and "administrative charges," in the face of services whose nature and effectiveness were not further specified.</w:t>
        <w:br/>
        <w:t>i) The indication of the price of the energy component</w:t>
        <w:br/>
        <w:t>20. The Professional promoted its commercial offers on the company website www.ubroker.it through summary sheets18 that, at the time of the contestation of the conduct, expressed solely the price of the energy component without mentioning the existence of the remaining charges determined by the selling company19, as visible in Fig. 1:</w:t>
        <w:br/>
        <w:t>Fig. 1</w:t>
        <w:br/>
        <w:t>21. Furthermore, as can be inferred from the CTE reported in Fig. 2, the price of the energy material for electricity and gas was expressed respectively as "Active Energy Quotation including Dynamic Component on PUN" and "Active Energy Quotation including Dynamic Component on Pfor,t: Pfor,t+0.096 €/Smc," using formulas in which not only the aforementioned "Dynamic Component" was not defined in its nature, but also the fees indexed to the PUN (for</w:t>
        <w:br/>
        <w:t>18 See memorandum of October 18, 2021, document no. 79024, page 6: "however, the web pages of the offers on Ubroker's site have been updated to remove the elements contested at the start. As of today, in fact, Ubroker's site no longer contains any reference to the claims contested at the start, nor to the CTE."</w:t>
        <w:br/>
        <w:t>19 See the minutes of acquisition to the records of July 21, 2021.</w:t>
      </w:r>
    </w:p>
    <w:p>
      <w:r>
        <w:rPr>
          <w:b/>
        </w:rPr>
        <w:t>[Pages 88–90]</w:t>
      </w:r>
    </w:p>
    <w:p>
      <w:r>
        <w:t>90 BULLETIN NO. 18 OF MAY 16, 2022</w:t>
        <w:br/>
        <w:t>the electricity) and to the Pfor (for gas) were not quantified even approximately, except for a mere reference to the websites of ARERA and the Energy Market Manager and some calculation examples based on the data from the last quarter (See Fig. 3):</w:t>
        <w:br/>
        <w:t>Fig. 2</w:t>
        <w:br/>
        <w:t>Fig. 3:</w:t>
      </w:r>
    </w:p>
    <w:p>
      <w:r>
        <w:t>BULLETIN NO. 18 OF MAY 16, 2022 91</w:t>
        <w:br/>
        <w:t>ii) The specific information on marketing charges</w:t>
        <w:br/>
        <w:t>22. Based on the documentation acquired, relating to the period 2020-202120, in the contractual documentation of the commercial offers named Dinamicoluce and Dinamicogas21, marketing charges of unspecified amount were provided, indicated by the acronyms PCV and QVD, respectively for the supply of electricity and natural gas, quantified at a fixed rate, for which the Technical Economic Conditions -CTE- referred to the ARERA resolutions, to which additional marketing charges, quantified at a variable rate, were added (emphasis added).</w:t>
        <w:br/>
        <w:t>23. In this regard, the CTE, valid from January 1, 2021, to December 31, 2021 (See Fig. 3), provided as follows:</w:t>
        <w:br/>
        <w:t>- for electricity, “The component ‘PCV’ will be applied as defined by ARERA with resolution 156/07 and its amendments, in any case it will never be less than the value for the year 2016. The component ‘marketing charges’ has a fixed value of 0.02338 €/kWh and will be applied to the total withdrawals including network losses” (emphasis added);</w:t>
        <w:br/>
        <w:t>- for gas, “The marketing component QVD divided into fixed and variable quota is defined by ARERA with resolution 64/09 and its amendments, in any case it will never be less than the value for the year 2016. The CPR component is formulated as defined by ARERA with resolution 64/09 and its amendments. (…). The component ‘marketing charges’ has a fixed and unchanging value of 0.0651 €/smc and will be applied to the total withdrawals” (emphasis added).</w:t>
        <w:br/>
        <w:t>iii) The information on other charges autonomously determined and applied by the Company</w:t>
        <w:br/>
        <w:t>24. In addition to the sales services, the aforementioned CTE of the cited commercial offers provided for a series of additional charges, lacking a description of the corresponding underlying services, such as, for example, the components “electric profile management,” “gas profile management,” “research and development,” and “dynamic,” the amount of which was expressed through a fixed value to be applied to the total withdrawals (of kWh or smc respectively for electricity and gas); for both sectors, further “administrative charges” were also due (emphasis added).</w:t>
        <w:br/>
        <w:t>Moreover, the aforementioned charges, the amount of which was autonomously determined by the Company, were indicated in the CTE without distinctions compared to the so-called passing charges (network services, system charges), the values of which are subject to regulation by ARERA (Fig. 4):</w:t>
        <w:br/>
        <w:t>20 The contractual documentation relating to such offers, contained in a single document composed of supply request and various annexes (CGF, CTE valid from January 1, 2021, to December 31, 2021, unless extended, comparability sheets, memoranda of friends presented to receive the discounts provided by the “Scelgozero” program, and withdrawal form), was acquired into the records of the file with the acquisition report of July 21, 2021.</w:t>
        <w:br/>
        <w:t>21 See version acquired on July 21, 2021.</w:t>
      </w:r>
    </w:p>
    <w:p>
      <w:r>
        <w:t>92 BULLETIN NO. 18 OF MAY 16, 2022</w:t>
        <w:br/>
        <w:t>Fig. 4</w:t>
        <w:br/>
        <w:t>25. Based on the elements acquired following the request for information22, it appears that the Company charged users the aforementioned charges, in the period from 2019 to the end of the first half of 2021, for the following amounts*:</w:t>
        <w:br/>
        <w:t>Table 1 – Revenues from marketing and sales services – Electricity (2019-2020-2021)</w:t>
        <w:br/>
        <w:t>Domestic Customers 2019 2020 2021</w:t>
        <w:br/>
        <w:t>PCV [1,000,000-1,500,000] [1,500,000-2,000,000] [1,500,000-2,000,000]</w:t>
        <w:br/>
        <w:t>Marketing Charges</w:t>
        <w:br/>
        <w:t>[400,000-500,000] [2,000,000-2,500,000] [1,500,000-2,000,000]</w:t>
        <w:br/>
        <w:t>Research and</w:t>
        <w:br/>
        <w:t>[300,000-400,000] [1,500,000-2,000,000] [1,000,000-1,500,000]</w:t>
        <w:br/>
        <w:t>Development Component</w:t>
        <w:br/>
        <w:t>Dynamic Component [500,000-600,000] [800,000-900,000] [600,000-700,000]</w:t>
        <w:br/>
        <w:t>Electric Profile</w:t>
        <w:br/>
        <w:t>[600,000-700,000] [3,000,000-3,500,000] [2,500,000-3,000,000]</w:t>
        <w:br/>
        <w:t>Management Component</w:t>
        <w:br/>
        <w:t>Administrative Charges [800,000-900,000] [1,500,000-2,000,000] [1,000,000-1,500,000]</w:t>
        <w:br/>
        <w:t>Total Electricity [3,500,000-4,000,000] [12,000,000-12,500,000] [9,500,000-10,000,000]</w:t>
        <w:br/>
        <w:t>22 See response to the request for information made concurrently with the communication of the initiation of the proceeding, provided with the memorandum of August 11, 2021, prot. no. 65697.</w:t>
        <w:br/>
        <w:t>* In this version, some data are omitted, as elements of confidentiality or secrecy of the information were deemed to exist.</w:t>
      </w:r>
    </w:p>
    <w:p>
      <w:r>
        <w:rPr>
          <w:b/>
        </w:rPr>
        <w:t>[Pages 91–93]</w:t>
      </w:r>
    </w:p>
    <w:p>
      <w:r>
        <w:t>BULLETIN NO. 18 OF MAY 16, 2022 93</w:t>
        <w:br/>
        <w:t>Table 2 – Revenues from marketing and sales services – Gas (2019-2020-2021)</w:t>
        <w:br/>
        <w:t>Domestic Customers 2019 2020 2021</w:t>
        <w:br/>
        <w:t>Fixed QVD [400,000-500,000] [900,000-1,000,000] [800,000-900,000]</w:t>
        <w:br/>
        <w:t>Variable QVD [50,000-100,000] [100,000-150,000] [100,000-150,000]</w:t>
        <w:br/>
        <w:t>Marketing charges [140,000-150,000] [900,000-1,000,000] [1,000,000-1,500,000]</w:t>
        <w:br/>
        <w:t>Research and</w:t>
        <w:br/>
        <w:t>[30,000-40,000] [200,000-300,000] [200,000-300,000]</w:t>
        <w:br/>
        <w:t>development component</w:t>
        <w:br/>
        <w:t>Dynamic component [700,000-800,000] [1,000,000-1,500,000] [1,500,000-2,000,000]</w:t>
        <w:br/>
        <w:t>Gas profile management</w:t>
        <w:br/>
        <w:t>[200,000-300,000] [1,500,000-2,000,000] [2,000,000-2,500,000]</w:t>
        <w:br/>
        <w:t>Administrative charges [400,000-500,000] [900,000-1,000,000] [800,000-900,000]</w:t>
        <w:br/>
        <w:t>Total gas [2,000,000-2,500,000] [6,500,000-8,000,000] [7,000,000-7,500,000]</w:t>
        <w:br/>
        <w:t>26. At the request of the Offices, Ubroker submitted a reconciliation statement between the aforementioned charges and the costs related to them23, from which "unallocated costs" emerged, also within the time frame from 2019 to the end of the first half of 2021, totaling [4,000,000-5,000,000] euros for electricity and [2,000,000-2,500,000] euros for gas.</w:t>
        <w:br/>
        <w:t>27. Furthermore, the indication of the amount of the security deposit was absent in the original formulation of Article 2.1 of the General Supply Conditions - CGF - according to which "If at the time of the request for switching to the Distributor for the POD and/or the PdR of the Customer, a condition of default emerges for the latter, the Reseller reserves the right not to accept requests for the supply of Electricity and/or Natural Gas or to condition acceptance on the provision by the Customer of a guarantee or security deposit covering two months of electricity supply (emphasis added), within 5 (five) days from the Reseller's request," without specifying the amount corresponding to the coverage of the aforementioned two months of electricity supply.</w:t>
        <w:br/>
        <w:t>b) Methods of representation and dissemination of information regarding the discount system</w:t>
        <w:br/>
        <w:t>28. The conduct under b) concerns the methods of representation of a particular discount system, focused on the alleged possibility of zeroing the amount of invoices through joining a network and recruiting other consumers (Fig. 5). Alongside the aforementioned mechanism, the Professional provided, both in the CTE and on the website, various types of "Monthly Discounts," called "Volume Discount," "Group Purchase Discount," and "Energy Value Compensation," for which thresholds and discount percentages were indicated without further clarifications regarding the conditions of applicability, including in terms of duration and cumulation of the same.</w:t>
        <w:br/>
        <w:t>23 See communication of October 11, 2021, prot. no. 77301.</w:t>
      </w:r>
    </w:p>
    <w:p>
      <w:r>
        <w:t>94 BULLETIN NO. 18 OF MAY 16, 2022</w:t>
        <w:br/>
        <w:t>Fig. 5</w:t>
        <w:br/>
        <w:t>29. In particular, the promotional messages were based on the use of impactful graphics and suggestive claims: for example, the webpage https://scelgozero.it/ opened, as seen in the following figure Fig. 6, with a claim promising to zero out invoices "forever"24:</w:t>
        <w:br/>
        <w:t>Fig. 6</w:t>
        <w:br/>
        <w:t>30. Within the promotional messages available on the webpage https://www.zeroacademy.eu/, the possibility of zeroing the invoice amount was emphasized, inviting consumers to join the network created by Ubroker, without specifying the methods, constraints, and conditions underlying the attainment of the promised benefits, namely the zeroing of invoice amounts and any earnings derived from carrying out unspecified activities, except for outlining a series of mechanisms (such as recruiting new customers and sustaining entry fees related to the purchase of subscriptions to a platform where multimedia materials were made available and scheduled webinars could be followed)25.</w:t>
        <w:br/>
        <w:t>31. From the analysis of the contractual material, the CTE subject to analysis at the time of the contestation of the conduct were overshadowed by the claim "Monthly Discounts, up to the zeroing of invoices!" and included, in addition to the Volume Discount, the Group Purchase Discount, and the Energy Value Compensation discount, the further "Zero Discount" Invite your friends, for which there was an invitation to consult the "ZERO Regulation," available on the website https://io.scelgozero.it/ only upon registration as a customer, and whose reminder stated the claim "Contact at least 10 friends and start zeroing your invoices forever" (emphasis added)26, as can be seen from the following Fig. 7:</w:t>
        <w:br/>
        <w:t>Fig. 7</w:t>
        <w:br/>
        <w:t>32. Furthermore, the CTE acquired on July 21, 2021, included the comparability sheet between the estimated annual expenditure of the greater protection/gas protection service and the estimated annual expenditure of the seller's contractual offer, where the latter was found to include potential discounts, as per the aforementioned "ZERO Regulation," not accessible to non (yet) customers, although such discounts were not automatically granted to customers by the Professional.</w:t>
        <w:br/>
        <w:t>33. The types of discount "Volume Discount," "Group Purchase Discount," and "Zero Discount" Invite your friends (with the related "ZERO Regulation") were and are still included on the website https://scelgozero.it/, accompanied by a brief description and an invitation to contact the Company for further information (by clicking on the "learn more" icon) regarding the conditions of applicability of the same discounts, including in terms of duration and cumulation of the same. The claims currently promoting the "Zero Discount" are: "Scelgozero is the first network that allows you to accumulate discounts up to the possible zeroing of your invoices" and "since 2015 over 20,000 invoices zeroed" (emphasis added), as reported in Fig. 827:</w:t>
        <w:br/>
        <w:t>25 See acquisition report of July 21, 2021.</w:t>
        <w:br/>
        <w:t>26 See acquisition report of July 21, 2021.</w:t>
        <w:br/>
        <w:t>27 See acquisition report of December 2, 2021.</w:t>
      </w:r>
    </w:p>
    <w:p>
      <w:r>
        <w:rPr>
          <w:b/>
        </w:rPr>
        <w:t>[Pages 94–96]</w:t>
      </w:r>
    </w:p>
    <w:p>
      <w:r>
        <w:t>96 BULLETIN NO. 18 OF MAY 16, 2022</w:t>
        <w:br/>
        <w:t>Fig. 8</w:t>
      </w:r>
    </w:p>
    <w:p>
      <w:r>
        <w:t>BULLETIN NO. 18 OF MAY 16, 2022 97</w:t>
        <w:br/>
        <w:t>34. In relation to the discounts actually granted and the possible zeroing of invoice amounts, the Company has produced a summary statement of the overall discount percentages granted and one relating to the number of invoices with zero amounts28, for each month from January 2019 to July 2021, from which it appears that the percentage of invoices actually discounted is on average 40% of the total invoices issued in the period considered, and the predominant discount percentage falls within the range of 1% to 20%, while the invoices actually zeroed out (a few hundred per month) rarely exceed 1% of the total invoices issued monthly and concern only the clients who perform in favor of the company activities of customer acquisition.</w:t>
        <w:br/>
        <w:t>c) Joint liability of the customer/transferor for past due amounts</w:t>
        <w:br/>
        <w:t>35. Regarding the objection under c), concerning the provision for possible joint liability of the transferring/substituting customer for past due amounts attributable to the previous holder of the supply contract, of which the transferring/substituting customer was found to be unrelated, reference is made to the original wording of Article 12 of the General Terms and Conditions (CGF): “It is understood that the assignee of the Contract (the one who has taken over from the Customer) shall in any case be jointly liable with the assignor towards the Seller in relation to all obligations arising or otherwise matured prior to the moment of such assignment, even if not yet invoiced by the Seller to the Customer” (emphasis added).</w:t>
        <w:br/>
        <w:t>36. According to the provisions of the CGF, therefore, the Professional provided for the new transferring/substituting customer to pay past due amounts, which were not due by them, as they were attributable to the previous holder of the supply.</w:t>
        <w:br/>
        <w:t>d) Charges related to the payment of invoices by means other than the SEPA DD formula</w:t>
        <w:br/>
        <w:t>37. With regard to the objection under d), relating to the provision of additional costs for the payment of invoices by means other than the SEPA DD formula, the original wording of Article 6 of the CGF stated that customers opting for payment instruments alternative to the direct debit would incur non-preventable costs, providing that “Any different payment methods compared to the SEPA DD formula, even if authorized in writing by the Seller, will have an additional cost to be assessed on a case-by-case basis, if provided for by the specific regulation of the Bank of Italy,” without indicating the amount of such additional cost (emphasis added).</w:t>
        <w:br/>
        <w:t>3) The Professional's defensive arguments</w:t>
        <w:br/>
        <w:t>38. The Professional presented defensive observations during the investigation29 responding to some reports and contesting various remarks, with the recurring clarification that some of the "violations" contested in this proceeding would have only "formal" nature (if not merely oversight), as they relate to clauses that, although actually present in the contractual documentation, would however never have been, in practice, applied to the users.</w:t>
        <w:br/>
        <w:t>39. Such defensive observations are summarized below:</w:t>
        <w:br/>
        <w:t>28 Respectively annexes 7 and 8 to the response to the request for information made concurrently with the communication of the initiation of the proceeding, made with the memorandum of August 11, 2021, prot. no. 65697.</w:t>
        <w:br/>
        <w:t>29 See memoranda of August 11, 2021, prot. no. 65697, of October 18, 2021, prot. no. 79024, and of January 31, 2022, prot. no. 16270.</w:t>
      </w:r>
    </w:p>
    <w:p>
      <w:r>
        <w:t>98 BULLETIN NO. 18 OF MAY 16, 2022</w:t>
        <w:br/>
        <w:t>a) Information regarding the various cost components of supplies and the security deposit</w:t>
        <w:br/>
        <w:t>40. The Professional pointed out that the choice to indicate the amount of "marketing charges" through reference to the ARERA Resolutions – in the absence of a separate indication of the amount of the cost item and the presence of another item in the Professional's CTE also called "marketing charges" – would be a solution in line with the practice widely used by operators in the energy sector, “given the freedom granted in this regard by the regulation to operators active in the free market”; moreover, this method of configuring the aforementioned charges would in any case be considered ceased as of November 19, 2021, following the changes made to the CTE30.</w:t>
        <w:br/>
        <w:t>41. The other charges set at the discretion of the Professional (“electricity/gas profile management,” “research and development,” “dynamic,” and “administrative charges”) would be fully justified as they are “cost components aimed at remunerating actual services performed by the Professional and related to the business model adopted by the same” and specifically31:</w:t>
        <w:br/>
        <w:t>a) the fee for “electricity/gas profile management” would concern the coverage of costs related to back-office activities necessary for the activation and continuity of the supply service subject to the contract32;</w:t>
        <w:br/>
        <w:t>b) the cost item “research and development” would be “related to covering the costs of ICT research and development and the costs incurred for external services,” as these costs are necessary to develop and support the Company's business model. Ubroker claims to have within its operational headquarters a dedicated ICT function for research and development, composed of ten people with specific skills, who “are responsible for designing, developing, and testing the software platform that represents the operational heart of the Company's operations as it is the technological infrastructure that primarily enables contract management, the calculation of discounts applied to customers, and customer care”;</w:t>
        <w:br/>
        <w:t>c) the cost item called “dynamic component” would pertain to Ubroker's business model according to which the offers would be characterized by an energy price composed of the wholesale cost plus a remuneration for the related activity performed by the Company (namely the “dynamic component”)33;</w:t>
        <w:br/>
        <w:t>30 See memorandum of January 31, 2022, prot. no. 16270, p. 2 et seq.</w:t>
        <w:br/>
        <w:t>31 See memorandum of January 31, 2022, prot. no. 16270, pp. 2-5.</w:t>
        <w:br/>
        <w:t>32 The related costs can be summarized as follows:</w:t>
        <w:br/>
        <w:t>- “the costs incurred for personnel assigned to the BackOffice function who perform validation of the contractual data preliminarily entered by sales staff; entry of the same into the billing ERP and subsequent updates (updating of records for changes communicated by the customer, entry of readings received from both customers and the Local Distributor, as well as from the Dispatching User); assistance to the end customer for managing complaints and information requests (both in writing and via call center); management of individual contracts for all activities related to activation and subsequent billing; management of any services related to the provision of the service (requests for transfer, disconnections, terminations, reactivations, power changes, etc.)”;</w:t>
        <w:br/>
        <w:t>- “the costs incurred for external services related to preliminary activities concerning the management of supply requests from new customers, and the costs incurred for providing outsourced BackOffice services”;</w:t>
        <w:br/>
        <w:t>- “the software management costs related to the periodic fees for using external ERP software (mainly used for managing customer records, managing reporting, and billing), to specific assistance interventions required in the software area, and to the amortization of capitalized software.”</w:t>
        <w:br/>
        <w:t>33 The Professional further specifies that “Ubroker purchases the raw material from its Dispatching Users (UDD), who apply: (i) the cost of the raw material indexed to the PUN (for electricity) and to the Pfor,t (for natural gas); and (ii) an additional variable cost component on the quantities purchased (of electricity and gas) and a</w:t>
      </w:r>
    </w:p>
    <w:p>
      <w:r>
        <w:rPr>
          <w:b/>
        </w:rPr>
        <w:t>[Pages 97–99]</w:t>
      </w:r>
    </w:p>
    <w:p>
      <w:r>
        <w:t>BULLETIN NO. 18 OF MAY 16, 2022 99</w:t>
        <w:br/>
        <w:t>d) In the item "administrative charges," all administrative costs not included in the other cost items would converge, such as costs for internal resources, which "concern, among others, the administrative activities related to the accounting of issued invoices and the subsequent management of credit and collections (Ubroker has within its operational headquarters an administration function, composed of thirteen people)."</w:t>
        <w:br/>
        <w:t>42. The alleged justification of the cost items corresponding to the aforementioned charges and components would result in the absence of aggressive profiles in the forecasting and billing of the same, as they are applied to cover and/or compensate for costs actually incurred, including "unallocated costs" (provided in the aforementioned accounting reconciliation statement between the aforementioned charges and the costs related to them)34: these would be "common costs (such as income taxes, provisions, insurance, consulting fees, insurance, and notary fees, etc.) that within the Reconciliation Statement the Company has decided not to allocate with reference to specific activities given the fact that they pertain to the entire operation of the Company." The Professional further emphasizes that the total amount of the various charges billed would prove nothing regarding the arbitrary and undue nature of the forecasting of the various cost items.</w:t>
        <w:br/>
        <w:t>43. Furthermore, Ubroker complains about the rejection of the proposed commitments, initially for inadequacy, and then for inadmissibility following the late resubmission of the same, citing the alleged disparity of treatment compared to other operators in the sector35.</w:t>
        <w:br/>
        <w:t>44. Moreover, the omission of the amount of the security deposit would not constitute a violation, as it has never been requested from any customer by the Company, which has promptly removed from its general supply conditions any reference to it. In the event of verification, therefore, such a violation should be considered of absolutely marginal significance as it concerns an erroneous wording within the contract that has never been implemented, and certainly ceased as a result of the amendment to the CTE36.</w:t>
        <w:br/>
        <w:t>b) The discount system</w:t>
        <w:br/>
        <w:t>45. Ubroker represents that it has committed from the outset, following the initiation of the proceeding, to clearly describe, in the CTE and in all promotional communications regarding its offers, the directly applicable discounts (i.e., "Volume Discount," "Group Purchase Discount," and "Energy Value Compensation Discount") that can be combined with each other, and believes that the new CTE clearly and completely specify the amount of discounts, calculation methods, and applicability conditions, noting that it has eliminated all comparability sheets related to the "Ubroker DynamicLuce and DynamicGas Offer with discounts provided by Regulation Zero."</w:t>
        <w:br/>
        <w:t>46. Therefore, it considers unjustified the remark that the description of the discount system presents elements of ambiguity and lack of transparency, noting that, in any case, even this practice would be a fixed additional component based on the number of delivery points (only for gas), so-called "passive spread." Given this cost structure related to activities in the wholesale market, the Company has chosen to formulate its offers by applying to the final customer, in addition to the cost of the raw material (defined by the indices used for wholesale purchasing), an additional item (i.e., "spread") that allows the Company to cover the aforementioned additional cost component called "passive spread" and generate margins to remunerate its activities in the free market.</w:t>
        <w:br/>
        <w:t>34 See communication of October 11, 2021, prot. no. 77301.</w:t>
        <w:br/>
        <w:t>35 See memorandum of January 31, 2022, prot. no. 16270, pp. 7-10.</w:t>
        <w:br/>
        <w:t>36 See memorandum of January 31, 2022, prot. no. 16270, p. 11.</w:t>
      </w:r>
    </w:p>
    <w:p>
      <w:r>
        <w:t>100 BULLETIN NO. 18 OF MAY 16, 2022</w:t>
        <w:br/>
        <w:t>would have ceased as of November 19, 2021, following the changes made during the proceeding37.</w:t>
        <w:br/>
        <w:t>c) The provision of joint liability of the transferor for past debts</w:t>
        <w:br/>
        <w:t>47. The provision of the CGF relating to the forecast of joint liability of the transferring/substituting customer for past debts, to which they are unrelated, attributable to the previous holder of the supply, would, according to the Professional, be the result of a typographical error and would never have been applied: consequently, the contested conduct would not constitute an aggressive commercial practice, as it would not have caused any undue conditioning of consumers38.</w:t>
        <w:br/>
        <w:t>d) The application of additional charges for payment with instruments other than the SEPA DD formula</w:t>
        <w:br/>
        <w:t>48. The provision relating to the application of additional charges in the event that the customer requested to make payment of invoices with instruments other than the SEPA DD formula would also be the result of a mere typographical error present in the Professional's CGF. The Company would never have requested any additional charge from consumers in relation to payment methods. The practice, therefore, should be considered completely nonexistent (and not only ceased following the amendment made to the CGF), as allegedly inadequate to constitute an aggressive practice or a violation of Article 62 of the Consumer Code39.</w:t>
        <w:br/>
        <w:t>4) The changes made by the Professional during the investigation to the contested conduct</w:t>
        <w:br/>
        <w:t>49. During the investigation, Ubroker voluntarily introduced some changes40 regarding the contested conduct in the communication initiating the proceeding, which are indicated below.</w:t>
        <w:br/>
        <w:t>50. The Professional has modified the contractual documentation (CTE and CGF available also on its website), with validity starting from November 19, 202141, in which (both for electricity and gas):</w:t>
        <w:br/>
        <w:t>- it has grouped, in the CTE, some price components into the following items: "Dynamic Component," "Free Market Commercialization Costs – Variable Quota," and "Free Market Commercialization Costs – Fixed Quota," describing them both in textual format and in a dedicated table and quantifying their amount, respectively in a variable measure based on consumption and in a fixed annual measure;</w:t>
        <w:br/>
        <w:t>- it has included, in the CTE, a brief description of the discounts called "Volume Discount," "Group Purchase Discount," and "Energy Value Compensation," eliminating from this document references to the possibility of zeroing invoices as well as to "Zero Discount";</w:t>
        <w:br/>
        <w:t>- it has included, in the CTE and in the Comparability Sheets, present in the contractual package, a detailed table that summarizes in percentage terms the expenditure for the bill for a typical customer,</w:t>
        <w:br/>
        <w:t>37 See memorandum of January 31, 2022, prot. no. 16270, pp. 11-13.</w:t>
        <w:br/>
        <w:t>38 See memorandum of January 31, 2022, prot. no. 16270, p. 14.</w:t>
        <w:br/>
        <w:t>39 See memorandum of January 31, 2022, prot. no. 16270, p. 13 et seq.</w:t>
        <w:br/>
        <w:t>40 See memoranda of October 18, 2021, prot. no. 79024 and January 31, 2022, prot. no. 16270.</w:t>
        <w:br/>
        <w:t>41 See also the minutes of acquisition of documents of December 2, 2021.</w:t>
      </w:r>
    </w:p>
    <w:p>
      <w:r>
        <w:t>BULLETIN NO. 18 OF MAY 16, 2022 101</w:t>
        <w:br/>
        <w:t>reporting the percentage weight of each cost component for the expenditure for the raw material energy and gas, excluding discounts from the aforementioned Comparability Sheets;</w:t>
        <w:br/>
        <w:t>- it has removed from the CGF the provisions relating to the security deposit and the possibility of charging costs in relation to the payment instrument used (inserting the explicit clarification that such a possibility is in any case excluded) and has introduced, in the relevant Article 12, the principle of non-liability of the transferor for past debts attributable to the previous holder of the supply to which they are unrelated;</w:t>
        <w:br/>
        <w:t>- with reference to promotional material, on the company's website page (www.ubroker.it), the Professional: i) has included exclusively commercial-type claims, which do not include any cost or discount items, except to describe the offer in general terms; ii) has enriched the two explanatory sections of the indices (PUN and Pfor) used as a reference for the calculation of raw materials (electricity and gas), which consumers can access directly from the homepage of the site; iii) has confined promotional information regarding discounts, and in particular the "Zero Discount," to the website www.scelgozero.it, to which the promotional material of the website www.ubroker.it related to the offers makes a general reference through the claim "Discover how to obtain further discounts on scelgozero.it";</w:t>
        <w:br/>
        <w:t>- it has recognized to the entire customer base (households and micro-enterprises) with an active supply contract as of February 2022 and who had subscribed since 2019 to a Dynamic Luce or Dynamic Gas offer, a one-time bonus of 2 euros42.</w:t>
        <w:br/>
        <w:t>IV. OPINION OF THE AUTHORITY FOR GUARANTEES IN COMMUNICATIONS</w:t>
        <w:br/>
        <w:t>51. Since the conduct subject to this provision has also been carried out via the Internet, on April 22, 2021, the opinion was requested from the Authority for Guarantees in Communications, pursuant to Article 27, paragraph 6, of the Consumer Code43.</w:t>
        <w:br/>
        <w:t>52. With communication received on March 3, 202244, the aforementioned Authority expressed the requested opinion, limiting its evaluations to the suitability of the specific means of communication used to disseminate the commercial practices to impact and amplify any misleading and/or unfairness of the same practice and, at the same time, highlighting the considerable relevance of the issue of tariff transparency, both in the phase of advertising on websites and in contractual terms, and the protection of the right of withdrawal of customers following unilateral changes to contractual conditions.</w:t>
        <w:br/>
        <w:t>After noting, in general, the progressive increase in the daily use of the internet among the Italian population also for the purchase of goods and services, the Authority for Guarantees in Communications considered that such means of communication, used by Ubroker in offering its services to customers, "are suitable to develop a significant impact on consumers who, based on the information read on the Professional's site, could be influenced."</w:t>
      </w:r>
    </w:p>
    <w:p>
      <w:r>
        <w:rPr>
          <w:b/>
        </w:rPr>
        <w:t>[Pages 100–102]</w:t>
      </w:r>
    </w:p>
    <w:p>
      <w:r>
        <w:t>102 BULLETIN NO. 18 OF MAY 16, 2022</w:t>
        <w:br/>
        <w:t>induced to make a commercial decision that they otherwise would not have made, thus developing, in concrete terms, the full promotional potential of the aforementioned communications.”</w:t>
        <w:br/>
        <w:t>53. Therefore, the Authority has deemed that, “based on the documentation in the records, in this case, the Internet is a suitable tool to significantly influence the realization” of the commercial practices subject to the opinion.</w:t>
        <w:br/>
        <w:t>V. OPINION OF THE REGULATORY AUTHORITY FOR ENERGY NETWORKS AND ENVIRONMENT</w:t>
        <w:br/>
        <w:t>54. Since the conduct subject to this measure concerns the energy sector, on February 1, 2022, the opinion was requested from the Regulatory Authority for Energy, Networks and Environment, pursuant to and for the effects of Article 27, paragraph 1-bis, of the Consumer Code, introduced by Article 1, paragraph 6, letter a), of Legislative Decree no. 21/201445.</w:t>
        <w:br/>
        <w:t>55. With communication received on March 30, 202246, the aforementioned Authority expressed its opinion, providing the considerations summarized below.</w:t>
        <w:br/>
        <w:t>56. ARERA stated that the commercial practices contested against Ubroker involve issues relevant from a regulatory perspective47 and that, in analyzing them, the evaluations expressed in the opinion do not address the possible violation of the Consumer Code but pertain exclusively to any profiles of non-compliance with the regulatory provisions deemed most significant also due to the sector specificity. Furthermore, regarding the provision in the previous CGF of a possible joint liability of the customer transferring/substituting for past debts attributable to the previous holder of the supply contract, the Regulatory Authority “reminds of the general principle according to which any debts of the pre-existing customer cannot be charged by the seller to the customer requesting the transfer or substitution.”</w:t>
        <w:br/>
        <w:t>57. ARERA then specified that “For the purposes of evaluating the conduct carried out by the Professional during the period subject to the proceeding (from 2019 until the end of 2021), the provisions contained in both the text of the Commercial Conduct Code referred to in Annex A to resolution 366/2018/R/COM in force until June 30, 2021, and in the text of the Commercial Conduct Code in force from July 1, 2021, as amended and supplemented by resolutions 426/2020/R/COM and 97/2021/R/COM, are relevant.” This refers to the Commercial Conduct Code for the sale of electricity and natural gas to final customers” – as per Annex A to Resolution June 28, 2018, 366/2018/R/COM – aimed at protecting all final customers (including small non-domestic ones) during the promotion, offering, and signing of electricity and/or natural gas supply contracts in the free market and preventing harmful conduct by sellers by imposing specific obligations of information and transparency towards the contractors/users. This Resolution was amended by the subsequent resolution 426/2020/R/COM of October 27, 2020, whose provisions came into force from July 1, 2021 (except for the innovations regarding unilateral changes and automatic evolutions referred to in Articles 13 and 14, which are effective from October 1, 2021, as provided by resolution 9 March 2021, 97/2021/R/COM).</w:t>
        <w:br/>
        <w:t>The Commercial Conduct Code</w:t>
        <w:br/>
        <w:t>58. With regard to the relevant sector regulation, ARERA extensively referred to the provisions of the “Commercial Conduct Code for the sale of electricity and natural gas to final customers”48, which represents a sector-specific specification of the general legislation on consumer protection, adopted with the general objective of preventing harmful conduct towards final customers (including small non-domestic customers) when they receive offers for the conclusion of electricity and/or natural gas supply contracts in the free market.</w:t>
        <w:br/>
        <w:t>59. The obligations on sellers concern the pre-contractual phase and specific aspects of the contractual phase, within the relationship that occurs between the parties following the signing of the contract. The Commercial Conduct Code, the main provisions of which are summarized below, requires sellers to provide information regarding their contractual offers in a transparent, complete, and non-discriminatory manner and to take all reasonable measures to meet the information and assistance needs of customers in evaluating such offers49.</w:t>
        <w:br/>
        <w:t>The new text (in force from July 1, 2021)</w:t>
        <w:br/>
        <w:t>60. The new text of the Commercial Conduct Code introduces, starting from July 1, 2021, a revision of the criteria for communicating supply prices, as per Article 5, requiring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due are indicated exclusively in €/POD/year or €/PdR/year, those in proportion to the contracted power exclusively in €/kW while those for any withdrawals of reactive energy exclusively in €/kvarh.</w:t>
        <w:br/>
        <w:t>61. Also in Article 5, it is specified that the amounts cannot have the same name as the unit amounts, components, or elements defined by the Authority except in cases where the values of the aforementioned amounts are set equal to those currently defined by the Authority itself.</w:t>
        <w:br/>
        <w:t>62. Furthermore, from July 1, 2021, the seller fulfills the preliminary information obligations prior to signing the contract, providing the final customer, at the time of the proposal and in any case before the conclusion of the supply contract, with the Summary Sheet (as per Annex 4 to the new text)50.</w:t>
        <w:br/>
        <w:t>Considerations regarding the conduct contested against the Professional</w:t>
        <w:br/>
        <w:t>63. With specific reference to the case at hand, ARERA stated that, in general, “the provisions of the Commercial Conduct Code, both with reference to the text in force until June 30, 2021 and with reference to the text in force from July 1, 2021, since the unfair commercial practice identified falls within the period 2019-2021, appear to have been disregarded by the Professional, in all cases where Ubroker has provided, both in the pre-contractual phase and in the contractual phase, the application to the customer of amounts not previously communicated and determined according to the criteria outlined above. In this regard, it is indeed necessary that the expenses and amounts related to the charges billed to final customers have found specific and adequate confirmation within the promotional material and in the contractual documentation.”</w:t>
        <w:br/>
        <w:t>64. Specifically, the provisions of the Commercial Conduct Code appear to have been disregarded by the Professional where:</w:t>
        <w:br/>
        <w:t>- the illustration of certain amounts in the contractual documentation, regarding the amount, methods, and application constraints, is fragmented and lacks transparency; by way of example, the Regulatory Authority highlights that i) the PCV amount for the electricity offer and the QVD amount for the natural gas offer are not indicated in their unit value, as required by regulation, in fact the Professional merely refers to what is established by the resolutions adopted by ARERA for the definition of their amount; ii) the values of the PCV and QVD amounts do not seem to be set in line with those currently defined by ARERA, as, according to the CTE, they will “never be less than the value for the year 2016”; iii) the amount related to “administrative charges” is indicated exclusively in €/month, and not also in €/year; iv) “regarding the amounts subject to indexing (indexed to the PUN for electricity and to the Pfor,t for natural gas), the Professional does not indicate the maximum unit value reached in the last twelve months nor the period during which this maximum value was applied, limiting itself to indicating the value for three months without further specifications”;</w:t>
        <w:br/>
        <w:t>- the description in the contractual documentation of a discount system is incomplete and lacks transparency regarding the actual extent of the applicable discounts and the methods of recognition thereof; by way of example, regarding the “Volume Discount,” referred not to the final price but to one of its components (the energy quota), the Professional does not clearly indicate the average percentage impact of the discount on the final price net of taxes, while, regarding the “Zero Discount,” it does not specify the amount of the discount provided within the box “Description of the discount and/or bonus” in the Comparability Sheet;</w:t>
        <w:br/>
        <w:t>- the indication of the amount of the security deposit required as a guarantee from the final customer is omitted in the contractual documentation.</w:t>
        <w:br/>
        <w:t>50 The Summary Sheet, in place of the Information Note, is a new tool that summarizes all the information obligations, on the seller, related to the offer, in a standardized and understandable format for the final customer, to be delivered to all customers supplied at low voltage and/or with total natural gas consumption not exceeding 200,000 Smc/year.</w:t>
      </w:r>
    </w:p>
    <w:p>
      <w:r>
        <w:rPr>
          <w:b/>
        </w:rPr>
        <w:t>[Pages 103–105]</w:t>
      </w:r>
    </w:p>
    <w:p>
      <w:r>
        <w:t>BULLETIN NO. 18 OF MAY 16, 2022 105</w:t>
        <w:br/>
        <w:t>VI. CONCLUDING ASSESSMENTS</w:t>
        <w:br/>
        <w:t>65. The proceeding in question concerns the conduct indicated in paragraph II, carried out by Ubroker, since 2019, in relation to certain profiles of misleadingness and omission regarding the economic conditions of supply and the discount system, both in the context of contractual and promotional documentation, as well as concerning certain contractual provisions that could unduly condition consumers.</w:t>
        <w:br/>
        <w:t>66. It is appropriate to preface that this proceeding was initiated, in addition to some consumer reports, following and in the wake of a generalized verification regarding the behavior of a number of operators in the energy sector during the promotion and dissemination of commercial offers in the free market for the supply of electricity and natural gas services, particularly with regard to the completeness and transparency of information.</w:t>
        <w:br/>
        <w:t>67. Also in light of the context now outlined, the observations expressed by the Professional in their submissions, regarding the small number of reports in the case file (which, moreover, assume a specific function of impetus and verification of the Authority's investigative and ascertainment activity) and the alleged "formal" nature of some violations contested in the initiation communication – as they pertain to contractual clauses included in the General Terms and Conditions but, in fact, remained unimplemented for users51 – are found to be irrelevant. In this regard, it is useful to recall the principle – consistently reiterated by administrative judges – according to which the nature of the consumer offense is one of "mere danger" and its configurability, in the specific case, is independent of the actual occurrence of harm to consumers52.</w:t>
        <w:br/>
        <w:t>68. Likewise, the Professional's objections regarding the non-acceptance of commitments (also proposed and modified several times) are without merit, as they were reformulated late after a significant lapse of time from the decision rejecting the previously submitted commitments. The Professional indeed complains, in an irrelevant manner, of an alleged disparity of treatment compared to some precedents in which the Authority allowed other energy operators to present improved versions of commitments that had not been previously rejected, as prior to the rejection, Ubroker also had the opportunity to supplement the commitments it originally presented. This remains without prejudice to the Authority's discretion in assessing the suitability of the commitments to remove the profiles of unfairness subject to contestation.</w:t>
        <w:br/>
        <w:t>69. Turning to the substantive assessments of the conduct described above, under part II, they – based on the elements emerged during the proceeding – can be traced back to distinct unfair commercial practices in violation of Articles 20, 21, 22, 24, 25, and 62 of the Consumer Code, based on the following assessments.</w:t>
        <w:br/>
        <w:t>51 Reference is made, for example, to the defensive counterarguments of the Professional regarding the provision in the General Terms and Conditions of additional charges in case of payment methods other than SEPA DD and the possible charge of previous arrears to transferring and/or incoming customers (See memorandum of January 31, 2022, prot. no. 16270, p. 13 et seq.).</w:t>
        <w:br/>
        <w:t>52 In this regard, "it is not necessary to identify a concrete prejudice to the reasons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intended to avert" (See TAR Lazio: no. 6446 of July 3, 2009, no. 218 of January 10, 2017, and no. 2245 of February 20, 2020; Council of State: no. 1425 of February 27, 2020).</w:t>
      </w:r>
    </w:p>
    <w:p>
      <w:r>
        <w:t>106 BULLETIN NO. 18 OF MAY 16, 2022</w:t>
        <w:br/>
        <w:t>The commercial practice sub a)</w:t>
        <w:br/>
        <w:t>70. Fundamental principles of transparency and completeness of information require that all items, discretionarily established by the Supplier, that determine the expenditure for energy, must be explicitly stated so that the buyer can fully and clearly understand the economic terms and the content of the offer in order to subscribe to it with full awareness.</w:t>
        <w:br/>
        <w:t>71. Firstly, the indication of the indexed price (to the PUN and Pfor - respectively for electricity and gas) of the energy component in the absence of a quantification as reliable as possible, if not through the mere insertion of an exemplary table based on the last quarter (an element also noted by ARERA in its opinion), represents an informational gap likely to generate confusion in the consumer.</w:t>
        <w:br/>
        <w:t>72. In fact, the Professional's choice to determine the price of the energy component not in a fixed amount, through the simple display of an easily understandable amount for the consumer, but through the use of indices of a technical nature and almost unknown to non-expert subjects in the energy sector, effectively imposes the use of measures aimed at improving the clarity of the formulas used, so as to allow all customers to reliably determine the expenditure associated with the choice of the offer promoted by the supplier.</w:t>
        <w:br/>
        <w:t>73. Secondly, the amount of marketing charges related to the supply of energy products, which in the free market are discretionarily set by the seller, represents a cost item, even significant, that must be indicated in its unit value in the economic conditions of supply and in the promotional messages related to the convenience of the Professional's offers, as it significantly affects the overall expenditure for energy, especially in the case of domestic customers.</w:t>
        <w:br/>
        <w:t>74. In this context, the mere reference to the value of the marketing fees set by ARERA for the protected market does not constitute a valid indicator for consumers, who find themselves having to retrieve the relevant resolutions in order to know the extent of such charges. It is noted in this regard that, in the free market for energy products, the marketing and sales fee represents an important competitive lever that suppliers can use to characterize their offers. For this purpose, such a charge must be clearly indicated by the seller from the first contact with the consumer, so as to allow the latter to make an informed purchasing choice.</w:t>
        <w:br/>
        <w:t>75. The failure to indicate the value of the marketing charges for electricity and gas in the contractual documentation (CTE), limiting itself to referring to the values set in the ARERA resolutions related to the protected market, as well as completely omitting the existence of such charges in advertising communications, represents a serious informational deficiency.</w:t>
        <w:br/>
        <w:t>76. Therefore, the provision of marketing charges - indicated by Ubroker in the CTE with the acronyms PCV (Commercialization Sales Price) for electricity, or QVD (Retail Sales Quota) for gas, without a specific and precise indication of their extent, but simply through a reference to the "Reference economic conditions of ARERA," represents a serious informational deficiency: these are, in fact, economically relevant elements that must be clearly delineated and made known to users in all forms of communication where, especially, the promotional emphasis concerns the price of energy or certain components of the supply price, generally those advantageous, in order to correctly inform the consumer and not mislead them regarding the actual convenience of the offer, conditioning them in the assumption of economic behaviors that they would not otherwise have chosen. To this, for electricity, is added the provision of "marketing charges" in proportion to consumption, which are added to the PCV component, determining an additional element of confusion linked to the partial duplication and/or overlap of substantially similar costs.</w:t>
        <w:br/>
        <w:t>77. In particular, the reference to ARERA resolutions for the quantification of the aforementioned two last cost items provided in the contractual conditions related to offers in the free market also appears suitable to mislead the consumer regarding the nature of such price components, generating the erroneous belief of their "predetermined" and mandatory nature for the user, whereas instead such charges (unlike those actually bound but not defined therein) can be established at the discretion of the company and constitute (or should constitute) the true elements of differentiation and competitive comparison among sales companies in the free energy market.</w:t>
        <w:br/>
        <w:t>78. Similar assessments can be made regarding the aforementioned additional charges, namely the components "electric profile management," "gas profile management," "research and development," "dynamic," and "administrative charges," briefly mentioned in the CTE and substantially lacking a specific and fully justified rationale. Moreover, the opacity of such information – which has not been dispelled by the defensive arguments made by Ubroker on the point, in which the Professional correlated such charges to costs that should be considered largely already covered by the marketing charges, hence the substantially duplicative nature of the same – has allowed and resulted, as seen above, in the acquisition of considerable amounts related to price components whose specific provision, not supported by a description that would allow for a full understanding of their correlation with the corresponding cost items, made it difficult for consumers to understand and justify the reason in light of the services provided by the Company. This is even more so considering the existence of the aforementioned (and substantial) "unallocated costs," which, for consistency, should have been covered within the marketing costs and not allocated among the additional price components.</w:t>
        <w:br/>
        <w:t>79. In this regard, if the configuration of aggressive profiles does not appear confirmed in the specific case, in light of the reconstructions provided by the Professional regarding the existence of the activities underlying the various charges, nonetheless the indications originally included in the CTE, which were completely omissive in this regard, confirm the existence of serious informational gaps towards customers.</w:t>
        <w:br/>
        <w:t>80. In a market context such as the energy one – characterized by significant informational asymmetry between operators and end users as well as by a plurality of different offers (in terms of characteristics and costs) – the lack of transparency and completeness of economic information, especially regarding the actual price per unit of measure (kwh or smc) that the consumer will have to bear following adherence to the commercial proposal, thus assumes a central relevance for the purposes of this assessment.</w:t>
        <w:br/>
        <w:t>81. The burden of providing correct information on the various price components, therefore, appears not to have been fulfilled by the Professional – from 2019 until November 19, 2021 (date of modification of the CTE) – who, instead of identifying the extent of all cost items borne by the contractor, limited itself, on the one hand, to recalling or referring to regulatory acts that are not easily accessible and, furthermore, having a technical content not immediately understandable to the average consumer and not directly intended for them, when not simply mentioning acronyms.</w:t>
      </w:r>
    </w:p>
    <w:p>
      <w:r>
        <w:rPr>
          <w:b/>
        </w:rPr>
        <w:t>[Pages 106–108]</w:t>
      </w:r>
    </w:p>
    <w:p>
      <w:r>
        <w:t>108 BULLETIN NO. 18 OF MAY 16, 2022</w:t>
        <w:br/>
        <w:t>inserted in the aforementioned acts, on the other hand, to generate in the customer the belief of a greater convenience of the subscribed offer through misleading information about the price of the energy component and the apparent non-payment of marketing costs, since the latter have been paid in any case through the aforementioned components PCV and QVD, and the omissive and deceptive representation of other charges.</w:t>
        <w:br/>
        <w:t>82. And precisely in view of the complete liberalization of this market, it is essential – to guarantee not only consumers but also the professionals in the sector – that buyers are ensured correctness, transparency, and completeness of information regarding the price variable and, also, the determining characteristics of the specific commercial proposal, from the very first contact.</w:t>
        <w:br/>
        <w:t>83. As emerged from the investigative findings, this fundamental principle – which has long been reiterated by administrative judges53 – was not respected in the case at hand also regarding other economic characteristics of the energy offer and within the various channels used for promotional dissemination.</w:t>
        <w:br/>
        <w:t>84. Similar criticalities also characterized the provision regarding the security deposit, as the Professional failed to clearly and precisely specify its amount in the contractual documentation, preventing the consumer from being able to quantify its amount with certainty. This conduct is also to be considered ceased with the publication on November 19, 2021, of the new CGF.</w:t>
        <w:br/>
        <w:t>85. In support of the above observations regarding the case in question, in its opinion, the Regulatory Authority confirmed that the Professional has disregarded the regulatory provisions regarding the representation of charges related to electricity and gas supplies within the contractual documentation, at least until the modification of the same documentation, within which the profiles of incorrectness were eliminated, leaving only a criticality related to the not entirely adequate information on the fees subject to indexing (the maximum unit value reached and the trend in the last twelve months of PUN and Pfor,t are included in the contractual package outside the CTE, in a section not immediately following them).</w:t>
        <w:br/>
        <w:t>86. In light of the above evaluations, the behavior of the Professional appears to be in contrast with Articles 20, 21, and 22 of the Consumer Code.</w:t>
        <w:br/>
        <w:t>The commercial practice sub b)</w:t>
        <w:br/>
        <w:t>87. Based on the elements outlined above, the presentation of the discount system adopted by the Company, at least since 2019, both in the contractual documentation and in the promotional communications present on the websites attributable to Ubroker (www.ubroker.it, https://scelgozero.it/, https://ioscelgozero.it/ and https://www.zeroacademy.eu/) is characterized by significant profiles of deception, omission, and lack of transparency, since the information regarding the different types of discounts (“Volume Discount,” “Group Purchase Discount,” and “Energy Value Compensation”) originally reported thresholds and discount percentages without further clarifications regarding the conditions of applicability, including in terms of duration and cumulative nature of the same: even the further method called “Zero Discount” promised, through the emphatic claims reported previously, the possibility of zeroing invoices, promoted by Ubroker also through the inclusion in the comparability sheets of such a considerable discount, albeit merely potential.</w:t>
        <w:br/>
        <w:t>88. As can be inferred from the various emphatic claims included in the various figures reported previously and from the scant and insufficient indications included in the CTE, potential customers were led from the moment of viewing the promotional information of the offers and until the examination of the contractual package to trust in the accumulation of discounts of various nature and type, susceptible to determining, through a mechanism not well clarified and outlined beforehand, the application of such a high discount percentage as to even lead to the zeroing of the invoice. Despite these discounts being conditioned, also for the purposes of possible cumulative nature, on compliance with criteria and/or the achievement of objectives not clearly indicated from the initial moment, their inclusion in the comparability sheets contributed to generating in customers the belief of a certain and automatic saving, a belief that was instead destined, in most cases, to be strongly downsized or completely disappointed.</w:t>
        <w:br/>
        <w:t>89. This is all the more so as, as previously highlighted, based on the documentation presented by the Company54, it appears that the percentage of invoices actually discounted (from January 2019 to July 2021) was less than half of the invoices issued. Moreover, the average amount of the discount applied appears to be contained (between 1% and 20%), while the zeroed invoices (about 1% of the total invoices issued monthly) concern only users actively inserted in the network created by the Company, who also operate in favor of the company, as client procurers. For these latter, therefore, the reduction of costs in the invoice, up to the possible zeroing, essentially represents the remuneration for the activity performed by them.</w:t>
        <w:br/>
        <w:t>90. Undoubtedly, the methods of promotion and description of the promised discounts, characterized by profiles of misleadingness and omission, have proven suitable to generate in potential customers the expectation of a significant reduction in spending for electricity and gas, also through the undue inclusion in the comparability sheets - for the purpose of quantifying an estimate of expenditure for energy in the free market - of merely potential and conditioned discounts.</w:t>
        <w:br/>
        <w:t>91. Furthermore, despite the Professional claiming the cessation of the practice in question on November 19, 2021 – since in the new CTE the amounts, calculation methods, and conditions of applicability of the discounts called “Volume Discount,” “Group Purchase Discount,” and “Energy Value Compensation” would have been clearly and completely specified, and the reference to the possibility of zeroing invoices and to the “Zero Discount” has been removed from the comparability sheets – there remain critical elements concerning the lack of clarification regarding the cumulative nature or otherwise of the three types of discounts and the insufficiency of the description of the “Volume Discount” and “Group Purchase Discount” on the website https://scelgozero.it/55 and the necessity to contact the Professional to obtain such further information.</w:t>
        <w:br/>
        <w:t>92. It is worth recalling, in this regard, the opinion rendered by ARERA, in the part where it finds the failure to comply with the provisions of the Commercial Code of Conduct, where “the description in the contractual documentation of a discount system is incomplete and not transparent regarding the actual amount of applicable discounts and the methods of recognition thereof; for example, regarding the “Zero Discount,” the Professional does not specify the amount of the discount provided within the box “Description of the discount and/or bonus” in the Comparability Sheet.”</w:t>
        <w:br/>
        <w:t>93. Consequently, the commercial practice in question, which constitutes a violation of Articles 20, 21, and 22 of the Consumer Code, is to be considered still ongoing.</w:t>
        <w:br/>
        <w:t>The commercial practice sub c)</w:t>
        <w:br/>
        <w:t>94. The provision, referred to in Article 12 of the CGF, concerning the alleged joint liability of the new customer - transferee/substituting - for the arrears accrued by the previous holder of the utility, is in contrast with regulatory and consumer legislation. In fact, the original wording of Article 12 of the CGF (“It is understood that the transferee of the Contract (the one who has replaced the Customer) will in any case be jointly liable with the transferor towards the Seller for all obligations arising or otherwise accrued prior to the moment of such transfer, even if not yet invoiced by the Seller to the Customer”) – despite the reassurances provided by Ubroker in its memoranda56 that it has never charged previous arrears to the transferring/substituting customer who was unrelated to them, as this wording is the result of a mere typographical error – was sufficient in itself to unduly condition the transferring/substituting party, being likely to generate in the latter the erroneous belief of being obliged to pay the aforementioned debts of others to obtain the activation of the supply and thus induce him to pay (albeit seemingly voluntarily) sums not due. This, as ARERA also recalls in its opinion, is contrary to the “general principle according to which any debts of the pre-existing customer cannot be charged by the seller to the customer requesting the transfer or substitution.”</w:t>
        <w:br/>
        <w:t>95. Therefore, this commercial practice is deemed incorrect, constituting a violation of Articles 20, 24, and 25 of the Consumer Code, and is to be considered ceased as of November 19, 2021, with</w:t>
      </w:r>
    </w:p>
    <w:p>
      <w:r>
        <w:rPr>
          <w:b/>
        </w:rPr>
        <w:t>[Pages 109–111]</w:t>
      </w:r>
    </w:p>
    <w:p>
      <w:r>
        <w:t>BULLETIN NO. 18 OF MAY 16, 2022 111</w:t>
        <w:br/>
        <w:t>the inclusion in Article 12, paragraph 1 of the General Terms and Conditions (CGF) of the following provision: “In the case of a transfer of contract, the new contract holder shall not be liable for any obligations related to the contract of the previous holder, including any outstanding amounts for the payment of electricity and gas supply and any other charges prior to the date of transfer.”</w:t>
        <w:br/>
        <w:t>The conduct under d)</w:t>
        <w:br/>
        <w:t>96. The conduct under d) concerns the provision of the CGF, which exposed customers who opted for payment methods other than direct debit to additional costs, which were not predictable in advance. In this regard, the original wording of Article 6 of the CGF provided that “Any different payment methods compared to the SEPA DD formula, even if authorized in writing by the Seller, will incur an additional cost to be assessed on a case-by-case basis, if provided for by the specific regulation of the Bank of Italy,” without indicating the amount of such additional cost.</w:t>
        <w:br/>
        <w:t>97. Although Ubroker clarified that it has never, in fact, applied additional costs in the case of payment made by alternative methods, this provision was found to be non-compliant with Article 62 of the Consumer Code, as amended by Legislative Decree No. 21 of February 21, 2014. This article provides in paragraph 1: “Pursuant to Article 3, paragraph 4, of Legislative Decree No. 11 of January 27, 2010, professionals may not impose on consumers, in relation to the use of certain payment instruments, costs for the use of such instruments, or in the cases expressly established, fees that exceed those incurred by the professional.”</w:t>
        <w:br/>
        <w:t>98. On the other hand, the Professional amended the provision of the CGF on November 19, 2021, replacing it with the following: “With regard to any payment method, the Seller shall not charge the Customer any cost. The only costs that the Customer will have to bear will be those eventually charged to him by his Credit Institution in relation to the ongoing current account contract.”</w:t>
        <w:br/>
        <w:t>99. In any case, the conduct in question constitutes a violation of Article 62 of the Consumer Code, to the extent that it was capable of potentially justifying the application of undue charges to the detriment of customers who used payment methods other than the aforementioned SEPA DD.</w:t>
        <w:br/>
        <w:t>VII. QUANTIFICATION OF THE SANCTION</w:t>
        <w:br/>
        <w:t>100.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101. In the case of a proceeding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102.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112 BULLETIN NO. 18 OF MAY 16, 2022</w:t>
        <w:br/>
        <w:t>103. With regard to the severity of the violation, the following factors are taken into account in the case at hand: i) the economic size of the Professional57; ii) the spread of the commercial practice – capable of harming the rights of all Ubroker customers and the extent of the economic harm caused to consumers – as well as iii) the behavior of the professional regarding the adoption, during the investigation, of corrective measures for some critical aspects contested in the initiation of the proceeding.</w:t>
        <w:br/>
        <w:t>104. As for the duration of the violation, from the available elements in the records, it appears that:</w:t>
        <w:br/>
        <w:t>- the commercial practice under a) was carried out from 2019 until November 19, 2021, following the introduction of an updated version of the CGF and CTE, both substantially amending the contested criticalities, as well as following the replacement of promotional communications on the company website, containing price elements with promotions focused exclusively on company activities and branding, without any specific reference to individual energy offers and their related price components;</w:t>
        <w:br/>
        <w:t>- the commercial practice under b) has been carried out since 2019 and is to be considered still ongoing, given the remaining criticalities noted above;</w:t>
        <w:br/>
        <w:t>- the commercial practice under c) was carried out from 2019 until November 19, 2021, following the introduction of an updated version of the CGF;</w:t>
        <w:br/>
        <w:t>- the conduct under d) was carried out from 2019 until November 19, 2021, following the introduction of an updated version of the CGF.</w:t>
        <w:br/>
        <w:t>105. With regard to the commercial practice under a), in assessing the severity of the violation, account is taken of the size of the Company; the specificity of the sector, in which the purchasing consumer finds himself in a position of inevitable informational asymmetry compared to the Professional; the method of dissemination of the offer made also through the website, a tool capable of reaching a multitude of consumers; the overall extent of the economic harm potentially arising – and in fact arisen – to consumers from a misleading representation of the price of electricity and gas concerning both the energy component and marketing charges as well as the application of charges not clearly indicated or undue.</w:t>
        <w:br/>
        <w:t>106. In light of the above, it is deemed appropriate to determine the amount of the administrative pecuniary sanction applicable to Ubroker S.r.l. at the base amount of €1,000,000, which is reduced to €800,000, taking into account that the Professional has voluntarily intended to adopt, already during the proceeding, some corrective measures as well as a lump-sum economic compensation for the affected consumers.</w:t>
        <w:br/>
        <w:t>107. With regard to the commercial practice under b), in assessing the severity of the violation, account is taken of the size of the Company; the specificity of the sector, in which the purchasing consumer finds himself in a position of inevitable informational asymmetry compared to the Professional; the method of dissemination of the offer made also through the website, a tool capable of reaching a multitude of consumers; the overall extent of the economic harm potentially arising – and in fact arisen – to consumers from the presentation of a series of discounts that were not truthful as they were not adequately described and were in any case connected to a procurement system that was equally unclear.</w:t>
        <w:br/>
        <w:t>57 Ubroker generated revenues of nearly €43 million in 2020.</w:t>
      </w:r>
    </w:p>
    <w:p>
      <w:r>
        <w:t>BULLETIN NO. 18 OF MAY 16, 2022 113</w:t>
        <w:br/>
        <w:t>108. In light of the above, it is deemed appropriate to determine the amount of the administrative pecuniary sanction applicable to Ubroker S.r.l. at the amount of €1,000,000.</w:t>
        <w:br/>
        <w:t>109. With regard to the commercial practice under c), in assessing the severity of the violation, account is taken of the size of the Company; the specificity of the sector, in which the purchasing consumer finds himself in a position of inevitable informational asymmetry compared to the Professional; the method of dissemination of the offer made also through the website, a tool capable of reaching a multitude of consumers; the circumstance that the economic harm resulting from the charge of undue arrears was merely potential and not actual, given the non-application of the same.</w:t>
        <w:br/>
        <w:t>110. In light of the above, it is deemed appropriate to determine the amount of the administrative pecuniary sanction applicable to Ubroker S.r.l. at the base amount of €50,000, which is reduced to €40,000, taking into account that the Professional has voluntarily intended to adopt, already during the proceeding, some measures of lump-sum economic compensation for the affected consumers.</w:t>
        <w:br/>
        <w:t>111. With regard to the conduct under d), in assessing the severity of the violation, account is taken of the size of the Company; the harm to the economic behavior of consumers, who find themselves limited in their various choices, being exposed to the risk of being imposed charges for the use of a specific payment instrument.</w:t>
        <w:br/>
        <w:t>112. In light of the above, it is deemed appropriate to determine the amount of the administrative pecuniary sanction applicable to Ubroker S.r.l. at the base amount of €50,000, which is reduced to €40,000, taking into account that the Professional has voluntarily intended to adopt, already during the proceeding, some measures of lump-sum economic compensation for the affected consumers.</w:t>
        <w:br/>
        <w:t>CONSIDERING, therefore, taking into account the opinion of the Authority for Communications Guarantees and in accordance with the opinion of the Regulatory Authority for Energy Networks and Environment, based on the above considerations, that the commercial practice under a) is found to be unfair pursuant to Articles 20, 21, and 22 of the Consumer Code as it is capable, through misleading presentation or omission of relevant information regarding the price and economic convenience of the advertised offer as well as the amount of the security deposit and also the methods/timeliness of communication of any contractual/financial changes, to appreciably distort the economic behavior of the average consumer in relation to the services offered by the Professional;</w:t>
        <w:br/>
        <w:t>CONSIDERING, therefore, taking into account the opinion of the Authority for Communications Guarantees and in accordance with the opinion of the Regulatory Authority for Energy Networks and Environment, based on the above considerations, that the commercial practice under b) violates Articles 20, 21, and 22 of the Consumer Code, as it is capable, through misleading presentation or omission of relevant information regarding the conditions and convenience of the discount system set up by the Company, to appreciably distort the economic behavior of the average consumer in relation to the services offered by the Professional;</w:t>
        <w:br/>
        <w:t>CONSIDERING, therefore, taking into account the opinion of the Authority for Communications Guarantees and in accordance with the opinion of the Regulatory Authority for Energy Networks and Environment, based on the above considerations, that the commercial practice under c) violates Articles 20, 24, and 25 of the Consumer Code, as it is capable of unduly conditioning the transferee, being likely to generate in the latter the erroneous belief of being obliged to pay the</w:t>
      </w:r>
    </w:p>
    <w:p>
      <w:r>
        <w:rPr>
          <w:b/>
        </w:rPr>
        <w:t>[Pages 112–114]</w:t>
      </w:r>
    </w:p>
    <w:p>
      <w:r>
        <w:t>114 BULLETIN NO. 18 OF MAY 16, 2022</w:t>
        <w:br/>
        <w:t>debts owed by others to obtain the activation of the supply and to induce him, therefore, to pay (even if apparently spontaneous) sums not due.</w:t>
        <w:br/>
        <w:t>CONSIDERED, therefore, taking into account the opinion of the Authority for Communications Guarantees and in accordance with the opinion of the Regulatory Authority for Energy Networks and Environment, based on the considerations mentioned above, that the conduct referred to in d) violates Article 62 of the Consumer Code, providing for the unjustified charge of expenses for payment methods other than the SEPA DD method.</w:t>
        <w:br/>
        <w:t>RESOLVES</w:t>
        <w:br/>
        <w:t>a) that the commercial practice described in point II, letter a), of this measure, carried out by the company Ubroker S.r.l., constitutes, for the reasons and within the limits stated in the motivation, an unfair commercial practice pursuant to Articles 20, 21, and 22 of the Consumer Code;</w:t>
        <w:br/>
        <w:t>b) to impose an administrative pecuniary sanction of €800,000 (eight hundred thousand euros) on the company Ubroker S.r.l.;</w:t>
        <w:br/>
        <w:t>c) that the commercial practice described in point II, letter b), of this measure, carried out by Ubroker S.r.l., constitutes, for the reasons and within the limits stated in the motivation, a violation of Articles 20, 21, and 22 of the Consumer Code and prohibits its further continuation;</w:t>
        <w:br/>
        <w:t>d) to impose an administrative pecuniary sanction of €1,000,000 (one million euros) on the company Ubroker S.r.l.;</w:t>
        <w:br/>
        <w:t>e) that the commercial practice described in point II, letter c), of this measure, carried out by Ubroker S.r.l., constitutes, for the reasons and within the limits stated in the motivation, a violation of Articles 20, 24, and 25 of the Consumer Code;</w:t>
        <w:br/>
        <w:t>f) to impose an administrative pecuniary sanction of €40,000 (forty thousand euros) on the company Ubroker S.r.l.;</w:t>
        <w:br/>
        <w:t>g) that the conduct described in point II, letter d), of this measure, carried out by Ubroker S.r.l., constitutes, for the reasons and within the limits stated in the motivation, a violation of Article 62 of the Consumer Code;</w:t>
        <w:br/>
        <w:t>h) to impose an administrative pecuniary sanction of €40,000 (forty thousand euros) on the company Ubroker S.r.l.;</w:t>
        <w:br/>
        <w:t>i) that the company Ubroker S.r.l. shall communicate to the Authority, within sixty days from the notification of this measure, the initiatives taken in compliance with the warning referred to in point c).</w:t>
      </w:r>
    </w:p>
    <w:p>
      <w:r>
        <w:t>BULLETIN NO. 18 OF MAY 16, 2022 115</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by debiting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Italian Competition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activities for a period not exceeding thirty days.</w:t>
        <w:b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t>116 BULLETIN NO. 18 OF MAY 16, 2022</w:t>
        <w:br/>
        <w:t>PS12047 - VISITEL-COMMERCIAL OFFERS</w:t>
        <w:br/>
        <w:t>Measure no. 30138</w:t>
        <w:br/>
        <w:t>THE ITALIAN COMPETITION AUTHORITY</w:t>
        <w:br/>
        <w:t>IN ITS MEETING of April 27, 2022;</w:t>
        <w:br/>
        <w:t>HEARD the Rapporteur President Roberto Rustichelli;</w:t>
        <w:br/>
        <w:t>HAVING REGARD to Part II, Title III and Part III, Title III of Legislative Decree of September 6, 2005, no. 206, and subsequent amendments (hereinafter, Consumer Code);</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measures of October 19, 2021, and January 11, 2022, each of which, pursuant to Article 7, paragraph 3, of the Regulation, ordered an extension of the deadline for concluding the procedure, for specific investigative needs;</w:t>
        <w:br/>
        <w:t>HAVING REGARD to its measure dated February 22, 2022, by which, acknowledging the request made by the Regulatory Authority for Energy Networks and Environment (ARERA) regarding the issuance of its opinion on the case, an additional extension of the deadline for concluding the procedure was ordered;</w:t>
        <w:br/>
        <w:t>HAVING REGARD to the acts of the procedure;</w:t>
        <w:br/>
        <w:t>I. THE PARTIES</w:t>
        <w:br/>
        <w:t>1. Visitel S.r.l. (hereinafter also "Visitel" or "the Company"), as a professional, pursuant to Article 18, letter b), of the Consumer Code. The Company is active in the sale of natural gas and electricity to final customers in the free market. Based on the latest available accounting document, relating to the financial year 2020, the Company generated revenues of over €7 million1.</w:t>
        <w:br/>
        <w:t>2. CO.DI.CI. ONLUS - Center for Citizen Rights, as an intervenor.</w:t>
        <w:br/>
        <w:t>II. COMMERCIAL CONDUCTS</w:t>
        <w:br/>
        <w:t>3. The procedure concerns the behaviors carried out by the Professional, since 20192, regarding the promotion and sale of energy and gas supply services provided in the free market, with reference:</w:t>
        <w:br/>
        <w:t>1 In particular, the revenues for 2020 amount to €7,505,468, an increase compared to those of the previous year, amounting to €5,875,667 (see the balance sheet produced by the Professional on February 1, 2022, annex 7 to the final memorandum, doc. prot. no. 16403 of 1.2.2022).</w:t>
        <w:br/>
        <w:t>2 See the response to the request for information made simultaneously with the communication of the initiation of the procedure, provided with the memorandum of August 30, 2021, prot. no. 67668, and related attachments.</w:t>
      </w:r>
    </w:p>
    <w:p>
      <w:r>
        <w:rPr>
          <w:b/>
        </w:rPr>
        <w:t>[Pages 115–117]</w:t>
      </w:r>
    </w:p>
    <w:p>
      <w:r>
        <w:t>BULLETIN NO. 18 OF MAY 16, 2022 117</w:t>
        <w:br/>
        <w:t>a) to the lack of transparency and completeness of the information provided, particularly in the Technical Economic Conditions (CTE) and in the promotional material available on its website, regarding the existence and quantification of costs applicable to users – such as marketing charges and other charges (“fixed energy management fee,” “one-time processing fee,” “cancellation fee to the old supplier”) autonomously determined by the company – as well as to other characteristics of the offer, related to the renewal of economic conditions and the security deposit;</w:t>
        <w:br/>
        <w:t>b) to the existence of contractual provisions in violation of the applicable rules for the conclusion of distance contracts and the recognition of the right of withdrawal for consumers.</w:t>
        <w:br/>
        <w:t>III. THE OUTCOMES OF THE PROCEEDING</w:t>
        <w:br/>
        <w:t>1) The procedure process</w:t>
        <w:br/>
        <w:t>4. Based on some reports received in 2020 and 20213, and the information acquired for the application of the Consumer Code4, on July 22, 2021, the Professional was notified of the initiation of the investigative procedure PS12047 for possible violation of Articles 20, 21, 22, 24, 25 as well as Articles 49, paragraph 1, letter h), and 51, paragraphs 6 and 7 of the Consumer Code.</w:t>
        <w:br/>
        <w:t>5. Concurrently with the notification of the initiation of the investigative procedure, the Professional was requested, pursuant to Article 27, paragraphs 3 and 4, of the Consumer Code and Article 12, paragraph 1, of the Regulation, to provide information and relevant documentation useful for the assessment of the contested behaviors.</w:t>
        <w:br/>
        <w:t>6. On July 29, 2021, Visitel requested access to the documents of the investigative file, which was granted on the same date5; following a subsequent, similar request received on December 29, 2021, the Company also gained access to the same file on December 31, 20216.</w:t>
        <w:br/>
        <w:t>7. On August 30, 2021, Visitel submitted documented responses to the request for information made at the outset, accompanied by a defense memorandum7.</w:t>
        <w:br/>
        <w:t>8. On September 3, 2021, the hearing of the representatives of the Professional took place.</w:t>
        <w:br/>
        <w:t>9. On September 7, 2021, the Company submitted a proposal for commitments, which was last supplemented on November 9, 2021.</w:t>
        <w:br/>
        <w:t>10. On September 24, 2021, a request for participation in the investigative procedure was received from the consumer association CO.DI.CI. Onlus, the acceptance of which was communicated to the Parties on the following October 5th8.</w:t>
        <w:br/>
        <w:t>11. On November 26, 2021, the Company was notified of the rejection of the proposal for commitments, as formulated and supplemented by it, decided by the Authority on November 25, 2021.</w:t>
        <w:br/>
        <w:t>3 In particular, see documents prot. nos. 55896 of 14.7.2020, 66906 of 4.9.2020, 87664 of 25.11.2020, 52766 of 16.6.2021.</w:t>
        <w:br/>
        <w:t>4 See the minutes of acquisition to the records of July 21, 2021.</w:t>
        <w:br/>
        <w:t>5 Documents prot. nos. 62722 and 62761 of 29.7.2021.</w:t>
        <w:br/>
        <w:t>6 Documents prot. no. 96162 of 29.12.2021 and prot. no. 96556 of 31.12.2021.</w:t>
        <w:br/>
        <w:t>7 Document prot. no. 67668 of 30.8.2021.</w:t>
        <w:br/>
        <w:t>8 Documents prot. nos. 73606 of 24.9.2021 and prot. nos. 76030 and 76033 of 5.10.2021.</w:t>
      </w:r>
    </w:p>
    <w:p>
      <w:r>
        <w:t>118 BULLETIN NO. 18 OF MAY 16, 2022</w:t>
        <w:br/>
        <w:t>12. On December 15, 2021, the date of conclusion of the investigative phase was communicated to the Parties pursuant to Article 16, paragraph 1, of the Regulation9.</w:t>
        <w:br/>
        <w:t>13. On February 1, 2022, Visitel submitted the final memorandum10.</w:t>
        <w:br/>
        <w:t>14. On the same date, opinions were requested, pursuant to Article 27, paragraph 1-bis, of the Consumer Code, from the Authority for Communications Guarantees11 (hereinafter also AGCOM) and from ARERA12 – which requested an extension of the deadline for issuing its opinion on February 10, 2022 – received respectively on March 3, 202213 and March 30, 202214.</w:t>
        <w:br/>
        <w:t>2) The evidence acquired</w:t>
        <w:br/>
        <w:t>15. From the various elements acquired in the context of the procedure in question – derived from consumer reports15, from the documented responses submitted by Visitel S.r.l.16 and from official surveys17 – the following emerges.</w:t>
        <w:br/>
        <w:t>a) Methods of representation and dissemination of information regarding the economic supply conditions within the contractual and promotional documentation</w:t>
        <w:br/>
        <w:t>16. The findings concerning the conduct under a) relate to the methods of representation and dissemination of the characteristics and economic supply conditions of electricity/natural gas related to the commercial offers proposed by the Professional – from 2019 until February 1, 2022 and disseminated on various communication supports – specifically regarding the cost items of the supply that were discretionarily provided and applied to the contractors by the sales company.</w:t>
        <w:br/>
        <w:t>17. In this regard, based on the investigation conducted, several critical issues emerged, such as the omission of the indication, in the CTE, of the amount of marketing charges for the provision of electricity and gas (except for a reference to ARERA resolutions that define the amount of such charges only for users of the protected market), and the provision of additional charges, such as the “fixed energy management fee,” the “one-time processing fee,” the “cancellation fee to the old supplier,” in relation to services whose nature and effectiveness were not better specified. Furthermore, the amount of the security deposit was found to be unspecified and the communication regarding unilateral changes to the contractual economic conditions was regulated in a manner inconsistent with the provisions established by the Regulator, as per the Commercial Code of Conduct.</w:t>
        <w:br/>
        <w:t>9 Documents prot. nos. 93205 and 93207 of 15.12.2021.</w:t>
        <w:br/>
        <w:t>10 Document prot. no. 16403 of 1.2.2022.</w:t>
        <w:br/>
        <w:t>11 Documents prot. nos. 16672 and 16674 of 1.2.2022.</w:t>
        <w:br/>
        <w:t>12 Documents prot. nos. 16675 and 16677 of 1.2.2022.</w:t>
        <w:br/>
        <w:t>13 Document prot. no. 24487 of 3.3.2022.</w:t>
        <w:br/>
        <w:t>14 Document prot. no. 30871 of 30.3.2022.</w:t>
        <w:br/>
        <w:t>15 See the aforementioned documents prot. nos. 55896 of 14.7.2020 (according to which Visitel's offers would be much less advantageous than presented, resulting in an “unjustified and exorbitant” expenditure), 66906 of 4.9.2020 (containing the complaint of a domestic user who signed, following a visit from a “door-to-door” seller, contracts for electricity and gas supplies whose billing turned out to be “very expensive and composed of about 70% of unclear items”), 87664 of 25.11.2020, 52766 of 16.6.2021.</w:t>
        <w:br/>
        <w:t>16 Document prot. no. 67668 of 30.8.2021.</w:t>
        <w:br/>
        <w:t>17 See the minutes of acquisition to the records of July 21, 2021 and December 2, 2021, both from the website www.visitel.it.</w:t>
      </w:r>
    </w:p>
    <w:p>
      <w:r>
        <w:t>BULLETIN NO. 18 OF MAY 16, 2022 119</w:t>
        <w:br/>
        <w:t>i) Information on marketing charges</w:t>
        <w:br/>
        <w:t>18. Based on the documentation acquired18, in the CTE related to some gas and electricity offers, named Home Plus19, the price of the energy commodity was indicated and in a table, called “summary of fees,” further cost items were listed, most of which were not quantified, expressed only with different acronyms, of unclear decoding.</w:t>
        <w:br/>
        <w:t>19. In particular, as seen below in figures 1 and 2 (containing the tables related to the fees provided respectively for electricity and gas):</w:t>
        <w:br/>
        <w:t>- the marketing costs were quantified at € 0.00020 for both electricity and gas supplies;</w:t>
        <w:br/>
        <w:t>- for electricity, among other things, the fee “PCV” was provided, followed by a checkmark in the column “ARERA reference economic conditions”;</w:t>
        <w:br/>
        <w:t>- for gas, the fees “QVD” were provided in fixed and variable amounts, also followed by a checkmark in the column “ARERA reference economic conditions”; the fees “CPR” and “GRAD” (indicated as “fees subject to variations defined by ARERA” and quantified at € 0.000) and a fee “CVG”;</w:t>
        <w:br/>
        <w:t>Figure 1</w:t>
        <w:br/>
        <w:t>18 See integration prot. 96271 of 29/12/2020 to the complaint prot. 87664 of 25/11/2020 and response to the request for information made concurrently with the notification of the initiation of the procedure, provided with the memorandum of August 30, 2021, prot. no. 67668, annexes from 2.3 to 2.9.</w:t>
        <w:br/>
        <w:t>19 See the offers named CRSVISPUN HOME PLUS and CRSVISLUX HOME PLUS (for electricity) and CRSVIS Natural HOME PLUS (for gas).</w:t>
        <w:br/>
        <w:t>20 This quantification, as reported later, was reiterated by the Professional in the response to the request for information made concurrently with the notification of the initiation of the procedure, provided with the memorandum of August 30, 2021, prot. no. 67668, annex 1.</w:t>
      </w:r>
    </w:p>
    <w:p>
      <w:r>
        <w:rPr>
          <w:b/>
        </w:rPr>
        <w:t>[Pages 118–120]</w:t>
      </w:r>
    </w:p>
    <w:p>
      <w:r>
        <w:t>120 BULLETIN NO. 18 OF MAY 16, 2022</w:t>
        <w:br/>
        <w:t>Figure 2</w:t>
        <w:br/>
        <w:t>ii) The information on other charges independently determined and applied by the Company</w:t>
        <w:br/>
        <w:t>20. For the supply of electricity, the CTE provided for "a fixed energy management fee, expressed in €/PdP/month, calculated at a rate of 0.02 €/kWh applied to the first 700 kWh withdrawn in each month of supply regardless of actual withdrawal" (emphasis added), in the absence of indications regarding the nature of such charge as well as any justification for charging the fee even in the absence of actual withdrawal.</w:t>
        <w:br/>
        <w:t>21. For the supply of gas, it was specified, among other things, the following: “(…). Upon expiration of the validity period, the Supplier may modify the economic conditions indicated above, including the components related to QVD and CGRAD, and may also re-determine the value of such components, in compliance with what is established in Article 3.2 of the CGF.” Furthermore, for this supply, a "fixed energy management fee, expressed in €/PdR/month, calculated at a rate of 0.2 €/smc applied to the first 75 smc withdrawn in each month of supply regardless of actual withdrawal" (emphasis added) was also provided, presenting the same informational gaps as the analogous charge provided for the supply of electricity.</w:t>
        <w:br/>
        <w:t>22. The Professional specified, during the proceeding21, that the fixed energy management fee was intended to cover the costs incurred to provide "inter alia, the following services:</w:t>
        <w:br/>
        <w:t>a) Receipt from its customers of self-readings also via email or WhatsApp;</w:t>
        <w:br/>
        <w:t>b) Loading of self-readings into the company systems;</w:t>
        <w:br/>
        <w:t>c) Consulting service on the optimal power to be used within the home or business, and service of pre-filling all the documentation necessary as requested by the customer."</w:t>
        <w:br/>
        <w:t>23. The CTE also provided, both for electricity and for gas, a bonus, paid (in the form of a loyalty discount) if the customer remained in supply for at least 12 months, equal to the "one-time processing cost" and described as follows: “This offer includes a one-time processing cost that includes, by way of example but not limited to: the entry of the customer's position in CRM, the activity of verifying the customer's purchasing quality. This amount, equal to 9.00 €/month, will be charged monthly and will be entirely borne by Visitel for all months of actual supply through the provision of a bonus of equal amount in each month. In the event that the supply ends before the expiration of the 12-month term, the cost of the service will be borne by the Customer for each month of non-supply and will be charged on the last bill” (emphasis added).</w:t>
        <w:br/>
        <w:t>24. From the aforementioned formulation, this processing cost appeared to be simultaneously qualified as due one-time but charged on a monthly basis, subject to compensation with a bonus of equal amount recognized by Visitel for each month of actual supply, with a charging method for the "processing cost," the nature of which was not well clarified, appearing to be conceived ambiguously. The Company, in the information provided22, specified that “This cost concerns the technical and commercial operations for the activation of the service” and “is objectively linked to the promotional expenses incurred by Visitel and refers to technical and labor costs related to the technical and commercial operations of termination for each month of non-supply in case of withdrawal during the initial service period. The related charge, where applied, is reported on the last bill of the concerned user.”</w:t>
        <w:br/>
        <w:t>25. An additional charge applied by the Professional, regarding which the underlying activity was not specified, concerned the payment of a cancellation fee to the old supplier equal to 6.67 €/Pod/One-Time, provided at the bottom of the CTE. The Company, only following feedback to the request for information23, specified, in a non-exhaustive manner that “From 02/16/2018 and following a change of offer, this cost item concerns the operations of updating, preparation, and operational management on the SII system (integrated information system), for the purpose of automating the management processes of the user. The cost actually concerns the operator's expenses to keep the exchange processes with the SII updated and functioning in order to activate and allow withdrawal from the old supplier.”</w:t>
        <w:br/>
        <w:t>26. Neither the sales scripts used for concluding distance contracts (teleselling), transmitted by Visitel in response to the request for information, clearly indicated the existence and quantification of the aforementioned marketing charges, also containing references to charges not explicitly quantified and not better specified or indicated with different names than those used in the CTE and expressly stating that the part of the call in which the economic conditions were to be illustrated was not recorded24. Moreover, from the MP3 files containing the telephone recordings related to the conclusion of a supply contract, attached to the report of a consumer, the summary of all charges (generically indicated as such in the script) characterizing the commercial offer25 is also absent.</w:t>
        <w:br/>
        <w:t>22 See response to the request for information made concurrently with the communication of the initiation of the proceeding, made with the memorandum of August 30, 2021, prot. no. 67668, p. 4 et seq.</w:t>
        <w:br/>
        <w:t>23 See response to the request for information made concurrently with the communication of the initiation of the proceeding, made with the memorandum of August 30, 2021, prot. no. 67668, p. 5.</w:t>
        <w:br/>
        <w:t>24 See response to the request for information made concurrently with the communication of the initiation of the proceeding, made with the memorandum of August 30, 2021, prot. no. 67668, annex 3: “charges are provided xxxxxxxxxxx equal to 0.0xx €/kWh; a flat fee to cover the costs of electricity generation incurred by the supplier equal to xx.xx€/month; a technical administrative management fee equal to xx.xx€/month and a fee for the remuneration of the commercial activities carried out by the Supplier equal to xx.xx€/month.”</w:t>
        <w:br/>
        <w:t>25 See integration prot. 96271 of 12/29/2020 to the report prot. 87664 of 11/25/2020, in which the reporter complains about the extreme gaps and omissions, regarding the economic conditions and the various cost items applied, of the information provided both at the time of the conclusion of the supply contract and in the subsequent confirmation call.</w:t>
      </w:r>
    </w:p>
    <w:p>
      <w:r>
        <w:t>122 BULLETIN NO. 18 OF MAY 16, 2022</w:t>
        <w:br/>
        <w:t>According to what was stated by the Professional, the teleselling procedure for concluding supply contracts would have started in May 2020 and would have been interrupted by the Company starting from July 202026.</w:t>
        <w:br/>
        <w:t>27. Based on the elements acquired following the request for information27, it appears that the Company charged a total of [1,000-5,000]* users the aforementioned charges, in the period from 2019 to the first half of 202128.</w:t>
        <w:br/>
        <w:t>28. Finally, Visitel does not appear to disseminate or have disseminated promotional material, either via the Internet or through other channels, related to its energy supply offers.</w:t>
        <w:br/>
        <w:t>iii) Security deposit</w:t>
        <w:br/>
        <w:t>29. Another critical issue concerns the failure to indicate the amount of the security deposit required as a guarantee from its customers, which the CGF and the CTE indicated generically in an amount ranging from 3 to 6 average monthly payments. Article 10 of the CGF, in this regard, specified that “The Customer is required, unless otherwise indicated in the economic conditions, to provide before the start of the supply a bank guarantee of the amount provided equal to a minimum of 3 and a maximum of 6 average monthly payments, as a guarantee of the exact, timely, and complete fulfillment of all obligations arising from the contract.” On the other hand, the CTE provided that “In case of default, request for cancellation or termination of the contract or payment by postal bulletin, a non-interest-bearing security deposit equal to three monthly payments will be charged as a guarantee of contractual obligations.”</w:t>
        <w:br/>
        <w:t>iv) Communication of unilateral changes to economic conditions</w:t>
        <w:br/>
        <w:t>30. Regarding the methods of communication of unilateral changes to the economic conditions of supply, the Professional reserved the right to provide the customer with specific information, giving only 60 days' notice, instead of 90 days as provided by the Commercial Code of Conduct. Article 2 of the CGF provided, in fact, that “At the end of the duration of the economic conditions, with a minimum notice of 60 (sixty) days the Supplier will communicate in writing to the Customer, or with a note in the bill, the supply conditions that will regulate the subsequent period, the Customer will have the right not to accept the proposed conditions and may withdraw from the contract by registered letter A/R within 30 (thirty) days from receipt of the communication.” Furthermore, the subsequent Article 3 provided that, in case of variation, “the new economic conditions will take effect sixty days after receipt of the communication by the Customer,” instead of the ninety days provided by the ARERA Commercial Code of Conduct (emphasis added).</w:t>
        <w:br/>
        <w:t>26 See response to the request for information made concurrently with the communication of the initiation of the proceeding, made with the memorandum of August 30, 2021, prot. no. 67668, annex 11.6.</w:t>
        <w:br/>
        <w:t>27 See response to the request for information made concurrently with the communication of the initiation of the proceeding, made with the memorandum of August 11, 2021, prot. no. 65697, annex 1.</w:t>
        <w:br/>
        <w:t>* In this version, some data are omitted or masked, as elements of confidentiality or secrecy of the information were deemed to exist.</w:t>
        <w:br/>
        <w:t>28 For electricity, PCV charge for a total of [400,000-500,000] euros; fixed energy management fee for a total of [300,000-400,000] euros; one-time processing cost for a total of [60,000-70,000] euros; cancellation fee to the old supplier for a total of [10,000-20,000] euros. For gas, QVD for a total of [90,000-100,000] euros; fixed energy management fee for a total of [90,000-100,000] euros; one-time processing cost for a total of [50,000-60,000] euros; cancellation fee to the old supplier for a total of [5,000-10,000] euros.</w:t>
      </w:r>
    </w:p>
    <w:p>
      <w:r>
        <w:rPr>
          <w:b/>
        </w:rPr>
        <w:t>[Pages 121–123]</w:t>
      </w:r>
    </w:p>
    <w:p>
      <w:r>
        <w:t>BULLETIN NO. 18 OF MAY 16, 2022 123</w:t>
        <w:br/>
        <w:t>b) Violations of the rules regarding distance contracts</w:t>
        <w:br/>
        <w:t>31. With specific regard to the existence of violations of the rules applicable to the conclusion of distance contracts and the recognition of the right of withdrawal for consumers, referred to previously in point b), the Professional did not provide any feedback in the repeatedly mentioned response to the request for information, regarding the methods of sending the welcome letter and the contractual package, thereby corroborating the complaints of consumers concerning the failure to deliver such documentation and the form for exercising the right of reconsideration as well as the omitted information regarding the latter, the failure to send and/or the failure to make available to the consumer the durable medium where the telephone recording containing the confirmation of their adherence to the commercial offer is stored29.</w:t>
        <w:br/>
        <w:t>32. In this regard, moreover, Article 2.2 of the General Terms and Conditions (CGF), according to which "The supply contract is perfected at the moment the Customer receives the acceptance from the Supplier, which may arrive through any form of remote communication or by activating the service pursuant to Article 1327 of the Civil Code and has an indefinite duration (unless otherwise indicated in the economic conditions), the start date and duration of the economic conditions are reported in the economic conditions..." (emphasis added), does not anchor the perfection of the offer to the sending of contractual documentation and welcome letter (and indeed even provides for tacit acceptance ex Article 1327 of the Civil Code), does not appear to be in line with what is required by the current regulations on the conclusion of distance contracts.</w:t>
        <w:br/>
        <w:t>3) The Professional's defensive arguments</w:t>
        <w:br/>
        <w:t>33. The Professional presented their defensive memoranda during the investigation30 highlighting primarily that the Company, active for only a few years, has dimensions and organizational structure significantly smaller than those of various operators in the energy sector and, secondly, that some of the "violations" contested in the context of the proceeding would have only a "formal" nature, as they relate to clauses/assumptions that, although actually present in the contractual documentation, would never have been, in practice, applied to the users.</w:t>
        <w:br/>
        <w:t>34. The defensive arguments are summarized as follows:</w:t>
        <w:br/>
        <w:t>- from the documentation contained in the investigation file, a small number of complaints is evident, attributable to only four reporters, an element from which a reduced actual harmful potential of the behaviors subject to investigation should be inferred31;</w:t>
        <w:br/>
        <w:t>- the aforementioned characteristics of the Company compel it to propose offers indexed to variable prices (more complex to understand compared to fixed-price offers, which only operators of a certain size can offer);</w:t>
        <w:br/>
        <w:t>- the completion of the CTE through references to other sources, "internal" (such as further informational documentation made available on its website by the operator) and "external" (in particular, the ARERA website), would be a solution aimed at simplifying the presentation of offers32;</w:t>
        <w:br/>
        <w:t>- regarding the charges attributable to marketing activities (PCV, QVD, CPR, and GRAD), these would have been, in any case, provided for and quantified in the CTE also through references to the glossary and the values defined by ARERA for the protected market, contained in precisely identifiable and easily accessible documents33;</w:t>
        <w:br/>
        <w:t>- the "fixed energy management fee" would be indicated and quantified in the CTE, with reference to both electricity and gas, as well as described in the glossaries available in the "Forms" section of the Visitel website; moreover, the fact that this charge is provided and applied "regardless of actual withdrawal" would derive from the fact that it also covers fixed costs and activities that precede the provision of the supply34;</w:t>
        <w:br/>
        <w:t>- the "one-time investigation fee" ("equal to €9.00/month") would also be indicated and quantified precisely in the CTE, which also contain a brief description of the activities underlying this charge, such as, for example, "the entry of the customer's position in CRM, the activity of verifying the customer's acquisition quality," while in the glossaries available in the "Forms" section of the Visitel website. According to the Professional, this charge, while covering preliminary and initial activities related to the supply, would be applied monthly (as expressly indicated in the CTE) in order to mitigate its economic impact on users and, being provided that it (following compensation with the related bonus) remains the responsibility of the customer only for the part related to the difference between the expected contractual duration (12 months) and that of actual supply, in case of early withdrawal, would not be capable of posing any obstacle to the exercise of the right of withdrawal by the consumer35;</w:t>
        <w:br/>
        <w:t>- the "cancellation fee to the old supplier" would in any case be indicated and quantified in the CTE, both for electricity and gas, and the related denomination would provide indications regarding the nature of the charge, in relation to which the glossaries available in the "Forms" section of the Visitel website would specify that it concerns the operator's expenses to keep the interchange processes with the SII updated and functioning in order to activate and allow withdrawal from the old supplier (operations for which Visitel would have incurred costs of approximately [€100,000-200,000] in 2020 alone)36;</w:t>
        <w:br/>
        <w:t>32 See memorandum of February 1, 2022, prot. n. 16403, p. 3 and following.</w:t>
        <w:br/>
        <w:t>33 See memorandum of February 1, 2022, prot. n. 16403, p. 5. In particular, Visitel specifies that:</w:t>
        <w:br/>
        <w:t>i) in Article 3.3 of the CGF, it was expressly provided, to explain the meaning of the acronym "PCV," that the Company could apply "a fee as remuneration for the commercial activities carried out by the Supplier in an amount proportional to the value of the PCV fee (commercialization sale price) provided for by resolution 156/07 of the AEEGSI, as updated by the regulations in force from time to time," asserting that "This clause also makes it clear that the charge is defined at the discretion of the Company, but proportional to the value defined by ARERA";</w:t>
        <w:br/>
        <w:t>ii) "Regarding QVD, CPR, and GRAD, the meaning of the acronyms can be easily derived from the "Glossary" published on the ARERA website (https://bolletta.arera.it/bolletta20/index.php/glossario)";</w:t>
        <w:br/>
        <w:t>iii) Also for the components QVD and GRAD, the indication contained in the CTE that "[u]pon expiration of the validity period, the Supplier may modify the above economic conditions, including the components related to QVD and CGRAD, and the value of such components may also be redefined, in compliance with what is established in Article 3.2 of the CGF," would make it clear that these are charges applied at Visitel's discretion, taking as reference the values defined by ARERA.</w:t>
        <w:br/>
        <w:t>34 See memoranda of August 30, 2021, prot. n. 67668, p. 3, and February 1, 2022, prot. n. 16403, pp. 5 and 6.</w:t>
        <w:br/>
        <w:t>35 See memoranda of August 30, 2021, prot. n. 67668, p. 3 and following, and February 1, 2022, prot. n. 16403, p. 6.</w:t>
        <w:br/>
        <w:t>36 See memoranda of August 30, 2021, prot. n. 67668, pp. 3-5, and February 1, 2022, prot. n. 16403, p. 6.</w:t>
      </w:r>
    </w:p>
    <w:p>
      <w:r>
        <w:t>BULLETIN NO. 18 OF MAY 16, 2022 125</w:t>
        <w:br/>
        <w:t>- the teleselling script provided by the Company would only constitute a reference model from which profiles of omission and misleading information conveyed to the consumer could not be automatically inferred, as it was prepared in favor of the subject providing the teleselling service on behalf of Visitel itself, with which, however, the relationship was interrupted on July 10, 2020, so that this activity would have been carried out for only 42 days (from May 19 to July 7, 2020) and the telephone sales channel and the related scripts would not have been used thereafter38;</w:t>
        <w:br/>
        <w:t>- regarding the failure to determine the amount of the security deposit, the Company referred to the provision of the CGF deemed clear and complete ("bank guarantee of an amount provided equal to a minimum of 3 and a maximum of 6 average monthly payments, as a guarantee of the exact, timely, and complete fulfillment of all obligations arising from the contract")39;</w:t>
        <w:br/>
        <w:t>- as for the indication of a notice of only 60 days for unilateral changes to the economic conditions, Visitel stated that it would have been a material error, which in any case would not have generated any problems for consumers, since there would never have been a need to send new economic conditions to its customers40;</w:t>
        <w:br/>
        <w:t>- regarding the violations of the rules concerning distance contracts, Visitel claims to have always ensured consumers, in fact, the right of reconsideration, beyond the generic tenor of Article 2.2 of the CGF: therefore, barring any occasional mishaps and/or delays in the transmission of the contractual package, the behavior of the Professional would have always been substantially in compliance with the current regulations on distance contracts, particularly since the Company has never posed any obstacle to the exercise of the right of reconsideration41;</w:t>
        <w:br/>
        <w:t>- the existence of unfair commercial practices should be excluded or, in the alternative, not subject to any sanction, except for a merely symbolic amount, due to the alleged slight severity of the violations, lacking aggressive profiles and any errors lacking prejudicial consequences for customers, moreover of reduced numerical consistency ([1,000-5,000] consumers and micro-enterprises contracted with the offers subject to investigation); furthermore, the professional highlights the proactive behavior culminating in the implementation of ad hoc measures for the removal of the identified criticalities (measures that will be described below) capable of putting an end to the contested behaviors42, it being understood that the violations of the rules concerning distance contracts would have ceased on July 10, 2020, following the cessation of the use of teleselling.</w:t>
        <w:br/>
        <w:t>37 The Company attached to the final memorandum a copy of the complaint for fraud filed against the owner of the agency.</w:t>
        <w:br/>
        <w:t>38 See memoranda of August 30, 2021, prot. n. 67668, annexes 3 and 11, and February 1, 2022, prot. n. 16403, p. 7 and annex 1.</w:t>
        <w:br/>
        <w:t>39 See memoranda of August 30, 2021, prot. n. 67668, p. 11, and February 1, 2022, prot. n. 16403, p. 7.</w:t>
        <w:br/>
        <w:t>40 See memoranda of August 30, 2021, prot. n. 67668, p. 11, and February 1, 2022, prot. n. 16403, p. 7.</w:t>
        <w:br/>
        <w:t>41 See memoranda of August 30, 2021, prot. n. 67668, pp. 7-9, and February 1, 2022, prot. n. 16403, pp. 7 and 8.</w:t>
        <w:br/>
        <w:t>42 See memorandum of February 1, 2022, prot. n. 16403, p. 13.</w:t>
      </w:r>
    </w:p>
    <w:p>
      <w:r>
        <w:rPr>
          <w:b/>
        </w:rPr>
        <w:t>[Pages 124–126]</w:t>
      </w:r>
    </w:p>
    <w:p>
      <w:r>
        <w:t>BULLETIN NO. 18 OF MAY 16, 2022</w:t>
        <w:br/>
        <w:t>4) Changes to the conduct adopted by the Professional during the investigation</w:t>
        <w:br/>
        <w:t>35. During the investigation, Visitel voluntarily implemented some changes and compensatory measures in relation to the conduct contested in the initiation communication of the proceeding, as illustrated in the relevant concluding memorandum, which are indicated below. Moreover, in a communication containing updates on the measures adopted43, the Company announced that it had temporarily suspended, in March 2022, the contracting of new customers, pending a review of its offers.</w:t>
        <w:br/>
        <w:t>a) Adoption of a new model of CTE for electricity and gas supply offers</w:t>
        <w:br/>
        <w:t>36. The Professional, on February 1, 2022, modified its CTE, making some corrections aimed at increasing transparency, clarity, completeness, and comparability, through:</w:t>
        <w:br/>
        <w:t>- the simplification of the marketing charges applied, without references to the values defined by ARERA;</w:t>
        <w:br/>
        <w:t>- the elimination of the "fixed energy management fee";</w:t>
        <w:br/>
        <w:t>- the elimination of the "cancellation fee towards a new supplier";</w:t>
        <w:br/>
        <w:t>- the revision of the cost for investigation and activation activities, which is separated from the loyalty bonus;</w:t>
        <w:br/>
        <w:t>- a clearer representation of the economic supply conditions, distinguishing the charges applied at the operator's discretion from the so-called pass-through charges;</w:t>
        <w:br/>
        <w:t>- the explicit indication of the value of all cost items applied by the Professional.</w:t>
        <w:br/>
        <w:t>37. In particular, the new CTE related to electricity supply offers44 provide for the following charges:</w:t>
        <w:br/>
        <w:t>the amount of which is indicated in a specific table:</w:t>
        <w:br/>
        <w:t>43 See doc. prot. n. 28242 of 21/3/2022.</w:t>
        <w:br/>
        <w:t>44 See memorandum of February 1, 2022, prot. n. 16403, annex 2.</w:t>
      </w:r>
    </w:p>
    <w:p>
      <w:r>
        <w:t>BULLETIN NO. 18 OF MAY 16, 2022</w:t>
        <w:br/>
        <w:t>38. Similarly, the new CTE related to gas supply offers45 provide for the following charges:</w:t>
        <w:br/>
        <w:t>the amount of which is indicated in a specific table:</w:t>
        <w:br/>
        <w:t>b) Adoption of a new model of CGF for electricity and gas supply offers</w:t>
        <w:br/>
        <w:t>39. The Professional, on February 1, adopted an updated version of the CGF – valid simultaneously for the supply of both electricity and natural gas and reflecting the changes made to the CTE – in order to adjust the provisions regarding the security deposit as well as those concerning unilateral changes to contractual conditions, conclusion of distance contracts, and the right of withdrawal46.</w:t>
        <w:br/>
        <w:t>40. For what is relevant here, the changes made in the updated version of the CGF are:</w:t>
        <w:br/>
        <w:t>i) Article 2.2 (Right of Withdrawal) provides, among other things, that "If the Contract is to be concluded at a distance, it is concluded at the moment the Customer receives the contractual documentation and the welcome communication and communicates acceptance of the Supplier's offer, pursuant to current legislation. In such cases, and in the case of conclusion of the Contract outside the Supplier's commercial premises, in the cases provided for by the Consumer Code, the customer may withdraw from the contract without charges and without having to provide any reason within 14 (fourteen) days from the date of conclusion of the Contract. The Right of withdrawal can be exercised by sending a written communication, also using the appropriate form, included in the contractual documentation made available to the Customer and also published on Visitel's website, www.visitel.it, using one of the following methods: Registered mail A/R sent to Visitel s.r.l. - Piazza Veronesi, 7 46019 Viadana (Mn) fax 0375 82311 / - via PEC: for the energy sector: - recessiee@pec.visitel.it - via PEC: for the gas sector: - recessigas@pec.visitel.it";</w:t>
        <w:br/>
        <w:t>ii) Article 2.4 (Unilateral Change of Contractual Conditions) provides that "The Supplier expressly reserves the right to unilaterally change specific contractual clauses for justified reasons, with a notice of not less than 90 days prior to the effective date of the changes, the aforementioned term being considered to commence from the first day of the month following the receipt by the customer of the relevant written communication. Unless proven otherwise, the aforementioned communication is presumed to be received 10 days after it has been sent by the supplier. This written communication contains the heading "Proposal for unilateral modification of the contract," pursuant to Article 13.3 of the Code of Conduct, and will be sent to the customer by specific communication, and CANNOT be transmitted within the billing documents or together with them, unless the unilateral change is configured as a reduction of the fees originally provided for in the contract. The Customer is free to withdraw from the contract, pursuant to Article 2.5 of these CGF, in the event of receipt of the communication regarding the unilateral change of contractual conditions. In the absence of withdrawal, the new economic conditions will be considered accepted by the Customer";</w:t>
        <w:br/>
        <w:t>iii) Article 10 expressly refers to the CTE for the determination of the amount of the security deposit;</w:t>
        <w:br/>
        <w:t>c) Adjustment of additional informational, contractual, and promotional material and teleselling scripts</w:t>
        <w:br/>
        <w:t>41. The Professional declares its intention to make consistent with the changes already made to the CTE and CGF, just illustrated, the additional informational, contractual, and promotional material to be introduced regarding its offers and, in particular:</w:t>
        <w:br/>
        <w:t>i) in the event of the introduction of promotions focused on the price of the supply, on every communication channel, Visitel will adjust its promotional material to the changes of the new CTE model, also ensuring to explicitly state the price of the energy component and all the cost items set at discretion (within the limits imposed by the communication medium) and to guarantee equal graphic prominence to each of these cost items; furthermore, in the presence of any discounts and bonuses, the Company will always make clear, in its promotional material, the components and methods of application;</w:t>
        <w:br/>
        <w:t>ii) if the teleselling channel were to be restored by the Company, the latter will adopt a script model "that reflects the content of the new CTE model and provides clear and complete information to the consumer, particularly regarding the economic conditions of the offer (including the existence of marketing and sales charges and other charges provided), the methods of concluding the distance contract, and the right of withdrawal."</w:t>
        <w:br/>
        <w:t>d) Economic compensation measures</w:t>
        <w:br/>
        <w:t>42. The Professional has adopted measures aimed at ensuring economic compensation for customers to whom marketing charges and other charges have been applied since 2019.</w:t>
      </w:r>
    </w:p>
    <w:p>
      <w:r>
        <w:rPr>
          <w:b/>
        </w:rPr>
        <w:t>[Pages 127–129]</w:t>
      </w:r>
    </w:p>
    <w:p>
      <w:r>
        <w:t>BULLETIN NO. 18 OF MAY 16, 2022 129</w:t>
        <w:br/>
        <w:t>procedure, determined in a lump sum of [10-50] euros for each eligible customer47.</w:t>
        <w:br/>
        <w:t>43. This compensation concerns all customers (currently active or terminated) contracted with the offers subject to the procedure, quantified at [1,000-5,000]; in the aforementioned communication regarding the implementation status of this measure, Visitel specified that it has informed all affected customers about the compensation, disbursing approximately 70% of the total refunds48.</w:t>
        <w:br/>
        <w:t>IV. OPINION OF THE AUTHORITY FOR GUARANTEES IN COMMUNICATIONS</w:t>
        <w:br/>
        <w:t>44. Since the conduct subject to this measure has also been carried out through teleselling and the Internet, on April 22, 2021, an opinion was requested from the Authority for Guarantees in Communications, pursuant to Article 27, paragraph 6, of the Consumer Code49.</w:t>
        <w:br/>
        <w:t>45. In a communication received on March 3, 202250, the aforementioned Authority expressed the requested opinion, limiting its assessments to the suitability of the specific means of communication used to disseminate the commercial practices to impact and amplify any misleading and/or unfairness of the same practice and, at the same time, highlighting the considerable importance of the issue of tariff transparency, both in the advertising phase on websites and in the contractual phase, and the protection of the customers' right of withdrawal following unilateral changes to the contractual conditions.</w:t>
        <w:br/>
        <w:t>After noting, in general, the "particularly invasive" nature of the teleselling sales channel51 as well as the progressive increase in the daily use of the Internet among the Italian population also for the purchase of goods and services, the Authority for Guarantees in Communications considered that such means of communication, used by Visitel in offering its services to customers, "are suitable to develop a significant impact on consumers who, based on the information received through telephone contact or read on the professional's website, could be induced to make a commercial decision that they otherwise would not have made, thus concretely developing the full promotional potential of the aforementioned communications."</w:t>
        <w:br/>
        <w:t>46. Therefore, this Authority deemed that, "based on the documentation in the records, in this case, teleselling and the Internet are tools suitable to significantly influence the realization" of the commercial practices subject to the opinion.</w:t>
        <w:br/>
        <w:t>47 Visitel describes the communication and information methods for the refunds as follows: "For currently active customers, the refund is executed through direct credit to customers' bank accounts with direct debits or by offsetting the corresponding amounts in the invoice. These customers are sent an email communication that explains the reason for the refund, so that they have all the informational elements, also for the purpose of possibly exercising the right of withdrawal. For terminated customers, a similar communication is sent to them via email and – following the response to this communication from the customer, with communication of the bank details – the refund is made by bank transfer or cashier's check."</w:t>
        <w:br/>
        <w:t>48 See doc. prot. no. 28242 of 3/21/2022 and related attachments.</w:t>
        <w:br/>
        <w:t>49 Docs. prot. nos. 16672 and 16674 of 2/1/2022.</w:t>
        <w:br/>
        <w:t>50 Doc. prot. no. 24487 of 3/3/2022.</w:t>
        <w:br/>
        <w:t>51 In particular, the Authority considered that "teleselling is a particularly invasive tool of private life, based on a telephone communication network on fixed and mobile stations covering the entire population, capable of quickly offering the user a wide sequence of information aimed at influencing their behavior; in particular, this method often subjects the contacted individual, a virtual user of the offered services, to an unsolicited solicitation both regarding the content and the timing of its occurrence."</w:t>
      </w:r>
    </w:p>
    <w:p>
      <w:r>
        <w:t>130 BULLETIN NO. 18 OF MAY 16, 2022</w:t>
        <w:br/>
        <w:t>V. OPINION OF THE REGULATORY AUTHORITY FOR ENERGY NETWORKS AND ENVIRONMENT</w:t>
        <w:br/>
        <w:t>47. Since the conduct subject to this measure concerns the energy sector, on February 1, 2022, an opinion was requested from the Regulatory Authority for Energy, Networks and Environment, pursuant to and for the effects of Article 27, paragraph 1-bis, of the Consumer Code, introduced by Article 1, paragraph 6, letter a), of Legislative Decree no. 21/201452.</w:t>
        <w:br/>
        <w:t>48. In a communication received on March 30, 202253, the aforementioned Authority expressed its opinion, summarizing the considerations as follows.</w:t>
        <w:br/>
        <w:t>49. ARERA stated that the commercial practices contested against Visitel involve issues relevant from a regulatory perspective54 and that, in analyzing them, the evaluations expressed in the opinion do not address the possible violation of the Consumer Code but rather pertain exclusively to any profiles of non-compliance with the regulatory provisions deemed more significant also due to the sector specificity.</w:t>
        <w:br/>
        <w:t>50. ARERA then specified that "For the purposes of evaluating the conduct carried out by the Professional during the period subject to the procedure (from 2019 until the end of 2021), the provisions contained in both the text of the Commercial Conduct Code referred to in Annex A to resolution 366/2018/R/COM in force until June 30, 2021, and in the text of the Commercial Conduct Code in force from July 1, 2021, as amended and supplemented by resolutions 426/2020/R/COM and 97/2021/R/COM, are relevant." This refers to the Commercial Conduct Code for the sale of electricity and natural gas to final customers – as per Annex A to Resolution June 28, 2018, 366/2018/R/COM – aimed at protecting all final customers (including small non-domestic customers) during the promotion, offering, and conclusion of contracts for the supply of electricity and/or natural gas in the free market and preventing harmful conduct by sellers by imposing specific obligations of information and transparency towards the contractors/users. This Resolution was amended by the subsequent resolution 426/2020/R/COM of October 27, 2020, whose provisions came into force from July 1, 2021 (except for the innovations regarding unilateral changes and automatic evolutions referred to in Articles 13 and 14, which are effective from October 1, 2021, as provided by resolution March 9, 2021, 97/2021/R/COM).</w:t>
        <w:br/>
        <w:t>The Commercial Conduct Code</w:t>
        <w:br/>
        <w:t>51. Regarding the relevant sector regulation, ARERA extensively referenced the provisions of the "Commercial Conduct Code for the sale of electricity and natural gas to final customers"55, which represents a sector specification of the general legislation on consumer protection, adopted with the general objective of preventing harmful conduct towards final customers (including small non-domestic customers) when they receive offers for the conclusion of contracts for the supply of electricity and/or natural gas in the free market.</w:t>
        <w:br/>
        <w:t>52. The obligations on sellers concern the pre-contractual phase and specific aspects of the contractual phase, within the relationship that occurs between the parties following the conclusion of the contract. The Commercial Conduct Code, the main provisions of which are summarized below, provides that sellers transparently, completely, and non-discriminatorily provide information regarding their contractual offers and adopt all reasonable measures to meet the information and assistance needs of customers in evaluating such offers56.</w:t>
        <w:br/>
        <w:t>The new text (in force from July 1, 2021)</w:t>
        <w:br/>
        <w:t>53. The new text of the Commercial Conduct Code introduces, starting from July 1, 2021, a revision of the criteria for communicating supply prices, as per Article 5, providing for the obligation for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due are indicated exclusively in €/POD/year or €/PdR/year, those in proportion to the contracted power exclusively in €/kW while those for any reactive energy withdrawals exclusively in €/kvarh.</w:t>
        <w:br/>
        <w:t>54. Also in Article 5, it is specified that the amounts cannot have the same name as the unit amounts, components, or elements defined by the Authority except in cases where the values of the aforementioned amounts are set equal to those currently defined by the Authority itself.</w:t>
        <w:br/>
        <w:t>55. Furthermore,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text)57.</w:t>
        <w:br/>
        <w:t>56. Regarding the improper billing of penalties for withdrawal, ARERA's opinion recalls what is established by the regulation concerning withdrawal from contracts for the supply of electricity and natural gas for small customers. In particular, with reference to cases of supplier change, ARERA recalled the regulation whereby the timing of withdrawal has been aligned with the switching procedures provided by the Integrated Information System (of which the relevant provisions are detailed in the following sections).</w:t>
        <w:br/>
        <w:t>56 Regarding the pre-contractual phase, the relevant rules of the Commercial Conduct Code are Articles 5 and 6 (criteria for communicating the service prices and the overall costs associated), 9.1, letters k and l (completeness of the contractual package due to the customer); 19 (adequate information on additional charges to the service fees); 20 and 21 (complete information on the calculation methods for updating the fees subject to indexing/variation based on the contract, on discounts and bonuses as well as on other specific aspects of the offer). For the contractual phase, ARERA specifically recalls Articles 10 and 11 (minimum informational contents of the contract) as well as Articles 15 to 23 (criteria for identifying the various fees and charges billed to final customers) of the Commercial Conduct Code.</w:t>
        <w:br/>
        <w:t>57 The Summary Sheet, replacing the Information Note, is a new tool that summarizes all the informational obligations, on the seller's part, related to the offer, in a standardized and understandable format for the final customer, to be delivered to all customers supplied at low voltage and/or with natural gas consumption not exceeding 200,000 Smc/year.</w:t>
      </w:r>
    </w:p>
    <w:p>
      <w:r>
        <w:rPr>
          <w:b/>
        </w:rPr>
        <w:t>[Pages 130–132]</w:t>
      </w:r>
    </w:p>
    <w:p>
      <w:r>
        <w:t>132 BULLETIN NO. 18 OF MAY 16, 2022</w:t>
        <w:br/>
        <w:t>following: SII)58; in general, the right of withdrawal, exercised within the terms mentioned above, cannot be subject to penalties or any charges whatsoever.</w:t>
        <w:br/>
        <w:t>Considerations regarding the conduct contested to the Professional</w:t>
        <w:br/>
        <w:t>57. With specific reference to the case at hand, ARERA states that, in general, "the provisions of the Code of Commercial Conduct, both with reference to the text in force until June 30, 2021, and with reference to the text in force from July 1, 2021, since the unfair commercial practice identified falls within the period 2019-2021, would appear to be disregarded by the Professional, in all cases where Visitel has provided, both in the pre-contractual phase and in the contractual phase, the application to the customer of amounts not previously communicated and determined according to the criteria illustrated above. In this regard, it is, in fact, necessary that the expenses and fees related to the charges invoiced to final customers have found specific and adequate confirmation within the promotional material and in the contractual documentation."</w:t>
        <w:br/>
        <w:t>58. Specifically, the provisions of the Code of Commercial Conduct appear to be disregarded with the conduct contested by AGCM where:</w:t>
        <w:br/>
        <w:t>- the illustration of certain fees in the contractual documentation, regarding the amount, methods, and application constraints, is fragmented and not transparent; by way of example, the Regulatory Authority highlights that the fee PCV for the electricity offer and the fee QVD for the natural gas offer are not indicated in their unit value and are described as "fees subject to variations defined by ARERA" without further specifications, and that the fixed energy management fee of the natural gas offer, while being in all respects a unit fee due in a fixed amount, is indicated in a unit value in terms of €/Smc, leaving the final customer to calculate the unit fee in terms of €/PdR/year59;</w:t>
        <w:br/>
        <w:t>- the illustration of certain fees in the sales scripts used for the conclusion of distance contracts is also fragmented and not transparent; by way of example, ARERA emphasizes that the fees due from the final customer in a fixed amount (flat fee covering the costs of electricity generation, technical administrative management fee, and fee for the remuneration of commercial activities carried out by the supplier) are indicated exclusively in €/month, instead of also in €/year;</w:t>
        <w:br/>
        <w:t>- the indication of the amount of the security deposit required as a guarantee from the final customer is omitted in the contractual documentation;</w:t>
        <w:br/>
        <w:t>- in the case of conclusion of the contract through distance communication techniques, the transmission of the contractual document, the durable medium where the telephone recording of the contract is stored, and/or the durable medium containing the confirmation of the acceptance recording is omitted;</w:t>
        <w:br/>
        <w:t>58 Based on the new timelines, therefore, for all domestic and non-domestic customers, the withdrawal can be notified by the incoming seller by the 10th day of the month preceding the date of the seller change; in the case of withdrawal for termination of supply, the notice period cannot exceed 1 month from the receipt, by the outgoing seller, of the withdrawal communication.</w:t>
        <w:br/>
        <w:t>59 In this regard, ARERA specifies that the CTE of the CRSVISNatural Home Plus offer provide for the charge of "a fixed energy management fee, expressed in €/PdR/month, calculated at a rate of 0.2 €/smc applied to the first 75 smc withdrawn in each month of supply regardless of the actual withdrawal."</w:t>
      </w:r>
    </w:p>
    <w:p>
      <w:r>
        <w:t>BULLETIN NO. 18 OF MAY 16, 2022 133</w:t>
        <w:br/>
        <w:t>- the notice period for the written communication of unilateral variation is defined as 60 days (and not 90 days) and the Professional reserves the right to send the final customer such communication through a note on the invoice (and not through a document separate from the invoice) even if the unilateral variation does not configure as a mere reduction of the fees originally provided in the contract.</w:t>
        <w:br/>
        <w:t>59. Regarding withdrawal – and specifically concerning the improper billing of penalties to the customer in such an event – ARERA refers to its Resolution of June 9, 2016, 302/2016/R/COM60, as last modified by resolution 783/2017/R/COM, which, in reviewing the previous regulations on the matter and reorganizing the procedures and timelines to be followed for switching, also expressly provided that the right of withdrawal, exercised by the user within the terms provided therein, "cannot be subject to penalties or any charges whatsoever and that any clauses in this sense must be considered not applied"61.</w:t>
        <w:br/>
        <w:t>60. Therefore, according to ARERA, "The regulatory provisions regarding withdrawal would appear to be disregarded by the Professional in all cases where it has provided for the recovery of fees, previously discounted, at the time of early withdrawal compared to the months of contractual duration, as in the case of the one-time setup cost, which is fully discounted by Visitel but charged in the case of withdrawal before the expiration of the 12-month term for each month of non-supply"; this, ARERA further specifies, "without prejudice to any subsequent conduct, the specific provision of Article 7, paragraph 5" of Legislative Decree No. 210 of November 8, 2021, which came into force on December 26, 2021, "which allows, in compliance with precise principles of transparency and for specific contractual cases, the request for a fee in the event of early withdrawal from an electricity supply contract," provided that the amount requested is proportionate and does not exceed the economic loss directly suffered by the supplier, who bears the burden of proving the existence and extent of such loss63.</w:t>
        <w:br/>
        <w:t>VI. CONCLUDING EVALUATIONS</w:t>
        <w:br/>
        <w:t>61. The proceeding in question concerns the evaluation of the behaviors carried out by Visitel, starting from 2019, in relation to:</w:t>
        <w:br/>
        <w:t>60 Resolution of June 9, 2016, 302/2016/R/com, and related Annex A, containing "Methods and timelines related to the regulation of withdrawal from supply contracts" and subsequent amendments.</w:t>
        <w:br/>
        <w:t>61 Article 6, paragraph 5, Annex A to resolution 302/2016/R/com.</w:t>
        <w:br/>
        <w:t>62 "Implementation of EU Directive 2019/944, of the European Parliament and of the Council, of June 5, 2019, on common rules for the internal electricity market and amending Directive 2012/27/EU, as well as containing provisions for the adaptation of national legislation to the provisions of EU Regulation 943/2019 on the internal electricity market and EU Regulation 941/2019 on risk preparedness in the electricity sector and repealing Directive 2005/89/EC."</w:t>
        <w:br/>
        <w:t>63 The referenced provision states: "The supplier may impose on its customers, individual or aggregated, the payment of a sum of money in the event of early withdrawal from a fixed-term or fixed-price supply contract, provided that such burden has been indicated, in an express, clear, and easily understandable manner, both in the informational document communicated prior to the conclusion of the contract and in the contract itself and has been specifically approved and signed by the customer. The amount requested must in any case be proportionate and cannot exceed the economic loss directly suffered by the supplier or the market participant involved in an aggregation following the early termination of the contract, including costs related to any investment packages or services already provided to the customer under the contract. The burden of proving the existence and extent of such direct economic loss lies with the supplier."</w:t>
      </w:r>
    </w:p>
    <w:p>
      <w:r>
        <w:t>134 BULLETIN NO. 18 OF MAY 16, 2022</w:t>
        <w:br/>
        <w:t>a) the lack of transparency and completeness of the information provided, particularly in the Technical Economic Conditions (CTE) and in the promotional material available on its website, regarding the existence and quantification of costs applicable to users – such as marketing charges and other charges ("fixed energy management fee," "one-time setup cost," "cancellation fee to the old supplier") autonomously determined by the company – as well as other characteristics of the offer, related to the renewal of economic conditions and the security deposit;</w:t>
        <w:br/>
        <w:t>b) the existence of contractual provisions in possible violation of the applicable rules for the conclusion of distance contracts and the recognition of the right of withdrawal to consumers.</w:t>
        <w:br/>
        <w:t>62. It is preliminarily noted that the proceeding was initiated as part of a generalized verification regarding the behavior of a number of operators in the energy sector in the promotion and dissemination of commercial offers in the free market for the supply of electricity and natural gas services, particularly in terms of completeness and transparency of information, within the contractual and promotional material.</w:t>
        <w:br/>
        <w:t>63. Also in light of the context now outlined, the preliminary observations expressed by the Professional in its submissions regarding elements such as the small size and organizational structure that characterize it, the limited number of customers who have adhered to the offers subject to investigation, the presence of a small number of reports (which, moreover, assume a specific function of impetus and feedback for the investigative activity and verification of the Authority) and the alleged "formal" nature of some violations contested by AGCM – as they pertain to contractual clauses included in the CGF but, in fact, remained unimplemented for users64 – are irrelevant. In this regard, it is useful to recall the principle – consistently reiterated by administrative judges – according to which the nature of the consumer offense is one of "mere danger" and its configurability, in the specific case, is independent of the actual occurrence of harm to consumers65.</w:t>
        <w:br/>
        <w:t>64. Coming to the merits of the contested issues described above, part II, sub a) and b), they – based on the elements emerged during the proceeding – can be traced to distinct violations of the Consumer Code:</w:t>
        <w:br/>
        <w:t>- the commercial practice sub a), relating to the opacity and incompleteness of the information provided, on various documents/supports, regarding the existence and quantification of costs applicable to users (marketing charges and other charges autonomously determined by the company) and the security deposit as well as the adoption of inadequate communication methods for unilateral changes to contractual conditions, is in violation of Articles 20, 21, and 22 of the Consumer Code;</w:t>
        <w:br/>
        <w:t>64 Reference is made, for example, to the defensive counterarguments of the Professional regarding the provision (in Articles 2 and 3 of the CGF) of communication to the user of any unilateral contractual or economic changes directly on the bill or with a vaguely specified communication and within a shorter timeframe than that provided for by regulation as well as the clarification that it has always ensured consumers, in fact, the right of reconsideration, beyond the generic tenor of Article 2.2 of the CGF (See submissions of August 30, 2021, prot. no. 67668, pp. 7-9 and 11, and of February 1, 2022, prot. no. 16403, pp. 7 and 8).</w:t>
        <w:br/>
        <w:t>65 In this regard, "it is not necessary to identify a concrete prejudice to the rights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has instead intended to avert" (See TAR Lazio: no. 6446 of July 3, 2009, no. 218 of January 10, 2017, and no. 2245 of February 20, 2020; Council of State: no. 1425 of February 27, 2020).</w:t>
      </w:r>
    </w:p>
    <w:p>
      <w:r>
        <w:rPr>
          <w:b/>
        </w:rPr>
        <w:t>[Pages 133–135]</w:t>
      </w:r>
    </w:p>
    <w:p>
      <w:r>
        <w:t>BULLETIN NO. 18 OF MAY 16, 2022 135</w:t>
        <w:br/>
        <w:t>- the violations under b), relating to the existence of violations of the applicable rules for the conclusion of distance contracts and the recognition of the right of withdrawal for consumers, consisting of the regulation for concluding the contract in ways incompatible with the aforementioned rules, the failure to deliver the contractual package and the form for exercising the right of reconsideration and the omitted information regarding it, the failure to send and/or make available to the consumer the durable medium where the telephone recording of the contract is stored and/or the durable medium containing the confirmation of the recording of their acceptance, constitute a violation of Articles 49, paragraph 1, letter h), and 51, paragraphs 6 and 7, of the Consumer Code;</w:t>
        <w:br/>
        <w:t>The commercial practice under a)</w:t>
        <w:br/>
        <w:t>65. As already highlighted by the Authority in previous decisions taken against some of the main operators in the sector, the amount of marketing charges related to the supply of energy products, which in the free market are set at the seller's discretion, represents a cost item, even significant, that must be indicated in its unit value in the economic supply conditions, in the scripts used in teleselling (even though this last channel was abandoned by the Professional in July 2020, as documented by the same), and in promotional material, as it significantly affects the overall expenditure for energy, especially in the case of domestic customers.</w:t>
        <w:br/>
        <w:t>66. In this context, the mere reference to the value of the marketing fees set by ARERA for the protected market does not constitute a valid indicator for consumers, who find themselves having to retrieve the relevant resolutions in order to know the extent of such charges. It is noted in this regard that, in the free market for energy products, the marketing and sales fee represents an important competitive lever that suppliers can use to characterize their offers. For this purpose, such charges must be clearly indicated by the seller from the first contact with the consumer, so as to allow the latter to make an informed purchasing choice.</w:t>
        <w:br/>
        <w:t>67. The failure to indicate the value of the marketing charges for electricity and gas in the contractual documentation (CTE) and in the sales scripts, limiting itself to referring to the values set in the ARERA resolutions related to the protected market or completely omitting the existence of such charges in advertising communications, represents a serious informational deficiency that prevents consumers from ascertaining the actual expenditure for energy before signing the supply contract.</w:t>
        <w:br/>
        <w:t>68. Similarly, all items, set at the Supplier's discretion, that determine the expenditure for energy must be explicitly stated so that the buyer can fully and clearly understand the economic terms of the offer in order to subscribe to it with full awareness.</w:t>
        <w:br/>
        <w:t>69. Therefore, the provision of marketing charges - indicated by Visitel in the CTE with the acronyms PCV (Price Marketing Sale) for electricity, or QVD (Retail Sale Quota) for gas, without a specific and precise indication of their amount, simply followed by a checkmark in the "ARERA reference economic conditions" column that should imply a reference to the latter, represents a further serious informational omission: these are, in fact, economically relevant elements that must be clearly delineated and made known to users in all forms of communication – including the sales scripts used in concluding contracts via teleselling – especially where the promotional emphasis concerns the price of energy or certain components of the supply price, generally those advantageous, in order to correctly inform the consumer and not mislead them regarding the actual convenience of the offer, conditioning them in their economic behaviors that they would not otherwise have chosen.</w:t>
        <w:br/>
        <w:t>70. The burden of providing correct information on the various price components, which were originally indicated by the Professional without a reference value, in a confusing and incomprehensible manner, as in the tables above (See Figures 1 and 2), appears not to have been fulfilled by the Professional from 2019 until the end of January 2022 (date of modification of the CTE). The latter, in fact, instead of identifying the amount of all cost items borne by the contractor, limited itself on one hand to referring to or deferring to regulatory/normative acts that are not easily retrievable and, moreover, have a technical content not immediately understandable to the average consumer and not directly intended for them, when not simply mentioning the charges in the form of acronyms included in the aforementioned acts, on the other hand, generating in the customer the belief of a greater convenience of the subscribed offer through misleading information about the apparent non-payment of marketing costs, given that (despite the quantification of "marketing charges" at 0 euros) these are in any case paid through the aforementioned marketing components - PCV and QVD - respectively provided for the supply of electricity and gas.</w:t>
        <w:br/>
        <w:t>71. In particular, the reference to the ARERA resolutions for the quantification of the last two items mentioned in the offers in the free market also appears capable of misleading the consumer about the nature of such price components, generating the erroneous belief of their "predetermined" and mandatory nature for the user, whereas instead such charges (unlike those actually bound but not defined therein) can be established at the discretion of the company and constitute (or should constitute) elements of differentiation and competitive comparison among the sales companies in the free energy market. And, precisely in view of the complete liberalization of this market, it is essential – to guarantee not only consumers but also the professionals in the sector – that correctness, transparency, and completeness of information regarding the price variable and, also, the determining characteristics of the specific commercial proposal are ensured to buyers from the first contact.</w:t>
        <w:br/>
        <w:t>72. As emerged from the investigative acquisitions, this fundamental principle – which has long been reiterated by administrative judges66 – does not appear to have been respected in the case at hand also regarding other economic characteristics of the energy offer.</w:t>
        <w:br/>
        <w:t>66 “the principle of clarity and completeness in advertising communications is imposed from the first contact with the consumer, with the consequence that the reference to further sources of information, among other things of only potential consultation, does not allow for the ex post remedy of the informational burden imposed on the operator” (Council of State, section VI, March 12, 2020, no. 01751). And again “for the purpose of verifying any profiles of incorrectness of the information present in an advertising message, the content and the methods of representation of the product must be related to the standards of clarity, completeness, and perceptibility of the relevant elements of the good being sold, whose knowledge appears essential for an informed commercial choice. In order to avoid that consumers are misled in formulating the sales offer, all those precautions useful for the aforementioned purpose must therefore be implemented, considering that the graphic and textual representation of messages, where it does not render certain information easily perceivable (as it is presented with little graphic emphasis compared to the emphasis on other elements), can well be traced back to the normative paradigm of unfair commercial practices, aimed at protecting the consumer's freedom.</w:t>
        <w:br/>
        <w:t>BULLETIN NO. 18 OF MAY 16, 2022 137</w:t>
        <w:br/>
        <w:t>73. Furthermore, the omission of the "nature" and the indeterminacy of other items mentioned in the CTE of the offers proposed by Visitel from 2019 until January 2022, such as the components CPR, GRAD, and CVG, regardless of the quantification at 0 euros of some of them, have prevented consumers from easily and, above all, immediately understanding the impact of such components on the overall expenditure for an informed option regarding the offer in question.</w:t>
        <w:br/>
        <w:t>74. The aforementioned communicative method was also adopted with reference to the indication of the separate charge attributable as a security deposit, as the Professional failed to clearly and precisely specify its amount in the contractual documentation, referring only to a certain number of "monthly payments," which cannot be quantified (at least a priori) by the consumer in a certain amount.</w:t>
        <w:br/>
        <w:t>75. Similar evaluations can be made regarding the additional charges ("fixed energy management fee," "one-time processing fee," and "cancellation fee to the old supplier") briefly mentioned in the CTE and substantially lacking a specific and fully justified cause.</w:t>
        <w:br/>
        <w:t>76. In addition to this, from another perspective, it is important to recall the aforementioned ambiguous method of applying the "one-time processing fee," configured in such a way as to qualify it simultaneously as due in a single payment, but charged on a monthly basis, subject to compensation with a bonus of equal amount recognized by Visitel for each month of actual supply, with a charging formula that appeared to be ambiguously conceived.</w:t>
        <w:br/>
        <w:t>77. In this regard, in its opinion, the Regulatory Authority highlighted, among other things, in addition to the inadequate description of the PCV and QVD charges, as "fees subject to variations defined by ARERA," that the regulatory provisions, according to which energy suppliers are prohibited from applying to domestic and/or small customers additional charges as penalties or expenses of any name and that any clauses in this sense must be considered not applied, would seem to have been disregarded by the Professional with the recovery of fees, previously discounted, at the time of early withdrawal before the contractual duration months, carried out through the "one-time processing fee," which is fully discounted by Visitel but charged in the case of withdrawal before the expiration of the 12-month term for each month of non-supply67. Moreover, the violation concerning the processing fee appears to be attributable exclusively to misleading profiles, related to the lack of transparency of the provision of the right to self-determine free from any possible influence, even indirect, that may affect their economic choices. The burden of completeness and clarity of information imposed by sector regulations on professionals essentially requires, in accordance with the diligence standard, that every communication to consumers represents the essential characteristics of what it aims to advertise. In this regard, any informational omission that, if necessary, combines with the emphasis on certain elements of the service offered, renders the real content and terms of the offer or product not clearly perceivable, thus misleading the consumer and conditioning them in their economic behaviors that they would not otherwise have adopted (…) according to settled case law, the principle of clarity and completeness in advertising communications is imposed from the first contact or "hook" with the consumer who must be placed in a position to evaluate the economic offer in its essential elements in order to clearly perceive its scope and consequently make an informed economic choice (ex multis, Cons. State, section VI, November 30, 2020, no. 7566)” (TAR Lazio, section I, June 15, 2021, no. 7161).</w:t>
        <w:br/>
        <w:t>67 See Del. ARERA 783/2017/R/com, Annex 2, Article 6, paragraph 5.</w:t>
      </w:r>
    </w:p>
    <w:p>
      <w:r>
        <w:rPr>
          <w:b/>
        </w:rPr>
        <w:t>[Pages 136–138]</w:t>
      </w:r>
    </w:p>
    <w:p>
      <w:r>
        <w:t>138 BULLETIN NO. 18 OF MAY 16, 2022</w:t>
        <w:br/>
        <w:t>itself, especially since the recently introduced primary legislation68 now allows, in compliance with precise principles of transparency and for specific contractual situations, the request for a fee in the event of early termination of an electricity supply contract, provided that the amount requested is proportionate and does not exceed the economic loss directly suffered by the supplier, who bears the burden of proving the existence and extent of such loss: this provision, to which the new CTE of Visitel appears to conform, albeit having been introduced in the meantime, may help to interpretatively exclude aggressive aspects from the methods of charging such burden, the costs incurred for which were justified by the Professional during the proceedings69.</w:t>
        <w:br/>
        <w:t>78. Furthermore, the provisions of the CGF adopted by Visitel – from 2019 until January 2022 – regarding the methods of communication of unilateral changes or renewal of contractual economic conditions, through the mere billing document and with a notice period of only 60 days, have proven insufficient, incomplete, and not compliant with the standard of diligence expected from a Professional in the sector, as also indicated by the current regulation and specifically pointed out by ARERA in its opinion. Moreover, Visitel has stated that it has never availed itself of such rules, having not applied contractual or economic changes to communicate to its customers.</w:t>
        <w:br/>
        <w:t>79. It should be specifically noted that these are changes that substantially affect the consumer relationship established with the company at the time of signing the supply offer: the customer, therefore, was not placed in a position to be adequately alerted to the potential significance of the proposed changes (due to the indistinct communication together with the billing data within the invoice) precisely regarding those elements (i.e. the economic characteristics) that led him to conclude the contract. Additionally, there is also an incongruous notice period (and shorter than that deemed adequate by the regulation itself) to allow the customer to make subsequent commercial choices, including the possibility of evaluating a switching, without charges, in the event of non-acceptance of the same changes.</w:t>
        <w:br/>
        <w:t>80. In the aforementioned respects, the behavior of the Professional, both considered globally and with reference to each of the individually identified conducts, is in contrast with Articles 20, 21, and 22 of the Consumer Code.</w:t>
        <w:br/>
        <w:t>The violations under b)</w:t>
        <w:br/>
        <w:t>81. At least since 2019 (and until the modification of the CGF on February 1, 2022), the Professional has included in its general supply conditions a clause regarding the conclusion of the contract that is not compliant with the regulations on distance contracts. In fact, Article 2.2 of the CGF, according to which "The supply contract is perfected at the moment the Customer receives the acceptance of the Supplier, which may arrive through any form of remote communication or by activating the service pursuant to Article 1327 of the Civil Code and has an indefinite duration (unless otherwise indicated in the economic conditions), the start date and duration of the economic conditions are reported in the economic conditions...", does not anchor the perfection of the offer to the sending of contractual documentation and welcome letter (and indeed even provides for tacit acceptance pursuant to Article 1327 of the Civil Code), does not appear to be in line with what is required by the aforementioned regulations.</w:t>
        <w:br/>
        <w:t>82. In response to consumer complaints regarding the failure to deliver the contractual package and the form for exercising the right of withdrawal as well as the omitted information regarding the latter, the failure to send and/or the failure to make available to the consumer the durable medium where the telephone recording of the contract is stored and/or the durable medium containing the confirmation of the recording of his acceptance, the Professional has claimed the sporadic nature of cases of non-delivery of the contractual documentation, due to mere misunderstandings, also stating that it has effectively always guaranteed the exercise of the right of withdrawal and has sent a welcome letter model attached to such documents; moreover, it has documented how the use of the teleselling channel actually occurred for only 42 days.</w:t>
        <w:br/>
        <w:t>83. In this regard, ARERA also criticizes Visitel's behavior when, in the case of concluding the contract through remote communication techniques, the transmission of the contractual document, the durable medium where the telephone recording of the contract is stored and/or the durable medium containing the confirmation of the consumer's willingness to adhere to the commercial offer is omitted.</w:t>
        <w:br/>
        <w:t>84. Therefore, the failure to deliver the contractual package and the form for exercising the right of withdrawal and the omitted information regarding it, the failure to send and/or the failure to make available to the consumer the durable medium where the telephone recording of the contract is stored and/or the durable medium containing the confirmation of the recording of his acceptance constitutes a violation of Articles 49, paragraph 1, letter h), and 51, paragraphs 6 and 7, of the Consumer Code.</w:t>
        <w:br/>
        <w:t>VII. QUANTIFICATION OF THE SANCTION</w:t>
        <w:br/>
        <w:t>85.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br/>
        <w:t>86. In the case of a proceeding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87.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88. With regard to the severity of the violation, account is taken, in the case at hand: i) the economic size of the Professional; ii) the spread of the commercial practice – capable of harming the rights of all Visitel customers and the extent of the economic harm suffered by consumers – as well as iii) the behavior of the professional, regarding the adoption, during the investigation, of corrective measures for all the critical aspects contested in the communication of the initiation of the proceeding.</w:t>
        <w:br/>
        <w:t>89. As for the duration of the violation, from the elements available in the records it appears that:</w:t>
        <w:br/>
        <w:t>- the commercial practice under a) has been carried out from 2019 until the end of February 2022 following the introduction of an updated version of the CGF and CTE, both substantially amending the contested criticalities. Furthermore, the contents of the promotional campaigns through the various channels have always been focused exclusively on corporate activities and branding without any specific reference to individual energy offers and their price components, and the Professional claims to have never applied contractual and economic changes, resulting in no harm to consumers. The use of scripts for the subscription of contracts via teleselling took place for only 42 days, between May 19 and July 20, 2020.</w:t>
        <w:br/>
        <w:t>- the violations under b) have been carried out from 2019 until the end of January 2022, when they are to be considered ceased with the introduction in the CGF of the express regulation of the right of withdrawal, in accordance with the rules on the conclusion of distance contracts. Furthermore, the use of the teleselling channel took place for only 42 days, between May 19 and July 20, 2020.</w:t>
        <w:br/>
        <w:t>90. With regard to the commercial practice under a), in assessing the severity of the violation, account is taken of the size of the Company70; the specificity of the sector, in which the purchasing consumer finds himself in a position of inevitable informational asymmetry compared to the professional; the method of dissemination of the offer made also through the website, a tool capable of reaching a multitude of consumers; the overall extent of the economic harm potentially resulting – and in fact resulting – to consumers from the application of charges not clearly indicated or undue.</w:t>
        <w:br/>
        <w:t>91. In light of the above, it is deemed appropriate to determine the amount of the administrative pecuniary sanction applicable to Visitel S.r.l. at the base amount of 100,000 euros, which is reduced to 80,000 euros, considering that the Professional has intended to voluntarily adopt, already during the proceedings, some measures of lump-sum economic compensation for the affected consumers.</w:t>
        <w:br/>
        <w:t>92. Regarding the violations under b), relating to the rules protecting consumers in distance contracts, in assessing the severity of the violation, account is taken of the size of the Company and the specificity of the sector, in which the purchasing consumer finds himself in a position of inevitable informational asymmetry compared to the Professional. As for the further aspects of the duration of the conduct and its dissemination, it should be clarified that, in this case, it involved a small number of consumers and that the use of the teleselling channel took place for a very short period of time (42 days), consequently causing limited actual harm.</w:t>
        <w:br/>
        <w:t>93. In light of the above, it is deemed appropriate to determine the amount of the administrative pecuniary sanction applicable to Visitel S.r.l. at the amount of 20,000 euros.</w:t>
        <w:br/>
        <w:t>CONSIDERED, therefore, taking into account the opinion of the Authority for Guarantees in Communications and in accordance with the opinion of the Regulatory Authority for Energy Networks and Environment, based on the</w:t>
        <w:br/>
        <w:t>70 Visitel generated revenues of over 7 million euros in 2020.</w:t>
      </w:r>
    </w:p>
    <w:p>
      <w:r>
        <w:rPr>
          <w:b/>
        </w:rPr>
        <w:t>[Pages 139–141]</w:t>
      </w:r>
    </w:p>
    <w:p>
      <w:r>
        <w:t>BULLETIN NO. 18 OF MAY 16, 2022 141</w:t>
        <w:br/>
        <w:t>considerations set forth above, that the commercial practice sub a) is deemed unfair pursuant to Articles 20, 21, and 22 of the Consumer Code as it is capable, through misleading representation or omission of relevant information regarding the price and economic convenience of the advertised offer as well as the amount of the security deposit and also the methods/timeliness of communication of any contractual changes/economic conditions, to appreciably distort the economic behavior of the average consumer in relation to the services offered by the Professional and to unduly influence consumers, leading them to make decisions they otherwise would not have made, with reference to the provision of charges qualifying as penalties for early termination;</w:t>
        <w:br/>
        <w:t>THEREFORE CONSIDERED, taking into account the opinion of the Authority for Communications Guarantees and in accordance with the opinion of the Regulatory Authority for Energy Networks and Environment, based on the considerations set forth above, that the conduct sub b) violates Articles 49, paragraph 1, letter h), and 51, paragraphs 6 and 7, of the Consumer Code, as the failure to deliver the contractual package and the form for exercising the right of reconsideration and the omitted information regarding it, the failure to send and/or make available to the consumer the durable medium where the telephone recording of the contract is stored and/or the durable medium containing the confirmation of the recording of their acceptance is not compliant with the rules on the conclusion of distance contracts;</w:t>
        <w:br/>
        <w:t>RESOLVES</w:t>
        <w:br/>
        <w:t>a) that the commercial practice described in point II, letter a), of this measure, carried out by the company Visitel S.r.l., constitutes, for the reasons and within the limits set forth in the motivation, an unfair commercial practice pursuant to Articles 20, 21, and 22 of the Consumer Code;</w:t>
        <w:br/>
        <w:t>b) to impose on the company Visitel S.r.l. an administrative pecuniary sanction of €80,000 (eighty thousand euros);</w:t>
        <w:br/>
        <w:t>c) that the conduct described in point II, letter b), of this measure, carried out by the company Visitel S.r.l., constitutes, for the reasons and within the limits set forth in the motivation, a violation of Articles 49, paragraph 1, letter h), and 51, paragraphs 6 and 7, of the Consumer Code;</w:t>
        <w:br/>
        <w:t>d) to impose on the company Visitel S.r.l. an administrative pecuniary sanction of €20,000 (twenty thousand euros).</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by debiting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This measure will be notified to the interested parties and published in the Bulletin of the Italian Competition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t>BULLETIN NO. 18 OF MAY 16, 2022 143</w:t>
        <w:br/>
        <w:t>PS12151 - EQ ELEVATOR QUALITY - ELEVATOR ASSISTANCE</w:t>
        <w:br/>
        <w:t>Measure no. 30139</w:t>
        <w:br/>
        <w:t>THE ITALIAN COMPETITION AUTHORITY</w:t>
        <w:br/>
        <w:t>IN ITS MEETING of April 27, 2022;</w:t>
        <w:br/>
        <w:t>HEARD the Rapporteur President Roberto Rustichelli;</w:t>
        <w:br/>
        <w:t>HAVING REGARD to Part II, Title III, of Legislative Decree of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February 7, 2022, subsequently specified and supplemented on February 18 and 23 and March 7, 2022, whereby the company E.Q. Elevator Quality S.r.l. presented commitments pursuant to Article 27, paragraph 7, of the Consumer Code and Article 9 of the Regulation;</w:t>
        <w:br/>
        <w:t>HAVING REGARD to its measure of March 15, 2022, whereby, pursuant to Article 7, paragraph 3, of the Regulation, the deadline for concluding the procedure was extended, for the evaluation of the commitments proposed by the professional, pursuant to Article 27, paragraph 7, of the Consumer Code and Article 9 of the Regulation;</w:t>
        <w:br/>
        <w:t>HAVING REGARD to the acts of the procedure;</w:t>
        <w:br/>
        <w:t>I. THE PARTY</w:t>
        <w:br/>
        <w:t>1. The company E.Q. Elevator Quality S.r.l. as a professional, pursuant to Article 18, letter b), of the Consumer Code. The company is active in the sector of installation, transformation, expansion, and maintenance of lifting systems, freight elevators, escalators, and similar.</w:t>
        <w:br/>
        <w:t>II. THE COMMERCIAL PRACTICE</w:t>
        <w:br/>
        <w:t>2. The procedure concerns the behavior carried out by the professional, consisting of the imposition on consumers (including condominiums) of the automatic renewal of the maintenance contract with a notice period excessively early compared to the expiration and with the application of a penalty corresponding to all the fees due until the end of the contract, not respecting the consumer's forum for related disputes.</w:t>
        <w:br/>
        <w:t>III. THE RESULTS OF THE PROCEDURE: THE PRESENTATION OF COMMITMENTS</w:t>
        <w:br/>
        <w:t>1) The course of the procedure</w:t>
        <w:br/>
        <w:t>3. In relation to the aforementioned conduct, on November 30, 2021, the professional was notified of the initiation of the PS12151 investigative procedure. In this context, it was hypothesized that the conduct of the company E.Q. Elevator Quality S.r.l. could constitute a violation of Articles 20, 21, 22, 24, and 25 of the Consumer Code, as it is capable of misleading the</w:t>
      </w:r>
    </w:p>
    <w:p>
      <w:r>
        <w:rPr>
          <w:b/>
        </w:rPr>
        <w:t>[Pages 142–144]</w:t>
      </w:r>
    </w:p>
    <w:p>
      <w:r>
        <w:t>144 BULLETIN NO. 18 OF MAY 16, 2022</w:t>
        <w:br/>
        <w:t>the average consumer regarding the rights they hold, omitting relevant information essential for the average consumer to make an informed commercial decision and unduly conditioning them by significantly limiting their freedom of choice or behavior.</w:t>
        <w:br/>
        <w:t>4. Concurrently with the initiation communication,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regarding the contested conduct.</w:t>
        <w:br/>
        <w:t>5. On December 20, 2021, the professional provided a response to the request for information made with the initiation of the procedure and presented defensive arguments and was subsequently heard in a hearing on January 21, 2022.</w:t>
        <w:br/>
        <w:t>6. On February 7, 2022, the professional submitted a proposal for commitments, subsequently specified and supplemented on February 18 and 23 and March 7, 2022.</w:t>
        <w:br/>
        <w:t>7. On March 16, 2022, a 30-day extension of the conclusion deadline of the procedure was communicated to the professional.</w:t>
        <w:br/>
        <w:t>8. On March 22, 2022, the date of conclusion of the investigative phase was communicated to the professional pursuant to Article 16, paragraph 1, of the Regulation.</w:t>
        <w:br/>
        <w:t>2) The elements acquired and the commitments of the professional</w:t>
        <w:br/>
        <w:t>9. By note received on February 7, 2022, the professional presented a proposal for commitments, pursuant to Article 27, paragraph 7, of the Consumer Code and Article 9 of the Regulation, subsequently specified and supplemented on February 18 and 23 and March 7, 2022.</w:t>
        <w:br/>
        <w:t>10. In particular, these commitments – which in their final version are attached to this measure and constitute an integral part thereof – provide as follows.</w:t>
        <w:br/>
        <w:t>11. The professional commits to modify its contractual clauses and to apply them both in new contracts and in existing contracts with current clients:</w:t>
        <w:br/>
        <w:t>- a notice period of 30 days for annual maintenance orders and 60 days for multi-year maintenance orders;</w:t>
        <w:br/>
        <w:t>- a penalty clause in case of unjustified early withdrawal, equal to 50% of the remaining fee for the entire duration of the signed commitment;</w:t>
        <w:br/>
        <w:t>- the jurisdiction for any disputes before the consumer's place of residence1.</w:t>
        <w:br/>
        <w:t>12. The professional's proposal also provides for the application of the reduced penalty measure for withdrawal to penalties already requested and contested against its clients.</w:t>
        <w:br/>
        <w:t>13. The professional has committed to communicate the aforementioned clauses, in the formulation subject to the commitments, to the consumers/condominiums who are already its clients by including this information in the next maintenance and/or intervention invoice that will be issued, through the insertion of a specific caption, in addition to including the new clauses in the contractual text during future modifications of the maintenance orders of current consumer clients.</w:t>
        <w:br/>
        <w:t>14. Furthermore, the professional has committed to proceed in the meantime to publish the modification of the contractual conditions on its website for a duration of 40 days.</w:t>
        <w:br/>
        <w:t>1 EQ has also specified that, over the years, for the establishment of disputes it has always adhered to the consumer's jurisdiction.</w:t>
      </w:r>
    </w:p>
    <w:p>
      <w:r>
        <w:t>BULLETIN NO. 18 OF MAY 16, 2022 145</w:t>
        <w:br/>
        <w:t>IV. EVALUATION OF THE COMMITMENTS</w:t>
        <w:br/>
        <w:t>15. The Authority believes that the commitments proposed by the professional are suitable to remedy the possible illegitimacy profiles of the contested commercial practice in the initiation communication of November 30, 2021.</w:t>
        <w:br/>
        <w:t>16. In particular, it is believed that the proposed measures are suitable to eliminate the contested imposition on consumers (including condominiums) of the automatic renewal of the maintenance contract with a notice period excessively early compared to the expiration and with the application of a penalty corresponding to all fees due until the end of the contract, and in non-compliance with the consumer's jurisdiction for related disputes.</w:t>
        <w:br/>
        <w:t>17. The overcoming of the provision and application of the clause relating to the automatic renewal of the contract and with a notice period significantly early compared to its expiration prevents the consumer from having to activate well before the contractual expiration to assess the convenience of continuing the contractual relationship and, if necessary, to find another company to entrust the maintenance service of the system by evaluating the offers available on the market.</w:t>
        <w:br/>
        <w:t>18. Similarly, the modification of the contractual provision relating to the payment of a penalty equal to the entire agreed fee in the contract resolves the critical issues highlighted in the initiation communication. Thus, the charge of a penalty, quantified in a disproportionate amount, which could have hindered the possibility of changing suppliers even in the case of unsatisfactory service, is overcome; this in a context where the termination of the relationship results in the failure to provide a very significant part of the maintenance services2.</w:t>
        <w:br/>
        <w:t>19. Finally, the respect for the mandatory jurisdiction of residence of the consumers themselves has been provided, to allow them to exercise legal action in the natural court of jurisdiction.</w:t>
        <w:br/>
        <w:t>20. The proposal for commitments is also suitable to eliminate the current effects of the conduct towards its consumer clients, as the professional has also waived, within the commitments, the requests for much heavier penalties already made based on existing contracts.</w:t>
        <w:br/>
        <w:t>21. In light of the above considerations, it is believed that the commitments presented meet the requirements set forth in Article 27, paragraph 7, of the Consumer Code.</w:t>
        <w:br/>
        <w:t>THEREFORE CONSIDERED, that the commitments presented by E.Q. Elevator Quality S.r.l., in the terms outlined above, are suitable to eliminate the possible profiles of unfairness of the commercial practice subject to investigation;</w:t>
        <w:br/>
        <w:t>CONSIDERED, to order the mandatory nature of the aforementioned commitments towards E.Q. Elevator Quality S.r.l.;</w:t>
        <w:br/>
        <w:t>CONSIDERED, therefore, to be able to close the procedure without ascertaining the infringement;</w:t>
        <w:br/>
        <w:t>RESOLVES</w:t>
        <w:br/>
        <w:t>a) to make mandatory, towards E.Q. Elevator Quality S.r.l., pursuant to Article 27, paragraph 7, of the Consumer Code and Article 9, paragraph 2, letter a), of the Regulation, the commitments proposed by the company on February 7, 2022, and subsequently specified and supplemented on February 18 and 23 and March 7, 2022, as described in the declaration attached to this measure;</w:t>
        <w:br/>
        <w:t>b) to close the procedure without ascertaining the infringement, pursuant to Article 27, paragraph 7, of the Consumer Code and Article 9, paragraph 2, letter a), of the Regulation;</w:t>
        <w:br/>
        <w:t>c) that E.Q. Elevator Quality S.r.l.,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notified to the interested parties and published in the Bulletin of the Italian Competition Authority.</w:t>
        <w:br/>
        <w:t>THE SECRETARY GENERAL THE PRESIDENT</w:t>
        <w:br/>
        <w:t>Guido Stazi Roberto Rustichelli</w:t>
      </w:r>
    </w:p>
    <w:p>
      <w:r>
        <w:rPr>
          <w:b/>
        </w:rPr>
        <w:t>[Pages 145–147]</w:t>
      </w:r>
    </w:p>
    <w:p>
      <w:r>
        <w:t>BULLETIN NO. 18 OF MAY 16, 2022 147</w:t>
        <w:br/>
        <w:t>PS12151 - EQ ELEVATOR QUALITY-ELEVATOR ASSISTANCE</w:t>
        <w:br/>
        <w:t>Annex to measure no. 30139</w:t>
        <w:br/>
        <w:t>STATEMENT OF COMMITMENTS</w:t>
        <w:br/>
        <w:t>In the context of proceeding PS12151, initiated by the Italian Competition Authority on November 30, 2021, concerning the commercial practices of E.Q. Elevator Quality S.r.l. regarding unfair commercial practices, the company E.Q. Elevator Quality S.r.l., pursuant to and for the purposes of Article 27, paragraph 7, of the "Consumer Code" (Legislative Decree of September 6, 2005, no. 206 and subsequent amendments), commits, starting from the date of communication of the Authority's measure, to implement the following measures in the manner and within the timeframes indicated below.</w:t>
        <w:br/>
        <w:t>E.Q. Elevator Quality S.r.l. based in Rome, Via Ettore Ciccotti no. 65, Tax Code and VAT number 04876631005, represented by its Sole Director and legal representative, in order to reach the closure of proceeding Ref. PS12151, is willing to commit to modifying the three contractual conditions that are the subject of the procedure at hand, applied to consumers both for current customers and for future ones, particularly with reference to:</w:t>
        <w:br/>
        <w:t>- the notice period for cancellation, which will be 30 days for annual maintenance orders and 60 days for multi-year maintenance orders;</w:t>
        <w:br/>
        <w:t>- the penalty clause, which applied in the case of unjustified early withdrawal, will be equal to 50% of the remaining consideration for the entire duration of the signed commitment. This percentage will also apply to penalties requested and contested;</w:t>
        <w:br/>
        <w:t>- the competent forum, which for any disputes will be that of the consumer's residence; on this point, the writing company specifies that, over the years, it has always adhered to the consumer's forum.</w:t>
        <w:br/>
        <w:t>E.Q. Elevator Quality S.r.l., also in order to reach the closure of proceeding Ref. PS12151, is willing to carry out the following communications to its clientele limited to the field of consumers:</w:t>
        <w:br/>
        <w:t>Publication of the modification of the contractual conditions on its website for a duration of 40 days and inclusion of a caption in the first maintenance and/or intervention invoice issued, of the following tenor: “the notice period for cancellation will be 30 days for annual maintenance orders and 60 days for multi-year ones; the penalty clause, in the case of unjustified early withdrawal, will be 50% of the remaining consideration for the entire duration of the signed commitment; the competent forum, in the case of any disputes, will be that of the consumer client's residence.”</w:t>
        <w:br/>
        <w:t>Furthermore, should the maintenance orders of current consumer clients be modified, they will be changed with the inclusion of the new clauses indicated above.</w:t>
      </w:r>
    </w:p>
    <w:p>
      <w:r>
        <w:t>148 BULLETIN NO. 18 OF MAY 16, 2022</w:t>
        <w:br/>
        <w:t>PS11804 - DAZN-REFUND OF FOOTBALL PACKAGE</w:t>
        <w:br/>
        <w:t>Measure no. 30142</w:t>
        <w:br/>
        <w:t>THE ITALIAN COMPETITION AUTHORITY</w:t>
        <w:br/>
        <w:t>IN ITS MEETING of May 10, 2022;</w:t>
        <w:br/>
        <w:t>HEARD the Rapporteur President Roberto Rustichelli;</w:t>
        <w:br/>
        <w:t>HAVING REGARD to Part II, Title III, of Legislative Decree of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no. 29768 of July 13, 2021, adopted in the context of the proceeding “PS11804 – DAZN football package” with which the Authority decided to make mandatory for DAZN Limited the commitments proposed by the aforementioned professional, pursuant to Article 27, paragraph 7, of the Consumer Code and Article 9, paragraph 2, letter a) of the Regulation, without ascertaining the infringement;</w:t>
        <w:br/>
        <w:t>HAVING REGARD to the communication of March 17, 2022, with which DAZN Limited, while maintaining the validity of the measure referred to in letter d) of the aforementioned measure, requested the revision of the commitments referred to in letters c) and e) concerning users who subscribed to their DAZN subscription through third-party payment service providers (Amazon, Google, and Apple, hereinafter, the 3PP), and proposed, due to the impossibility, for reasons not attributable to it, to implement the pause function for Amazon and Apple users, the cancellation of commitment sub c) with reference to such customers or, alternatively, the revision of commitment sub e) offering the aforementioned users, for the summer of 2022, a gift code worth 5 euros per month for a maximum of two months while keeping the user's account active for the same period who requests the gift code;</w:t>
        <w:br/>
        <w:t>CONSIDERING that the request is based, in addition to the impossibility for reasons not attributable to DAZN Limited to implement the pause function for Amazon and Apple users, also on the change and transformation of the DAZN offer with a qualitative and quantitative increase in programming that provides for a significant increase in on-demand programs (available to the user at any time even outside the sports season in the strict sense) with the consequent reduction of user interest in the pause function;</w:t>
        <w:br/>
        <w:t>CONSIDERED to order the mandatory nature of the modifications proposed by the professional DAZN Limited regarding commitments sub c) and e) pursuant to Articles 27, paragraph 7 of the Consumer Code and Article 9, paragraph 2, letter a), of the Regulation;</w:t>
        <w:br/>
        <w:t>All of the above having been stated and considered;</w:t>
      </w:r>
    </w:p>
    <w:p>
      <w:r>
        <w:t>BULLETIN NO. 18 OF MAY 16, 2022 149</w:t>
        <w:br/>
        <w:t>RESOLUTION</w:t>
        <w:br/>
        <w:t>to make mandatory for DAZN Limited the modifications made, in the terms described above, to commitments c) and e) of measure 29768 of July 13, 2021, pursuant to Article 27, paragraph 7, of the Consumer Code and Article 9, paragraph 2, letter a), of the Regulation.</w:t>
        <w:br/>
        <w:t>This measure will be notified to the interested parties and published in the Bulletin of the Italian Competition Authority.</w:t>
        <w:br/>
        <w:t>THE SECRETARY GENERAL THE PRESIDENT</w:t>
        <w:br/>
        <w:t>Guido Stazi Roberto Rustichelli</w:t>
      </w:r>
    </w:p>
    <w:p>
      <w:r>
        <w:rPr>
          <w:b/>
        </w:rPr>
        <w:t>[Pages 148–150]</w:t>
      </w:r>
    </w:p>
    <w:p>
      <w:r>
        <w:t>BULLETIN NO. 18 OF MAY 16, 2022</w:t>
        <w:br/>
        <w:t>PS11990 – TIK TOK – CRYSTAL DROPS</w:t>
        <w:br/>
        <w:t>Notice of communication of the conclusion of the investigation phase and extension of the procedure deadline</w:t>
        <w:br/>
        <w:t>ITALIAN COMPETITION AUTHORITY</w:t>
        <w:br/>
        <w:t>Notification of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as well as the extension of the deadline for the conclusion of procedure PS11990</w:t>
        <w:br/>
        <w:t>The publication of this notice, followed by the communication of the conclusion of the investigation phase, in the weekly Bulletin of the Italian Competition Authority is carried out pursuant to and for the effects of Article 19, paragraph 2, of the Regulation, given the unsuccessful outcome of the attempt to transmit the communication of the initiation of the same investigation procedure, carried out on May 12, 2021, through the Consulate General of Italy in New York. The communication sent by registered mail was indeed returned to the sending Consulate due to non-delivery.</w:t>
        <w:br/>
        <w:t>Within 10 days from the publication of this notice, the Party may submit statements and documents.</w:t>
        <w:br/>
        <w:t>It is also communicated that, in the meeting of May 10, 2022, the Authority extended the deadline for the conclusion of the procedure, setting it for July 22, 2022, due to specific investigative needs related to the procedural requirements necessary for the conclusion of the procedure.</w:t>
        <w:br/>
        <w:t>For any communication addressed to the Authority regarding the case in question, please refer to Directorate C of the Directorate General for Consumer Protection and the reference PS11990.</w:t>
        <w:br/>
        <w:t>______________________________________________________________________</w:t>
        <w:br/>
        <w:t>PS11990 – TIK TOK – CRYSTAL DROPS</w:t>
        <w:br/>
        <w:t>Communication of the conclusion of the investigation phase and extension of the procedure deadline</w:t>
        <w:br/>
        <w:t>Subject: communication of the conclusion of the investigation phase pursuant to Article 16, paragraph 1,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PS11131.</w:t>
      </w:r>
    </w:p>
    <w:p>
      <w:r>
        <w:t>I. Premise</w:t>
        <w:br/>
        <w:t>1. With act of April 29, 2021, prot. no. 41324, the initiation of investigation procedure PS11990 was communicated to TikTok Technology Limited and Crystal Drops.Co to verify the existence of an alleged unfair commercial practice carried out on the Tik Tok platform through the dissemination of a video concerning the eye drops “Crystal drops” without disclosing its promotional content, in violation of Articles 20, paragraph 2, 22, paragraph 2, and 23, paragraph 1, letter m), of Legislative Decree No. 206 of September 6, 2005, containing the “Consumer Code”.</w:t>
        <w:br/>
        <w:t>Crystal Drops.Co was also charged with the commercial communication made on the website https://www.changeicolor.com, concerning the same product “Crystal drops” presented through emphatic and misleading statements (many of which were in English) in violation of Articles 9, 20, 21, first paragraph, letter b), 22, paragraph 2, and 23, first paragraph, letter b), and 49, paragraph 1, letters b) and c), of the aforementioned Consumer Code.</w:t>
        <w:br/>
        <w:t>II. The contested conducts</w:t>
        <w:br/>
        <w:t>2. In light of the elements currently acquired in the context of the procedure, the present confirms and specifies the allegations already subject to the initiation communication, regarding the alleged unlawfulness of the conducts carried out by Crystal Drops.Co consisting of: A) having carried out a form of hidden advertising for the eye drops “Crystal drops” through the Tik Tok platform and B) having disseminated, on the website https://www.changeicolor.com (to which the user is automatically directed by typing the address https://www.crystaldrops.co), a misleading and omissive commercial communication, as well as in violation of consumer rights.</w:t>
        <w:br/>
        <w:t>3. With reference to conduct A), the video opened with a young girl holding the cardboard box of the product bearing the Crystal Drops logo, as well as that of the Federal Drug Administration (FDA), prominently displayed. The enthusiastic girl stated, in English, about her experience reiterating the product's ability to change eye color: “I saw an ad on tiktok for eye drops that change your eye color… eye drops that change your eye color…eye color…I chose green.” The packaging (bottle) was also shown, particularly the image of three doctors in white coats with stethoscopes around their necks and the FDA logo.</w:t>
        <w:br/>
        <w:t>4. During the investigation, it emerged that the censored video has been removed1.</w:t>
        <w:br/>
        <w:t>5. Regarding conduct B), from the findings of the website https://www.changeicolor.com, carried out ex officio on April 23, 2021, the presence of content primarily written in English was noted.</w:t>
        <w:br/>
        <w:t>In detail, the homepage displayed images of the product packaging, bearing the logos “FDA approved,” “Made in America,” “Medical travel certified” of three doctors in white coats with stethoscopes around their necks, as well as the emphatic indications “Change your eye color is possible now,” and, further down, “Crystal Eye Color Changing Drops 10+ Colors.”</w:t>
        <w:br/>
        <w:t>Additionally, within the FAQ section, the drops were attributed with the action of inhibiting the activation of key enzymes necessary for the production of melanin with a gradual decrease in levels from 25 to 52 days. The change in eye color was claimed to last for 12 months. It was also specified that the product, marketed in the American market since 2017, had received FDA approval and that it could also be used by those who have undergone eye surgery using lasers provided that a year has passed.</w:t>
        <w:br/>
        <w:t>6. In the middle section of the homepage, the indication “LIGHTEN AND BRIGHTEN YOUR EYE COLOR Lightening Drops - Speed up the eye color changing process for those who change eye color from brown to light eye color” and the statements “ABOUT SAFETY. Your health &amp; safety means everything. Our products have been sold on the US market since 2017 and have been approved by FDA.” By clicking the pink button “Read more about safety,” the user was redirected to the page www.changeicolor.com/pages/about-safety where the production of the drops in the United States in compliance with good manufacturing practices (GMP) of the pharmaceutical industry was boasted, the sterile nature of all equipment, production facilities, and packaging, as well as the rigorous control procedures. The selection of natural ingredients also ensured a 100% safety guarantee, as well as their maximum tolerability even for the most sensitive eyes due to the absence of harmful preservatives, parabens, fragrances, and alcohol. The section was closed with the image of the three logos Medical travel certified, Trustpilot, and FDA approved.</w:t>
        <w:br/>
        <w:t>7. Finally, the identity of the professional and their geographical address could only be obtained by consulting the document “Privacy Policy” via the hyperlink of the same name found in the footer.</w:t>
        <w:br/>
        <w:t>8. From the findings made ex officio on May 11, 2022, significant changes to the website emerged, which is now structured in Italian; furthermore, the logos related to alleged recognitions or approvals (Medical travel certified, Trustpilot, and FDA approved), as well as the images of doctors in white coats, have been removed.</w:t>
        <w:br/>
        <w:t>9. On the homepage, after numerous images of eyes of different colors, the product packaging is displayed with the following description: “Lightning Drops. Accelerate the process for those changing eye color from brown to light eye color,” followed by the indication “About safety” followed by the button “Learn more” which, when clicked, redirects to the page https://www.crystaldrops.co/pages/about-safety?spm=..index.image_text_2.1 where it is specified that the product offers “maximum tolerance for the most sensitive eyes, free of all harmful preservatives, parabens, fragrances, and alcohol. Our eye drop formulations are completely sterile, balanced to the pH of the eye. With the additional advantage of sterile water and saline solution; our drops work in harmony with your body, ensuring that the drops can be applied even to the most sensitive eyes” and that they are produced “in compliance with good manufacturing practices (GMP).”</w:t>
        <w:br/>
        <w:t>10. Claims regarding effectiveness and safety are also found in the FAQs where it states: “our product is effective on all eye colors”; “results are semi-permanent and can last for several years, after this duration the natural eye color will slowly return”; “our eye drops are formulated to keep your eyes hydrated throughout the entire process, we have had zero (0) problems arising from any customer, past or present, and all tests have shown no side effects.”</w:t>
        <w:br/>
        <w:t>11. At the bottom of the homepage, the following warning is reported: “… Our claims are based on clinical studies, but all people are different and the results of using Crystal Drops vary and some men may not see any improvement. However, what we can guarantee is</w:t>
      </w:r>
    </w:p>
    <w:p>
      <w:r>
        <w:rPr>
          <w:b/>
        </w:rPr>
        <w:t>[Pages 151–153]</w:t>
      </w:r>
    </w:p>
    <w:p>
      <w:r>
        <w:t>BULLETIN NO. 18 OF MAY 16, 2022 153</w:t>
        <w:br/>
        <w:t>that we offer you a refund if you do not see any results after 160 days and have followed the simple conditions in our Color Commitment Guarantee.”</w:t>
        <w:br/>
        <w:t>Finally, the difficulty remains in tracing the identity and address of the professional, which are indicated exclusively in the document "privacy policy" accessible via the hyperlink of the same name found in the footer.</w:t>
        <w:br/>
        <w:t>III. Possible profiles of unlawfulness of the contested conduct</w:t>
        <w:br/>
        <w:t>12. The conduct described under A) of this communication appears to constitute a commercial practice that would be unfair in violation of Articles 20, paragraph 2, 21, paragraph 1, letter b) and paragraph 4, 22, paragraph 2, and 23, paragraph 1, letter m), of the Consumer Code, as it is contrary to professional diligence and capable of constituting a case of hidden advertising. The practice is likely to deceive regarding the characteristics of the product and to endanger the safety of minors using the app.</w:t>
        <w:br/>
        <w:t>In the video, the product is described with statements rich in emphasis and according to the methods used in promotional communications directed at consumers. However, in this case, no measures appear to have been adopted to make the video recognizable as a promotional message. The omission of the indication of the commercial intent pursued, therefore, is likely to induce consumers not to activate those natural interpretative defenses that are triggered in the presence of a declared advertising intent.</w:t>
        <w:br/>
        <w:t>Moreover, it is content that is not only lacking the relevant information that the average consumer needs for an informed commercial decision but is also likely, due to the medium used, to reach adolescents and threaten their safety.</w:t>
        <w:br/>
        <w:t>13. The conduct described under B) of this communication appears to constitute a commercial practice that would be unfair pursuant to Articles 9, 20, 21, paragraph one, letter b), 22, paragraph 2, and 23, paragraph one, letter b), of the Consumer Code, as well as a violation of consumer rights pursuant to Article 49, paragraph one, letters b) and c), of the Consumer Code.</w:t>
        <w:br/>
        <w:t>14. In particular, the version of the website adopted until May 12, 2022, being drafted in English, although the site is intended for Italian consumers, is in contrast with Article 9 of the Consumer Code. Furthermore, the statements regarding the display of trusted brands (such as "Trustpilot", "FDA approved", and "Medical travel certified") are not at all circumstantial and appear to be made solely to reinforce the safety and credibility of the effectiveness of the advertised product. In the version of the site adopted until May 12, 2022, insufficient emphasis was placed on the fact that the claimed effect of changing the color of the iris is limited to 12 months, with the relevant information relegated to the FAQ section on a page that is otherwise for optional consultation.</w:t>
        <w:br/>
        <w:t>15. The indications provided in the new version of the website also appear to be in contrast with Articles 20, 21, paragraph one, letter b), 22, and 49, paragraph one, letters b) and c), of the Consumer Code. In fact, the nature of the product remains unclear and its composition is not indicated. The claim regarding the product's ability to permanently change eye color is not supported by any evidence, and similarly, the statements regarding safety are not accompanied by any study. Such behavior appears contrary to professional diligence, likely to mislead consumers about the actual characteristics of the product, leading them to use it without adopting the necessary precautions and respecting normal rules of caution and vigilance.</w:t>
        <w:br/>
        <w:t>16. Finally, the methods of indicating the identity and address of the professional are insufficient, and the telephone contact is omitted.</w:t>
        <w:br/>
        <w:t>17. It would also appear, based on the collected evidence, that the practice under A) has been carried out by the professional from February 2021 (date of the first records on file)2 until May 12, 20223 and that the practice under B) has been carried out by the professional since February 2021 (date of the first records on file)4 and is still ongoing.</w:t>
        <w:br/>
        <w:t>= = =</w:t>
        <w:br/>
        <w:t>Therefore, it is hereby communicated that the deadline for concluding the investigative phase is set for May 27, 2022.</w:t>
        <w:br/>
        <w:t>It is also communicated, pursuant to the same article of the Regulation in question, that the Parties may submit, within 10 days of receipt of this communication, concluding memoranda or documents that will be submitted to the Board along with the other investigative acts for the adoption of the final measure.</w:t>
        <w:br/>
        <w:t>It is also reminded that the Parties may request access to the documents of the proceeding, as previously highlighted in the communication initiating the proceeding itself. Access may be made directly by the Parties or by a person delegated in writing.</w:t>
        <w:br/>
        <w:t>For any communication addressed to the Authority regarding the case in question, please cite Directorate C of the Directorate General for Consumer Protection and reference PS11990.</w:t>
        <w:br/>
        <w:t>For any clarifications and information, you may contact Dr. Marina Catallozzi at the number 06/85821452.</w:t>
        <w:br/>
        <w:t>THE RESPONSIBLE OFFICER OF THE PROCEEDING</w:t>
        <w:br/>
        <w:t>2 Doc. no. 3 of the index of the investigative file.</w:t>
        <w:br/>
        <w:t>3 Doc. no. 41 of the index of the investigative file.</w:t>
        <w:br/>
        <w:t>4 Doc. no. 3 of the index of the investigative file.</w:t>
      </w:r>
    </w:p>
    <w:p>
      <w:r>
        <w:t>Antitrust Authority Weekly Bulletin</w:t>
        <w:br/>
        <w:t>of Competition and Market Year XXXII- No. 18 - 2022</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