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https://www.agcm.it/dotcmsdoc/bollettini/2023/18-23.pdf</w:t>
      </w:r>
    </w:p>
    <w:p>
      <w:r>
        <w:t>Pages translated : 44</w:t>
      </w:r>
    </w:p>
    <w:p/>
    <w:p>
      <w:r>
        <w:rPr>
          <w:b/>
        </w:rPr>
        <w:t>[Pages 1–3]</w:t>
      </w:r>
    </w:p>
    <w:p>
      <w:r>
        <w:t>Bulletin</w:t>
        <w:br/>
        <w:t>Weekly</w:t>
        <w:br/>
        <w:t>Year XXXIII - No. 18</w:t>
        <w:br/>
        <w:t>Published on the website www.agcm.it</w:t>
        <w:br/>
        <w:t>May 15, 2023</w:t>
      </w:r>
    </w:p>
    <w:p>
      <w:r>
        <w:t>SUMMARY</w:t>
        <w:br/>
        <w:t>AGREEMENTS AND ABUSE OF DOMINANT POSITION 5</w:t>
        <w:br/>
        <w:t>A561 - APP TRACKING TRANSPARENCY BY APPLE</w:t>
        <w:br/>
        <w:t>Decision No. 30620 5</w:t>
        <w:br/>
        <w:t>UNFAIR TRADE PRACTICES 15</w:t>
        <w:br/>
        <w:t>PS12314 - DEGIRO/ADVERTISING WITHOUT COMMISSIONS</w:t>
        <w:br/>
        <w:t>Decision No. 30616 15</w:t>
        <w:br/>
        <w:t>PS12397 - ENEL-SEN - CONSUMPTION RECALCULATION</w:t>
        <w:br/>
        <w:t>Decision No. 30617 36</w:t>
      </w:r>
    </w:p>
    <w:p>
      <w:r>
        <w:t>BULLETIN NO. 18 OF MAY 15, 2023 5</w:t>
        <w:br/>
        <w:t>AGREEMENTS AND ABUSE OF DOMINANT POSITION</w:t>
        <w:br/>
        <w:t>A561 - APP TRACKING TRANSPARENCY BY APPLE</w:t>
        <w:br/>
        <w:t>Decision No. 30620</w:t>
        <w:br/>
        <w:t>THE ANTITRUST AUTHORITY</w:t>
        <w:br/>
        <w:t>IN ITS MEETING of May 2, 2023;</w:t>
        <w:br/>
        <w:t>HEARD the Rapporteur, Professor Elisabetta Iossa;</w:t>
        <w:br/>
        <w:t>HAVING REGARD to Article 102 of the Treaty on the Functioning of the European Union (TFEU);</w:t>
        <w:br/>
        <w:t>HAVING REGARD to Council Regulation No. 1/2003 of December 16, 2002;</w:t>
        <w:br/>
        <w:t>HAVING REGARD to the Commission Communication on cooperation within the network of competition authorities, of April 27, 2004;</w:t>
        <w:br/>
        <w:t>HAVING REGARD to Law No. 287 of October 10, 1990;</w:t>
        <w:br/>
        <w:t>HAVING REGARD to the Presidential Decree No. 217 of April 30, 1998;</w:t>
        <w:br/>
        <w:t>HAVING REGARD to the report [omitted]*, received on September 27, 2022 and last supplemented on February 24, 2023;</w:t>
        <w:br/>
        <w:t>HAVING REGARD to the documentation on file;</w:t>
        <w:br/>
        <w:t>CONSIDERED the following:</w:t>
        <w:br/>
        <w:t>I. THE PARTIES</w:t>
        <w:br/>
        <w:t>A) The reported company</w:t>
        <w:br/>
        <w:t>1. Apple Inc. (hereinafter, “Apple”) is a company under U.S. law, headquartered in Cupertino, California, at the head of the eponymous group engaged in the design, production, and marketing of mobile and multimedia communication devices, personal computers, and audio-video devices under the Apple and Beats brands, as well as in the sale of a wide range of software, services, peripherals, and related networking solutions, and also of applications and digital content from third parties. Apple is a publicly traded company, listed on the New York Stock Exchange, not subject to the control of any company or person.</w:t>
        <w:br/>
        <w:t>2. The total net revenue generated by the Apple Inc. group in 2022 is approximately $394.33 billion1, equivalent to about €358 billion.</w:t>
        <w:br/>
        <w:t>3. Apple Inc. directly or indirectly controls, among others, the companies Apple Distribution International Ltd and Apple Italia S.r.l.</w:t>
        <w:br/>
        <w:t>4. Apple Distribution International Ltd, based in Cork, Ireland, manages, among other things, the Apple Online Store and the mobile app App Store.</w:t>
        <w:br/>
        <w:t>5. Apple is present in Italy, among other things, through the company Apple Italia S.r.l., which provides sales support and marketing services to the Apple group.</w:t>
        <w:br/>
        <w:t>* In this version, some data is omitted, as elements of confidentiality or secrecy of the information were deemed to exist.</w:t>
        <w:br/>
        <w:t>1 See Apple Inc. Annual Report for the fiscal year ended September 24, 2022 (Annual report pursuant to section 13 or 15(d) of the Securities Exchange Act of 1934 of Apple Inc.).</w:t>
      </w:r>
    </w:p>
    <w:p>
      <w:r>
        <w:rPr>
          <w:b/>
        </w:rPr>
        <w:t>[Pages 4–6]</w:t>
      </w:r>
    </w:p>
    <w:p>
      <w:r>
        <w:t>6 BULLETIN NO. 18 OF MAY 15, 2023</w:t>
      </w:r>
    </w:p>
    <w:p>
      <w:r>
        <w:t>6. Hereinafter, "Apple" will refer to Apple Inc. and all its subsidiaries.</w:t>
      </w:r>
    </w:p>
    <w:p>
      <w:r>
        <w:t>B) The Reporting Company</w:t>
      </w:r>
    </w:p>
    <w:p>
      <w:r>
        <w:t>7. [Omitted].</w:t>
      </w:r>
    </w:p>
    <w:p>
      <w:r>
        <w:t>8. [Omitted].</w:t>
      </w:r>
    </w:p>
    <w:p>
      <w:r>
        <w:t>II. THE ELEMENTS IN THE RECORD</w:t>
      </w:r>
    </w:p>
    <w:p>
      <w:r>
        <w:t>9. Starting from April 2021, Apple, as the owner of the iOS operating system, imposed on competing app developers using its online store "App Store" a policy to protect user privacy – the App Tracking Transparency policy (hereinafter, ATT policy) – which establishes rules that are more restrictive than those that the company applies to itself.</w:t>
      </w:r>
    </w:p>
    <w:p>
      <w:r>
        <w:t>10. The different treatment is based, primarily, on: i) the characteristics of the "pop-up window" (hereinafter, also prompt) that appears to users for the purpose of obtaining consent for tracking their "browsing" data on the internet; ii) the tools adopted for measuring the effectiveness of advertising campaigns.</w:t>
      </w:r>
    </w:p>
    <w:p>
      <w:r>
        <w:t>11. In particular, the formulation of the prompt that Apple has imposed on third-party app developers: a) visually emphasizes the option of denial when asking users, in order, to "deny" or "grant" consent; b) uses the expression "consent to track (emphasis added) activities performed in apps and on other companies' websites" without providing any explanation of the term "track," which could easily represent a cause for concern and deterrence for the user; c) does not highlight the benefits for users associated with personalized advertising.</w:t>
      </w:r>
    </w:p>
    <w:p>
      <w:r>
        <w:t>12. In contrast, for apps developed directly by Apple, the prompts prominently feature the "positive" option of consent, and, furthermore, the subject of consent becomes "personalized services" rather than "tracking" the browsing activity of users.</w:t>
      </w:r>
    </w:p>
    <w:p>
      <w:r>
        <w:t>13. Even in the event that the consumer gives consent to "tracking," the app developer (other than Apple) will not be able to share the same data to allow for the personalization and measurement of the effectiveness (hereinafter, also "attribution") of ads on another app. Apple's ATT system indeed requires the so-called "double explicit consent" (double opt-in), which stipulates that the consumer must provide consent for tracking for each access to different apps, even if they are interconnected.</w:t>
      </w:r>
    </w:p>
    <w:p>
      <w:r>
        <w:t>14. The "double explicit consent" is not required for apps developed by Apple. If, in fact, a user grants their consent to Apple's "personalized ads" prompt, Apple will be able to use the data on purchases made within all third-party apps for the purposes of personalization and measurement of ads, regardless of whether the developers of the third-party apps have requested or obtained user authorization for "tracking" through the ATT system.</w:t>
      </w:r>
    </w:p>
    <w:p>
      <w:r>
        <w:t>15. The consequence of the above appears to be a significant reduction in the consent rates of users who have been shown the ATT prompt in the apps of competitors made available through the App Store2.</w:t>
      </w:r>
    </w:p>
    <w:p>
      <w:r>
        <w:t>2 See, in this regard, the final report of the investigation by the Competition Market Authority (CMA) dated June 10, 2022, "Mobile ecosystems market study final report." In particular, the estimates provided by app developers and advertising networks to the CMA regarding the market study on mobile ecosystems indicate that only 20-30% of users granted their consent to tracking (i.e., selected "Allow") when shown the ATT prompt (paragraph 6.194).</w:t>
      </w:r>
    </w:p>
    <w:p>
      <w:r>
        <w:t>BULLETIN NO. 18 OF MAY 15, 2023 7</w:t>
      </w:r>
    </w:p>
    <w:p>
      <w:r>
        <w:t>16. Also regarding the measurement of the effects of campaigns, there is a substantial difference in treatment that creates a disadvantage for third-party operators in favor of Apple. In particular, SkadNetwork, the application programming interface (API) provided by Apple to allow advertisers and third-party app developers to measure the effectiveness of their advertising campaigns, has technical characteristics that make this tool absolutely less useful and, in any case, much less effective compared to Apple Ads Attribution, the tool that Apple uses for itself. The limitations attributed to SkadNetwork, even in the most updated versions, are as follows: i) it allows delayed access to conversion data3 (after a minimum time of 24-48 hours), while access to data is immediate with the adoption of Apple Ads Attribution; ii) the data is also limited and too aggregated and therefore unsuitable for revealing the actual preferences of users, while Apple Ads Attribution provides advertisers with data on the country or region, the date and time of the click, and the ad associated with the app installation.</w:t>
      </w:r>
    </w:p>
    <w:p>
      <w:r>
        <w:t>17. Before the adoption of the ATT policy by Apple, competitors could independently offer a variety of tools to help advertisers measure the effectiveness of advertising campaigns, allowing, among other things, access to ad reporting metrics4, audience, and conversion, thus obtaining granular and real-time information on the performance of the advertising campaign.</w:t>
      </w:r>
    </w:p>
    <w:p>
      <w:r>
        <w:t>18. Based on the elements acquired5, it emerges that, following the adoption of Apple's ATT policy, the reduction in the ability to profile users has increased the "average cost per action" (CPA) of purchases by advertisers of advertising space on the apps of Apple's competitors. In particular, for each conversion action performed by users, the CPA has increased, on average, by over 150% in Italy, in line with the average increase in Europe. The higher costs for advertisers have resulted in a reduction in the willingness to purchase advertising space, leading to a significant reduction (over 50%) in the revenues of developers. In particular, it has been estimated that the main competing developers of Apple reported, in 2022, lost revenues of $10 billion (approximately €9.087 billion).</w:t>
      </w:r>
    </w:p>
    <w:p>
      <w:r>
        <w:t>19. At the same time, some published industry analyses show that, following the adoption of the ATT policy, in light of the increased costs of purchasing advertising space on the apps of Apple's competitors by advertisers and the aforementioned contraction in revenues of these entities, downloads from the App Store increased from 17% to 58%, and the related advertising revenues recorded significant growth6.</w:t>
      </w:r>
    </w:p>
    <w:p>
      <w:r>
        <w:t>III. EVALUATIONS</w:t>
      </w:r>
    </w:p>
    <w:p>
      <w:r>
        <w:t>A) Premise</w:t>
      </w:r>
    </w:p>
    <w:p>
      <w:r>
        <w:t>20. Article 102 of the TFEU prohibits the abusive exploitation by one or more companies of a dominant position in the internal market or in a substantial part thereof, insofar as this may harm the internal market or a substantial part of it.</w:t>
      </w:r>
    </w:p>
    <w:p>
      <w:r>
        <w:t>3 Conversions, sometimes also referred to as acquisitions or actions, are actions performed by users in response to ads or messages shown to them. For example, signing up for a service, downloading an app, or making a purchase within an app.</w:t>
      </w:r>
    </w:p>
    <w:p>
      <w:r>
        <w:t>4 Reporting metrics provide information on the level of consumer interaction (including the number of impressions, clicks, and likes received) with respect to a particular ad. When an ad is presented to a consumer, regardless of whether the consumer interacts with the ad or not, an impression occurs.</w:t>
      </w:r>
    </w:p>
    <w:p>
      <w:r>
        <w:t>5 See ArsTechnica-Financial Times, “Small businesses count cost of Apple’s privacy changes,” published at https://arstechnica.com/gadgets/2022/08/small-businesses-count-cost-of-apples-privacy-changes/ on September 8, 2022.</w:t>
      </w:r>
    </w:p>
    <w:p>
      <w:r>
        <w:t>6 See Insider Intelligence, “Apple ad revenues skyrocket amid its privacy changes” published at https://www.insiderintelligence.com/content/apple-ad-revenues-skyrocket-amid-its-privacy-changes on January 31, 2022.</w:t>
      </w:r>
    </w:p>
    <w:p>
      <w:r>
        <w:t>8 BULLETIN NO. 18 OF MAY 15, 2023</w:t>
      </w:r>
    </w:p>
    <w:p>
      <w:r>
        <w:t>21. In order to assess a hypothesis of abuse of a dominant position, it is necessary to define the relevant product and geographic market in which competition between companies takes place (relevant markets), the market power held by the companies (dominant position), and the conduct that may constitute an anticompetitive practice.</w:t>
      </w:r>
    </w:p>
    <w:p>
      <w:r>
        <w:t>B) The Relevant Markets</w:t>
      </w:r>
    </w:p>
    <w:p>
      <w:r>
        <w:t>22. The relevant markets, for the purposes of evaluating the case at hand, must be identified by the set of activities that, on the one hand, allow Apple to influence the ability to collect data from users who use the iOS platform and, on the other hand, utilize and value such data for the purposes of personalizing advertising campaigns and financing apps by developers. The common element of these activities therefore lies in the so-called Big Data7, regarding which the Authority and the European Commission have repeatedly expressed their relevance in competitive terms8.</w:t>
      </w:r>
    </w:p>
    <w:p>
      <w:r>
        <w:t>23. In particular, the relevant markets from a product perspective are: a.1) the market for online platforms for the distribution of apps for users of the iOS operating system in which Apple's conduct takes place and in which the assessment of dominance must therefore be carried out; a.2) the market for the development and distribution of apps; a.3) the markets for online advertising; a.4) the market for the production and sale of high-end mobile devices. In markets a.2) - a.4) the effects of Apple's conduct must be evaluated.</w:t>
      </w:r>
    </w:p>
    <w:p>
      <w:r>
        <w:t>B.1) The Market for Online Platforms for the Distribution of Apps for Users of the iOS Operating System</w:t>
      </w:r>
    </w:p>
    <w:p>
      <w:r>
        <w:t>24. The App Store is characterized as a two-sided platform that intermediates and facilitates transactions between two distinct groups of users: (i) developers who distribute their apps intended for end consumers using the iOS operating system on their mobile devices and (ii) consumers who search for apps to download, either for free or for a price, on their mobile device. The two sides of the platform can be considered distinct product markets9.</w:t>
      </w:r>
    </w:p>
    <w:p>
      <w:r>
        <w:t>25. The rules regarding the request for consent for privacy (ATT policy) in the iOS system are imposed by Apple on developers. Therefore, for the purposes of evaluating the conduct in question, the market in which Apple offers access to developers to its App Store is particularly relevant. In this market, the substitutability from the demand side must be analyzed from the perspective of the users.</w:t>
      </w:r>
    </w:p>
    <w:p>
      <w:r>
        <w:t>7 The term "Big Data" refers, in a first approximation (in the absence of legally binding definitions), to the collection, analysis, and accumulation of large amounts of data, which may include personal data (in the sense provided by Article 4 of Regulation (EU) 2016/679 of the European Parliament and of the Council of April 27, 2016, concerning the protection of natural persons with regard to the processing of personal data, and on the free movement of such data, and repealing Directive 95/46/EC, hereinafter also "GDPR"), possibly coming from different sources. The massive nature of data processing operations entails the necessity for such sets of information (both stored and streamed) to be subject to automated processing, through algorithms and other advanced techniques, in order to identify correlations of a (mostly) probabilistic nature, trends, and/or patterns. See the IC53 Inquiry on Big Data, jointly conducted by the Authority, the Authority for Communications Guarantees (AGCom), and the Guarantor for the protection of personal data (Privacy Guarantor), concluded on December 20, 2019 (AGCM Provision No. 28051 of December 20, 2019, cited).</w:t>
      </w:r>
    </w:p>
    <w:p>
      <w:r>
        <w:t>8 On the essentiality of the availability of data on which fundamental characteristics of digital services depend, in terms of innovation and/or personalization, see AGCM Provision No. 28051 of December 20, 2019, cited, and more recently, Case A552 - Google - obstacles to data portability, Provision No. 30215 of July 5, 2022. The centrality of data, in terms of both the availability of large volumes and quality of data for the development of business activities, has also been recently reaffirmed at the euro-unit level in the proposal for a Regulation of the European Parliament and of the Council containing harmonized rules on access to and fair use of data (Data Act) of February 23, 2022 (“is a core component of the digital economy, and an essential resource to secure the green and digital transitions”).</w:t>
      </w:r>
    </w:p>
    <w:p>
      <w:r>
        <w:t>9 See European Commission Decision of July 18, 2018, Case COMP/AT.40099 - Google Android.</w:t>
      </w:r>
    </w:p>
    <w:p>
      <w:r>
        <w:rPr>
          <w:b/>
        </w:rPr>
        <w:t>[Pages 7–9]</w:t>
      </w:r>
    </w:p>
    <w:p>
      <w:r>
        <w:t>BULLETIN NO. 18 OF MAY 15, 2023 9</w:t>
      </w:r>
    </w:p>
    <w:p>
      <w:r>
        <w:t>developers and the supply from the perspective of platform providers, as well as Apple's dominant position.</w:t>
      </w:r>
    </w:p>
    <w:p>
      <w:r>
        <w:t>26. The App Store is the only online store through which native apps can be distributed to iOS users since Apple does not allow downloading apps for iOS devices through alternative stores. At the same time, applications downloaded via the web (web apps) are not accessible through the iOS operating system for mobile devices. HTTP is the protocol generally used by the web to communicate with users through the web; however, web apps are less performant compared to native apps and lack a central distribution point where consumers can find and access the apps.</w:t>
      </w:r>
    </w:p>
    <w:p>
      <w:r>
        <w:t>27. The distribution of applications through the other main online store currently available for users, namely Google Play Store, is not a substitute from the developers' perspective. In fact, Google Play Store is accessible only to users who adopt the Android operating system, an alternative to iOS, and since smartphone users tend to use only one device, app developers have no choice but to offer their applications on both operating systems (iOS and Android). In other words, it is never advantageous for developers to stop offering apps on one operating system to divert business to the other, as this would lead to the loss of access to the entire group of users who rely on that operating system. Indeed, the most popular applications (except for most of Apple's proprietary applications) are generally available on both Android and iOS. In conclusion, there do not appear to be any alternatives to Apple's App Store available that could serve as substitutes for application developers wishing to offer their apps to iOS users.</w:t>
      </w:r>
    </w:p>
    <w:p>
      <w:r>
        <w:t>28. Regarding substitutability from the supply side, it is noted that there are no alternative providers capable of offering a distribution platform that could substitute the App Store. Apple indeed has tight control over its ecosystem and limits any other company from offering an alternative compatible with iOS. Therefore, it is at Apple's discretion to decide whether to allow competition from alternative app distribution platform providers or services to iOS users.</w:t>
      </w:r>
    </w:p>
    <w:p>
      <w:r>
        <w:t>29. From a geographical perspective, the market for the provision of distribution platforms for applications for iOS users can be considered global.</w:t>
      </w:r>
    </w:p>
    <w:p>
      <w:r>
        <w:t>B.2) The market for app development and distribution</w:t>
      </w:r>
    </w:p>
    <w:p>
      <w:r>
        <w:t>30. In the market for app development and distribution, Apple is present, from the supply side, in competition with a large number of entities that develop and distribute apps, including through online stores related to operating systems other than iOS. The particular position of an upstream integrated company in the platform market, as mentioned above, allows Apple to influence – through the ATT policy – the activities of its competitors in this market. Demand is represented by end users who choose to download apps based on their price and quality, which includes, among other things, the level of security and privacy guaranteed during the browsing and downloading of the apps themselves.</w:t>
      </w:r>
    </w:p>
    <w:p>
      <w:r>
        <w:t>31. The "monetization" of apps distributed to end users, that is, the ability of developers to generate revenue from app distribution, can derive from one of the following models: i) the "paid" model which involves charging consumers for subscriptions, downloads, or in-app content; ii) the "ad-supported" model (advertising-funded) which involves offering apps for free (or at a very low price) and selling advertising space (in-app advertising) to advertisers directly or through advertising service providers; iii) the "freemium" model, a combination of both monetization models, whereby a free version of an app – ad-supported – is offered with the possibility of switching to a paid version, in which additional features are usually available.</w:t>
      </w:r>
    </w:p>
    <w:p>
      <w:r>
        <w:t>32. Based on the Commission's precedents, the market in question has a European geographical dimension.</w:t>
      </w:r>
    </w:p>
    <w:p>
      <w:r>
        <w:t>B.3) The online advertising markets</w:t>
      </w:r>
    </w:p>
    <w:p>
      <w:r>
        <w:t>33. Monetization through online advertising has represented – at least until the introduction of the ATT policy – the most widespread and suitable form of generating revenue for most developers, while it seems to have experienced a significant decline for some of Apple's competitors, starting from 2021. It therefore appears necessary to take into account the possible correlations between the impact of behaviors in the online advertising markets and that which occurs in the app development and distribution market.</w:t>
      </w:r>
    </w:p>
    <w:p>
      <w:r>
        <w:t>34. According to established national and European guidelines, online advertising, that is, the use of the internet to direct promotional messages to users, should be divided into two distinct relevant markets: i) the online search advertising market and ii) the non-search online advertising market.</w:t>
      </w:r>
    </w:p>
    <w:p>
      <w:r>
        <w:t>35. The latter market can be further segmented and, in particular, for the purposes of the proceeding in question, the non-search online advertising market transmitted via "display" must be considered, which concerns graphic advertisements ("banners" and "rich media") that do not appear as a result of online searches (via keywords) by the user, but can appear on any web page and are selected based on the thematic affinity between the respective advertisements and the content of the web page in which they are displayed (contextual targeting), or regardless of this (non-contextual targeting). For these characteristics, non-search online advertising plays a crucial role in the activities of app developers. It cannot be excluded that the market may be further segmented based on the type of format and channel through which the advertising message is conveyed.</w:t>
      </w:r>
    </w:p>
    <w:p>
      <w:r>
        <w:t>36. The supply is represented by publishers and app developers. Publishers and app developers often operate through ad networks, which are entities that aggregate advertising spaces from multiple publishers (especially small ones) and segment them by audience groups before reselling them on the market through auctions. For the sale of advertising spaces, technological sales platforms are then used, called Supply Side Platforms (hereinafter, SSP), which are entities that provide technological tools that allow publishers to sell their advertising spaces through an auction mechanism. The Demand Side Platforms (hereinafter, DSP) are, instead, technological purchasing platforms used by advertisers to submit purchase bids and participate in the virtual auction where the commercial exchange with the SSP takes place.</w:t>
      </w:r>
    </w:p>
    <w:p>
      <w:r>
        <w:t>37. The meeting of supply and demand occurs through automated ad exchanges that represent a virtual place where a real-time auction takes place, allowing advertisers to buy and app publishers/developers to dynamically sell advertising spaces, enabling advertisers to leverage the data generated by users, which represents the main resource for conducting personalized and consequently efficient and effective advertising campaigns.</w:t>
      </w:r>
    </w:p>
    <w:p>
      <w:r>
        <w:t>38. In particular, user data plays a dual role for advertising advertisers: on one hand, it allows them to segment their advertising campaigns by reaching specific targets in real-time, on the other hand, it allows for measuring the effectiveness of advertising campaigns by associating user actions (such as downloading an app and purchasing a good or service) with the viewing of or interaction with an advertising message.</w:t>
      </w:r>
    </w:p>
    <w:p>
      <w:r>
        <w:t>39. Apple conducts its advertising activities through a service called Apple Search Ads (hereinafter, ASA) which allows developers to advertise through sponsored ads displayed at the top of the search results page for searches conducted within the App Store.</w:t>
      </w:r>
    </w:p>
    <w:p>
      <w:r>
        <w:t>40. Based on the Commission's precedents, the market in question has a national dimension, or extends across linguistic borders within the EEA.</w:t>
      </w:r>
    </w:p>
    <w:p>
      <w:r>
        <w:t>B.4) The market for the production and sale of high-end mobile devices</w:t>
      </w:r>
    </w:p>
    <w:p>
      <w:r>
        <w:t>41. Finally, the effects that Apple's conduct may produce by increasing customer loyalty towards apps that can only be downloaded through the iOS system must be considered. This is indeed likely to have a positive impact on Apple's market share in the mobile device supply market. In this market, the supply is represented by premium device manufacturers – which are distinguished from basic ones – and the demand is that of end users.</w:t>
      </w:r>
    </w:p>
    <w:p>
      <w:r>
        <w:t>42. The geographical scope of the market in question extends to the EEA.</w:t>
      </w:r>
    </w:p>
    <w:p>
      <w:r>
        <w:t>C) Apple's dominance in the market for online app distribution platforms for users of the iOS operating system</w:t>
      </w:r>
    </w:p>
    <w:p>
      <w:r>
        <w:t>43. Apple is the only entity capable of providing platform services for the online distribution of apps through the iOS operating system in all countries of the world. Furthermore, Apple applies the same rules in all Member States of the European Union that explicitly prohibit developers from distributing apps through alternative online stores for iOS devices. In light of this, Apple's market position as the sole provider of an online store is the same in all Member States. As noted above, even where app developers are</w:t>
      </w:r>
    </w:p>
    <w:p>
      <w:r>
        <w:rPr>
          <w:b/>
        </w:rPr>
        <w:t>[Pages 10–12]</w:t>
      </w:r>
    </w:p>
    <w:p>
      <w:r>
        <w:t>12 BULLETIN NO. 18 OF MAY 15, 2023</w:t>
      </w:r>
    </w:p>
    <w:p>
      <w:r>
        <w:t>make use of other platforms and operating systems (in particular, Android), will not be able to forgo the Apple store to continue serving customers who use the iOS system and devices produced by Apple. In this sense, Apple's dominant position is unequivocal, even at the national level.</w:t>
      </w:r>
    </w:p>
    <w:p>
      <w:r>
        <w:t>D) The abusiveness of the conduct</w:t>
      </w:r>
    </w:p>
    <w:p>
      <w:r>
        <w:t>44. Apple, taking advantage of its dominant (monopoly) position in the market for online app distribution platforms for users of the iOS operating system, has adopted a discriminatory policy (or self-preferencing) that appears capable of i) reducing the advertising revenues of third-party advertisers, to the advantage of its own commercial division, particularly favoring its direct sales and its advertising intermediation platforms. This alteration of the remuneration prospects of competing apps also appears capable of: ii) reducing entry or preventing the stay of competitors in the app development and distribution market and iii) favoring Apple applications and, consequently, Apple mobile devices and the iOS operating system.</w:t>
      </w:r>
    </w:p>
    <w:p>
      <w:r>
        <w:t>45. In fact, the availability of user data and their profiling, while respecting privacy protection regulations, are essential elements for the attractiveness of advertising spaces purchased by advertisers, as they: i) allow targeting advertising to specific consumers (based on their online behavior, interests, and demographic data), who are more likely to purchase the advertised products or services or to install new apps; ii) allow measuring over time the effectiveness of advertising campaigns, for example, by identifying what percentage of these have converted into sales.</w:t>
      </w:r>
    </w:p>
    <w:p>
      <w:r>
        <w:t>46. Apple, through the introduction of the ATT policy for third-party app developers only, has discriminatively reduced the possibility of profiling by competing publishers, app developers, and ad networks (supply side), reducing the value of advertising for the advertisers served by them (demand side) and, consequently, has hindered - to its own advantage - the ability of competitors to sell advertising spaces. This favors both its direct sales - for example, through advertising spaces sold within the App Store or other Apple apps - and, potentially, sales made on behalf of third parties - for example, within third-party apps but whose advertising is intermediated by Apple, within its advertising activity called ASA20. It could also lead to a greater concentration of the supply of advertising spaces in the hands of Apple and a consequent loss of bargaining power for advertisers, especially those of smaller size.</w:t>
      </w:r>
    </w:p>
    <w:p>
      <w:r>
        <w:t>47. Therefore, in this case, what is relevant is not the level of privacy chosen by Apple in its digital ecosystem, but rather the choice to adopt differentiated (and potentially discriminatory) privacy policies between itself and its competitors.</w:t>
      </w:r>
    </w:p>
    <w:p>
      <w:r>
        <w:t>48. Furthermore, the new application programming interface (API) - SkadNetwork - which, starting from 2021, Apple has imposed on third-party developers as the only tool to measure the performance of third-party advertising campaigns, appears entirely inadequate for the purpose, as it provides advertisers and publishers with limited, excessively aggregated, and delayed data, worsening significantly the effectiveness of measurement compared to the measurement tools that Apple makes available to advertisers who purchase advertising from it.</w:t>
      </w:r>
    </w:p>
    <w:p>
      <w:r>
        <w:t>49. Again, in this case, the different treatment that Apple reserves for competitors is particularly relevant, adopting for itself the Apple Ads Attribution which provides much more complete and timely information compared to SkadNetwork.</w:t>
      </w:r>
    </w:p>
    <w:p>
      <w:r>
        <w:t>50. In addition to altering competitive dynamics in advertising markets, the limitation of the ability to profile users and measure advertising campaigns - imposed on competing third-party app developers of Apple - may be suitable to reduce only for these subjects the sustainability of the advertising-based monetization model (ad-supported), leading them to gradually shift to the paid model (fee-supported), reducing their level of competitiveness compared to Apple apps, with further detriment also for end consumers for whom the possibility of choosing free or lower-priced apps offered by these developers is reduced.</w:t>
      </w:r>
    </w:p>
    <w:p>
      <w:r>
        <w:t>51. The reduction of competition in the app development and distribution market (or the disincentive to the entry of new developers) appears capable of reducing incentives to develop more innovative apps, and of not allowing to meet the continuously evolving needs of end consumers.</w:t>
      </w:r>
    </w:p>
    <w:p>
      <w:r>
        <w:t>52. In light of the above, the disadvantaged position of third-party apps resulting from the ATT policy would therefore have the effect of pushing consumers to increasingly rely on both Apple devices and apps, hindering the transition of users towards the purchase of devices equipped with the competing operating system.</w:t>
      </w:r>
    </w:p>
    <w:p>
      <w:r>
        <w:t>E) The prejudice to intra-European trade</w:t>
      </w:r>
    </w:p>
    <w:p>
      <w:r>
        <w:t>53. According to the Commission's Communication "Guidelines on the notion of prejudice to trade between Member States under Articles 81 and 82 of the Treaty" (2004/C 101/07), the concept of prejudice to intra-European trade must be interpreted taking into account the direct or indirect, real or potential influence on trade flows between Member States.</w:t>
      </w:r>
    </w:p>
    <w:p>
      <w:r>
        <w:t>54. The existence of prejudice to trade between Member States, as a result of the described behaviors, appears to exist due to the importance of Apple, the main operator in the markets affected by this proceeding and the supranational dimension of such markets. The described conduct, being able to significantly hinder the entry and operation of current and potential competitors, including foreign ones, in the national market, therefore appears likely to alter trade between Member States. It follows that it is appropriate to assess the case in question as a potential infringement of Union law, or of Article 102 TFEU.</w:t>
      </w:r>
    </w:p>
    <w:p>
      <w:r>
        <w:t>CONSIDERING, therefore, that the behaviors carried out by Apple Inc., in the relevant markets as identified above, for the reasons set forth above, appear to constitute a violation of Article 102 TFEU;</w:t>
      </w:r>
    </w:p>
    <w:p>
      <w:r>
        <w:t>DECIDES</w:t>
      </w:r>
    </w:p>
    <w:p>
      <w:r>
        <w:t>a) to initiate the investigation, pursuant to Article 14 of Law No. 287/90, against the company Apple Inc., Apple Distribution International Ltd, Apple Italia S.r.l. to ascertain the existence of competition violations pursuant to Article 102 TFEU;</w:t>
      </w:r>
    </w:p>
    <w:p>
      <w:r>
        <w:t>b) to set a deadline of sixty days, starting from the date of notification of this provision, for the legal representatives of the parties to exercise the right to be heard, specifying that the request for a hearing must be received by the Digital Platforms and Communications Directorate of the Competition Department 1 of this Authority at least fifteen days before the expiration of the above-mentioned deadline;</w:t>
      </w:r>
    </w:p>
    <w:p>
      <w:r>
        <w:t>c) that the person responsible for the procedure is Dr. Renato Sicca;</w:t>
      </w:r>
    </w:p>
    <w:p>
      <w:r>
        <w:t>d) that the acts of the procedure can be viewed, at the Digital Platforms and Communications Directorate of the Competition Department 1 of this Authority, by the legal representatives of the parties or by persons delegated by them;</w:t>
      </w:r>
    </w:p>
    <w:p>
      <w:r>
        <w:t>e) that the procedure must be concluded by May 3, 2024.</w:t>
      </w:r>
    </w:p>
    <w:p>
      <w:r>
        <w:t>This provision will be notified to the interested parties and published in the Bulletin of the Competition and Market Authority.</w:t>
      </w:r>
    </w:p>
    <w:p>
      <w:r>
        <w:t>THE SECRETARY GENERAL THE PRESIDENT</w:t>
      </w:r>
    </w:p>
    <w:p>
      <w:r>
        <w:t>Guido Stazi Roberto Rustichelli</w:t>
      </w:r>
    </w:p>
    <w:p>
      <w:r>
        <w:rPr>
          <w:b/>
        </w:rPr>
        <w:t>[Pages 13–15]</w:t>
      </w:r>
    </w:p>
    <w:p>
      <w:r>
        <w:t>BULLETIN NO. 18 OF MAY 15, 2023 15</w:t>
      </w:r>
    </w:p>
    <w:p>
      <w:r>
        <w:t>UNFAIR TRADE PRACTICES</w:t>
      </w:r>
    </w:p>
    <w:p>
      <w:r>
        <w:t>PS12314 - DEGIRO/ADVERTISING WITHOUT COMMISSIONS</w:t>
      </w:r>
    </w:p>
    <w:p>
      <w:r>
        <w:t>Provision No. 30616</w:t>
      </w:r>
    </w:p>
    <w:p>
      <w:r>
        <w:t>THE ANTITRUST AUTHORITY</w:t>
      </w:r>
    </w:p>
    <w:p>
      <w:r>
        <w:t>IN ITS MEETING of April 18, 2023;</w:t>
      </w:r>
    </w:p>
    <w:p>
      <w:r>
        <w:t>HEARD the Rapporteur, Professor Elisabetta Iossa;</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No. 25411 of April 1, 2015;</w:t>
      </w:r>
    </w:p>
    <w:p>
      <w:r>
        <w:t>HAVING REGARD TO the communication of April 13, 2022, which initiated the PS12314 proceeding against flatexDEGIRO Bank AG;</w:t>
      </w:r>
    </w:p>
    <w:p>
      <w:r>
        <w:t>HAVING REGARD TO its decision of November 2, 2022, with which, pursuant to Article 7, paragraph 3, of the Regulation, the deadline for concluding the proceeding was extended, due to the need to examine the findings in the records for the purpose of evaluating the cases subject to the proceeding in question;</w:t>
      </w:r>
    </w:p>
    <w:p>
      <w:r>
        <w:t>HAVING REGARD TO its decision of December 20, 2022, with which, pursuant to Article 7, paragraph 3, of the Regulation, the deadline for concluding the proceeding was extended due to the need to examine the findings in the records for the purpose of evaluating the cases subject to the proceeding in question;</w:t>
      </w:r>
    </w:p>
    <w:p>
      <w:r>
        <w:t>HAVING REGARD TO its decision of February 28, 2023, with which, pursuant to Article 7, paragraph 3, of the Regulation, the deadline for concluding the proceeding was extended, in order to follow up on the necessary requirements aimed at concluding the proceeding;</w:t>
      </w:r>
    </w:p>
    <w:p>
      <w:r>
        <w:t>HAVING REGARD TO the documents of the proceeding;</w:t>
      </w:r>
    </w:p>
    <w:p>
      <w:r>
        <w:t>I. THE PARTIES</w:t>
      </w:r>
    </w:p>
    <w:p>
      <w:r>
        <w:t>1. flatexDEGIRO Bank AG (hereinafter also DEGIRO, the Professional or the Company), as a Professional, pursuant to Article 18, letter b), of the Consumer Code, having its registered office in Germany. The company is a multinational that engages in financial intermediation, providing investment/online trading services.</w:t>
      </w:r>
    </w:p>
    <w:p>
      <w:r>
        <w:t>2. FinecoBank S.p.A. (hereinafter also Fineco), as the reporting party and intervening party in the proceeding.</w:t>
      </w:r>
    </w:p>
    <w:p>
      <w:r>
        <w:t>II. THE TRADE PRACTICES</w:t>
      </w:r>
    </w:p>
    <w:p>
      <w:r>
        <w:t>3. The proceeding concerns two distinct trade practices carried out by DEGIRO, in relation to the offering of financial instruments and investment services disseminated through its online platform and through advertising campaigns.</w:t>
      </w:r>
    </w:p>
    <w:p>
      <w:r>
        <w:t>4. The company FlatexDEGIRO offers, under the free provision of services, access to a wide range of financial markets, each with different trading rules. The Professional is an authorized financial intermediary, also referred to as an online broker, that carries out buying and selling activities via the internet on behalf of investors; trading is ordered by the online trader (professional, small investor) who makes investments through financial instruments.</w:t>
      </w:r>
    </w:p>
    <w:p>
      <w:r>
        <w:t>Practice a)</w:t>
      </w:r>
    </w:p>
    <w:p>
      <w:r>
        <w:t>5. The Professional, through the dissemination of messages on the website www.degiro.it and television campaigns, has promoted its investment services, presenting them as free of charges through banners depicting a smartphone with the text “€0” prominently displayed in the center of the screen, and featuring phrases such as “zero commissions,” “without commissions.” DEGIRO has thus provided unclear and/or untrue information to investors regarding the economic conditions of the services offered, on issues deemed essential at the time of making the commercial decision.</w:t>
      </w:r>
    </w:p>
    <w:p>
      <w:r>
        <w:t>Practice b)</w:t>
      </w:r>
    </w:p>
    <w:p>
      <w:r>
        <w:t>6. The Professional provides, in the case of investments in foreign currency, an automatic currency conversion mode as a default setting, leading the customer to make an unconscious choice that may prove less advantageous for them compared to the manual conversion mode.</w:t>
      </w:r>
    </w:p>
    <w:p>
      <w:r>
        <w:t>III. THE FINDINGS OF THE PROCEEDING</w:t>
      </w:r>
    </w:p>
    <w:p>
      <w:r>
        <w:t>1) The course of the proceeding</w:t>
      </w:r>
    </w:p>
    <w:p>
      <w:r>
        <w:t>7. In relation to the behaviors described above, by act of April 13, 2022, subsequently published in the Authority's Official Bulletin on June 6, 2022, DEGIRO was notified of the initiation of investigative proceeding No. PS12314, for the alleged violation of Articles 20, 21, 22, 24, and 25 of the Consumer Code, in relation to the offering of financial instruments and investment services through its online platform.</w:t>
      </w:r>
    </w:p>
    <w:p>
      <w:r>
        <w:t>8. On June 15, 2022, a request for an extension of the deadline assigned for the response to the request for information made at the initiation of the investigation and for the submission of the defense memorandum was received from the Company, along with a request for access to the documents. The acceptance of both requests was communicated on June 21, 2022.</w:t>
      </w:r>
    </w:p>
    <w:p>
      <w:r>
        <w:t>9. On July 1, 2022, a request to participate in the proceeding was received from FinecoBank S.p.A., pursuant to Article 10 of the Regulation, which was accepted on July 6, 2022; the acceptance was communicated to DEGIRO on the following July 11, 2022.</w:t>
      </w:r>
    </w:p>
    <w:p>
      <w:r>
        <w:t>10. On July 21, 2022, a communication from DEGIRO was received, containing the response to the request for information made at the initiation of the investigation, a defense memorandum, and a proposal for commitments.</w:t>
      </w:r>
    </w:p>
    <w:p>
      <w:r>
        <w:t>11. On September 7, 2022, DEGIRO was notified of the acceptance of the request for a hearing, scheduled for October 4, 2022.</w:t>
      </w:r>
    </w:p>
    <w:p>
      <w:r>
        <w:t>12. On October 21, 2022, DEGIRO submitted an integration to the previously formulated proposal for commitments and the response to the request for information made during the hearing.</w:t>
      </w:r>
    </w:p>
    <w:p>
      <w:r>
        <w:t>13. On November 3, 2022, the parties were notified of the extension of the deadline for concluding the proceeding.</w:t>
      </w:r>
    </w:p>
    <w:p>
      <w:r>
        <w:t>14. On November 15, 2022, Fineco was notified of the acceptance of the request for a hearing, scheduled for November 18, 2022.</w:t>
      </w:r>
    </w:p>
    <w:p>
      <w:r>
        <w:t>15. The proposals for commitments submitted on July 21, 2022, and October 21, 2022, were rejected by the Authority in its meeting of November 22, 2022, as they related to behaviors that, if established, could constitute cases of "manifestly unfair and serious" trade practices, for which Article 27, paragraph 7 of the Consumer Code cannot be applied. In any case, the Authority also deemed such commitments unsuitable to remove the unfairness profiles subject to investigation. The outcome of the evaluation was communicated to the Professional on November 24, 2022.</w:t>
      </w:r>
    </w:p>
    <w:p>
      <w:r>
        <w:t>16. On December 21, 2022, the parties were notified of the extension of the deadline for concluding the proceeding.</w:t>
      </w:r>
    </w:p>
    <w:p>
      <w:r>
        <w:t>17. On January 19, 2023, a communication regarding the implementation of the commitments presented and an integration of the measures was received.</w:t>
      </w:r>
    </w:p>
    <w:p>
      <w:r>
        <w:t>18. On February 2, 2023, the parties were notified of the conclusion date of the investigative phase, pursuant to Article 16, paragraph 1, of the Regulation.</w:t>
      </w:r>
    </w:p>
    <w:p>
      <w:r>
        <w:t>19. On February 23, 2023, DEGIRO's final memorandum was received.</w:t>
      </w:r>
    </w:p>
    <w:p>
      <w:r>
        <w:t>20. On February 27, 2023, pursuant to and for the effects of Article 27, paragraphs 1-bis and 6, of the Consumer Code, a request for an opinion was sent to the Authority for Guarantees in Communications (hereinafter, AGCOM) and to the National Commission for Companies and the Stock Exchange (hereinafter, CONSOB).</w:t>
      </w:r>
    </w:p>
    <w:p>
      <w:r>
        <w:t>21. On March 1, 2023, the parties were notified of the extension of the deadline for concluding the proceeding.</w:t>
      </w:r>
    </w:p>
    <w:p>
      <w:r>
        <w:t>22. On March 27, 2023, AGCOM's opinion was received.</w:t>
      </w:r>
    </w:p>
    <w:p>
      <w:r>
        <w:t>23. On March 30, 2023, CONSOB's opinion was received.</w:t>
      </w:r>
    </w:p>
    <w:p>
      <w:r>
        <w:rPr>
          <w:b/>
        </w:rPr>
        <w:t>[Pages 16–18]</w:t>
      </w:r>
    </w:p>
    <w:p>
      <w:r>
        <w:t>BULLETIN NO. 18 OF MAY 15, 2023</w:t>
      </w:r>
    </w:p>
    <w:p>
      <w:r>
        <w:t>2) The evidence acquired during the proceeding</w:t>
      </w:r>
    </w:p>
    <w:p>
      <w:r>
        <w:t>- The request for intervention received</w:t>
      </w:r>
    </w:p>
    <w:p>
      <w:r>
        <w:t>24. In relation to the contested behaviors, a report was received from Fineco19.</w:t>
      </w:r>
    </w:p>
    <w:p>
      <w:r>
        <w:t>25. Through this report, it emerged, first of all, that the Company promotes to the investor the possibility of availing themselves of investment services related to the buying and selling of stocks and ETFs (exchange-traded funds) without commissions. However, by consulting the price list, it is noted that there are costs that make the operations less advantageous compared to what was presented.</w:t>
      </w:r>
    </w:p>
    <w:p>
      <w:r>
        <w:t>26. Secondly, it was reported that DEGIRO has provided for the automatic currency conversion mode (AutoFX) as the default setting for cases of investments in foreign currency. Through this provision, according to the reporter, the Professional would lead the client to make, unknowingly, a choice that is less advantageous for them compared to the manual conversion mode for the conversion into dollars of the amounts deposited in the account for investments.</w:t>
      </w:r>
    </w:p>
    <w:p>
      <w:r>
        <w:t>- The behaviors subject to the proceeding</w:t>
      </w:r>
    </w:p>
    <w:p>
      <w:r>
        <w:t>Practice sub a)</w:t>
      </w:r>
    </w:p>
    <w:p>
      <w:r>
        <w:t>27. The evidence acquired during the investigation20 (statements of the Professional during the hearing and memoranda) confirms that, through the dissemination of promotional messages on the website www.degiro.it and through television campaigns, the Professional provides insufficient and inadequate information regarding the actual economic conditions provided for the investment services offered. Specifically, from at least December 2021 until April 12, 2022, on the DEGIRO corporate website, the Company promoted its investment services, presenting them as free of charge through banners depicting a smartphone with the text “€0” prominently displayed in large font, and containing phrases such as “Degiro introduces zero,” “invest your way. Without commissions1 or with incredibly low commissions, just like our 2 million other users,” only partially clarified, to the right of the page, by a note referenced by the footnote number: “1 Currency, connection, product, spread, and external costs (0.50€) may apply. Please consult our commission page.” By clicking on “commissions,” one accesses a page that emphatically opens with “DEGIRO introduces zero,” followed by “Invest without commissions in American stocks, Italian stocks, and all ETFs.”</w:t>
      </w:r>
    </w:p>
    <w:p>
      <w:r>
        <w:t>28. This message, therefore, promotes to the investor the possibility of availing themselves of investment services related to the buying and selling of stocks and ETFs (exchange-traded funds) without commissions. However, only by downloading the price list (also referred to as “Custody Price List”) or accessing the “frequently asked questions” from a link located in a less visible position at the bottom of the home page, one learns that investment operations incur costs, different from trading commissions such as, for example, costs related to currency exchanges, which make the operations less advantageous compared to what was presented.</w:t>
      </w:r>
    </w:p>
    <w:p>
      <w:r>
        <w:t>19 See doc. no. 1 of 02/18/2022.</w:t>
      </w:r>
    </w:p>
    <w:p>
      <w:r>
        <w:t>20 See doc. no. 18 of 07/21/2022 and doc. no. 27 of 10/21/2022.</w:t>
      </w:r>
    </w:p>
    <w:p>
      <w:r>
        <w:t>BULLETIN NO. 18 OF MAY 15, 2023 19</w:t>
      </w:r>
    </w:p>
    <w:p>
      <w:r>
        <w:t>29. More specifically, in response to the request for information21, it emerged that the costs charged by DEGIRO are distinguished into:</w:t>
      </w:r>
    </w:p>
    <w:p>
      <w:r>
        <w:t>˗ fees pertaining to DEGIRO itself, such as costs related to stock exchange commissions (amounting to €2.50/year for foreign exchanges), as well as connection costs to foreign exchanges, to be incurred when investors execute trades on financial markets other than Borsa Italiana (the amount of these commissions varies depending on the foreign financial market and any additional functionalities requested by the client);</w:t>
      </w:r>
    </w:p>
    <w:p>
      <w:r>
        <w:t>21 See doc. no. 18 of 07/21/2022.</w:t>
      </w:r>
    </w:p>
    <w:p>
      <w:r>
        <w:t>20 BULLETIN NO. 18 OF MAY 15, 2023</w:t>
      </w:r>
    </w:p>
    <w:p>
      <w:r>
        <w:t>˗ charges pertaining to third parties, represented by the costs of clearing and settlement of brokerage (fixed fee of €0.50), by any charges for operations in foreign currency, by charges for short selling and for sales short (calculated as a percentage of the investment amount).</w:t>
      </w:r>
    </w:p>
    <w:p>
      <w:r>
        <w:t>30. As mentioned, information on conversion costs and other charges is only available by downloading DEGIRO's Price List, which is cited on the Professional's home page, without the simultaneous presence of a referral link, but which can only be accessed after clicking on the “Commissions” label from which a dropdown menu appears providing access to a “Cost Calculator” where one can consult the Price List or Custody Price List to get an overview of all trading options and their related costs, the contents of which, moreover, are not immediately and clearly understandable as they are presented within a detailed listing of items from which it is not easy to extract those related to costs.</w:t>
      </w:r>
    </w:p>
    <w:p>
      <w:r>
        <w:rPr>
          <w:b/>
        </w:rPr>
        <w:t>[Pages 19–21]</w:t>
      </w:r>
    </w:p>
    <w:p>
      <w:r>
        <w:t>BULLETIN NO. 18 OF MAY 15, 2023 21</w:t>
      </w:r>
    </w:p>
    <w:p>
      <w:r>
        <w:t>31. Moreover, while providing investors with a specific online "Cost Calculator," through which one can simulate the investment and identify the commissions and various costs required for the operation, this tool is not immediately visible on the homepage since, to access the simulator, it is always necessary to click on the "commissions" label present in the dropdown menu and, only after viewing the page, locate the "cost calculator" label, clicking on which a series of warnings appear, including the following: "In the calculator, you can select only a part of all the investment options in DEGIRO. For an overview of all our trading options and their related costs, please consult our Tariffario or Tariffario Custody."</w:t>
      </w:r>
    </w:p>
    <w:p>
      <w:r>
        <w:t>22 BULLETIN NO. 18 OF MAY 15, 2023</w:t>
      </w:r>
    </w:p>
    <w:p>
      <w:r>
        <w:t>The Professional acknowledged22 that, as of April 12, 2022, he modified the content of the message disseminated on the website www.degiro.it with the aim of no longer using the advertising claim that emphasizes the absence of commissions, through enlarged font sizes, as evidenced by the image below.</w:t>
      </w:r>
    </w:p>
    <w:p>
      <w:r>
        <w:t>22 See doc. no. 19 of 03/08/2022.</w:t>
      </w:r>
    </w:p>
    <w:p>
      <w:r>
        <w:t>BULLETIN NO. 18 OF MAY 15, 2023 23</w:t>
      </w:r>
    </w:p>
    <w:p>
      <w:r>
        <w:t>32. Furthermore, from the information provided by the Professional, it emerged that, during the period between November 24, 2021, and February 28, 2022, DEGIRO had advertised its investment services by also disseminating spots with audio of the following tenor: "Investing? It's not just for a few chosen ones; on DEGIRO you can invest without commissions in American and Italian stocks and all ETFs. Tap and discover DEGIRO introduces zero on the Italian and American stock exchanges"23, on the following radio and television broadcasters during the indicated periods:</w:t>
      </w:r>
    </w:p>
    <w:p>
      <w:r>
        <w:t>33. DEGIRO also reported having used the contested claims in paid advertisements published on the social platform Facebook during the period between December 1, 2021, and April 9, 2022.</w:t>
      </w:r>
    </w:p>
    <w:p>
      <w:r>
        <w:t>34. The contested claims, disseminated via radio, TV, and social networks, were modified, starting from February 23, 202224, with the inclusion of the warning regarding management fees pertaining to third parties as well as the presence of commissions for currency exchange.</w:t>
      </w:r>
    </w:p>
    <w:p>
      <w:r>
        <w:t>35. Therefore, based on what emerged during the investigation, starting from April 2022, the claim "without commissions," or similar, is no longer used, nor is the "0" shown/mentioned in any promotional message disseminated by the Professional.</w:t>
      </w:r>
    </w:p>
    <w:p>
      <w:r>
        <w:t>Conduct sub b)</w:t>
      </w:r>
    </w:p>
    <w:p>
      <w:r>
        <w:t>36. As mentioned, in order to carry out purchase/sale operations on the financial market in a currency different from the euro using DEGIRO's services, conversion to dollars is an essential step.</w:t>
      </w:r>
    </w:p>
    <w:p>
      <w:r>
        <w:t>37. This conversion can occur in two different ways, each associated with different costs. Specifically, regarding currency exchange operations, the options made available by the intermediary are as follows:</w:t>
      </w:r>
    </w:p>
    <w:p>
      <w:r>
        <w:t>- automatic exchange (AutoFX): this is the default setting provided on the client's account, that is, the one that DEGIRO applies from the moment the account is opened in the absence of a different choice made by the client. Currency exchange occurs simultaneously with each purchase/sale operation of financial instruments, thus the investor does not immobilize funds in foreign currency and converts the money into euros every time a transaction is made on the financial market, with the related commissions charged;</w:t>
      </w:r>
    </w:p>
    <w:p>
      <w:r>
        <w:t>- manual exchange: this setting must be selected by the client using a procedure that is not immediately accessible. In fact, to switch to manual mode, the client must navigate the site through several steps, which are not clearly illustrated and are not very intuitive. In particular, it is necessary to access the "settings" section, locate the label "currency management," clicking on which the following information appears: "Every currency exchange is executed with AutoFX as the standard procedure [...] You can also manually execute your conversion of</w:t>
      </w:r>
    </w:p>
    <w:p>
      <w:r>
        <w:t>23 See doc. no. 3 of 28/03/2022.</w:t>
        <w:br/>
        <w:t>24 See doc. no. 19 of 03/08/2022.</w:t>
      </w:r>
    </w:p>
    <w:p>
      <w:r>
        <w:rPr>
          <w:b/>
        </w:rPr>
        <w:t>[Pages 22–24]</w:t>
      </w:r>
    </w:p>
    <w:p>
      <w:r>
        <w:t>24 BULLETIN NO. 18 OF MAY 15, 2023</w:t>
      </w:r>
    </w:p>
    <w:p>
      <w:r>
        <w:t>currency and thus decide for yourself exactly when and how much money you wish to exchange”; a box follows, which can be clicked to deactivate the AutoFX option. With the ManualFX option, the customer can choose to maintain amounts in a specific foreign currency (for example, dollars) in the account, without converting them to euros for each transaction.</w:t>
      </w:r>
    </w:p>
    <w:p>
      <w:r>
        <w:t>38. With the default AutoFX option, money is automatically converted with each transaction, and each of these currency exchange transactions incurs a fee of 0.25% of the total value.</w:t>
      </w:r>
    </w:p>
    <w:p>
      <w:r>
        <w:t>39. Alternatively, with the ManualFX option, the customer can decide to keep amounts in a specific foreign currency (for example, USD) in their account, without converting them to euros for each transaction. The ManualFX option entails a fixed fee of €10 in addition to the percentage fee of 0.25% for each currency exchange transaction (the same as AutoFX), as a conversion charge.</w:t>
      </w:r>
    </w:p>
    <w:p>
      <w:r>
        <w:t>40. It emerges, therefore, that with the manual mode, the investor, being able to decide to keep the foreign currency without making any conversion for each transaction, does not incur the costs due to currency exchange fees for each transaction as in the case of the automatic exchange mode. In the case of the manual option, in fact, it is the investor themselves who chooses when and whether to make the exchange.</w:t>
      </w:r>
    </w:p>
    <w:p>
      <w:r>
        <w:t>41. Therefore, the default setting defined by the intermediary (AutoFX) may not necessarily be more advantageous because the investor can decide to hold amounts blocked in foreign currency for trading operations, choosing to make an initial euro/dollar conversion and a final dollar/euro conversion instead of converting with each buying and selling transaction. In this case, moreover, the lack of convenience is all the more pronounced the greater the amount of the invested sum, since the currency exchange fees correspond to a percentage of that sum.</w:t>
      </w:r>
    </w:p>
    <w:p>
      <w:r>
        <w:t>42. With respect to the practice under examination, the Professional has represented that they voluntarily implemented the commitments not accepted by the Authority in January 2023, as well as having made further changes to the DEGIRO webpage; the changes made are as follows:</w:t>
        <w:br/>
        <w:t>- in the section dedicated to the Cost Calculator, they modified the mechanism for quantifying costs so that the fees to be paid for currency exchange are always calculated according to the AutoFX mechanism, introducing an explanatory caption to inform users of the possibility to choose the manual conversion mode as an alternative to the pre-set automatic conversion mechanism;</w:t>
        <w:br/>
        <w:t>- they introduced a link in the Calculator to the terms “AutoFX” and “manual” through hypertext links that redirect the user to the FAQ page where they are explained;</w:t>
        <w:br/>
        <w:t>- they sent an informative communication to all users who traded in USD in 2022 to inform them of the possibility to change the pre-selected conversion setting;</w:t>
        <w:br/>
        <w:t>- they included in various points of the website an informative note indicating the presence of an alternative to the automatic conversion mechanism (so-called AutoFX) applied by default, and describing how this alternative conversion mechanism works.</w:t>
      </w:r>
    </w:p>
    <w:p>
      <w:r>
        <w:t>43. From the evidence in the records, it emerges that the practice under examination has been in place at least since January 2020 and has not yet ceased.</w:t>
      </w:r>
    </w:p>
    <w:p>
      <w:r>
        <w:t>BULLETIN NO. 18 OF MAY 15, 2023 25</w:t>
      </w:r>
    </w:p>
    <w:p>
      <w:r>
        <w:t>- Other information acquired</w:t>
      </w:r>
    </w:p>
    <w:p>
      <w:r>
        <w:t>44. In response to the request for information, it emerged that as of December 31, 2021, there were [50,000–90,000]* accounts of Italian customers, compared to [10,000–40,000] active as of December 31, 202025.</w:t>
      </w:r>
    </w:p>
    <w:p>
      <w:r>
        <w:t>45. As for the value of investments made by Italian users, they amounted to euros [900,000,000–1,500,000,000] for the year 2020 and for the year 2021 to euros [1,900,000,000–2,500,000,000]26.</w:t>
      </w:r>
    </w:p>
    <w:p>
      <w:r>
        <w:t>46. DEGIRO also indicated the total value of investments made in foreign currency by Italian customers. Specifically, for the year 2020, the amount is equal to euros [400,000,000–800,000,000], while for the year 2021, the amount is equal to euros [900,000,000–1,700,000,000]27.</w:t>
      </w:r>
    </w:p>
    <w:p>
      <w:r>
        <w:t>47. Regarding the amount of costs incurred during the same reference period by Italian users in relation to the operations described above, the information acquired shows that in the year 2020 they amounted to euros [1,900,000–2,500,000], while in the year 2021 they amounted to euros [3,500,000–4,200,000]28.</w:t>
      </w:r>
    </w:p>
    <w:p>
      <w:r>
        <w:t>48. From the data provided by the Professional in response to the request for information made during the hearing, it finally appears that the Italian customers who executed foreign currency (USD) transactions during 2022 were approximately [18–23%]29 of the total customers who used DEGIRO's online trading services in Italy.</w:t>
      </w:r>
    </w:p>
    <w:p>
      <w:r>
        <w:t>IV. THE ARGUMENTS OF THE PARTIES</w:t>
      </w:r>
    </w:p>
    <w:p>
      <w:r>
        <w:t>1) The arguments of DEGIRO</w:t>
      </w:r>
    </w:p>
    <w:p>
      <w:r>
        <w:t>49. In the final memorandum30, the Professional preliminarily observes that, in the relevant commercial sector, the contested behaviors constitute a widespread practice and believes to have acted in accordance with the provisions of the Consumer Code.</w:t>
      </w:r>
    </w:p>
    <w:p>
      <w:r>
        <w:t>Practice sub a)</w:t>
      </w:r>
    </w:p>
    <w:p>
      <w:r>
        <w:t>50. Firstly, the Professional emphasizes that, at the time of the opening of the proceeding, the behavior reported sub a) had already ceased; the behavior, in fact, ceased on April 12, 2022, while the Proceeding was initiated on April 13, 2022.</w:t>
      </w:r>
    </w:p>
    <w:p>
      <w:r>
        <w:t>51. With reference to the period prior to the cessation of the behavior, DEGIRO denies the misleading nature of the claims “0 commissions”, “0”, “no commissions”, as it believes that “the average consumer targeted by DEGIRO's advertising is a consumer – if not already a trader – at least interested in trading and, therefore, is familiar with the terminology of the sector”31.</w:t>
      </w:r>
    </w:p>
    <w:p>
      <w:r>
        <w:t>52. Furthermore, the Professional represents that the dissemination of the advertisement was the result of human error. In fact, it claims that, instead of the television advertisement approved by the Institute of Advertising Self-Regulation (IAP), a previous version of the advertisement was broadcast, which would have been immediately removed once the error was realized.</w:t>
      </w:r>
    </w:p>
    <w:p>
      <w:r>
        <w:t>53. With regard to the presence of other types of costs and commissions that would not have been adequately advertised on the website, the Company asserts that, on the contrary, it has always provided all users with the necessary information regarding the costs applied in a complete and accessible manner on its website and, in particular: i) within the section dedicated to commissions, directly accessible from the homepage of the website; ii) among the “FAQs”; iii) providing the price list, which would be easily consultable on the website and downloadable by all consumers; iv) making available a cost calculator to allow users to estimate the costs associated with the planned trading activity.</w:t>
      </w:r>
    </w:p>
    <w:p>
      <w:r>
        <w:t>54. Regarding the cost calculator and the price list, DEGIRO asserts that these are easily and intuitively accessible from the dropdown menu, under the “commissions” section.</w:t>
      </w:r>
    </w:p>
    <w:p>
      <w:r>
        <w:t>Practice sub b)</w:t>
      </w:r>
    </w:p>
    <w:p>
      <w:r>
        <w:t>55. According to DEGIRO, the default automatic mode is the industry practice used by most banks and brokers active in the Italian market.</w:t>
      </w:r>
    </w:p>
    <w:p>
      <w:r>
        <w:t>56. As for the criticism that the provision of an automatic currency conversion mode as the default setting may prove less advantageous for the customer compared to the manual conversion mode, the Company argued during the hearing on October 18, 202232 that “the AutoFX option is always the most convenient. In fact, most Italian customers prefer the AutoFX option,” then stating that “in most cases it is not only the most advantageous and economical option for customers, but it would also be the most protective and predictable, especially in the case of investors who do not fully understand the dynamics of an activity such as trading and are unable to evaluate all the variables at play (and for whom it is therefore advisable that the intermediary implements protective mechanisms).”</w:t>
      </w:r>
    </w:p>
    <w:p>
      <w:r>
        <w:t>57. Subsequently, the Professional asserted that based on its estimates “the manual conversion mode may only be more advantageous for a relatively small percentage of Italian users (estimated at approximately 3%)”33. Moreover, even regarding this minority percentage, it would, according to DEGIRO, be difficult to determine in advance which conversion mode is more convenient, as this would depend on multiple factors (the number of investment transactions denominated in foreign currency that the customer expects to carry out; the availability of a significant amount of money to allocate to such investments; the intention to carry out buying and selling transactions using the same liquidity; the customer's understanding and full acceptance of the exposure to additional risk on such amounts allocated for investments in foreign currency and, consequently, the risk of loss due to exchange rate fluctuations). DEGIRO, therefore, would have preset the AutoFX mode to facilitate the user who would otherwise have to make a very complex choice.</w:t>
      </w:r>
    </w:p>
    <w:p>
      <w:r>
        <w:t>58. In a subsequent memorandum, the Company, reiterating that by selecting the manual conversion mode the customer can “decide to keep amounts in a specific foreign currency in their portfolio, without converting them to Euro for each transaction,” highlighted that “manual conversion does not always34 constitute the most advantageous or safe option compared to...</w:t>
      </w:r>
    </w:p>
    <w:p>
      <w:r>
        <w:rPr>
          <w:b/>
        </w:rPr>
        <w:t>[Pages 25–27]</w:t>
      </w:r>
    </w:p>
    <w:p>
      <w:r>
        <w:t>BULLETIN NO. 18 OF MAY 15, 2023 27</w:t>
      </w:r>
    </w:p>
    <w:p>
      <w:r>
        <w:t>that “manual conversion does not always constitute the most advantageous or safe option compared to automatic conversion, as DEGIRO users would be charged €10 in addition to 0.25% for each transaction every time they wish to convert foreign currency into EUR and vice versa.”</w:t>
      </w:r>
    </w:p>
    <w:p>
      <w:r>
        <w:t>59. The Professional also asserted in the same context that it would be very unlikely for the customer to incur the conversion cost only once, as in order to profitably use the manual option for executing online trading transactions in foreign currencies, users would need to be able to plan trading activities well in advance and carefully assess the complexity of all variables.</w:t>
      </w:r>
    </w:p>
    <w:p>
      <w:r>
        <w:t>60. DEGIRO also highlighted that following the communication sent as part of the spontaneous implementation of commitments to all customers of the Company35 regarding the possibility of switching from the automatic conversion mode (AutoFX) to the manual mode, it emerged that only 0.6% of the affected customers switched to the manual conversion mode, that is, 151 customers (representing about 0.15% of all Italian customers), of whom 26 executed a total of 38 transactions using manual conversion between January 16, 2023, and February 22, 2023. Of these 38 transactions, 7 related to amounts equal to or less than €500, for which it would be “highly debatable” that the manual conversion mode constitutes the most advantageous option.</w:t>
      </w:r>
    </w:p>
    <w:p>
      <w:r>
        <w:t>61. The Company also states that it has not received complaints from Italian customers regarding the setting of AutoFX as the default option for currency conversion, even after the aforementioned communication was sent.</w:t>
      </w:r>
    </w:p>
    <w:p>
      <w:r>
        <w:t>62. Regarding the Authority's objections about switching from AutoFX mode to manual conversion mode, DEGIRO claims that the procedure for deactivating the preset conversion mode is simple, quick, and intuitive, as well as clearly described on the website.</w:t>
      </w:r>
    </w:p>
    <w:p>
      <w:r>
        <w:t>63. The Professional therefore contests that the conduct in question constitutes an unfair commercial practice capable of causing undue conditioning on its users, as each customer has always had the opportunity to know, before proceeding with the investment (and even before activating their basic account), the existence and functioning of the default option applied by DEGIRO in the case of transactions in foreign currency.</w:t>
      </w:r>
    </w:p>
    <w:p>
      <w:r>
        <w:t>64. The Company states that, in any case, the conduct adopted constitutes an “opt-out” mechanism and is not a “presetting,” believing that in this case, the preselection of an automatic conversion mode by DEGIRO does not in itself impose additional or unsolicited services on the customer. At the same time, it declares that it limits itself to presetting the conversion mode that it reasonably considers most suitable and least risky for the average customer, leaving the user free to choose a different option36.</w:t>
      </w:r>
    </w:p>
    <w:p>
      <w:r>
        <w:t>65. In any case, according to DEGIRO, the practice could not be classified as aggressive to the extent that the Authority, in its communication of the end of the investigation phase, contested not the increasingly disadvantageous nature of automatic conversion, but rather that the latter may only prove to be less advantageous in some cases.</w:t>
      </w:r>
    </w:p>
    <w:p>
      <w:r>
        <w:t>2) The arguments of the intervening party: Fineco</w:t>
      </w:r>
    </w:p>
    <w:p>
      <w:r>
        <w:t>66. In the report received on February 18, 202237, Fineco, the reporting party, stated the following.</w:t>
      </w:r>
    </w:p>
    <w:p>
      <w:r>
        <w:t>35 See doc. no. 47 of 02/23/2023.</w:t>
      </w:r>
    </w:p>
    <w:p>
      <w:r>
        <w:t>36 See ibidem.</w:t>
      </w:r>
    </w:p>
    <w:p>
      <w:r>
        <w:t>37 See doc. no. 1 of 02/18/2022.</w:t>
      </w:r>
    </w:p>
    <w:p>
      <w:r>
        <w:t>28 BULLETIN NO. 18 OF MAY 15, 2023</w:t>
      </w:r>
    </w:p>
    <w:p>
      <w:r>
        <w:t>67. DEGIRO has advertised to its investors the possibility of benefiting from investment services related to the buying and selling of stocks and ETFs without any commission, while consulting the price list reveals the presence of costs that make the operation less advantageous than presented.</w:t>
      </w:r>
    </w:p>
    <w:p>
      <w:r>
        <w:t>68. On the DEGIRO Professional's website, two conversion modes are provided in the case of purchasing financial instruments in a currency different from Euro:</w:t>
      </w:r>
    </w:p>
    <w:p>
      <w:r>
        <w:t>AutoFX: as the default setting applied automatically in the absence of an explicit and different choice by the customer, with a commission applied for each purchase/sale transaction equal to 0.25% of the transaction value, which would always be more expensive for the customer compared to the manual option. According to the Professional, in fact, the default setting, unless the customer executes only one purchase and one sale transaction during the year, is always more expensive.</w:t>
      </w:r>
    </w:p>
    <w:p>
      <w:r>
        <w:t>Manual exchange: alternatively, as an option that must be expressly selected by the customer through a procedure that is not immediately accessible. The exchange occurs at the time determined by the customer with a cost of €10 + 0.25% of the converted value and results in the deposit of liquidity in a specific currency account.</w:t>
      </w:r>
    </w:p>
    <w:p>
      <w:r>
        <w:t>69. Investment products and services are advertised through communication channels aimed indiscriminately at all retail customers, regardless of their level of experience and knowledge of trading activities. This conduct, according to Fineco, poses a potential exposure of the public of all savers to the risks of complex products.</w:t>
      </w:r>
    </w:p>
    <w:p>
      <w:r>
        <w:t>V. OPINION OF AGCOM</w:t>
      </w:r>
    </w:p>
    <w:p>
      <w:r>
        <w:t>70. Since the conduct subject to this provision has been disseminated through telecommunications means (in particular via the internet and television campaigns), on February 27, 2023, the opinion was requested from AGCOM, pursuant to Article 27, paragraph 6, of the Consumer Code.</w:t>
      </w:r>
    </w:p>
    <w:p>
      <w:r>
        <w:t>71. With resolution No. 72/23/CONS, adopted on March 16, 2023, AGCOM expressed its opinion, received on the same date, stating that “in this case, the internet and television are communication tools capable of significantly influencing the realization of the commercial practice for which this Authority's opinion is requested,” specifying, moreover, that consumers “based on the information read on the website used by the Professional could be induced to make a commercial decision that they otherwise would not have made”38.</w:t>
      </w:r>
    </w:p>
    <w:p>
      <w:r>
        <w:t>VI. OPINION OF CONSOB</w:t>
      </w:r>
    </w:p>
    <w:p>
      <w:r>
        <w:t>72. Since the facts in question concern the sector of buying and selling financial instruments via the internet, on February 27, 2023, the opinion was requested from CONSOB pursuant to Article 16, paragraph 5 of the Consumer Code.</w:t>
      </w:r>
    </w:p>
    <w:p>
      <w:r>
        <w:t>73. In a communication dated March 30, 2023, CONSOB, within the framework of the collaborative relationships established between the Authorities, stated that “flatexDEGIRO Bank AG is a German bank, registered in the register maintained by Banca d'Italia and authorized to provide investment services in Italy only in the mode of free provision. The principle of so-called home country control, provided for by Directive 2014/65/EU (MiFID II), subjects the operations of flatexDEGIRO Bank AG, as carried out under the regime of free provision of services, to the supervision of the Authority of the country of origin – Bafin – and does not grant direct supervisory powers to CONSOB, as the Authority of the host country.”</w:t>
      </w:r>
    </w:p>
    <w:p>
      <w:r>
        <w:t>VII. EVALUATIONS</w:t>
      </w:r>
    </w:p>
    <w:p>
      <w:r>
        <w:t>74. The proceeding under examination concerns the behaviors carried out by DEGIRO in relation to the presentation methods of the economic conditions of the products and services offered, both on its website www.degiro.it and in radio and television campaigns - as well as, according to what was declared by the Professional during the investigation, on the social network Facebook - and in relation to the presetting of the foreign currency conversion method of the invested sums.</w:t>
      </w:r>
    </w:p>
    <w:p>
      <w:r>
        <w:t>75. Based on the considerations set forth below, the behaviors described in paragraph II can be attributed to two distinct commercial practices in contrast with Articles 20, 21, 22, 24, and 25 of the Consumer Code, the unfairness of which is confirmed in light of the evidentiary findings, as illustrated below.</w:t>
      </w:r>
    </w:p>
    <w:p>
      <w:r>
        <w:t>76. Regarding professional diligence, with reference to both conducts analyzed below, DEGIRO does not exhibit the normal degree of competence and attention that can reasonably be expected, considering the quality of the Professional and the characteristics of the activity carried out.</w:t>
      </w:r>
    </w:p>
    <w:p>
      <w:r>
        <w:t>77. This is particularly relevant to the characteristics of the sector, in which consumers assume the risks associated with unforeseen events that may impact the value of the investments made and, therefore, the transparency and completeness of the information on the economic conditions of the services in question is particularly significant.</w:t>
      </w:r>
    </w:p>
    <w:p>
      <w:r>
        <w:t>78. Moreover, this is a sector of potential interest for a significant number of consumers, considering that currently online trading allows investing even from home using one's computer and, therefore, the intermediation of a reliable third party becomes a crucial element for those operating in such ways.</w:t>
      </w:r>
    </w:p>
    <w:p>
      <w:r>
        <w:t>Practice sub a)</w:t>
      </w:r>
    </w:p>
    <w:p>
      <w:r>
        <w:t>79. As a preliminary matter, it is noted that the fact that the practice in question ceased the day before the communication of the initiation of this investigation does not affect the Authority's power to declare its misleading and omissive nature. The interventions of the Authority pursue, in fact, also deterrent purposes, which, in the presence of a behavior that has already ceased, are expressed through the power of ascertainment, which has the function of qualifying the practice as illicit; the power of inhibition, which has the function of prohibiting the future repetition of the illicit conduct; the sanctioning power, which has the function of inducing the Professional not to commit further violations.</w:t>
      </w:r>
    </w:p>
    <w:p>
      <w:r>
        <w:t>80. This practice concerns the lack of transparency and misleading nature of the information disseminated by the Professional on its website www.degiro.it, in television campaigns, and on social media, regarding elements to be considered essential at the time of making the commercial decision whether to adhere to its service offer. This constitutes an unfair practice, as the Professional does not adequately and immediately inform the user about the economic conditions of the products/services offered, leading them to believe that they can make stock investments without related charges, which are instead present in the form of costs and commissions.</w:t>
      </w:r>
    </w:p>
    <w:p>
      <w:r>
        <w:t>81. More precisely, the misleading nature arises from the fact that, in the advertising communications disseminated through the aforementioned media, until April 12, 2022, claims aimed at emphasizing the absence of commissions appeared, such as “DEGIRO introduces zero,” “zero commissions,” “no commissions,” and similar, often using a larger editorial font.</w:t>
      </w:r>
    </w:p>
    <w:p>
      <w:r>
        <w:rPr>
          <w:b/>
        </w:rPr>
        <w:t>[Pages 28–30]</w:t>
      </w:r>
    </w:p>
    <w:p>
      <w:r>
        <w:t>30 BULLETIN NO. 18 OF MAY 15, 2023</w:t>
      </w:r>
    </w:p>
    <w:p>
      <w:r>
        <w:t>for the character "0". In this way, the information regarding the expected charge of a series of related costs due to the trading activity, such as the aforementioned "fees pertaining to DEGIRO" and "other charges pertaining to third parties," was not provided clearly and immediately, which instead are charged to the customer, making the investment activity less advantageous than presented.</w:t>
      </w:r>
    </w:p>
    <w:p>
      <w:r>
        <w:t>82. In the sector under examination, characterized by elements of certain complexity, it is crucial to provide clear and non-misleading information from the first contact; in fact, the failure to immediately highlight or the omission of informative elements regarding the economic conditions of the services offered exposes the user to make a "non-aware" commercial decision. The necessary information to understand the contents of the offer, in addition to those available at first glance in the messages in question, as they are included in the responses to the "frequently asked questions" and in the "Tariff," cannot remedy the prejudice caused by their omission in the initial presentation of the analyzed messages, as it is already at that stage that the so-called consumer hook occurs.</w:t>
      </w:r>
    </w:p>
    <w:p>
      <w:r>
        <w:t>83. Information on the total costs related to the services offered, in fact, can only be found by downloading the two types of tariffs made available, called "Tariff" or "Custody Tariff," the content of which is not immediately and clearly understandable, as it consists of multiple items, among which the charges in question are not easily identifiable; or by accessing the responses to the "frequently asked questions" from a link located at the bottom of the home page; or, again, from the so-called "Cost Calculator," through which it is possible to simulate the investment and identify the commissions and various costs required for the operation, which, however, is not immediately visible on the home page. To access this simulator, it is indeed necessary to click on the "commissions" wording present in the dropdown menu and identify the "cost calculator" option - which, moreover, in the current version allows for a cost projection using only the AutoFX method - through which it is possible to simulate the charges to be incurred.</w:t>
      </w:r>
    </w:p>
    <w:p>
      <w:r>
        <w:t>84. Therefore, in the described messages, the information on currency conversion costs and other charges related to investments, as they can only be found by downloading DEGIRO's tariff or accessing the "frequently asked questions" or the "cost calculator," are not suitable to fill the identified information gap, as their consultation is only eventual. This configuration of the messages can, therefore, lead the user to make investments without any knowledge of the costs they will incur for each individual type of operation.</w:t>
      </w:r>
    </w:p>
    <w:p>
      <w:r>
        <w:t>85. Also, the "Zero Commissions" advertisement that the Professional stated to have disseminated, during the period from November 2021 to February 2022 by mistake - but which, however, uses the same claim found on the website www.degiro.it - implies that one can make stock investments without any commissions related to the services offered.</w:t>
      </w:r>
    </w:p>
    <w:p>
      <w:r>
        <w:t>86. The conduct related to the advertising of the offer in question, therefore, presents significant profiles of deception to the extent that the information provided to consumers, in light of the suggestive promotion regarding the possibility of investing using investment services related to the buying and selling of stocks and ETFs (exchange-traded funds), without having to incur expenses related to trading activity, does not provide a clear and adequate representation of the economic conditions of the commercial proposal and is suitable to induce consumers to make a commercial decision that, in the presence of correct and clear information, they might decide not to make.</w:t>
      </w:r>
    </w:p>
    <w:p>
      <w:r>
        <w:t>39 See doc. no. 47 of 02/23/2023.</w:t>
      </w:r>
    </w:p>
    <w:p>
      <w:r>
        <w:t>BULLETIN NO. 18 OF MAY 15, 2023 31</w:t>
      </w:r>
    </w:p>
    <w:p>
      <w:r>
        <w:t>87. As seen, the total of such costs incurred by Italian consumers amounted to almost [3-5] million euros in the year 2021.</w:t>
      </w:r>
    </w:p>
    <w:p>
      <w:r>
        <w:t>88. Based on the evidence on file, the conduct in question persisted from November 2021 until April 12, 2022, when the claims disseminated were modified by the Professional as highlighted in the factual part.</w:t>
      </w:r>
    </w:p>
    <w:p>
      <w:r>
        <w:t>89. This practice constitutes a case of unfair commercial practice in violation of Articles 20, 21, and 22 of the Consumer Code.</w:t>
      </w:r>
    </w:p>
    <w:p>
      <w:r>
        <w:t>Practice sub b)</w:t>
      </w:r>
    </w:p>
    <w:p>
      <w:r>
        <w:t>90. The practice sub b) consists of the provision of the automatic currency conversion method as a default setting predetermined by the intermediary, which thus exerts an undue conditioning on the customer who, in order to make an investment in foreign currency, is induced to accept, through the pre-selection of the AutoFX exchange option, a setting for currency conversion different from the manual alternative. With the manual mode, the investor, being able to maintain the foreign currency without converting it for each operation, does not incur the expenses due to the currency exchange commissions applied to each operation in the case of the automatic exchange mode.</w:t>
      </w:r>
    </w:p>
    <w:p>
      <w:r>
        <w:t>91. For example, opting for the manual mode, the investor can hold the deposit of the liquidity converted into a currency account (dollars). During the period in which they maintain this deposit, they can make multiple purchases and sales of financial products without converting each time and, therefore, without having to pay conversion commissions to DEGIRO.</w:t>
      </w:r>
    </w:p>
    <w:p>
      <w:r>
        <w:t>92. From the investigation, it emerged that the default setting defined by the intermediary (AutoFX) is not necessarily more advantageous for the customer.</w:t>
      </w:r>
    </w:p>
    <w:p>
      <w:r>
        <w:t>93. This, moreover, was confirmed by the Professional himself, who admitted that, at least for a minority percentage of consumers (3%), the manual option could prove to be more advantageous.</w:t>
      </w:r>
    </w:p>
    <w:p>
      <w:r>
        <w:t>40 See doc. no. 47 of 02/23/2023.</w:t>
      </w:r>
    </w:p>
    <w:p>
      <w:r>
        <w:t>41 See doc. no. 47 of 02/23/2023.</w:t>
      </w:r>
    </w:p>
    <w:p>
      <w:r>
        <w:t>32 BULLETIN NO. 18 OF MAY 15, 2023</w:t>
      </w:r>
    </w:p>
    <w:p>
      <w:r>
        <w:t>94. In this regard, the arguments of the Party are irrelevant, according to which the automatic option as a default setting would configure as a more convenient conversion method for the vast majority of Italian customers since they "do not frequently negotiate positions in and out of foreign markets, using the liquidity obtained from the sale of a position to proceed with the immediate purchase of a new position." Nor is the assumption convincing that the pre-setting would have been inserted for the benefit of customers in order to relieve them of the burden of making complex choices. This last argument contradicts what DEGIRO itself asserts regarding the particular prudence that characterizes consumers who carry out online trading financial operations. Nor can it be decisive that today the Professional informs the consumer that there is an additional option compared to the pre-set one.</w:t>
      </w:r>
    </w:p>
    <w:p>
      <w:r>
        <w:t>95. In fact, the mere existence of a pre-selection mechanism on a setting that may prove to be more burdensome for a portion of DEGIRO's customers and which, moreover, is not easily deactivated, is to be considered non-compliant with the Consumer Code.</w:t>
      </w:r>
    </w:p>
    <w:p>
      <w:r>
        <w:t>96. Likewise, the circumstance that, since the Professional has informed consumers of the existence of an alternative procedure to the automatic one, only a residual number of customers has decided to switch to the manual setting is irrelevant. In this regard, in addition to highlighting that the consumerist offense is a danger offense for which the number of subjects affected by the unfair practice is entirely irrelevant, it is noted that, in any case, the period taken into account is particularly short (from January 16 to February 23, 2023).</w:t>
      </w:r>
    </w:p>
    <w:p>
      <w:r>
        <w:t>97. DEGIRO, in other words, in the case of the pre-set automatic exchange option, imposes on the consumer a potential additional payment compared to that connected to the alternative mode, for which they are not asked to express their consent. In this case, consent to the payment of additional charges cannot be considered expressed if the Professional obtains adherence through a pre-established option set up by the Professional itself.</w:t>
      </w:r>
    </w:p>
    <w:p>
      <w:r>
        <w:t>98. The practice in question therefore constitutes a case of aggressive commercial practice in violation of Articles 20, 24, and 25 of the Consumer Code, carried out by the Professional at least since January 2020 and still ongoing.</w:t>
      </w:r>
    </w:p>
    <w:p>
      <w:r>
        <w:t>VIII. QUANTIFICATION OF THE SANCTION</w:t>
      </w:r>
    </w:p>
    <w:p>
      <w:r>
        <w:t>99.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100. Regarding the quantification of the sanction, the criteria identified by Article 11 of Law No. 689/1981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101. In the case of a proceeding concerning a plurality of established administrative offenses, the jurisprudence has clarified that in the presence of multiple conducts with structural and functional autonomy, attributed to the responsibility of professionals, the criterion of material cumulation of sanctions applies, instead of legal cumulation (see among others, Council of State, Section VI, judgment No. 209 of January 19, 2012). Regarding the first practice, with reference to the severity of the violation, account is taken, in the case under examination, of the sector affected by the established deceptive and omissive conducts, in which, as mentioned, considering the risks inherent in investment operations, the transparency and completeness of the information concerning the economic conditions of the related services constitutes a crucial element, especially for small investors. These considerations, moreover, assume even greater relevance in the context of online investments, which represent a phenomenon of growing interest for consumers.</w:t>
      </w:r>
    </w:p>
    <w:p>
      <w:r>
        <w:t>102. As for the economic dimension of the Professional, it is one of the main operators in the online trading sector, which, in the financial year ended in 2021, recorded revenues of €330.129 million, an operating profit of €145.23 million, and an operating margin (EBITDA) of €153.229 million.</w:t>
      </w:r>
    </w:p>
    <w:p>
      <w:r>
        <w:t>103. Also relevant is the widespread nature of the practice, carried out through the web and via radio and television means, which appears to have involved approximately [50,000–90,000] investors in 2021.</w:t>
      </w:r>
    </w:p>
    <w:p>
      <w:r>
        <w:t>104. Furthermore, account is taken of the fact that the expenses incurred by consumers for the costs and commissions subject to this proceeding amount to approximately [3-5] million euros for the year 2021.</w:t>
      </w:r>
    </w:p>
    <w:p>
      <w:r>
        <w:t>105. Regarding the duration of the violation, the available evidence shows that the commercial practice has been carried out at least since November 2021 and ceased in April 2022.</w:t>
      </w:r>
    </w:p>
    <w:p>
      <w:r>
        <w:rPr>
          <w:b/>
        </w:rPr>
        <w:t>[Pages 31–33]</w:t>
      </w:r>
    </w:p>
    <w:p>
      <w:r>
        <w:t>BULLETIN NO. 18 OF MAY 15, 2023 33</w:t>
      </w:r>
    </w:p>
    <w:p>
      <w:r>
        <w:t>106. Based on these elements, it is deemed appropriate to set the amount of the administrative pecuniary sanction applicable to FlatexDEGIRO at €1,500,000 (one million five hundred thousand euros).</w:t>
      </w:r>
    </w:p>
    <w:p>
      <w:r>
        <w:t>107. Regarding the second contested practice, concerning the severity of the violation, account is taken, in the case under examination, of the established unfairness profile, characterized by aggressive methods of imposing the AutoFX option for currency conversion in the case of trading operations in foreign currency.</w:t>
      </w:r>
    </w:p>
    <w:p>
      <w:r>
        <w:t>108. Also for this practice, the aforementioned peculiarities of the sector and the types of consumers potentially involved are relevant for the purposes of severity, such as small investors and the relevance and notoriety of the Professional in the same sector. Furthermore, account is taken of the economic size of the Professional, who, as seen, recorded revenues of €379.46 million, an operating profit of €145.23 million, and an operating margin (EBITDA) of €153.229 million.</w:t>
      </w:r>
    </w:p>
    <w:p>
      <w:r>
        <w:t>109. Also relevant is the widespread nature of the practice, carried out through the web and radio-television means, which reportedly involved approximately [50,000–90,000] investors in 2021.</w:t>
      </w:r>
    </w:p>
    <w:p>
      <w:r>
        <w:t>110. It is also noted that the expenses incurred by consumers for the costs and commissions subject to this proceeding amounted to approximately [3-5] million euros for the year 2021.</w:t>
      </w:r>
    </w:p>
    <w:p>
      <w:r>
        <w:t>111. Regarding the duration of the violation, the available elements in the records indicate that the commercial practice has been in place at least since January 2020 and is currently still ongoing.</w:t>
      </w:r>
    </w:p>
    <w:p>
      <w:r>
        <w:t>112. Based on these elements, it is deemed appropriate to set the amount of the administrative pecuniary sanction applicable to FlatexDEGIRO at €2,500,000 (two million five hundred thousand euros).</w:t>
      </w:r>
    </w:p>
    <w:p>
      <w:r>
        <w:t>CONSIDERING, in accordance with the opinion of AGCOM and CONSOB, based on and within the limits of the considerations set forth above, that the commercial practice described in paragraph II sub a) is deemed unfair pursuant to Articles 20, 21, and 22 of the Consumer Code, as it is capable of inducing consumers to make a commercial decision that they would not otherwise have made, in relation to the information concerning the economic conditions of the service offered;</w:t>
      </w:r>
    </w:p>
    <w:p>
      <w:r>
        <w:t>CONSIDERING, in accordance with the opinion of AGCOM and CONSOB, based on and within the limits of the considerations set forth above, that the commercial practice described in paragraph II sub b) is deemed unfair pursuant to Articles 20, 24, and 25 of the Consumer Code, as it is capable, through undue conditioning, of significantly limiting the consumer's freedom of choice regarding the currency conversion method for making investments in foreign currency;</w:t>
      </w:r>
    </w:p>
    <w:p>
      <w:r>
        <w:t>RESOLVES</w:t>
      </w:r>
    </w:p>
    <w:p>
      <w:r>
        <w:t>a) that the commercial practice described in point II sub a) of this provision, carried out by the company flatexDEGIRO Bank AG constitutes, for the reasons and within the limits set forth in the motivation, an unfair commercial practice pursuant to Articles 20, 21, and 22 of the Consumer Code and prohibits its repetition;</w:t>
      </w:r>
    </w:p>
    <w:p>
      <w:r>
        <w:t>b) that the commercial practice described in point II sub b) of this provision, carried out by the company flatexDEGIRO Bank AG constitutes, for the reasons and within the limits set forth in the motivation, an unfair commercial practice pursuant to Articles 20, 24, and 25 of the Consumer Code and prohibits its repetition;</w:t>
      </w:r>
    </w:p>
    <w:p>
      <w:r>
        <w:t>c) to impose on the company flatexDEGIRO Bank AG an administrative pecuniary sanction of €1,500,000 (one million five hundred thousand euros) for the violation referred to in letter a);</w:t>
      </w:r>
    </w:p>
    <w:p>
      <w:r>
        <w:t>d) to impose on the company flatexDEGIRO Bank AG an administrative pecuniary sanction of €2,500,000 (two million five hundred thousand euros) for the violation referred to in letter b);</w:t>
      </w:r>
    </w:p>
    <w:p>
      <w:r>
        <w:t>e) that the Professional shall communicate to the Authority, within ninety days from the notification of this provision, the initiatives taken in compliance with the injunction referred to in point b).</w:t>
      </w:r>
    </w:p>
    <w:p>
      <w:r>
        <w:t>The imposed administrative sanctions must be paid within thirty days from the notification of this provision, by bank transfer (in euros) to the State Budget,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689/1981, the amount due for the imposed sanction is increased by one-tenth for each semester starting from the day following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BULLETIN NO. 18 OF MAY 15, 2023 35</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Guido Stazi Roberto Rustichelli</w:t>
      </w:r>
    </w:p>
    <w:p>
      <w:r>
        <w:rPr>
          <w:b/>
        </w:rPr>
        <w:t>[Pages 34–36]</w:t>
      </w:r>
    </w:p>
    <w:p>
      <w:r>
        <w:t>36 BULLETIN NO. 18 OF MAY 15, 2023</w:t>
        <w:br/>
        <w:t>PS12397 - ENEL-SEN - CONSUMPTION RECALCULATION</w:t>
        <w:br/>
        <w:t>Provision No. 30617</w:t>
        <w:br/>
        <w:t>THE ANTITRUST AUTHORITY</w:t>
        <w:br/>
        <w:t>IN ITS MEETING of April 18, 2023;</w:t>
        <w:br/>
        <w:t>HEARD the Rapporteur, Professor Elisabetta Iossa;</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communications received on November 11, 2022, through which the companies Enel Energia S.p.A. and Servizio Elettrico Nazionale S.p.A. submitted, pursuant to Article 27, paragraph 7, of the Consumer Code and Article 9 of the Regulation, their respective proposals for commitments, communicated in the definitive and consolidated versions on February 16, 2023;</w:t>
        <w:br/>
        <w:t>HAVING REGARD TO its provision of January 31, 2023, with which, pursuant to Article 7, paragraph 3, of the Regulation, the extension of the deadline for concluding the procedure for the evaluation of the commitments was ordered;</w:t>
        <w:br/>
        <w:t>HAVING REGARD TO the acts of the procedure;</w:t>
      </w:r>
    </w:p>
    <w:p>
      <w:r>
        <w:t>I. THE PARTIES</w:t>
        <w:br/>
        <w:t>1. Enel Energia S.p.A., as Professional, pursuant to Article 18, letter b), of the Consumer Code (hereinafter "Enel"), a company of the Enel group operating in the sale of electricity and natural gas in the free market.</w:t>
        <w:br/>
        <w:t>2. Servizio Elettrico Nazionale S.p.A., as Professional, pursuant to Article 18, letter b), of the Consumer Code (hereinafter "SEN"), a company of the Enel group active in the sale of electricity to customers under the greater protection regime.</w:t>
        <w:br/>
        <w:t>3. The consumer associations Adiconsum Sardegna, AECI Lazio, Confconsumatori Toscana, Confederconsumatori as complainants.</w:t>
        <w:br/>
        <w:t>4. The consumer associations UDICON and CODICI Onlus as interveners.</w:t>
      </w:r>
    </w:p>
    <w:p>
      <w:r>
        <w:t>II. THE COMMERCIAL PRACTICE</w:t>
        <w:br/>
        <w:t>5. The proceeding concerns the behavior carried out by the Professionals regarding the regulation on the two-year limitation period specifically concerning invoices (issued as of January 1, 2020) containing amounts subject to limitation for multi-year consumption (so-called maxi-adjustments)1.</w:t>
        <w:br/>
        <w:t>1 Law No. 205 of December 27, 2017 (so-called Budget Law 2018), at Article 1, paragraphs 4 and following, introduced a two-year limitation regime - so-called "short limitation" - for claims held by operators in the energy sector for past consumption. In particular, Article 1, paragraph 4, of the Budget Law 2018 provides that "In contracts for the supply of electricity and gas, the right to payment is subject to a two-year limitation, both in relations between domestic users or micro-enterprises (...) and the seller, as well as in relations between the distributor and the seller, and those with the transport operator and other subjects in the supply chain. (...). Furthermore, paragraph 5 of the same article provided that "The provisions of paragraph 4 do not apply if the failure or incorrect detection of consumption data is due to the user's established responsibility" [emphasis added]. Finally, the subsequent paragraph 10 determined the entry into force of the now-cited provision: "The provisions of paragraphs 4 and 5 apply to invoices whose due date is subsequent: a) for the electricity sector, to March 1, 2018; b) for the gas sector, to January 1, 2019; (...)". The subsequent regulation of the matter - by ARERA - imposed, among other things, on energy/gas sellers to inform users of the possibility of raising the two-year limitation when "adjustment" invoices issued after the aforementioned dates included charges for past, multi-year consumption. Finally, Law No. 160 of December 27, 2019 (Budget Law 2020), amended the previous regime by abolishing - as of January 1, 2020 - the aforementioned paragraph 5 of Article 1 of the Budget Law 2018: thus, it is now excluded in any case, for operators in these sectors, the possibility of recovering claims for multi-year consumption invoiced untimely even in cases of responsibility attributable to the customer for the failure/delayed detection of consumption.</w:t>
      </w:r>
    </w:p>
    <w:p>
      <w:r>
        <w:t>37 BULLETIN NO. 18 OF MAY 15, 2023</w:t>
        <w:br/>
        <w:t>6. In particular, the complainants reported the rejection of the two-year limitation requests related to invoices issued following recalculation and/or revision of consumption.</w:t>
        <w:br/>
        <w:t>7. In fact, the Professionals would have adopted unclear methods of accounting for consumption and compensation mechanisms, as well as recalculation systems for detected and/or estimated consumption with unspecified methods and in violation of the two-year limitation regulation.</w:t>
        <w:br/>
        <w:t>8. Such behaviors, jointly contested against Enel and SEN in the initiation communication of the procedure, appeared to be characterized by a multi-offensive nature, as, alongside the unjustified rejection (expressed or tacit) of the two-year limitation requests, it seemed possible to identify a profile of misleadingness regarding the application of the new two-year limitation regime.</w:t>
        <w:br/>
        <w:t>9. Consequently, in the initiation communication, a possible unfair commercial practice by Enel and SEN in violation of Articles 20, 21, 22, 24, and 25 of the Consumer Code was hypothesized.</w:t>
      </w:r>
    </w:p>
    <w:p>
      <w:r>
        <w:t>III. THE RESULTS OF THE PROCEDURE: THE PRESENTATION OF COMMITMENTS</w:t>
        <w:br/>
        <w:t>1) The procedure process</w:t>
        <w:br/>
        <w:t>10. In relation to the behaviors described above, on September 27, 2022, the Professionals were notified of the initiation of investigative procedure No. PS12397.</w:t>
        <w:br/>
        <w:t>11. Concurrently with the initiation communication of the investigative procedure, in order to acquire useful knowledge elements for the evaluation of the commercial practice under examination, a request for information regarding the contested cases was formulated to the Professionals, pursuant to Article 27, paragraphs 3 and 4, of the Consumer Code and Article 12, paragraph 1, of the Regulation.</w:t>
        <w:br/>
        <w:t>12. In order to acquire useful elements for the evaluation of possible violations of the Consumer Code, on September 29, 2022, inspections were conducted at the offices of the Companies and E-Distribuzione S.p.A..</w:t>
        <w:br/>
        <w:t>13. Enel and SEN exercised the right of access to the documents of the procedure on October 7, 2022, and were heard in a hearing on December 12, 2022.</w:t>
        <w:br/>
        <w:t>14. On October 6, 2022, and November 3, 2022, the acceptance of the participation requests from the consumer associations CODICI and UDICON, submitted on September 30, 2022, and October 12, 2022, respectively, was communicated.</w:t>
        <w:br/>
        <w:t>15. On October 31, 2022, the Professionals provided their respective responses to the request for information formulated concurrently with the initiation of the procedure. SEN and Enel presented their defensive arguments on November 30, 2022, and December 9, 2022, respectively.</w:t>
        <w:br/>
        <w:t>16. On November 11, 2022, the Professionals formulated their respective proposals for commitments, subsequently integrated on December 23, 2022, and finally presented in the definitive and consolidated versions on February 16, 2023.</w:t>
        <w:br/>
        <w:t>17. On January 31, 2023, the extension of the deadline for concluding the procedure was ordered, communicated to the parties on February 1, 2023.</w:t>
        <w:br/>
        <w:t>18. On February 6, 2023, the parties were informed of the conclusion date of the investigative phase, pursuant to Article 16, paragraph 1, of the Regulation.</w:t>
        <w:br/>
        <w:t>19. On February 17, 2023, the opinion was requested from the Authority for Energy Networks and Environment (ARERA), pursuant to Article 27, paragraph 1-bis, of the Consumer Code.</w:t>
        <w:br/>
        <w:t>20. On March 30, 2023, the opinion of the Authority for Energy Networks and Environment was received.</w:t>
      </w:r>
    </w:p>
    <w:p>
      <w:r>
        <w:t>2) The acquired elements</w:t>
        <w:br/>
        <w:t>21. From the reports received from some consumers, micro-enterprises, and consumer associations, acquired in the case file, as well as from the inspections conducted on September 29, 2022, some possible critical issues emerged regarding the application, by Enel and SEN, of the two-year limitation regulation (also PB). In particular, the two operators would have adopted unclear methods of accounting for consumption and the related amounts subject to limitation, as well as unspecified compensation mechanisms, resulting in not guaranteeing customers the rights provided by the PB regulation.</w:t>
        <w:br/>
        <w:t>22. In fact, some reports concerned the conduct of the Companies regarding the rejection or only partial acceptance of the two-year limitation, justified by a generic reference to the revision of consumption with consequent recalculation of the amounts to be invoiced and failure to recognize the right to PB2.</w:t>
        <w:br/>
        <w:t>23. In other reports, consumers complained about the absence of reasons for the rejection of PB requests or arguments that were terse or related to generic events such as billing blocks3.</w:t>
        <w:br/>
        <w:t>24. The inspection results confirmed the reported critical issues regarding the recalculation methods, as well as the responses provided to consumers regarding the PB. Furthermore, from the evidence gathered during the inspection activity, it emerged that Enel had the practice of attributing the value of an interruptive act of the limitation (at least until August 2022) to the report issued by the distributor to the customer following the replacement of the meter due to malfunction.</w:t>
      </w:r>
    </w:p>
    <w:p>
      <w:r>
        <w:t>3) The commitments of the Professionals</w:t>
        <w:br/>
        <w:t>25. The commitments presented, pursuant to Article 27, paragraph 7, of the Consumer Code and Article 9 of the Regulation, by Enel and SEN on November 11, 2022, and in their consolidated version on February 16, 20234 – which are attached to this provision and constitute an integral part thereof – provide for the adoption of the following measures.</w:t>
        <w:br/>
        <w:t>A) Commitments of Enel</w:t>
        <w:br/>
        <w:t>Commitment 1) Caring phone contact for all customers who have submitted a limitation request</w:t>
        <w:br/>
        <w:t>26. Enel commits to contact by phone, in a caring perspective, all customers who have raised the two-year limitation on invoices containing amounts subject to limitation.</w:t>
        <w:br/>
        <w:t>27. The phone contact, carried out by an external specialist team, aims to illustrate and summarize to the customer the complete picture of the accounting position of their supply, in light of...</w:t>
      </w:r>
    </w:p>
    <w:p>
      <w:r>
        <w:rPr>
          <w:b/>
        </w:rPr>
        <w:t>[Pages 37–39]</w:t>
      </w:r>
    </w:p>
    <w:p>
      <w:r>
        <w:t>BULLETIN NO. 18 OF MAY 15, 2023 39</w:t>
      </w:r>
    </w:p>
    <w:p>
      <w:r>
        <w:t>of the invoices issued, specifying, furthermore, in what terms any corrective invoice affects the previous invoice subject to the request for prescription.</w:t>
      </w:r>
    </w:p>
    <w:p>
      <w:r>
        <w:t>28. The measure under examination provides for up to three attempts to contact the fixed or mobile numbers available to the Company in its information systems, at different times of the day, and if these attempts are unsuccessful, an SMS will be sent allowing the Company to call back the customer at their request. Following the aforementioned contact or attempt to contact for caring, the Company will proceed to send the written response to the request for prescription submitted, in line with what may have been previously communicated to the customer through informal channels.</w:t>
      </w:r>
    </w:p>
    <w:p>
      <w:r>
        <w:t>29. During the management of the request for prescription, Enel proceeds to suspend the related dunning actions. Such actions will be reactivated 15 days after sending the written response to the customer regarding the submitted request.</w:t>
      </w:r>
    </w:p>
    <w:p>
      <w:r>
        <w:t>30. Enel commits to implementing the measure in question indefinitely and to implement it within four months from the notification of the acceptance of the Commitments, pursuant to Article 27, paragraph 7, of the Consumer Code.</w:t>
      </w:r>
    </w:p>
    <w:p>
      <w:r>
        <w:t>Commitment 2) Sending a personalized accounting statement of the customer's position in the case of corrective invoices</w:t>
      </w:r>
    </w:p>
    <w:p>
      <w:r>
        <w:t>31. Enel commits to prepare and send an accounting statement to all customers who have received a corrective invoice.</w:t>
      </w:r>
    </w:p>
    <w:p>
      <w:r>
        <w:t>32. This statement, in addition to reconstructing the previous invoices issued and prepared following a specific investigative inquiry regarding the supply position, will also contain details of any credits or debts resulting from such recalculations (including, for example, the offsets made by the Company).</w:t>
      </w:r>
    </w:p>
    <w:p>
      <w:r>
        <w:t>33. This statement will be sent to the customer regardless of the outcome of the caring telephone contact provided for in the first commitment, and thus even in the case where it was successful.</w:t>
      </w:r>
    </w:p>
    <w:p>
      <w:r>
        <w:t>34. Enel commits to implementing the measure in question indefinitely and to implement it within four months from the notification of the acceptance of the Commitments, pursuant to Article 27, paragraph 7, of the Consumer Code.</w:t>
      </w:r>
    </w:p>
    <w:p>
      <w:r>
        <w:t>Commitment 3) Review of response formats to requests and complaints and training activities for operators in charge of managing them</w:t>
      </w:r>
    </w:p>
    <w:p>
      <w:r>
        <w:t>35. Enel commits to reviewing the response formats to requests and complaints submitted by customers regarding the two-year prescription. The formats will cover all potential cases subject to request or possible complaint regarding short prescription, with particular reference to all scenarios that may arise following the issuance of corrective invoices impacting previous invoices of maxi-adjustment. In particular, a scheme will be defined regarding the minimum recognition elements that must be adequately reported within such formats, including a precise reconstruction of any accounting operations carried out.</w:t>
      </w:r>
    </w:p>
    <w:p>
      <w:r>
        <w:t>36. The Company also commits to preparing and providing ad hoc training activities specifically focused on the subject matter.</w:t>
      </w:r>
    </w:p>
    <w:p>
      <w:r>
        <w:t>37. Enel commits to implementing the measure in question by preparing the aforementioned formats and providing the related training to the staff within four months from the notification of the acceptance of the Commitments, pursuant to Article 27, paragraph 7, of the Consumer Code, and to use such formats indefinitely.</w:t>
      </w:r>
    </w:p>
    <w:p>
      <w:r>
        <w:t>40 BULLETIN NO. 18 OF MAY 15, 2023</w:t>
      </w:r>
    </w:p>
    <w:p>
      <w:r>
        <w:t>Commitment 4) Review and adequate information to the customer for rejected requests for prescription related to invoices affected by billing corrections</w:t>
      </w:r>
    </w:p>
    <w:p>
      <w:r>
        <w:t>38. Enel commits to re-examine a total of [4,000-6,000]* requests and complaints for which it previously provided a denial.</w:t>
      </w:r>
    </w:p>
    <w:p>
      <w:r>
        <w:t>39. As a result of the measure under examination, if the outcome of such verifications reveals an incorrect management of the requests, the Company will send customers a new written communication to inform them of the new analysis conducted regarding their previous request, the possible new outcome of the evaluation carried out, and, in this case, the consequent recognition of the prescribable amount that was previously erroneously denied.</w:t>
      </w:r>
    </w:p>
    <w:p>
      <w:r>
        <w:t>40. The Company commits to completing the activities carried out in execution of the measure in question within six months from the notification of the acceptance of the Commitments, pursuant to Article 27, paragraph 7, of the Consumer Code.</w:t>
      </w:r>
    </w:p>
    <w:p>
      <w:r>
        <w:t>Commitment 5) Review and adequate information to the customer for unaccepted requests and complaints related to the malfunctioning of the meter detected by the Distributor</w:t>
      </w:r>
    </w:p>
    <w:p>
      <w:r>
        <w:t>41. Enel commits to conducting an analysis of all rejected requests for prescription related to the case of meter malfunction, which involves the drafting by the Distributor and the customer's review of the verification report. In particular, the Company will extract all rejected requests from the system for the period between May 1, 2021, and August 31, 2022. The analysis will aim to verify that no interruptive value was attributed to the aforementioned report in the management of the specific request.</w:t>
      </w:r>
    </w:p>
    <w:p>
      <w:r>
        <w:t>42. For customers for whom the Company determines an incorrect management of the requests for prescription as a result of the above-described analysis, Enel will send a specific communication and will also proceed to recognize the prescribable amounts.</w:t>
      </w:r>
    </w:p>
    <w:p>
      <w:r>
        <w:t>43. The Company commits to completing the activities carried out in execution of the measure in question within four months from the notification of the acceptance of the Commitments, pursuant to Article 27, paragraph 7, of the Consumer Code.</w:t>
      </w:r>
    </w:p>
    <w:p>
      <w:r>
        <w:t>B) Commitments of SEN</w:t>
      </w:r>
    </w:p>
    <w:p>
      <w:r>
        <w:t>Commitment 1) Caring telephone contact for all customers who have submitted a request for prescription</w:t>
      </w:r>
    </w:p>
    <w:p>
      <w:r>
        <w:t>44. SEN commits to contacting by telephone, in a caring perspective, all customers who have raised the two-year prescription on invoices containing prescribable amounts.</w:t>
      </w:r>
    </w:p>
    <w:p>
      <w:r>
        <w:t>45. The telephone contact aims to illustrate and summarize to the customer the complete picture of the accounting position of their supply, in light of the invoices issued, specifying also in what terms any corrective invoice affects the previous invoice subject to the request for prescription.</w:t>
      </w:r>
    </w:p>
    <w:p>
      <w:r>
        <w:t>46. The caring call will be made by an external specialist team.</w:t>
      </w:r>
    </w:p>
    <w:p>
      <w:r>
        <w:t>47. The measure under examination provides for up to three attempts to contact the fixed or mobile numbers available to the Company in its information systems, at different times of the day, and if these attempts are unsuccessful, an SMS will be sent allowing the Company to call back the customer at their request. Following the aforementioned contact or attempt to contact for caring, the Company will proceed to send the written response to the request for prescription submitted, in line with what may have been previously communicated to the customer through informal channels.</w:t>
      </w:r>
    </w:p>
    <w:p>
      <w:r>
        <w:t>48. During the management of the request for prescription, SEN proceeds to suspend the related dunning actions. Such actions will be reactivated 15 days after sending the written response to the customer regarding the submitted request.</w:t>
      </w:r>
    </w:p>
    <w:p>
      <w:r>
        <w:t>49. SEN commits to implementing the measure in question indefinitely and to implement it within four months from the notification of the acceptance of the Commitments, pursuant to Article 27, paragraph 7, of the Consumer Code.</w:t>
      </w:r>
    </w:p>
    <w:p>
      <w:r>
        <w:t>Commitment 2) Sending a personalized accounting statement of the customer's position in the case of corrective invoices</w:t>
      </w:r>
    </w:p>
    <w:p>
      <w:r>
        <w:t>50. SEN commits to prepare and send an accounting statement to all customers who have received a corrective invoice.</w:t>
      </w:r>
    </w:p>
    <w:p>
      <w:r>
        <w:t>51. This statement, in addition to reconstructing the previous invoices issued and prepared following a specific investigative inquiry regarding the supply position, will also contain details of any credits or debts resulting from such recalculations (including, for example, the offsets made by the Company).</w:t>
      </w:r>
    </w:p>
    <w:p>
      <w:r>
        <w:t>52. This statement will be sent to the customer regardless of the outcome of the caring telephone contact provided for in the first commitment, and thus even in the case where it was successful.</w:t>
      </w:r>
    </w:p>
    <w:p>
      <w:r>
        <w:t>53. SEN commits to implementing the measure in question indefinitely and to implement it within four months from the notification of the acceptance of the Commitments, pursuant to Article 27, paragraph 7, of the Consumer Code.</w:t>
      </w:r>
    </w:p>
    <w:p>
      <w:r>
        <w:t>Commitment 3) Review of response formats to requests and complaints and training activities for operators in charge of managing them</w:t>
      </w:r>
    </w:p>
    <w:p>
      <w:r>
        <w:t>54. SEN commits to reviewing the response formats to requests and complaints submitted by customers regarding the two-year prescription. The formats will cover all potential cases subject to request or possible complaint regarding short prescription, with particular reference to all scenarios that may arise following the issuance of corrective invoices impacting previous invoices of maxi-adjustment. In particular, a scheme will be defined regarding the minimum recognition elements that must be adequately reported within such formats, including a precise reconstruction of any accounting operations carried out.</w:t>
      </w:r>
    </w:p>
    <w:p>
      <w:r>
        <w:t>55. The Company also commits to preparing and providing ad hoc training activities specifically focused on the subject matter.</w:t>
      </w:r>
    </w:p>
    <w:p>
      <w:r>
        <w:t>56. SEN commits to implementing the measure in question by preparing the aforementioned formats and providing the related training to the staff within four months from the notification of the acceptance of the Commitments, pursuant to Article 27, paragraph 7, of the Consumer Code, and to use such formats indefinitely.</w:t>
      </w:r>
    </w:p>
    <w:p>
      <w:r>
        <w:t>Commitment 4) Review and adequate information to the customer for rejected requests for prescription related to invoices affected by billing corrections</w:t>
      </w:r>
    </w:p>
    <w:p>
      <w:r>
        <w:t>57. SEN commits to re-examine a total of [300-500] requests and complaints for which it previously provided a denial.</w:t>
      </w:r>
    </w:p>
    <w:p>
      <w:r>
        <w:t>58. As a result of the measure under examination, if the outcome of such verifications reveals an incorrect management of the requests, the Company will send customers a new written communication to inform them of the new analysis conducted regarding their previous request.</w:t>
      </w:r>
    </w:p>
    <w:p>
      <w:r>
        <w:rPr>
          <w:b/>
        </w:rPr>
        <w:t>[Pages 40–42]</w:t>
      </w:r>
    </w:p>
    <w:p>
      <w:r>
        <w:t>42 BULLETIN NO. 18 OF MAY 15, 2023</w:t>
      </w:r>
    </w:p>
    <w:p>
      <w:r>
        <w:t>previous request, the possible new outcome of the assessment carried out and, in this case, the consequent recognition of the amount that was erroneously denied at the time.</w:t>
      </w:r>
    </w:p>
    <w:p>
      <w:r>
        <w:t>59. The Company undertakes to complete the activities carried out in execution of the measure in question within six months from the notification of the decision to accept the Commitments, pursuant to Article 27, paragraph 7, of the Consumer Code.</w:t>
      </w:r>
    </w:p>
    <w:p>
      <w:r>
        <w:t>IV. OPINION OF THE REGULATORY AUTHORITY FOR ENERGY NETWORKS AND ENVIRONMENT</w:t>
      </w:r>
    </w:p>
    <w:p>
      <w:r>
        <w:t>60. Since the commercial practice subject to this provision concerns the sector of electricity and gas supply, on February 17, 20235, an opinion was requested from the Regulatory Authority for Energy Networks and Environment (ARERA), pursuant to and for the effects of Article 27, paragraph 1-bis, of the Consumer Code, introduced by Article 1, paragraph 6, letter a), of Legislative Decree No. 21/2014.</w:t>
      </w:r>
    </w:p>
    <w:p>
      <w:r>
        <w:t>61. In the opinion received on March 30, 20236, the aforementioned Authority preliminarily recalled the regulatory provisions of general interest for the evaluation of the commitments related, in the specific case, to the informational obligations during the offer and contract signing phase and to the terms and methods of notice for unilateral changes to contractual conditions.</w:t>
      </w:r>
    </w:p>
    <w:p>
      <w:r>
        <w:t>Sector regulation concerned</w:t>
      </w:r>
    </w:p>
    <w:p>
      <w:r>
        <w:t>62. After a broad overview of the evolution of the primary legislation on short prescription, in its opinion, ARERA focused on the regulatory acts issued in implementation of the same, highlighting, in particular, the interventions on the informational profile and the handling of complaints and, lastly, the overcoming of the distinction between cases where the delay in billing amounts related to consumption dating back more than two years was attributable to the operator's responsibility and those where the delay was attributable to the final customer.</w:t>
      </w:r>
    </w:p>
    <w:p>
      <w:r>
        <w:t>63. In this context, in particular, with resolution No. 21 of December 21, 2021, 603/2021/R/com (hereinafter: resolution 603/2021/R/com), in compliance with the rulings of the T.A.R. Lombardia Nos. 1441, 1444, and 1449 of June 14, 2021, the Authority introduced a division of the informational obligations of the seller towards the final customer based on two cases: billing amounts related to consumption dating back more than two years for which the prescription has matured (Article 3) and billing amounts related to consumption dating back more than two years for which the prescription has not matured, due to the alleged existence of obstacles under the primary and general reference legislation (Article 4). In the case of billing amounts related to consumption dating back more than two years for which the prescription has matured, the seller is required to adequately highlight the presence of such amounts in the invoice, differentiating them from amounts related to consumption dating back less than two years. To this end, the seller may, alternatively: a) issue an invoice containing exclusively the amounts for consumption dating back more than two years, or b) provide separate and clear evidence of the amounts for consumption dating back more than two years within an invoice for the period or closure also related to consumption dating back less than two years.</w:t>
      </w:r>
    </w:p>
    <w:p>
      <w:r>
        <w:t>64. With regard to the handling of complaints, paragraph 2 of Article 11 of the TIQV also provides that, in the case of a complaint containing disputes related to the billing of amounts for consumption dating back more than two years for which the prescription has not matured, the seller is required to detail in the reasoned response, in addition to the minimum contents referred to in paragraph 1 of the same article, the elements that led to the payment request, so as to allow the customer to protect their rights. In the same reasoned response, the seller is required to specify the necessary information to resolve the possible dispute.</w:t>
      </w:r>
    </w:p>
    <w:p>
      <w:r>
        <w:t>Considerations regarding the commitments of Enel Energia S.p.A.</w:t>
      </w:r>
    </w:p>
    <w:p>
      <w:r>
        <w:t>65. Regarding Commitment 1) (Caring phone contact for all customers who have submitted a prescription request) and Commitment 2) (Sending the personalized accounting statement of the customer's position in the case of corrective invoices), the Authority highlights how these commitments are aimed at facilitating the final customers' understanding of the outcome of the management of the related prescription requests and do not appear to be in conflict with sector regulation.</w:t>
      </w:r>
    </w:p>
    <w:p>
      <w:r>
        <w:t>66. Regarding Commitment 3) (Review of response formats to requests and complaints and training activities for operators in charge of managing them), ARERA notes that the preparation of documentation compliant with the regulations and current regulation represents an obligation on the part of the professional.</w:t>
      </w:r>
    </w:p>
    <w:p>
      <w:r>
        <w:t>67. In relation to Commitment 4) (Review and adequate information to the customer for rejected prescription requests related to invoices affected by billing corrections), ARERA observes that this measure, consisting of the re-examination of previously rejected requests and complaints in order to verify the correctness of their management, seems to constitute implementation of the regulation.</w:t>
      </w:r>
    </w:p>
    <w:p>
      <w:r>
        <w:t>68. Finally, the Authority considers Commitment 5) (Review and adequate information to the customer for requests and complaints not accepted related to the case of malfunctioning of the meter detected by the distributor) to be compliant with the current regulation on two-year prescription. In this regard, ARERA highlights that the rules of Articles 2935 (which correlates the start of the prescription to the possibility of exercising the right) and 2941 (which provides for the suspension of the prescription, among other things, in the case of fraud by the debtor) of the Civil Code apply to the two-year prescription.</w:t>
      </w:r>
    </w:p>
    <w:p>
      <w:r>
        <w:t>Considerations regarding the commitments of Servizio Elettrico Nazionale S.p.A.</w:t>
      </w:r>
    </w:p>
    <w:p>
      <w:r>
        <w:t>69. Regarding Commitment 1) (Caring phone contact for all customers who have submitted a prescription request) and Commitment 2) (Sending the personalized accounting statement of the customer's position in the case of corrective invoices), the Authority highlights how these commitments are aimed at facilitating the final customers' understanding of the outcome of the management of the related prescription requests and do not appear to be in conflict with sector regulation.</w:t>
      </w:r>
    </w:p>
    <w:p>
      <w:r>
        <w:t>70. Regarding Commitment 3) (Review of response formats to requests and complaints and training activities for operators in charge of managing them), ARERA notes that the preparation of documentation compliant with the regulations and current regulation represents an obligation on the part of the professional.</w:t>
      </w:r>
    </w:p>
    <w:p>
      <w:r>
        <w:t>71. In relation to Commitment 4) (Review and adequate information to the customer for rejected prescription requests related to invoices affected by billing corrections), ARERA observes that this measure, consisting of the re-examination of previously rejected requests and complaints in order to verify the correctness of their management, seems to constitute implementation of the regulation.</w:t>
      </w:r>
    </w:p>
    <w:p>
      <w:r>
        <w:t>V. EVALUATION OF THE COMMITMENTS</w:t>
      </w:r>
    </w:p>
    <w:p>
      <w:r>
        <w:t>72. The Authority believes that the commitments proposed by the Professionals – evaluated as a whole since their content is, in fact, identical – are suitable to remedy the possible profiles of illegitimacy of the commercial practice contested in the initiation communication of September 27, 2022 not only for the future but also with regard to the position of consumers and micro-enterprises already unjustifiably hindered in exercising their rights.</w:t>
      </w:r>
    </w:p>
    <w:p>
      <w:r>
        <w:t>73. In general, the implementation of the first three commitments appears aimed at ensuring an improvement in the management of two-year prescription requests and the related complaints through the introduction of internal procedures within the two Companies intended to be adopted, in the future, on a stable and permanent basis.</w:t>
      </w:r>
    </w:p>
    <w:p>
      <w:r>
        <w:t>74. In fact, the new methods of managing requests and complaints proposed by the commitments appear suitable to ensure the necessary information to customers on the treatment of prescription cases, through a deepening of the situation related to the individual user, in contradiction with the same and the preparation of responses developed based on carefully examined cases.</w:t>
      </w:r>
    </w:p>
    <w:p>
      <w:r>
        <w:t>75. In particular, the first commitment, consisting of caring contact for users, allows them a more accessible understanding of the accounting operations carried out by the Professionals and characterized by particular complexity (such as compensations and/or refunds resulting from a correction of a previous invoice of a maxi-adjustment containing amounts subject to prescription). The second commitment, complementary to the first and consisting of sending a personalized accounting statement, strengthens the protection of customers receiving corrective invoices and recalculations/revisions, providing them with a clearer representation of their accounting position. The third commitment, consisting of the preparation of response formats to requests for complaints/reviews through the use of models shared with the competent corporate structures, has the merit of allowing a faster management of requests and complaints, as well as an improvement in the related communication.</w:t>
      </w:r>
    </w:p>
    <w:p>
      <w:r>
        <w:t>76. Furthermore, the fourth commitment, concerning the review of previously rejected requests and complaints, ensures the removal of the prejudicial effects of the practice towards users. In this regard, from a quantitative perspective, Enel and SEN propose to re-examine a total of [4,000-6,000] and [300-500] requests and complaints respectively for which they previously provided a denial.</w:t>
      </w:r>
    </w:p>
    <w:p>
      <w:r>
        <w:t>77. Finally, for Enel alone, regarding which critical issues were identified concerning the interruptive value of the prescription of the minutes of the distributors of consumption checks following a malfunction of the meter, the last commitment aims to extend the review to these cases of rejection.</w:t>
      </w:r>
    </w:p>
    <w:p>
      <w:r>
        <w:t>78. In light of the above considerations, it is believed that the commitments presented meet the requirements set forth in Article 27, paragraph 7, of the Consumer Code.</w:t>
      </w:r>
    </w:p>
    <w:p>
      <w:r>
        <w:t>THEREFORE, it is deemed that the commitments presented by the companies Enel Energia S.p.A. and Servizio Elettrico Nazionale S.p.A., in the terms outlined above, are suitable to eliminate the possible profiles of unfairness of the commercial practice subject to investigation;</w:t>
      </w:r>
    </w:p>
    <w:p>
      <w:r>
        <w:t>IT IS DEEMED to impose the obligation of the aforementioned commitments on the companies Enel Energia S.p.A. and Servizio Elettrico Nazionale S.p.A.;</w:t>
      </w:r>
    </w:p>
    <w:p>
      <w:r>
        <w:t>IT IS DEEMED, therefore, to be able to close the proceeding without ascertaining the infringement;</w:t>
      </w:r>
    </w:p>
    <w:p>
      <w:r>
        <w:t>RESOLVES</w:t>
      </w:r>
    </w:p>
    <w:p>
      <w:r>
        <w:t>a) to make mandatory, towards the companies Enel Energia S.p.A. and Servizio Elettrico Nazionale S.p.A., pursuant to Article 27, paragraph 7, of the Consumer Code and Article 9, paragraph 2, letter a), of the Regulation, the commitments proposed by the same Companies on February 16, 2023, which are attached to this provision and constitute an integral part thereof;</w:t>
      </w:r>
    </w:p>
    <w:p>
      <w:r>
        <w:t>b) to close the proceeding without ascertaining the infringement, pursuant to Article 27, paragraph 7, of the Consumer Code and Article 9, paragraph 2, letter a), of the Regulation;</w:t>
      </w:r>
    </w:p>
    <w:p>
      <w:r>
        <w:rPr>
          <w:b/>
        </w:rPr>
        <w:t>[Pages 43–44]</w:t>
      </w:r>
    </w:p>
    <w:p>
      <w:r>
        <w:t>BULLETIN NO. 18 OF MAY 15, 2023 45</w:t>
      </w:r>
    </w:p>
    <w:p>
      <w:r>
        <w:t>c) that the companies Enel Energia S.p.A. and Servizio Elettrico Nazionale S.p.A., within sixty days from the date of notification of this resolution, inform the Authority of the implementation of the commitments.</w:t>
      </w:r>
    </w:p>
    <w:p>
      <w:r>
        <w:t>Pursuant to Article 9, paragraph 3, of the Regulation, the proceeding may be reopened ex officio, where:</w:t>
      </w:r>
    </w:p>
    <w:p>
      <w:r>
        <w:t>a) each of the Professionals fails to implement the commitments presented separately;</w:t>
      </w:r>
    </w:p>
    <w:p>
      <w:r>
        <w:t>b) the factual situation changes with respect to one or more elements on which the decision is based;</w:t>
      </w:r>
    </w:p>
    <w:p>
      <w:r>
        <w:t>c) the decision to accept commitments is based on information provided by the Parties that is incomplete, inaccurate, or misleading.</w:t>
      </w:r>
    </w:p>
    <w:p>
      <w:r>
        <w:t>Pursuant to Article 27, paragraph 12, of the Consumer Code, in the event of non-compliance with this resolution, the Authority applies an administrative monetary penalty from €10,000 to €10,000,000. In cases of repeated non-compliance, the Authority may order the suspension of business activities for a period not exceeding thirty days.</w:t>
      </w:r>
    </w:p>
    <w:p>
      <w:r>
        <w:t>This provision will be notified to the interested parties and published in the Bulletin of the Authority for Competition and Market.</w:t>
      </w:r>
    </w:p>
    <w:p>
      <w:r>
        <w:t>THE SECRETARY GENERAL THE PRESIDENT</w:t>
      </w:r>
    </w:p>
    <w:p>
      <w:r>
        <w:t>Guido Stazi Roberto Rustichelli</w:t>
      </w:r>
    </w:p>
    <w:p>
      <w:r>
        <w:t>Authority for Competition Weekly Bulletin</w:t>
        <w:br/>
        <w:t>and Market Year XXXIII - No. 18 - 2023</w:t>
        <w:br/>
        <w:t>Editorial Coordination Giulia Antenucci</w:t>
        <w:br/>
        <w:t>Editorial Staff Valerio Ruocco, Manuela Villani</w:t>
        <w:br/>
        <w:t>Authority for Competition and Market</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