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https://www.agcm.it/dotcmsdoc/bollettini/2024/18-24.pdf</w:t>
      </w:r>
    </w:p>
    <w:p>
      <w:r>
        <w:t>Pages translated : 29</w:t>
      </w:r>
    </w:p>
    <w:p/>
    <w:p>
      <w:r>
        <w:rPr>
          <w:b/>
        </w:rPr>
        <w:t>[Pages 1–3]</w:t>
      </w:r>
    </w:p>
    <w:p>
      <w:r>
        <w:t>Bulletin</w:t>
        <w:br/>
        <w:t>Weekly</w:t>
        <w:br/>
        <w:t>Year XXXIV - No. 18</w:t>
        <w:br/>
        <w:t>Published on the website www.agcm.it</w:t>
        <w:br/>
        <w:t>May 6, 2024</w:t>
      </w:r>
    </w:p>
    <w:p>
      <w:r>
        <w:t>SUMMARY</w:t>
        <w:br/>
        <w:t>AGREEMENTS AND ABUSE OF DOMINANT POSITION 5</w:t>
        <w:br/>
        <w:t>A561 - APP TRACKING TRANSPARENCY OF APPLE</w:t>
        <w:br/>
        <w:t>Decision No. 31173 5</w:t>
        <w:br/>
        <w:t>CONCENTRATION OPERATIONS 6</w:t>
        <w:br/>
        <w:t>C12618 - LOTTOMATICA/SKS365 MALTA HOLDING</w:t>
        <w:br/>
        <w:t>Decision No. 31174 6</w:t>
        <w:br/>
        <w:t>C12622 - FINTEL GAS E LUCE/BRANCH OF EICOM</w:t>
        <w:br/>
        <w:t>Decision No. 31175 14</w:t>
        <w:br/>
        <w:t>C12625 - FROZEN INVESTMENTS-SAMMONTANA FINANZIARIA/SAMMONTANA-FORNO D’ASOLO</w:t>
        <w:br/>
        <w:t>Decision No. 31184 18</w:t>
        <w:br/>
        <w:t>UNFAIR COMMERCIAL PRACTICES 29</w:t>
        <w:br/>
        <w:t>PS9699 - GREEN POWER-ZERO COST PHOTOVOLTAIC PLANT</w:t>
        <w:br/>
        <w:t>Decision No. 31171 29</w:t>
      </w:r>
    </w:p>
    <w:p>
      <w:r>
        <w:t>BULLETIN NO. 18 OF MAY 6, 2024 5</w:t>
        <w:br/>
        <w:t>AGREEMENTS AND ABUSE OF DOMINANT POSITION</w:t>
        <w:br/>
        <w:t>A561 - APP TRACKING TRANSPARENCY OF APPLE</w:t>
        <w:br/>
        <w:t>Decision No. 31173</w:t>
        <w:br/>
        <w:t>THE ANTITRUST AUTHORITY</w:t>
        <w:br/>
        <w:t>IN ITS MEETING of April 18, 2024;</w:t>
        <w:br/>
        <w:t>HEARD the Rapporteur, Professor Elisabetta Iossa;</w:t>
        <w:br/>
        <w:t>HAVING REGARD to Article 102 of the Treaty on the Functioning of the European Union (TFEU);</w:t>
        <w:br/>
        <w:t>HAVING REGARD to Regulation No. 1/2003 of the Council of December 16, 2002, concerning the application of the competition rules laid down in Articles 81 and 82 of the EC Treaty (now Articles 101 and 102 TFEU);</w:t>
        <w:br/>
        <w:t>HAVING REGARD to Law No. 287 of October 10, 1990;</w:t>
        <w:br/>
        <w:t>HAVING REGARD to the Presidential Decree No. 217 of April 30, 1998;</w:t>
        <w:br/>
        <w:t>HAVING REGARD to its decision No. 30620 of May 2, 2023, which initiated an investigation pursuant to Article 14 of Law No. 287/1990, against the companies Apple Inc., Apple Distribution International Ltd, and Apple Italia S.r.l. to ascertain the existence of violations of competition pursuant to Article 102 TFEU;</w:t>
        <w:br/>
        <w:t>CONSIDERING the complexity of the cases subject to the proceedings and the need to conduct further investigative inquiries;</w:t>
        <w:br/>
        <w:t>CONSIDERING the necessity to ensure the Parties the broadest exercise of their rights of defense and contradiction;</w:t>
        <w:br/>
        <w:t>IT IS DEEMED necessary to extend the deadline for the conclusion of the proceedings, currently set for May 3, 2024;</w:t>
        <w:br/>
        <w:t>RESOLVES</w:t>
        <w:br/>
        <w:t>to extend the deadline for the conclusion of the proceedings to March 31, 2025.</w:t>
        <w:br/>
        <w:t>This decision will be notified to the interested parties and published in the bulletin of the Antitrust Authority.</w:t>
        <w:br/>
        <w:t>THE SECRETARY GENERAL THE PRESIDENT</w:t>
        <w:br/>
        <w:t>Guido Stazi Roberto Rustichelli</w:t>
      </w:r>
    </w:p>
    <w:p>
      <w:r>
        <w:rPr>
          <w:b/>
        </w:rPr>
        <w:t>[Pages 4–6]</w:t>
      </w:r>
    </w:p>
    <w:p>
      <w:r>
        <w:t>6 BULLETIN NO. 18 OF MAY 6, 2024</w:t>
        <w:br/>
        <w:t>CONCENTRATION OPERATIONS</w:t>
        <w:br/>
        <w:t>C12618 - LOTTOMATICA/SKS365 MALTA HOLDING</w:t>
        <w:br/>
        <w:t>Provision No. 31174</w:t>
        <w:br/>
        <w:t>THE ANTITRUST AUTHORITY</w:t>
      </w:r>
    </w:p>
    <w:p>
      <w:r>
        <w:t>IN ITS MEETING of April 18, 2024;</w:t>
        <w:br/>
        <w:t>HEARD the Rapporteur Professor Elisabetta Iossa;</w:t>
        <w:br/>
        <w:t>HAVING REGARD to Regulation (EC) No. 139/2004;</w:t>
        <w:br/>
        <w:t>HAVING REGARD to Law No. 287 of October 10, 1990;</w:t>
        <w:br/>
        <w:t>HAVING REGARD to the D.P.R. No. 217 of April 30, 1998;</w:t>
        <w:br/>
        <w:t>HAVING REGARD to the communication from Lottomatica S.p.A., received on March 22, 2024;</w:t>
        <w:br/>
        <w:t>HAVING REGARD to the documentation on file;</w:t>
        <w:br/>
        <w:t>CONSIDERING the following:</w:t>
        <w:br/>
        <w:t>I. THE PARTIES</w:t>
        <w:br/>
        <w:t>1. Lottomatica S.p.A. (hereinafter, "Lottomatica"), previously named Gamenet Group S.p.A.1, is the company at the head of the eponymous group active in the lawful gaming sector through the collection from entertainment and amusement machines (Amusement with Prizes “AWP” and Videolotteries “VLT”), as well as through the collection from betting, online games, and lotteries, based on concessions granted by the Customs and Monopolies Agency (hereinafter, “ADM”). Lottomatica also operates in the upstream market of production, development, and supply of games and betting and lottery services, following the acquisition of 60% of the share capital of Giocaonline S.r.l. (hereinafter, “Giocaonline”)2, which develops and produces casino games and skill games that it then supplies to numerous concessionaires of online gaming collection in Italy. Finally, Lottomatica manages gaming halls and VLTs owned by it and is therefore active in the downstream market of gaming hall management. Lottomatica is indirectly controlled by several investment funds managed by companies affiliated with Apollo Management L.P. (hereinafter and together, “Apollo”3), which is part of Apollo Global Management Inc., a leading company in the management of alternative investments worldwide. It is the only company among those controlled by the Apollo funds that is active in the market for gaming and betting collection in Italy.</w:t>
        <w:br/>
        <w:t>1 Following the acquisition of Lottomatica Scommesse S.r.l. and Lottomatica Videolot Rete S.p.A. by the then Gamenet Group, which marked the birth of the current Lottomatica group – a reorganization of the group's activities was carried out. All activities related to gaming and betting in Italy were entrusted to Lottomatica.</w:t>
        <w:br/>
        <w:t>2 This was a below-threshold operation, which was therefore not notified to the Authority pursuant to Article 16, paragraph 1, of Law No. 287/1990.</w:t>
        <w:br/>
        <w:t>3 The term “Apollo” refers, in fact, to Apollo Management L.P., its affiliated companies, and the investment funds managed by its affiliated companies.</w:t>
      </w:r>
    </w:p>
    <w:p>
      <w:r>
        <w:t>BULLETIN NO. 18 OF MAY 6, 2024 7</w:t>
        <w:br/>
        <w:t>Lottomatica, during 2022, achieved a consolidated worldwide turnover of approximately [1-2]* billion euros4, entirely realized in Italy. Apollo, during 2022, achieved a total worldwide turnover of approximately [120-130] billion euros, of which approximately [10-20] billion euros were generated in Europe and approximately [2-3] billion euros in Italy5.</w:t>
        <w:br/>
        <w:t>2. The acquisition concerns SKS365 Malta Holding, LTD (hereinafter, “SKS365” or the “Target Company”), a Maltese law company operating in the gaming and betting market in Italy. In particular, SKS365, through its subsidiaries, operates in the following markets: (i) betting collection market, (ii) online gaming collection market, and (iii) to a very limited extent, in the downstream market of gaming hall management, as it owns and manages only one gaming hall in Rome. SKS365 is also marginally active in the markets: a) of entertainment and amusement machines, in which it does not hold any concession granted by the ADM, but operates only as a manager on behalf of third parties holding concessions granted by the ADM (who retain, based on regulatory provisions, full responsibility), providing only ancillary services to the collection from entertainment and amusement machines; b) of online lotteries, in which it does not hold any concession, but only carries out distribution activities on behalf of the concessionaire IGT Lottery S.r.l. SKS365 is currently controlled for [70-75%] by Stichting JaMi, a foundation organized under the laws of the Netherlands, for [5-10%] by DMEP INV-II B.V., a company incorporated under the laws of the Netherlands, and for the remaining [15-20%] by Gatesville Corporation Ltd., a company incorporated under the laws of Anguilla, in the British West Indies. During 2022, the company achieved, entirely in Italy6, a turnover of approximately [100-567] million euros.</w:t>
        <w:br/>
        <w:t>II. DESCRIPTION OF THE TRANSACTION</w:t>
        <w:br/>
        <w:t>3. On November 1, 2023, GBO S.p.A. (hereinafter, “GBO”) and Stichting JaMi, DMEP INV-II B.V., Gatesville Corporation Ltd. entered into a Share Sale and Purchase Agreement under which GBO will acquire shares representing 100% of the share capital of SKS365. As a result of the transaction, Lottomatica will indirectly acquire, through its wholly-owned subsidiary GBO, the entire share capital and thus exclusive control of SKS365.</w:t>
        <w:br/>
        <w:t>III. QUALIFICATION OF THE TRANSACTION</w:t>
        <w:br/>
        <w:t>4. The transaction subject to notification has a community dimension. In fact:</w:t>
        <w:br/>
        <w:t>a) it exceeds the thresholds set out in Article 1, paragraph 2, letter a, of Regulation (EC) No. 139/2004, as the worldwide turnover achieved by the Parties in 2022 was over 5 billion euros;</w:t>
        <w:br/>
        <w:t>* In this version, some data are omitted, as elements of confidentiality or secrecy of the information were deemed to exist.</w:t>
        <w:br/>
        <w:t>4 Consolidated financial statements for the year 2022.</w:t>
        <w:br/>
        <w:t>5 The turnover data in question refer to the revenues generated by the portfolio companies held by investment funds managed by affiliates of Apollo, which indirectly holds [65-70%] of the share capital of Lottomatica.</w:t>
        <w:br/>
        <w:t>6 Consolidated financial statements for the year 2022.</w:t>
      </w:r>
    </w:p>
    <w:p>
      <w:r>
        <w:t>8 BULLETIN NO. 18 OF MAY 6, 2024</w:t>
        <w:br/>
        <w:t>b) it exceeds the thresholds set out in Article 1, paragraph 2, letter b, of Regulation (EC) No. 139/2004, as the turnover achieved individually in the European Union by the portfolio companies held by investment funds managed by affiliates of Apollo and by SKS365 in 2022 exceeded the threshold of 250 million euros, and the portfolio companies held by investment funds managed by affiliates of Apollo did not achieve in Italy (the only Member State in which the Target Company is active) more than two-thirds of their turnover in the European Union.</w:t>
        <w:br/>
        <w:t>5. However, on January 31, 2024, the European Commission, at the request of the Parties, decided to fully refer the transaction to Italy, pursuant to Article 4, paragraph 4, of Regulation (EC) No. 139/2004. The transaction must therefore be assessed under national competition law.</w:t>
        <w:br/>
        <w:t>IV. ASSESSMENT OF THE CONCENTRATION</w:t>
        <w:br/>
        <w:t>6. The notified transaction, as highlighted, concerns the acquisition by Lottomatica, a concessionaire in the collection from entertainment and amusement machines (AWP and VLT machines) and in the collection from betting, online games, and lotteries, as well as active in the production, development, and supply of games and betting and lottery services and in the management of gaming halls, of SKS365, a company that, through its subsidiaries, operates in the markets of betting collection and online games and, in a completely marginal way, in the downstream market of gaming hall management, as it owns and manages only one gaming hall in Rome. SKS365 does not hold any concession in the market for entertainment and amusement machines and lotteries (online), carrying out only, in a completely marginal way, ancillary and distribution activities on behalf of third-party concessionaires.</w:t>
        <w:br/>
        <w:t>IV.1 The relevant markets</w:t>
        <w:br/>
        <w:t>A) The betting collection market</w:t>
        <w:br/>
        <w:t>7. From a commodity perspective, in line with the Authority's precedents7, the betting collection market includes both physical agencies and online8 and, primarily, the following types of bets9:</w:t>
        <w:br/>
        <w:t>7 See Authority provision No. 29652 of May 4, 2021 regarding case C12371 - GAMENET GROUP/LOTTOMATICA VIDEOLOT RETE-LOTTOMATICA SCOMMESSE, in Bulletin No. 21/2021.</w:t>
        <w:br/>
        <w:t>8 From the information acquired, it appears that the betting collection carried out through the online channel now accounts for over half of the total value (in 2023, it appears that approximately 67% of the betting collection comes from the online channel, an increase from the approximately 58% recorded in 2019), demonstrating players' preference to place bets directly from their mobile devices rather than going to physical retail points. On the supply side, it has emerged that all major operators active in the physical channel are also active in the online channel, and that there are no substantial elements of differentiation between the bets offered through the two channels in terms of the range of events offered and odds.</w:t>
        <w:br/>
        <w:t>9 Regarding a possible further segmentation of the market depending on the type of events (sports, horse racing, and virtual), the current evidence suggests a definition of the market that includes all of them, since users generally bet indiscriminately on different types of events. A player's choice does not depend so much on the type of bet, but on a plurality of factors such as, inter alia, the offer of promotions, bonuses, gaming experience, ease of use of the site or app, mode of play, available payment methods, etc. In other words, competition among operators seems to take place mostly on the quality of the services offered, regardless of the specific type of bet.</w:t>
      </w:r>
    </w:p>
    <w:p>
      <w:r>
        <w:rPr>
          <w:b/>
        </w:rPr>
        <w:t>[Pages 7–9]</w:t>
      </w:r>
    </w:p>
    <w:p>
      <w:r>
        <w:t>BULLETIN NO. 18 OF MAY 6, 2024 9</w:t>
        <w:br/>
        <w:t>a. Sports (sports betting) - Games that associate a win with the correct prediction of the outcome of a sporting event;</w:t>
        <w:br/>
        <w:t>b. Virtual (virtual betting) - Games that associate a win with the correct prediction of the outcome of a sporting event that is simulated by the game provider;</w:t>
        <w:br/>
        <w:t>c. Horse racing (horse racing betting) - Games that associate a win with the correct prediction of the outcome of an event related to horse racing.</w:t>
        <w:br/>
        <w:t>The betting exchange is also included in this market, a particular type of online betting where the end customer has the opportunity to act as a bookmaker by selling sports odds ("bank"), made available by the concessionaire, to other customers ("punter").</w:t>
        <w:br/>
        <w:t>8. The activity of collecting bets is subject to the issuance of a concession by the ADM following an open tender procedure, and currently, there are 211 concessions granted (of which about 90 in the online channel); these concessions are currently in a state of extension since 2012 and will expire on December 31, 2024, unless further extensions are granted. Two distinct concessions are required depending on whether the betting activity is carried out at physical sales points (so-called retail betting) or in the online channel. Regarding the physical channel, the sales points can be owned by the concessionaires themselves or, more often, by third parties affiliated with the concessionaires.</w:t>
        <w:br/>
        <w:t>9. In this regard, Article 15 of Law No. 111 of August 9, 2023, which delegates the Government for tax reform, has set forth a series of principles and directives for the reorganization of the provisions regarding gaming. In particular, paragraph 1 has delegated the Government to implement, with the legislative decrees referred to in Article 1, the reorganization of the existing provisions on public gaming. The first Decree, concerning remote gaming, Legislative Decree No. 41 of March 25, 2024, provides, among other provisions, that the ADM must promptly publish, after the entry into force of the Decree, the tender for the assignment of concessions for the collection of remote games that are currently expiring on December 31, 2024, which concern both online betting and online card and skill games (see infra).</w:t>
        <w:br/>
        <w:t>On the other hand, the provisions regarding public games permitted in Italy, collected through physical networks, including the provisions for calling tenders for the renewal of physical concessions (i.e., betting, entertainment machines, and bingo), will be contained in a subsequent Legislative Decree that will be issued after the definition of a specific programmatic agreement on this matter between the State, Regions, and Local Authorities.</w:t>
        <w:br/>
        <w:t>10. From a geographical perspective, the market in question appears to have national dimensions. The information acquired has indicated that competitive comparison essentially takes place on a national basis both due to the homogeneity of the offering conditions in terms of odds, range, and types of events and due to the relevance acquired by the online offering in the collection of bets.</w:t>
        <w:br/>
        <w:t>B) The activity of collecting online games</w:t>
        <w:br/>
        <w:t>11. From a commodity perspective, the Authority, in its previous decisions, has identified the national market for the collection of online games including the following card and skill games:</w:t>
        <w:br/>
        <w:t>i. Online casino, which digitally replicates traditional gaming solutions available in physical casinos (Roulette, Baccarat, Chemin de fer, Blackjack, etc.);</w:t>
        <w:br/>
        <w:t>ii. Online poker, which digitally replicates the game of poker;</w:t>
        <w:br/>
        <w:t>iii. Online bingo, which digitally replicates the game of bingo;</w:t>
        <w:br/>
        <w:t>iv. Online skill games.</w:t>
        <w:br/>
        <w:t>12. The distinguishing feature of online games is that the player's skills significantly influence the outcome. This aspect, along with the fact that these games (except for Bingo) are offered to users only via the web and do not have an equivalent game offered in the physical channel, means that they constitute a distinct market compared to other games, to the extent that the exclusive "digital mode" enjoyment appears to be an essential feature of the product and the gaming experience.</w:t>
        <w:br/>
        <w:t>13. The concessions for the operation of online games allow operation throughout the national territory, thus determining the competitive comparison among the concession holders within this scope. In light of this, it is believed that the geographical dimension of the market is national.</w:t>
        <w:br/>
        <w:t>C) The activity of managing gaming halls</w:t>
        <w:br/>
        <w:t>14. The activity of managing gaming halls is particularly significant for concessionaires, as the ability to have halls located in areas with higher population density or in wealthier areas of the country allows for better exploitation of the concession rights associated with their AWP and VLT machines or the collection of physical bets. Similarly, operators of gaming halls with high collection levels can enjoy greater bargaining power with concessionaires in defining commercial conditions as well as higher revenues derived from the margin generally calculated as a percentage of the collection.</w:t>
        <w:br/>
        <w:t>15. The possibility of opening new gaming halls is subject to the constraints set by regional and municipal regulations, currently differing across the national territory, in terms of the location of gaming points and, more precisely, regarding the minimum distance they must maintain from certain aggregation places (for example, places of worship, schools, hospitals, retirement homes); these constraints, which are subject to periodic review, can make the opening of new establishments more or less convenient.</w:t>
        <w:br/>
        <w:t>16. From a geographical perspective, therefore, it is held that the activity of managing gaming halls has local geographical dimensions, linked to the aforementioned regional and municipal regulations. In the first approximation, the geographical markets can be defined as municipal in size; however, in this specific case, it is not necessary to arrive at a more precise definition.</w:t>
        <w:br/>
        <w:t>D) The activity of producing, developing, and supplying games and betting and lottery services</w:t>
        <w:br/>
        <w:t>17. The activity of producing, developing, and supplying games and betting and lottery services is upstream of the markets for the collection of bets and online games. In fact, operators active in the collection of bets and online games source from specialized operators in the production, development, and supply of such games to concessionaires.</w:t>
        <w:br/>
        <w:t>18. In its previous decisions, the Authority has left open the commodity and geographical definition of this market. Also for the purposes of this assessment, it is not necessary to delve into its exact commodity and geographical delimitation, as the operation is not likely to produce competitive issues regardless of the definition of the market.</w:t>
        <w:br/>
        <w:t>IV.2 The effects of the operation</w:t>
        <w:br/>
        <w:t>19. In the national market for the collection of bets, the transaction under review results in a horizontal overlap between the Parties. In particular, in this market, Lottomatica is attributed, in 2023, a share of [20-25%], while in the same year the share of SKS365 is estimated at [5-10%]. Therefore, the post-merger share will be approximately [25-30%].</w:t>
        <w:br/>
        <w:t>20. Even though, as a result of the operation, Lottomatica will become the market leader, it does not appear likely to produce adverse effects on competition, as there are other operators in the market with significant shares, such as Flutter Entertainment plc/Sisal S.p.A. (with [20-25%]), Playtech S.p.A. (with [10-15%]), Bet365 Group Ltd (with [10-15%]), and Entain Plc (with [10-15%]).</w:t>
        <w:br/>
        <w:t>21. Furthermore, as noted above, the activity of collecting bets, both for the physical channel and for the online channel, is subject to the issuance of a concession, following an open tender procedure, by the ADM and the current number of concessionaires is high.</w:t>
        <w:br/>
        <w:t>22. Even in the national market for the collection of online games, the transaction under review involves a horizontal overlap between the Parties. The shares held by the Lottomatica Group and SKS365, in 2023, are estimated at [20-25%] and [5-10%], respectively. Therefore, the post-merger share will be [25-30%].</w:t>
      </w:r>
    </w:p>
    <w:p>
      <w:r>
        <w:rPr>
          <w:b/>
        </w:rPr>
        <w:t>[Pages 10–12]</w:t>
      </w:r>
    </w:p>
    <w:p>
      <w:r>
        <w:t>12 BULLETIN NO. 18 OF MAY 6, 2024</w:t>
        <w:br/>
        <w:t>23. The post-merger share of online gaming revenue does not appear to be detrimental to competition, considering that the second operator, Flutter Entertainment plc/Sisal S.p.A., holds a share only a few percentage points lower than the Lottomatica Group, amounting to [25-30%], and that there are other competitors with significant shares, such as Entain Plc (with [5-10%]), Snaitech S.p.A. (with [5-10%]), and 888 Holdings + William Hill24 (with [5-10%]).</w:t>
        <w:br/>
        <w:t>24. Moreover, SKS365 is a relatively small operator in the national online gaming market, primarily operating in the "Casino" segment, the only online game in which the Target Company has a market share of [5-10%].</w:t>
        <w:br/>
        <w:t>25. Furthermore, as highlighted above, to carry out online gaming activities, it is necessary to possess a concession granted by the ADM, following an open tender procedure, and there is a high number of currently authorized and active remote gaming concessionaires providing online games in Italy25.</w:t>
        <w:br/>
        <w:t>26. Specifically regarding online gaming in Italy, it should also be noted that it is particularly competitive for the following reasons:</w:t>
        <w:br/>
        <w:t>i. switching from one operator to another is easy and quick. Opening online accounts with online gaming operators is free and straightforward, and customers are incentivized to open new accounts due to a wide range of offers available in the market;</w:t>
        <w:br/>
        <w:t>ii. there are high levels of customer "churn" in favor of competing operators. Customer loss to competitors stimulates strong competition among online gaming operators to acquire, retain, and reacquire customers;</w:t>
        <w:br/>
        <w:t>iii. there is intense rivalry based on price and non-price parameters. Promotions and/or offers are often among the main criteria considered by customers when choosing an operator, but product quality is also a key factor in acquiring, reacquiring, and retaining customers.</w:t>
        <w:br/>
        <w:t>27. Regarding the upstream market of production, development, and supply of gaming and betting services and lotteries, the transaction is not likely to produce horizontal effects. In this market, only Lottomatica is present, through Giocaonline, while the Target Company is not active. Even from a vertical perspective, the transaction is not likely to produce significant effects.</w:t>
        <w:br/>
        <w:t>28. Lastly, with reference to the downstream market of managing gaming halls and thus regarding the vertical effects resulting from Lottomatica's acquisition of the only gaming hall managed by SKS365, it should be noted that this is a flagship store in Rome, located at via dell’Arco di Travertino. In this gaming hall, SKS365 provides betting services based on its own concession, as well as manages entertainment and amusement machines on behalf of a third party concessionaire granted by ADM. In the Municipality of Rome, Lottomatica owns and manages only three halls, out of a total of gaming halls present in the municipal territory amounting to 622 units. Therefore, the transaction will not produce significant effects from a vertical perspective,</w:t>
        <w:br/>
        <w:t>24 In July 2022, 888 Holdings completed the acquisition of William Hill.</w:t>
        <w:br/>
        <w:t>25 Based on data reported on the ADM website, there are currently 110 ADM concession holders for online gaming. To operate in the market, sophisticated technology is not required, and it is relatively easy to launch a new online gaming offer or expand an existing gaming offer, as there are many software providers that supply the necessary basic technology and allow new operators to enter the online gaming market quickly and easily, at low costs.</w:t>
      </w:r>
    </w:p>
    <w:p>
      <w:r>
        <w:t>BULLETIN NO. 18 OF MAY 6, 2024 13</w:t>
        <w:br/>
        <w:t>essentially resulting in Lottomatica taking over the management of the only SKS365 hall in Rome.26</w:t>
        <w:br/>
        <w:t>29. In light of the aforementioned considerations, the transaction under review does not appear likely to produce adverse effects on competition, as it does not result in substantial changes to the structure of the relevant markets.</w:t>
        <w:br/>
        <w:t>IT IS THEREFORE CONSIDERED that the transaction under review does not significantly impede effective competition in the relevant markets, pursuant to Article 6, paragraph 1, of Law No. 287/1990, and does not lead to the creation or strengthening of a dominant position;</w:t>
        <w:br/>
        <w:t>RESOLVES</w:t>
        <w:br/>
        <w:t>not to initiate the investigation referred to in Article 16, paragraph 4, of Law No. 287/1990.</w:t>
        <w:br/>
        <w:t>The above conclusions will be communicated, pursuant to Article 16, paragraph 4, of Law No. 287/1990, to the interested companies and to the Minister of Enterprises and Made in Italy.</w:t>
        <w:br/>
        <w:t>The measure will be published in the Bulletin of the Antitrust Authority.</w:t>
        <w:br/>
        <w:t>THE SECRETARY GENERAL THE PRESIDENT</w:t>
        <w:br/>
        <w:t>Guido Stazi Roberto Rustichelli</w:t>
        <w:br/>
        <w:t>26 Moreover, the potential replacement of Lottomatica's machines with those of the concessionaire currently present in the SKS365 hall, while theoretically possible, based on the information acquired in previous Authority proceedings, appears unlikely (See C12546 - Lottomatica/Ricreativo B, cited).</w:t>
      </w:r>
    </w:p>
    <w:p>
      <w:r>
        <w:t>14 BULLETIN NO. 18 OF MAY 6, 2024</w:t>
        <w:br/>
        <w:t>C12622 - FINTEL GAS AND LIGHT/BRANCH OF EICOM</w:t>
        <w:br/>
        <w:t>Provision No. 31175</w:t>
        <w:br/>
        <w:t>THE ANTITRUST AUTHORITY</w:t>
        <w:br/>
        <w:t>IN ITS MEETING of April 18, 2024;</w:t>
        <w:br/>
        <w:t>HEARD the Rapporteur, Saverio Valentino;</w:t>
        <w:br/>
        <w:t>VIEWED Regulation (EC) No. 139/2004 concerning the control of concentrations between enterprises;</w:t>
        <w:br/>
        <w:t>VIEWED Law No. 287 of October 10, 1990;</w:t>
        <w:br/>
        <w:t>VIEWED Presidential Decree No. 217 of April 30, 1998;</w:t>
        <w:br/>
        <w:t>VIEWED the communication from Fintel Gas e Luce S.r.l., received on April 4, 2024;</w:t>
        <w:br/>
        <w:t>VIEWED the documentation on file;</w:t>
        <w:br/>
        <w:t>CONSIDERED the following</w:t>
        <w:br/>
        <w:t>I. THE PARTIES</w:t>
        <w:br/>
        <w:t>1. Fintel Gas e Luce S.r.l. (hereinafter, "Fintel") is a company active in the sale of electricity and natural gas to end customers, both residential and non-residential, as well as in the marketing of energy-saving systems. Fintel is controlled by Alperia S.p.A. (hereinafter, "Alperia"), which holds 90% of its share capital, while the remaining 10% is held by Fintel Energia Group S.p.A. Alperia is a holding company that, through its subsidiaries, operates in various sectors of the energy industry, including the production of energy from renewable sources; transmission, purchase, sale, and distribution of electricity; import, export, transport, storage, distribution, and sale of gas; design, implementation, and management of systems and services supporting mobility and telecommunications systems and networks; provision of services, project execution, and consulting in the fields of climate protection, energy savings, and efficiency. Alperia's capital is held by the Autonomous Province of Bolzano, the Municipality of Bolzano, the Municipality of Merano, and the company Selfin S.r.l., which groups the municipalities and community associations of South Tyrol.</w:t>
        <w:br/>
        <w:t>2. In 2022, Fintel achieved a turnover of 54.8 million euros, entirely in Italy; during the same period, Alperia achieved a turnover of 3,602 million euros, also entirely in Italy.</w:t>
        <w:br/>
        <w:t>3. The subject of the acquisition is a branch of business owned by Eicom S.r.l. (hereinafter, "Eicom"), consisting of the assets and contracts related to the supply of electricity and natural gas to end customers, both residential and non-residential. Eicom is currently active, in addition to selling electricity and natural gas to end customers, in providing fiber and energy efficiency services, car rental, and the installation of electric charging stations. The share capital of Eicom is held 90% by Più Energia S.r.l. - a holding company controlled by Sviluppo Industriale Lombardo S.r.l. - and 10% by a private individual. In 2022, the turnover of the branch of business was 125.5 million euros, entirely realized in Italy.</w:t>
      </w:r>
    </w:p>
    <w:p>
      <w:r>
        <w:rPr>
          <w:b/>
        </w:rPr>
        <w:t>[Pages 13–15]</w:t>
      </w:r>
    </w:p>
    <w:p>
      <w:r>
        <w:t>BULLETIN NO. 18 OF MAY 6, 2024 15</w:t>
      </w:r>
    </w:p>
    <w:p>
      <w:r>
        <w:t>II. DESCRIPTION OF THE TRANSACTION</w:t>
      </w:r>
    </w:p>
    <w:p>
      <w:r>
        <w:t>4. The notified transaction (hereinafter, "Transaction") consists of the acquisition by Fintel of the business unit of Eicom related to the sale of electricity and natural gas services to domestic and non-domestic customers, and thus, the rights, obligations, and legal relationships aimed at providing such services in the Italian territory.</w:t>
      </w:r>
    </w:p>
    <w:p>
      <w:r>
        <w:t>5. The signing of the definitive contract for the transfer of the business unit is subject to the fulfillment of certain conditions [omissis]*.</w:t>
      </w:r>
    </w:p>
    <w:p>
      <w:r>
        <w:t>6. An integral part of the Transaction is a non-competition and non-solicitation agreement under which Eicom commits, for a period of five years: [omissis].</w:t>
      </w:r>
    </w:p>
    <w:p>
      <w:r>
        <w:t>III. QUALIFICATION OF THE TRANSACTION</w:t>
      </w:r>
    </w:p>
    <w:p>
      <w:r>
        <w:t>7. The Transaction, as it involves the acquisition of control over part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567 million euros and the total turnover achieved individually, in the last financial year at the national level, by at least two of the companies involved was over 35 million euros.</w:t>
      </w:r>
    </w:p>
    <w:p>
      <w:r>
        <w:t>8. The non-competition and non-solicitation agreement described above can be qualified as ancillary to the notified concentration, as it is functional to the safeguarding of the acquired part of the business, provided that it is limited in terms of goods to the services subject to the acquired part of the business, geographically to the area of activity of the acquired part of the business, and temporally to a period of two years, and does not prevent the Seller from acquiring or holding shares solely for financial investment purposes1.</w:t>
      </w:r>
    </w:p>
    <w:p>
      <w:r>
        <w:t>IV. ASSESSMENT OF THE CONCENTRATION</w:t>
      </w:r>
    </w:p>
    <w:p>
      <w:r>
        <w:t>Relevant markets and effects of the Transaction</w:t>
      </w:r>
    </w:p>
    <w:p>
      <w:r>
        <w:t>9. The areas of activity of Fintel and the acquired business unit overlap in the sale of electricity and natural gas to small customers, both domestic and non-domestic.</w:t>
      </w:r>
    </w:p>
    <w:p>
      <w:r>
        <w:t>10. Due to the operations of the Parties and the established national and community practice, which identifies separate relevant markets depending on customer size, demand characteristics, and connection type (high/medium/low voltage), the relevant markets for the assessment of this Transaction are: (i) the retail market for electricity sales to domestic customers connected at low voltage; (ii) the retail market for electricity sales to non-domestic customers connected at low voltage; (iii) the retail market for natural gas sales to small customers.</w:t>
      </w:r>
    </w:p>
    <w:p>
      <w:r>
        <w:t>* In this version, some data are omitted, as elements of confidentiality or secrecy of the information were deemed to exist.</w:t>
      </w:r>
    </w:p>
    <w:p>
      <w:r>
        <w:t>1 See Commission Communication on restrictions directly related and necessary to concentration operations (2005/C 56/03), §. 25 published in the Official Journal of the European Communities on March 5, 2005.</w:t>
      </w:r>
    </w:p>
    <w:p>
      <w:r>
        <w:t>16 BULLETIN NO. 18 OF MAY 6, 2024</w:t>
      </w:r>
    </w:p>
    <w:p>
      <w:r>
        <w:t>Retail markets for electricity sales to customers connected at low voltage</w:t>
      </w:r>
    </w:p>
    <w:p>
      <w:r>
        <w:t>11. In its established practice2, the Authority has identified for the retail markets of electricity sales to customers connected at low voltage, both domestic and non-domestic, local geographical areas that are nonetheless narrower than the national one, also considering the importance of the historically played role at the local level by sales companies under the greater protection regime. Following the gradual abandonment of the greater protection service by the majority of customers, the competitive area among operators has expanded, while still being influenced by the historical presence of the most important players. The recent auctions for the Gradual Protection Service seem to have confirmed the importance of the local dimension of competition among retail electricity sellers in the mass market. In this case, it is not deemed necessary to define more accurately the geographical scope of the relevant markets for sales to domestic and non-domestic customers connected at low voltage, as the outcome of the assessment of the Transaction would not change regardless of the definition adopted. In fact, according to the data provided, the joint market share of the Parties at the national level, referring to 2022 and calculated on sales volumes, is less than 1% for domestic customers and approximately 1.7% for non-domestic customers, while at the provincial level the joint share is less than 2%, with the exception of the province of Bolzano, a historically rooted area of Alperia, where Eicom's presence is negligible (representing a share of less than 0.5%) and Alperia holds a share of over 50%. In these markets, qualified competitors operate, including the major national operators (Enel Energia S.p.A., Eni Plenitude S.p.A., A2A Energia S.p.A., Hera Comm S.p.A., Iren Energia S.p.A., Edison Energia S.p.A., Repower) and the barriers to entry are modest. The Transaction does not therefore appear likely to significantly impact competition in the markets for electricity sales to domestic and non-domestic customers connected at low voltage.</w:t>
      </w:r>
    </w:p>
    <w:p>
      <w:r>
        <w:t>Retail markets for natural gas sales</w:t>
      </w:r>
    </w:p>
    <w:p>
      <w:r>
        <w:t>12. Regarding the retail sale of natural gas, the Parties are active in selling to small final customers (i.e., with consumption below 200,000 mc/year).</w:t>
      </w:r>
    </w:p>
    <w:p>
      <w:r>
        <w:t>13. With respect to this market, the Authority has not identified a distinct relevant market for condominium customers and has traditionally considered a local-sized market, although it has recently questioned the possibility of considering a broader market, also in light of the progressive reduction of the share of the protection service (historically offered by companies connected to local distributors), which ceased at the beginning of 2024 for non-vulnerable customers. In this case, it does not seem necessary to define more accurately the product and geographical perimeter of the relevant market, as the outcome of the assessment of this transaction would not change regardless of the definition adopted. In fact, if a separate market for supplies to condominiums with consumption below 200,000 mc/year were identified, the overlaps between the shares of the Parties would be negligible. Furthermore, with respect to the product area traditionally identified by the Authority, the data provided by the Parties show that the joint market share of the Parties at the national level, referring to 2022 and calculated on sales volumes, is approximately 1.4%, while at the provincial level the joint share is less than 1.5%, with the exception of the province of Bolzano, a historically rooted area of Alperia, where Eicom's presence is negligible (representing a share of less than 0.5%) and Alperia holds a share of over 70%. The Transaction does not therefore appear likely to significantly impact competition in the retail market for natural gas sales to small customers, also considering the presence of qualified competitors in all markets where the Parties operate, including the major national operators (Eni Plenitude S.p.A.; Edison Energia S.p.A.; Enel Energia S.p.A.; Hera Comm S.p.A.; A2A Energia S.p.A.; Iren Energia S.p.A.; EPH S.p.A.; Axpo Italia S.p.A.; Shell Energy Italia S.r.l.; Sorgenia S.p.A.), and the low level of barriers to entry.</w:t>
      </w:r>
    </w:p>
    <w:p>
      <w:r>
        <w:t>14. In light of the above considerations, the concentration under review does not appear likely to significantly alter effective competition in the relevant markets or to lead to the creation or strengthening of a dominant position.</w:t>
      </w:r>
    </w:p>
    <w:p>
      <w:r>
        <w:t>IT IS THEREFORE CONSIDERED that the Transaction under review does not significantly impede effective competition in the relevant markets, pursuant to Article 6, paragraph 1, of Law No. 287/1990, and does not lead to the creation or strengthening of a dominant position;</w:t>
      </w:r>
    </w:p>
    <w:p>
      <w:r>
        <w:t>IT IS CONSIDERED that the non-competition and non-solicitation agreement can be considered ancillary to this transaction only within the temporal, product, and geographical limits indicated above and that the Authority reserves the right to assess, where the conditions exist, the aforementioned agreement should it exceed those limits;</w:t>
      </w:r>
    </w:p>
    <w:p>
      <w:r>
        <w:t>RESOLVES</w:t>
      </w:r>
    </w:p>
    <w:p>
      <w:r>
        <w:t>not to initiate the investigation referred to in Article 16, paragraph 4, of Law No. 287/1990.</w:t>
      </w:r>
    </w:p>
    <w:p>
      <w:r>
        <w:t>The above conclusions will be communicated, pursuant to Article 16, paragraph 4, of Law No. 287/1990, to the companies involved and to the Minister of Enterprises and Made in Italy.</w:t>
      </w:r>
    </w:p>
    <w:p>
      <w:r>
        <w:t>This provision will be published in the Bulletin of the Antitrust Authority.</w:t>
      </w:r>
    </w:p>
    <w:p>
      <w:r>
        <w:t>THE SECRETARY GENERAL THE PRESIDENT</w:t>
      </w:r>
    </w:p>
    <w:p>
      <w:r>
        <w:t>Guido Stazi Roberto Rustichelli</w:t>
      </w:r>
    </w:p>
    <w:p>
      <w:r>
        <w:rPr>
          <w:b/>
        </w:rPr>
        <w:t>[Pages 16–18]</w:t>
      </w:r>
    </w:p>
    <w:p>
      <w:r>
        <w:t>18 BULLETIN NO. 18 OF MAY 6, 2024</w:t>
        <w:br/>
        <w:t>C12625 - FROZEN INVESTMENTS-SAMMONTANA FINANZIARIA/SAMMONTANA-FORNO D’ASOLO</w:t>
        <w:br/>
        <w:t>Provision No. 31184</w:t>
        <w:br/>
        <w:t>THE ANTITRUST AUTHORITY</w:t>
        <w:br/>
        <w:t>IN ITS MEETING of April 30, 2024;</w:t>
        <w:br/>
        <w:t>HEARD the Rapporteur, Professor Elisabetta Iossa;</w:t>
        <w:br/>
        <w:t>HAVING REGARD TO Regulation (EC) No. 139/2004;</w:t>
        <w:br/>
        <w:t>HAVING REGARD TO Law No. 287 of October 10, 1990;</w:t>
        <w:br/>
        <w:t>HAVING REGARD TO the Presidential Decree No. 217 of April 30, 1998;</w:t>
        <w:br/>
        <w:t>HAVING REGARD TO the decision of the European Commission of March 13, 2024, to refer the assessment of the transaction to the Antitrust Authority, pursuant to Article 4, paragraph 4, of Regulation (EC) No. 139/2004;</w:t>
        <w:br/>
        <w:t>HAVING REGARD TO the communication from the companies Frozen Investments S.à r.l. and Sammontana Finanziaria S.r.l., received on April 11, 2024;</w:t>
        <w:br/>
        <w:t>HAVING REGARD TO the documentation on file;</w:t>
        <w:br/>
        <w:t>CONSIDERED the following:</w:t>
        <w:br/>
        <w:t>I. THE PARTIES</w:t>
        <w:br/>
        <w:t>I.1. Frozen Investments and the Investindustrial Group</w:t>
        <w:br/>
        <w:t>1. Frozen Investments S.à r.l. (hereinafter, "Frozen") is a company under Luxembourg law established specifically for the purpose of carrying out the concentration transaction under review. The share capital of Frozen is held by the fund Investindustrial VIII S.C.Sp., managed by BI Invest Endowment Management S.à r.l., which has delegated the management of its investment portfolio to Investindustrial Advisors Limited, a company under English law whose capital is entirely held by Investindustrial S.A., at the head of the Investindustrial group (hereinafter, "Investindustrial Group").</w:t>
        <w:br/>
        <w:t>2. The Investindustrial Group is an investment group specialized in the acquisition of medium-sized enterprises active in the consumer goods sectors (including food and beverage sectors), leisure, health, services, technology, and industrial production.</w:t>
        <w:br/>
        <w:t>3. The Investindustrial Group achieved a consolidated worldwide turnover of [9-10]* billion euros in 2023, of which [3-4] billion euros were achieved in the European Union and [1-2] billion euros were achieved in Italy.</w:t>
        <w:br/>
        <w:t>I.2. Sammontana Finanziaria and Sammontana</w:t>
        <w:br/>
        <w:t>4. Sammontana S.p.A. Società Benefit (hereinafter, "Sammontana") is a company active in the production and marketing of fresh and frozen products, including baked goods, industrial ice cream (packaged and bulk), and ready meals. In the baked goods sector, Sammontana...</w:t>
        <w:br/>
        <w:t>* In this version, some data are omitted as there are deemed to be elements of confidentiality or secrecy of the information.</w:t>
      </w:r>
    </w:p>
    <w:p>
      <w:r>
        <w:t>BULLETIN NO. 18 OF MAY 6, 2024 19</w:t>
        <w:br/>
        <w:t>produces and primarily markets breakfast products (under the brands Tre Marie, Il Pasticcere, and Mongelo) and, to a lesser extent, savory snacks, pastries, and bakery products (under the BonChef brand). The products are distributed to the food service channel through both direct and indirect sales networks.</w:t>
        <w:br/>
        <w:t>5. The share capital of Sammontana is entirely held by Sammontana Finanziaria S.r.l. (hereinafter, "Sammontana Finanziaria"), the holding company at the head of the group of the same name, which is in turn controlled by the Bagnoli family.</w:t>
        <w:br/>
        <w:t>6. In 2023, Sammontana achieved a consolidated worldwide turnover of [100-567] million euros, of which [100-567] million euros were achieved in the European Union and [100-567] million euros were achieved in Italy.</w:t>
        <w:br/>
        <w:t>I.3. Forno d’Asolo</w:t>
        <w:br/>
        <w:t>7. Forno d’Asolo S.p.A. (hereinafter, "FdA" or "Forno d’Asolo") is a company active - also through its subsidiaries - primarily in the production and marketing of frozen baked goods and, to a lesser extent, industrial ice creams.</w:t>
        <w:br/>
        <w:t>8. Forno d’Asolo is controlled by Piave Investment S.à r.l. (hereinafter, "Piave"), a company based in Luxembourg, indirectly by the funds BC European Capital X Fund and BCEC X Luxembourg 1 S.C.Sp..</w:t>
        <w:br/>
        <w:t>9. In the baked goods sector, FdA's product range includes: (i) breakfast baked goods (e.g., plain or filled croissants, krapfen, and other sweet specialties) under the brands Lizzi, Forno d’Asolo, and Bindi; (ii) savory baked goods (e.g., simple and stuffed focaccias, pizza, and savory snacks) under the brands Forno d’Asolo, SPAR, Forno della Rotonda, and Buoni e Pronti; (iii) pastries (e.g., tiramisù, cheesecake, traditional cakes, multilayer cakes, spoon desserts) under the brands La Donatella, Bindi, Gelpat, and Forno d’Asolo; and (iv) bakery products under the brands SPAR, Buoni e Pronti, Forno della Rotonda, and Forno d’Asolo. Forno d’Asolo serves the food service channel with its own distribution network as well as through wholesalers and dealers.</w:t>
        <w:br/>
        <w:t>10. In 2023, FdA achieved a consolidated worldwide turnover of [100-567] million euros, of which [100-567] million euros were achieved in the European Union and [100-567] million euros were achieved in Italy.</w:t>
        <w:br/>
        <w:t>II. DESCRIPTION OF THE TRANSACTION</w:t>
        <w:br/>
        <w:t>11. The notified concentration (hereinafter also "Transaction") concerns the acquisition of joint control by Sammontana Finanziaria and Frozen over Sammontana and FdA.</w:t>
        <w:br/>
        <w:t>12. In particular, the Transaction involves Sammontana Finanziaria contributing Sammontana into a holding company (hereinafter, "HoldCo"), which will in turn contribute Sammontana into a newly established company (hereinafter, "BidCo"), wholly owned by it. At the same time, Frozen will acquire, through the subscription of a capital increase, a minority stake in HoldCo and will enter into a shareholders' agreement with Sammontana Finanziaria suitable for granting it joint control over HoldCo and its subsidiary BidCo. Finally, HoldCo, through BidCo, will acquire all the shares of FdA.</w:t>
        <w:br/>
        <w:t>13. As a result of the Transaction, Sammontana Finanziaria and Frozen will hold joint control over Sammontana and FdA. [omitted].</w:t>
      </w:r>
    </w:p>
    <w:p>
      <w:r>
        <w:t>20 BULLETIN NO. 18 OF MAY 6, 2024</w:t>
        <w:br/>
        <w:t>14. The Transaction is not currently subject to any suspensive or resolutory conditions, as all suspensive conditions of the Transaction have already been satisfied.</w:t>
        <w:br/>
        <w:t>III. QUALIFICATION OF THE TRANSACTION</w:t>
        <w:br/>
        <w:t>15. The notified Transaction, as it involves the acquisition of joint control over multiple companies, constitutes a concentration pursuant to Article 3, paragraph 1, letter b) of Regulation (EC) No. 139 of January 20, 2004 and Article 5, paragraph 1, letter b) of Law No. 287/1990.</w:t>
        <w:br/>
        <w:t>16. The Transaction falls within the scope of Regulation (EC) No. 139/2004, as it meets the conditions set out in Article 1, paragraph 2 of the same Regulation. Following the decision of March 13, 2024, whereby the Commission, pursuant to Article 4, paragraph 4, of Regulation (EC) No. 139/2004, ordered that the transaction be fully referred to the Antitrust Authority, Law No. 287/1990 is applicable to the concentration.</w:t>
        <w:br/>
        <w:t>IV. EVALUATION OF THE TRANSACTION</w:t>
        <w:br/>
        <w:t>IV.1. Premise</w:t>
        <w:br/>
        <w:t>17. The Transaction will result in the consolidation of Sammontana and Forno d’Asolo within the same controlling group. Due to the activities of the companies involved in the Transaction, it is noted that it primarily concerns the frozen baked goods sector, which can in turn be divided into (i) breakfast baked goods (e.g., plain or filled croissants, krapfen, and other sweet specialties); (ii) savory baked goods (savory snacks); (iii) pastries (e.g., tiramisù, cheesecake, traditional cakes, multilayer cakes, spoon desserts); and (iv) bakery products.</w:t>
        <w:br/>
        <w:t>18. These products can be marketed through: (i) the food service channel, including the Ho.Re.Ca.1 channels and catering; (ii) the retail channel, consisting of the retail sale to the final consumer of frozen products through organized large-scale distribution (hereinafter, "GDO"); and (iii) in-store bakeries of the GDO, that is, the specialized departments of the GDO where frozen products are baked, packaged, and sold to final customers. Frozen breakfast baked goods represent a predominant part of the revenues of the Parties with respect to the total of frozen baked goods in the food service channel.</w:t>
        <w:br/>
        <w:t>19. The Transaction also concerns the industrial ice cream sector, in which both Sammontana and FdA are active in the production and sale of both impulse ice cream and that intended for the catering channel.</w:t>
        <w:br/>
        <w:t>20. Other markets in which the Parties are active (semi-finished food products, commercial catering, and retail distribution of food and non-food products) are not affected by this Transaction, as the Transaction does not result in significant horizontal or vertical effects.</w:t>
        <w:br/>
        <w:t>1 The Ho.Re.Ca. channel includes bars (including those located in GDO points of sale), hotels, restaurants, pizzerias, venues, and entertainment facilities.</w:t>
      </w:r>
    </w:p>
    <w:p>
      <w:r>
        <w:rPr>
          <w:b/>
        </w:rPr>
        <w:t>[Pages 19–21]</w:t>
      </w:r>
    </w:p>
    <w:p>
      <w:r>
        <w:t>BULLETIN NO. 18 OF MAY 6, 2024 21</w:t>
      </w:r>
    </w:p>
    <w:p>
      <w:r>
        <w:t>IV.2. Relevant markets</w:t>
      </w:r>
    </w:p>
    <w:p>
      <w:r>
        <w:t>IV.2.a. The markets for the production and marketing of baked goods</w:t>
      </w:r>
    </w:p>
    <w:p>
      <w:r>
        <w:t>(a) National and European precedents</w:t>
      </w:r>
    </w:p>
    <w:p>
      <w:r>
        <w:t>21. The recent practice of the Authority and the European Commission has determined, unlike assessments made in the past, that fresh and frozen baked goods constitute two distinct commodity markets2.</w:t>
      </w:r>
    </w:p>
    <w:p>
      <w:r>
        <w:t>22. In particular, the Commission, while leaving the exact definition of the market open, has segmented the food products market into retail and food service channels, and has distinguished between frozen, refrigerated, and fresh foods. Within the frozen food segment, the Commission has considered the distinction between: (i) frozen breakfast baked goods, (ii) frozen savory snacks; (iii) frozen pastries; and (iv) frozen bakery products3.</w:t>
      </w:r>
    </w:p>
    <w:p>
      <w:r>
        <w:t>23. Consistent with the Commission's approach, in the two most recent precedents concerning baked goods, the Authority has considered exclusively a market for frozen baked goods, leaving the exact commodity definition of the markets regarding the distinction between product categories (breakfast products, savory snacks, pastries, and bakery) and distribution channels (food service and retail)4. Regarding distribution channels, it has been observed that they "present substantial differences related to the type of customers and their needs, resulting in differences in packaging, size, quality, and prices of the products"5.</w:t>
      </w:r>
    </w:p>
    <w:p>
      <w:r>
        <w:t>24. In national and European precedents, the geographical dimension of the markets related to baked goods has been defined as national6.</w:t>
      </w:r>
    </w:p>
    <w:p>
      <w:r>
        <w:t>(b) The definition of markets according to the notifying Parties</w:t>
      </w:r>
    </w:p>
    <w:p>
      <w:r>
        <w:t>25. According to the notifying Parties, baked goods could be attributed to a single relevant market, without distinction between fresh and frozen, product category, and sales channel. According to the notifying Parties, in fact, a breakfast product could be substituted by consumers with a savory product or a pastry product. Furthermore, some evidence would confirm that, even during breakfast, there would be a demand for savory products, and the fillings of some croissants could be both sweet and savory.</w:t>
      </w:r>
    </w:p>
    <w:p>
      <w:r>
        <w:t>26. According to the notifying Parties, moreover, fresh and frozen baked goods would be substitutable among themselves, as they are substantially homogeneous in terms of raw materials used and selling prices, and the frozen or fresh nature of the product would be irrelevant for the purchasing decision of both food service operators and final consumers. According to an investigation commissioned by the notifying Parties (hereinafter, "Tradelab investigation")7, moreover, 72% of the interviewed operators would believe that their customers are not interested in knowing whether breakfast products are fresh or frozen. Furthermore, there would have been a convergence in recent years between the two product categories in terms of quality and assortment.</w:t>
      </w:r>
    </w:p>
    <w:p>
      <w:r>
        <w:t>27. In addition, it would be common for many operators to use a mix of fresh and frozen products. According to the Tradelab investigation, in fact, 69% of the interviewed bars would serve both fresh and frozen breakfast products in similar proportions (57% frozen and 43% fresh), while the remaining part would only handle frozen products.</w:t>
      </w:r>
    </w:p>
    <w:p>
      <w:r>
        <w:t>28. The notifying Parties also note a high substitutability from the supply side between fresh and frozen baked goods, evidenced by the fact that numerous suppliers traditionally active in the production of fresh products have begun to also produce frozen products.</w:t>
      </w:r>
    </w:p>
    <w:p>
      <w:r>
        <w:t>29. Finally, the notifying Parties believe that for the purposes of evaluating this Operation, it is not necessary to distinguish between retail and food service channels, as the overlap of the Parties' activities is limited, in addition to the food service channel, to in-store bakeries and bars located in GDO sales points. However, these specific types of sales points would be more appropriately considered within the food service channel, as they also meet the final consumer's need to purchase a ready-to-eat product.</w:t>
      </w:r>
    </w:p>
    <w:p>
      <w:r>
        <w:t>30. According to the notifying Parties, the geographical dimension of the relevant markets appears to be national due to legislative differences, observed distribution trends, and consumer tastes.</w:t>
      </w:r>
    </w:p>
    <w:p>
      <w:r>
        <w:t>(c) Preliminary assessments of the Authority</w:t>
      </w:r>
    </w:p>
    <w:p>
      <w:r>
        <w:t>(c.a) Distinction between fresh and frozen products</w:t>
      </w:r>
    </w:p>
    <w:p>
      <w:r>
        <w:t>31. The information available in the records appears to confirm the belonging of fresh and frozen baked goods to distinct commodity markets.</w:t>
      </w:r>
    </w:p>
    <w:p>
      <w:r>
        <w:t>32. In particular, according to many market operators, fresh and frozen baked goods would differ in terms of price8, production, and preservation9. Furthermore, from the perspective of operators, there would be significant differences, as frozen products present advantages in terms of inventory management and adaptation to demand for the range of products offered in the sales point, allowing for the availability of a greater number of products and references10. It is also noteworthy that none of the main operators in frozen baked goods is active in fresh baked goods.</w:t>
      </w:r>
    </w:p>
    <w:p>
      <w:r>
        <w:t>33. The same documentary evidence provided by the notifying Parties provides elements to consider fresh products as not substitutable with frozen ones. Firstly, regarding the circumstance - emerged from the Tradelab investigation - that 69% of the bars surveyed appear to handle both fresh and frozen products, it is noted that 34% of these subjects stated that this co-presence is due to the need to satisfy customer demand with different products; a further 32% justifies this choice with the need to meet demand throughout the day, and a further 31% for both of the above-mentioned reasons. Essentially, these responses seem to show that, for almost all respondents, there is a need for the co-presence of products to satisfy different and complementary needs and not for reasons of substitutability between these types of products.</w:t>
      </w:r>
    </w:p>
    <w:p>
      <w:r>
        <w:t>34. Furthermore, it should be noted that, according to the same Tradelab investigation, following a 10% price increase from the supplier of frozen breakfast products: (i) only 11% of the interviewed bars that purchase both fresh and frozen products would buy more fresh breakfast products, and (ii) only 2% of the interviewed bars that purchase frozen products would start buying fresh breakfast products. Considering all the bars responding to the question, only about 8% of them would switch - at least in part - to fresh breakfast products following a significant price increase.</w:t>
      </w:r>
    </w:p>
    <w:p>
      <w:r>
        <w:t>35. From the Tradelab investigation, it emerges that almost 40% of operators handling both types of products perceive appreciable differences between the prices of fresh and frozen.</w:t>
      </w:r>
    </w:p>
    <w:p>
      <w:r>
        <w:t>(c.b) Distinction between categories of baked goods</w:t>
      </w:r>
    </w:p>
    <w:p>
      <w:r>
        <w:t>36. The preliminary elements acquired suggest that there is limited substitutability between the different categories of baked goods. Numerous operators consulted, on the contrary, highlighted their complementarity11, as breakfast products, savory snacks, pastry products, and bakery products would satisfy different needs and would be consumed at different times of the day. The same documents cited by the notifying Parties attest to a still rather limited consumption of savory products during breakfast12.</w:t>
      </w:r>
    </w:p>
    <w:p>
      <w:r>
        <w:t>(c.c) Distinction between sales channels</w:t>
      </w:r>
    </w:p>
    <w:p>
      <w:r>
        <w:t>37. In analogy with the practice adopted by the European Commission in other consumer goods markets13, it seems reasonable to include in different relevant markets the products sold for consumption at home, and therefore at a time subsequent to the purchase (so-called in-home, in the case of species coinciding with those sold in the retail channel, i.e., at GDO sales points), from those sold for out-of-home consumption (out of home, in the case of species coinciding with those sold in the food service channel), which occurs close to the purchase.</w:t>
      </w:r>
    </w:p>
    <w:p>
      <w:r>
        <w:t>38. As represented by the notifying Parties, sales in in-store bakeries and bars at GDO sales points could be considered within the food service channel, given the similar mode of product consumption by the final consumer.</w:t>
      </w:r>
    </w:p>
    <w:p>
      <w:r>
        <w:t>39. This distinction also appears appropriate considering the significant differences in distribution: while the food service channel is generally served through concessionaires, wholesalers, and/or agents, in the retail channel companies negotiate contracts directly with the GDO in a centralized manner14.</w:t>
      </w:r>
    </w:p>
    <w:p>
      <w:r>
        <w:rPr>
          <w:b/>
        </w:rPr>
        <w:t>[Pages 22–24]</w:t>
      </w:r>
    </w:p>
    <w:p>
      <w:r>
        <w:t>24 BULLETIN NO. 18 OF MAY 6, 2024</w:t>
        <w:br/>
        <w:t>40. With particular regard to the food service channel, it is noted that the distribution of frozen bakery products typically occurs alongside that of ice creams; both types of products, in fact, require distributors capable of ensuring the so-called cold chain.</w:t>
      </w:r>
    </w:p>
    <w:p>
      <w:r>
        <w:t>(c.d) Preliminary conclusions regarding the definition of the markets</w:t>
        <w:br/>
        <w:t>41. From a product perspective, the preliminary elements in the records appear to confirm a distinction between fresh and frozen bakery products and support the possibility of further segmenting the market by product type (breakfast bakery products, savory snacks, pastries, and bakery) and sales channel (food service and retail).</w:t>
        <w:br/>
        <w:t>42. From a geographical standpoint, in line with national and European precedents and the position of the notifying Parties, it can be considered that the market dimension is national.</w:t>
      </w:r>
    </w:p>
    <w:p>
      <w:r>
        <w:t>IV.2.b. The markets for the production and marketing of ice creams</w:t>
        <w:br/>
        <w:t>43. In its precedents, the European Commission has traditionally distinguished the market for industrial ice cream from that of artisanal ice cream. Furthermore, within the industrial ice cream sector, the product market has been further segmented into the following sub-markets: (i) ice cream for home consumption; (ii) impulse ice cream; (iii) ice cream for consumption in the catering channel.</w:t>
        <w:br/>
        <w:t>44. In a more recent national case, the Authority, also considering the peculiarities of the Italian market, has made an additional segmentation within impulse ice cream, distinguishing the market for packaged single-serve ice creams from the market for bulk ice cream.</w:t>
        <w:br/>
        <w:t>45. In national and European precedents, the geographical dimension of the markets related to ice creams has been defined as national.</w:t>
      </w:r>
    </w:p>
    <w:p>
      <w:r>
        <w:t>IV.3. The effects of the transaction</w:t>
        <w:br/>
        <w:t>IV.3.a. The markets for the production and marketing of bakery products</w:t>
        <w:br/>
        <w:t>46. Based on the data provided by the notifying Parties, Sammontana and Forno d’Asolo represent the first and second operators of frozen bakery products in Italy in the food service channel. As a result of the concentration, the post-merger entity will consolidate its leadership position in national sales of frozen bakery products.</w:t>
        <w:br/>
        <w:t>47. Considering the shares in the individual markets into which the sector could be further divided, in the food service channel - the only channel where both Sammontana and Forno d’Asolo operate - the Transaction results in a significant overlap for a specific category of products, namely frozen bakery products for breakfast, which accounts for the predominant part of the Parties' turnover (respectively, [80-100%] and [50-70%]) of the total turnover derived from frozen bakery products.</w:t>
      </w:r>
    </w:p>
    <w:p>
      <w:r>
        <w:t>15 See, inter alia, M.7946 - PAI/Nestlé/Froneri, cited.</w:t>
        <w:br/>
        <w:t>16 See decision No. 26822 of October 31, 2017, paras. 304-406, A484 - Unilever/Ice Cream Distribution, in Bulletin No. 47/2017.</w:t>
        <w:br/>
        <w:t>17 See EU Commission decision M.7946 - P-i/Nestlé/Froneri as well as decisions No. 30517 of March 14, 2023, C12526 - Ferrero International/Holdinvest; No. 28194 of March 17, 2020, C12288 - Forno d’Asolo/Pasticceria Bindi and No. 27273 of July 20, 2018, C12174 - BCEC Management X/Forno d’Asolo, cited.</w:t>
      </w:r>
    </w:p>
    <w:p>
      <w:r>
        <w:t>BULLETIN NO. 18 OF MAY 6, 2024 25</w:t>
        <w:br/>
        <w:t>Table No. 1: market shares of the Parties in the frozen bakery products markets, year 2023</w:t>
        <w:br/>
        <w:t>Share</w:t>
        <w:br/>
        <w:t>Sammontana FdA</w:t>
        <w:br/>
        <w:t>combined</w:t>
        <w:br/>
        <w:t>Frozen bakery products for breakfast [20-25%] [20-25%] [45-50%]</w:t>
        <w:br/>
        <w:t>Frozen savory snacks [1-5%] [15-20%] [20-25%]</w:t>
        <w:br/>
        <w:t>Frozen pastries [1-5%] [20-25%] [25-30%]</w:t>
        <w:br/>
        <w:t>Frozen bakery [&lt;1%] [1-5%] [1-5%]</w:t>
        <w:br/>
        <w:t>48. In particular, in this prima facie identified market, the post-merger entity would hold a share of [45-50%], compared to shares of the main competitors below 10%. In this market, moreover, the HHI index would increase from a pre-merger value of 1,430 to a post-merger value of 2,511, with a considerable increase (equal to 1,081 points).</w:t>
      </w:r>
    </w:p>
    <w:p>
      <w:r>
        <w:t>Table No. 2: market shares of the Parties and the main competitors in the market for frozen bakery products for breakfast, year 2023</w:t>
        <w:br/>
        <w:t>Market Share (%)</w:t>
        <w:br/>
        <w:t>Sammontana [20-25%]</w:t>
        <w:br/>
        <w:t>Forno d’Asolo [20-25%]</w:t>
        <w:br/>
        <w:t>Combined share [45-50%]</w:t>
        <w:br/>
        <w:t>Dolciaria Acquaviva [5-10%]</w:t>
        <w:br/>
        <w:t>Delifrance [5-10%]</w:t>
        <w:br/>
        <w:t>Dolcevita (Unilever) [5-10%]</w:t>
        <w:br/>
        <w:t>Froneri (Nestlé) [5-10%]</w:t>
        <w:br/>
        <w:t>Bridor [1-5%]</w:t>
      </w:r>
    </w:p>
    <w:p>
      <w:r>
        <w:t>18 Source: estimates of the Parties.</w:t>
        <w:br/>
        <w:t>19 According to the Guidelines on the assessment of horizontal concentrations under the Council Regulation on the control of concentrations between undertakings (2004/C 31/03), "It is unlikely that the Commission will identify problems from a horizontal competition perspective in a market if the post-concentration HHI is below 1,000. […] It is equally unlikely that the Commission will raise objections from a horizontal competition perspective if, after the concentration, the HHI is between 1,000 and 2,000 and the delta is below 250, or if, after the concentration, the HHI is above 2,000 and the delta is below 150." It should be noted that, in the absence of specific values for the market shares of competing operators, the average value of the range provided by the notifying Parties has been considered. To allocate the remaining market (corresponding to the "Other" category), this residual ([15-20%]) was divided by the share of the smallest operator (i.e., [1-5%] of Bridor, calculated following the above assumption), resulting in 4 operators to which [1-5%] of the market was allocated to each. The remaining [1-5%] was finally attributed to a fifth operator.</w:t>
      </w:r>
    </w:p>
    <w:p>
      <w:r>
        <w:t>20 Source: estimates of the Parties.</w:t>
      </w:r>
    </w:p>
    <w:p>
      <w:r>
        <w:t>26 BULLETIN NO. 18 OF MAY 6, 2024</w:t>
        <w:br/>
        <w:t>49. Furthermore, Sammontana and FdA are among the few operators in the sector to possess the scale necessary to develop a direct distribution network, allowing them to be less exposed to risks related to potential terminations of relationships with distributors and to have a more stable route to market.</w:t>
        <w:br/>
        <w:t>50. Considering the aggregate level of shares, along with the significant and widespread presence of the sales network of Sammontana and FdA, the breadth of the product range, as well as the importance and notoriety of the brands managed, it is believed that the Transaction could significantly impede effective competition in the market for the production and sale of frozen bakery products for breakfast, potentially leading to the establishment of a dominant position in the market for frozen bakery products for breakfast.</w:t>
        <w:br/>
        <w:t>51. Although in the markets related to other product categories the combined shares of the Parties are not particularly significant, anti-competitive effects resulting from the Transaction cannot currently be ruled out, in light of the fact that these products share with frozen bakery products for breakfast the extensive distribution network of the Parties. The creation or strengthening of a dominant position in the market for frozen bakery products for breakfast could lead to a "spillover" effect in the other markets for frozen bakery products, following the expansion of the offering in terms of range.</w:t>
      </w:r>
    </w:p>
    <w:p>
      <w:r>
        <w:t>IV.3.b. The markets for the production and marketing of ice creams</w:t>
        <w:br/>
        <w:t>52. Based on the data provided by the notifying Parties, as a result of the Transaction, Forno d’Asolo and Sammontana will hold a combined share of [25-30%] in impulse ice cream. Considering, within impulse ice cream, the distinct relevant markets of packaged ice cream and bulk ice cream, Sammontana holds a share of [20-25%] and [25-30%], respectively, while FdA is exclusively active in the packaged ice cream market, where it holds a share of [1-5%]. The Transaction therefore results in a horizontal overlap, leading to a combined share of [20-25%] in the packaged ice cream market. Even in this case, although the market share of the post-merger entity is not particularly high, an anti-competitive effect of the Transaction cannot be ruled out, considering that the impulse ice cream markets are closely linked to those of frozen bakery products. The significant strengthening in terms of market shares and distribution network of the Parties involved in the Transaction could, in fact, allow them to "leverage" this position to extend it to the impulse ice cream markets at the expense of competitors who do not have a comparable product range in terms of breadth and depth, nor an equally extensive distribution network.</w:t>
        <w:br/>
        <w:t>53. On the other hand, in the market for ice cream intended for consumption in the catering channel, where the Parties will hold a combined share of [5-10%], the Transaction does not raise competitive concerns.</w:t>
      </w:r>
    </w:p>
    <w:p>
      <w:r>
        <w:t>IV.4. Conclusions</w:t>
        <w:br/>
        <w:t>54. The analyses above lead to the conclusion that, in the market for the production and marketing of frozen bakery products for breakfast for the food service channel, the realization of the Transaction is likely to significantly impede effective competition, particularly due to the establishment or strengthening of a dominant position.</w:t>
      </w:r>
    </w:p>
    <w:p>
      <w:r>
        <w:rPr>
          <w:b/>
        </w:rPr>
        <w:t>[Pages 25–27]</w:t>
      </w:r>
    </w:p>
    <w:p>
      <w:r>
        <w:t>BULLETIN NO. 18 OF MAY 6, 2024 27</w:t>
        <w:br/>
        <w:t>55. The Transaction could also significantly hinder effective competition in the markets - closely related to the first - of other frozen bakery products (savory snacks, pastries, and bakery) for the food service channel as well as in the markets for packaged and bulk impulse ice creams.</w:t>
        <w:br/>
        <w:t>56. The concentration between Sammontana and FdA could lead to restrictive effects considering that the post-merger entity will be by far the main Italian operator in frozen bakery products for breakfast, with a share more than four times that of the main competitor. The new entity will also be characterized by an extensive direct distribution network that will provide it with a route to market in the food service channel that is difficult to match, not only for bakery products but also for other products that share with the former the need to maintain the cold chain (for example, ice creams).</w:t>
        <w:br/>
        <w:t>57. In light of the above and considering that the concentration operation, as resulting from the agreements between the Notifying Parties, is expected to be completed by [omitted], with the consequent reorganization of the activities of the business complexes [omitted], it is believed that the realization of the Transaction could lead, during the course of this proceeding, to effects that are difficult to reverse. It is highlighted, in this regard, that among the suspensive conditions of the Transaction [omitted].</w:t>
        <w:br/>
        <w:t>58. The realization of the concentration under review, as currently notified, appears likely to definitively alter the competitive relationships between Sammontana and Forno d’Asolo and to affect the competitive structures of the relevant markets, also intervening on the assets, organizational structure, personnel, and contractual relationships with third parties, thereby making it extremely difficult to restore effective competition conditions quickly.</w:t>
        <w:br/>
        <w:t>IT IS THEREFORE CONSIDERED that the transaction under review appears likely to significantly hinder effective competition, pursuant to Article 6, paragraph 1, of Law No. 287/1990, particularly due to the establishment or strengthening of a dominant position, in the markets for the production and marketing of frozen bakery products for breakfast, as well as significantly hindering effective competition in the markets for other frozen bakery products (savory snacks, pastries, and bakery) for the food service channel as well as in the markets for packaged and bulk impulse ice creams;</w:t>
        <w:br/>
        <w:t>IT IS CONSIDERED that, for the reasons expressed above, the transaction presents competitive issues that require the suspension of the realization of the concentration pursuant to Article 17, paragraph 1, of Law No. 287/1990, in order to prevent the realization of the same from causing effects on the market that are difficult to reverse, not only with respect to a possible prohibition but also with reference to a possible authorization with measures pursuant to Article 6, paragraph 2, of Law No. 287/1990;</w:t>
        <w:br/>
        <w:t>IT IS THEREFORE CONSIDERED necessary to provide for the immediate suspension of the realization of the concentration operation, until the conclusion of the investigation;</w:t>
      </w:r>
    </w:p>
    <w:p>
      <w:r>
        <w:t>28 BULLETIN NO. 18 OF MAY 6, 2024</w:t>
        <w:br/>
        <w:t>RESOLVES</w:t>
        <w:br/>
        <w:t>a) to initiate the investigation, pursuant to Article 16, paragraph 4, of Law No. 287/1990, against the companies Frozen Investments S.à r.l. and Sammontana Finanziaria S.r.l.;</w:t>
        <w:br/>
        <w:t>b) to set a deadline of ten days, starting from the date of notification of this provision, for the exercise by the legal representatives of the Parties, or by persons delegated by them, of the right to be heard, pursuant to Article 14, paragraph 1, of Law No. 287/1990, specifying that the request for a hearing must be received by the Manufacturing, Agri-food, Pharmaceutical and Commercial Distribution Directorate of the Competition Department - 2 of this Authority, at least three days before the expiration of the above-mentioned deadline;</w:t>
        <w:br/>
        <w:t>c) that the person responsible for the procedure is Dr. Bianca Maria Cammino;</w:t>
        <w:br/>
        <w:t>d) that the acts of the procedure can be viewed at the Manufacturing, Agri-food, Pharmaceutical and Commercial Distribution Directorate of the Competition Department - 2 of this Authority by the legal representatives of the Parties, as well as by persons with a legally relevant interest or by persons delegated by them;</w:t>
        <w:br/>
        <w:t>e) that the procedure must be concluded within ninety days from the date of resolution of this provision.</w:t>
        <w:br/>
        <w:t>ORDERS</w:t>
        <w:br/>
        <w:t>pursuant to Article 17, paragraph 1, of Law No. 287/1990, the immediate suspension of the operation and of any activity and/or resolution preliminary and functional to it.</w:t>
        <w:br/>
        <w:t>Within five days from the notification of this provision, the companies Frozen Investments S.à r.l. and Sammontana Finanziaria S.r.l. must inform the Authority about the measures actually adopted in order to comply with the aforementioned suspension order.</w:t>
        <w:br/>
        <w:t>This provision will be published in the Bulletin of the Antitrust Authority.</w:t>
        <w:br/>
        <w:t>THE SECRETARY GENERAL THE PRESIDENT</w:t>
        <w:br/>
        <w:t>Guido Stazi Roberto Rustichelli</w:t>
      </w:r>
    </w:p>
    <w:p>
      <w:r>
        <w:t>BULLETIN NO. 18 OF MAY 6, 2024 29</w:t>
        <w:br/>
        <w:t>UNFAIR TRADE PRACTICES</w:t>
        <w:br/>
        <w:t>PS9699 - GREEN POWER - ZERO COST PHOTOVOLTAIC PLANT</w:t>
        <w:br/>
        <w:t>Provision No. 31171</w:t>
        <w:br/>
        <w:t>THE ANTITRUST AUTHORITY</w:t>
        <w:br/>
        <w:t>IN ITS MEETING of April 10, 2024;</w:t>
        <w:br/>
        <w:t>HEARD the Rapporteur Saverio Valentino;</w:t>
        <w:br/>
        <w:t>VIEWED Part II, Title III, of Legislative Decree No. 206 of September 6, 2005, and subsequent amendments (hereinafter, Consumer Code);</w:t>
        <w:br/>
        <w:t>VIEWED its provision of July 6, 2016, No. 26106, adopted at the conclusion of the investigation procedure PS9699 – Green Power zero cost photovoltaic plant, with which it was resolved, among other things: (1) that Green Power S.p.A., in the context of the marketing of photovoltaic plants, engaged in an unfair trade practice pursuant to Articles 20, paragraph 2, 21, letter b) and d), 22, 24 and 25, letter d), of the Consumer Code, consisting, in particular, in providing, at the stage of presenting the commercial offer, omissive, partial, ambiguous, and misleading information regarding the costs and benefits of photovoltaics, as well as failing to send a specific communication regarding the acceptance of the purchase proposal, in order to allow the consumer to exercise the right of withdrawal; (2) the imposition, on the Green Power Group S.p.A., of an administrative pecuniary sanction of €640,000 (six hundred forty thousand euros);</w:t>
        <w:br/>
        <w:t>VIEWED the ruling of the Council of State, Section VI, No. 2666/2024 published on March 19, 2024, with which the appeal of the company Gruppo Green Power S.r.l. (formerly Gruppo Green Power S.p.A. and now Alperia Green Future S.r.l.) was upheld limited to the determination of the amount of the sanction;</w:t>
        <w:br/>
        <w:t>VIEWED all the acts of the procedure;</w:t>
        <w:br/>
        <w:t>CONSIDERED that the Council of State noted that “the insignificance of the reports and, therefore, the negligible practical impact of the offense should reasonably lead to a mitigation of the sanctioning treatment, showing in fact how the serious practices, rightly sanctioned, have in fact resulted in an actual detriment to the consumer in a very limited number of cases” and estimated “appropriate to reduce the sanction by half compared to the total imposed by the contested provision,” ordering “that this ruling be executed by the administrative authority”;</w:t>
        <w:br/>
        <w:t>IT IS CONSIDERED that the Council of State has identified a specific, objective criterion of automatic application, which leaves no room for discretion in the implementation of the conforming obligation arising from the ruling to be executed;</w:t>
        <w:br/>
        <w:t>IT IS THEREFORE CONSIDERED necessary to redetermine, in compliance with the aforementioned ruling No. 2666/2024, the amount of the sanction imposed for the unfair trade practice, established by the provision of July 6, 2016, No. 26106, against the then Gruppo Green Power S.p.A.</w:t>
      </w:r>
    </w:p>
    <w:p>
      <w:r>
        <w:rPr>
          <w:b/>
        </w:rPr>
        <w:t>[Pages 28–29]</w:t>
      </w:r>
    </w:p>
    <w:p>
      <w:r>
        <w:t>30 BULLETIN NO. 18 OF MAY 6, 2024</w:t>
        <w:br/>
        <w:t>(subsequently Green Power Group S.r.l. and today Alperia Green Future S.r.l.), in the amount of €320,000 (three hundred twenty thousand euros);</w:t>
      </w:r>
    </w:p>
    <w:p>
      <w:r>
        <w:t>All of the above having been stated and considered;</w:t>
      </w:r>
    </w:p>
    <w:p>
      <w:r>
        <w:t>RESOLVES</w:t>
        <w:br/>
        <w:t>that the administrative monetary penalty to be imposed on the current company Alperia Green Future S.r.l. (formerly Green Power Group S.p.A. and subsequently Green Power Group S.r.l.), for the behaviors attributed to it in the Authority's provision of July 6, 2016, No. 26106, is redefined in the amount of €320,000 (three hundred twenty thousand euros).</w:t>
      </w:r>
    </w:p>
    <w:p>
      <w:r>
        <w:t>This provision will be notified to the interested parties and published in the Bulletin of the Competition and Market Authority.</w:t>
      </w:r>
    </w:p>
    <w:p>
      <w:r>
        <w:t>THE SECRETARY GENERAL THE PRESIDENT</w:t>
        <w:br/>
        <w:t>Guido Stazi Roberto Rustichelli</w:t>
      </w:r>
    </w:p>
    <w:p>
      <w:r>
        <w:t>Competition Authority Weekly Bulletin</w:t>
        <w:br/>
        <w:t>of competition and market Year XXXIV - No. 18 - 2024</w:t>
        <w:br/>
        <w:t>Editorial coordination Giulia Antenucci</w:t>
        <w:br/>
        <w:t>Editorial staff Angela D’Auria, Valerio Ruocco, Manuela Villani</w:t>
        <w:br/>
        <w:t>Competition and Market Authority</w:t>
        <w:br/>
        <w:t>Document management, protocol, and statistical services</w:t>
        <w:br/>
        <w:t>Piazza Giuseppe Verdi, 6/a - 00198 Rome</w:t>
        <w:br/>
        <w:t>Tel.: 06-858211 Fax: 06-85821256</w:t>
        <w:br/>
        <w:t>Web: https://www.agcm.it</w:t>
        <w:br/>
        <w:t>Graphic realization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