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https://www.agcm.it/dotcmsdoc/bollettini/2025/18-25.pdf</w:t>
      </w:r>
    </w:p>
    <w:p>
      <w:r>
        <w:t>Pages translated : 59</w:t>
      </w:r>
    </w:p>
    <w:p/>
    <w:p>
      <w:r>
        <w:rPr>
          <w:b/>
        </w:rPr>
        <w:t>[Pages 1–3]</w:t>
      </w:r>
    </w:p>
    <w:p>
      <w:r>
        <w:t>Bulletin</w:t>
        <w:br/>
        <w:t>Weekly</w:t>
        <w:br/>
        <w:t>Year XXXV - No. 18</w:t>
        <w:br/>
        <w:t>Published on the website www.agcm.it</w:t>
        <w:br/>
        <w:t>May 12, 2025</w:t>
      </w:r>
    </w:p>
    <w:p>
      <w:r>
        <w:t>SUMMARY</w:t>
        <w:br/>
        <w:t>AGREEMENTS AND ABUSE OF DOMINANT POSITION 5</w:t>
        <w:br/>
        <w:t>I864 - PRICE OF BIOFUEL FOR ROAD TRANSPORT</w:t>
        <w:br/>
        <w:t>Provision No. 31535 5</w:t>
        <w:br/>
        <w:t>A559 – META/SIAE</w:t>
        <w:br/>
        <w:t>Provision No. 31537 7</w:t>
        <w:br/>
        <w:t>CONCENTRATION OPERATIONS 27</w:t>
        <w:br/>
        <w:t>C12714 - GRENKE LEASING/INTESA SANPAOLO RENT FOR YOU</w:t>
        <w:br/>
        <w:t>Provision No. 31531 27</w:t>
        <w:br/>
        <w:t>C12715 - INTERGEA GROUP/PROGLIO AUTOMOBILE</w:t>
        <w:br/>
        <w:t>Provision No. 31532 29</w:t>
        <w:br/>
        <w:t>C12716 - FSI SGR/CASALASCO AGRICULTURAL COMPANY</w:t>
        <w:br/>
        <w:t>Provision No. 31533 35</w:t>
        <w:br/>
        <w:t>C12717 - BAIN CAPITAL INVESTORS/NAMIRIAL HOLDING</w:t>
        <w:br/>
        <w:t>Provision No. 31534 40</w:t>
        <w:br/>
        <w:t>REPORTING AND CONSULTATIVE ACTIVITIES 43</w:t>
        <w:br/>
        <w:t>AS2079 - EXTENSION OF CONCESSIONS FOR THE ELECTRICITY DISTRIBUTION SERVICE 43</w:t>
        <w:br/>
        <w:t>UNFAIR TRADE PRACTICES 48</w:t>
        <w:br/>
        <w:t>PS12743 - ENEL ENERGIA – RENEWAL COMMUNICATION METHODS</w:t>
        <w:br/>
        <w:t>Provision No. 31536 48</w:t>
      </w:r>
    </w:p>
    <w:p>
      <w:r>
        <w:t>BULLETIN NO. 18 OF MAY 12, 2025 5</w:t>
        <w:br/>
        <w:t>AGREEMENTS AND ABUSE OF DOMINANT POSITION</w:t>
        <w:br/>
        <w:t>I864 - PRICE OF BIOFUEL FOR ROAD TRANSPORT</w:t>
        <w:br/>
        <w:t>Provision No. 31535</w:t>
        <w:br/>
        <w:t>THE ITALIAN COMPETITION AUTHORITY</w:t>
        <w:br/>
        <w:t>IN ITS MEETING of April 24, 2025;</w:t>
        <w:br/>
        <w:t>HEARD the Rapporteur, Professor Elisabetta Iossa;</w:t>
        <w:br/>
        <w:t>HAVING REGARD to Article 101 of the Treaty on the Functioning of the European Union (TFEU);</w:t>
        <w:br/>
        <w:t>HAVING REGARD to Council Regulation (EC) No. 1/2003 of December 16, 2002;</w:t>
        <w:br/>
        <w:t>HAVING REGARD to Law No. 287 of October 10, 1990;</w:t>
        <w:br/>
        <w:t>HAVING REGARD to Presidential Decree No. 217 of April 30, 1998;</w:t>
        <w:br/>
        <w:t>HAVING REGARD to its resolution adopted on July 11, 2023, which initiated, pursuant to Article 14 of Law No. 287/1990, an investigation against the companies ENI S.p.A., Esso Italiana S.r.l., Saras S.p.A., Kuwait Petroleum Italia S.p.A., Tamoil Italia S.p.A. (also with reference to the activities carried out by Repsol Italia S.p.A.), Italiana Petroli S.p.A. and Iplom S.p.A. to ascertain the existence of violations of Article 101 of the TFEU;</w:t>
        <w:br/>
        <w:t>HAVING REGARD to the resolution of December 17, 2024, which extended the deadline for concluding the procedure to July 2, 2025;</w:t>
        <w:br/>
        <w:t>HAVING REGARD to the Communication of Investigative Findings, sent to the Parties on February 10, 2025;</w:t>
        <w:br/>
        <w:t>HAVING REGARD to the requests of the companies ENI S.p.A., Esso Italiana S.r.l., Saras S.p.A., Kuwait Petroleum Italia S.p.A., Tamoil Italia S.p.A. (also with reference to the activities carried out by Repsol Italia S.p.A.), Italiana Petroli S.p.A. received between February 17 and 25, 2025, for an extension of the intra-procedural deadline for closing the investigative phase, in order to ensure the full exercise of their right of defense, motivated, in particular, on the basis of the complexity of the investigative procedure;</w:t>
        <w:br/>
        <w:t>HAVING REGARD to the further requests of the companies ENI S.p.A., Saras S.p.A., Kuwait Petroleum Italia S.p.A., received between April 8 and 15, 2025;</w:t>
        <w:br/>
        <w:t>CONSIDERING the complexity of the case subject to the procedure and the necessity to ensure the broadest exercise of the right of defense and the adversarial process;</w:t>
        <w:br/>
        <w:t>CONSIDERING that the extension of the intra-procedural deadline for closing the investigative phase also necessitates an extension of the deadline for concluding the procedure;</w:t>
        <w:br/>
        <w:t>DEEMING, therefore, necessary an extension of the deadline for concluding the procedure, currently set for July 1, 2025;</w:t>
        <w:br/>
        <w:t>HAVING REGARD to all the acts of the procedure;</w:t>
      </w:r>
    </w:p>
    <w:p>
      <w:r>
        <w:rPr>
          <w:b/>
        </w:rPr>
        <w:t>[Pages 4–6]</w:t>
      </w:r>
    </w:p>
    <w:p>
      <w:r>
        <w:t>6 BULLETIN NO. 18 OF MAY 12, 2025</w:t>
        <w:br/>
        <w:t>RESOLUTION</w:t>
        <w:br/>
        <w:t>to extend the deadline for the conclusion of the procedure to September 30, 2025.</w:t>
        <w:br/>
        <w:t>This provision will be notified to the interested parties and published in the Bulletin of the Italian Competition Authority.</w:t>
        <w:br/>
        <w:t>THE DEPUTY SECRETARY GENERAL THE PRESIDENT</w:t>
        <w:br/>
        <w:t>Serena Stella Roberto Rustichelli</w:t>
      </w:r>
    </w:p>
    <w:p>
      <w:r>
        <w:t>BULLETIN NO. 18 OF MAY 12, 2025 7</w:t>
        <w:br/>
        <w:t>A559 – META/SIAE</w:t>
        <w:br/>
        <w:t>Provision No. 31537</w:t>
        <w:br/>
        <w:t>THE ITALIAN COMPETITION AUTHORITY</w:t>
        <w:br/>
        <w:t>IN ITS MEETING of May 6, 2025;</w:t>
        <w:br/>
        <w:t>HEARD the Rapporteur, President Roberto Rustichelli;</w:t>
        <w:br/>
        <w:t>HAVING REGARD TO Regulation (EU) 2022/1925 of the European Parliament and of the Council, of September 14, 2022, concerning fair and contestable markets in the digital sector, and, in particular, Article 38, par. 3;</w:t>
        <w:br/>
        <w:t>HAVING REGARD TO Law No. 287 of October 10, 1990;</w:t>
        <w:br/>
        <w:t>HAVING REGARD TO Law No. 287 of October 10, 1990 and, in particular, Article 14-ter;</w:t>
        <w:br/>
        <w:t>HAVING REGARD TO Law No. 192 of June 18, 1998, and, in particular, Article 9, as amended by Article 33 of Law No. 118 of August 5, 2022;</w:t>
        <w:br/>
        <w:t>HAVING REGARD TO Presidential Decree No. 217 of April 30, 1998;</w:t>
        <w:br/>
        <w:t>HAVING REGARD TO the "Communication on the application procedures of Article 14-ter of Law No. 287 of October 10, 1990," adopted in the meeting of September 6, 2012, and published in the Bulletin of September 17, 2012, No. 35;</w:t>
        <w:br/>
        <w:t>HAVING REGARD TO the report from the Italian Society of Authors and Publishers (hereinafter SIAE), received on March 24, 2023, regarding the negotiation with Meta Platforms Ireland Limited (hereinafter Meta) for a new license concerning the use, on Meta's properties, of works subject to the rights of authors represented by SIAE;</w:t>
        <w:br/>
        <w:t>HAVING REGARD TO its resolution adopted on April 4, 2023, which initiated an investigation, pursuant to Article 9, paragraph 3 bis, Article 14, and Article 14 bis of Law No. 287 of October 10, 1990, against the companies Meta Platforms Inc., Meta Platforms Ireland Limited, Meta Platforms Technologies UK Limited, and Facebook Italy S.r.l. (hereinafter collectively Meta), in order to ascertain a possible violation of Article 9 of Law No. 192 of June 18, 1998, consisting, in a context characterized by a significant economic imbalance between the interested parties, in the possible violation of the principles of good faith, fairness, and transparency during the negotiation with the Italian Society of Authors and Publishers for the new license for the use of musical works protected by the latter on Meta's social platforms;</w:t>
        <w:br/>
        <w:t>HAVING REGARD TO its resolution adopted on April 20, 2023, No. 30606, which imposed specific precautionary measures on the companies Meta Platforms Inc., Meta Platforms Ireland Limited, Meta Platforms Technologies UK Limited, and Facebook Italy S.r.l. pursuant to Article 14 bis of Law No. 287/1990 aimed at promptly reactivating the negotiation between Meta and SIAE;</w:t>
        <w:br/>
        <w:t>HAVING REGARD TO the ruling of the Council of State of July 2, 2024, No. 5827, which reformed the ruling of the Lazio TAR No. 16069/2023 and, as a result, annulled the Authority's resolution of April 20, 2023, No. 30606 mentioned above;</w:t>
        <w:br/>
        <w:t>HAVING REGARD TO its resolution of December 17, 2024, which extended the deadline for closing the procedure to June 30, 2025;</w:t>
      </w:r>
    </w:p>
    <w:p>
      <w:r>
        <w:t>8 BULLETIN NO. 18 OF MAY 12, 2025</w:t>
        <w:br/>
        <w:t>HAVING REGARD TO the communication, received on December 24, 2024, in which the companies Meta Platforms Inc., Meta Platforms Ireland Limited, Meta Platforms Technologies UK Limited, and Facebook Italy S.r.l. submitted, pursuant to Article 14 ter of Law No. 287/1990, commitments according to the modalities specifically indicated in the appropriate "Form for the submission of commitments pursuant to Article 14-ter of Law No. 287/1990";</w:t>
        <w:br/>
        <w:t>HAVING REGARD TO its resolution of January 9, 2025, No. 31433, which ordered the publication, on January 10, 2025, on the Authority's website of the commitments proposed by the companies Meta Platforms Inc., Meta Platforms Ireland Limited, Meta Platforms Technologies UK Limited, and Facebook Italy S.r.l., in order to allow interested third parties to express their observations;</w:t>
        <w:br/>
        <w:t>HAVING REGARD TO the observations on the commitments submitted by SIAE and the Italian Phonographic Association on February 10, 2025;</w:t>
        <w:br/>
        <w:t>HAVING REGARD TO the replies to the observations on the commitments and the accessory modifications to the commitments submitted by the companies Meta Platforms Inc., Meta Platforms Ireland Limited, Meta Platforms Technologies UK Limited, and Facebook Italy S.r.l. on March 12, 2025;</w:t>
        <w:br/>
        <w:t>HAVING REGARD TO its communication to the European Commission, pursuant to Article 38, paragraph 3, of Regulation (EU) 2022/1925;</w:t>
        <w:br/>
        <w:t>HAVING REGARD TO the acts of the procedure;</w:t>
        <w:br/>
        <w:t>CONSIDERING the following:</w:t>
        <w:br/>
        <w:t>I. THE PARTIES</w:t>
        <w:br/>
        <w:t>1. Meta Platforms Inc., Meta Platforms Ireland Limited, Meta Platforms Technologies UK Limited, and Facebook Italy S.r.l. (hereinafter, collectively referred to as "Meta"), are all companies of the Meta group, and among them, Meta Platforms Inc., with its registered office in the United States, is the parent company of the group.</w:t>
        <w:br/>
        <w:t>The Meta group (previously known as Facebook) operates globally in offering its users digital platforms known as social, messaging, functions, apps, services, technologies, and software. Among the most widely used social platforms globally and in Italy are Facebook and Instagram.</w:t>
        <w:br/>
        <w:t>In 2022, Meta generated approximately $116 billion worldwide.</w:t>
        <w:br/>
        <w:t>Only considering the Facebook platform, Meta recorded, in 2022, a monthly average of active users of 2.6 billion and a daily average of approximately 2 billion.</w:t>
        <w:br/>
        <w:t>2. The Italian Society of Authors and Publishers (hereinafter, SIAE) is a public economic entity based on association pursuant to Article 1 of Law No. 2 of January 9, 2008.</w:t>
      </w:r>
    </w:p>
    <w:p>
      <w:r>
        <w:rPr>
          <w:b/>
        </w:rPr>
        <w:t>[Pages 7–9]</w:t>
      </w:r>
    </w:p>
    <w:p>
      <w:r>
        <w:t>BULLETIN NO. 18 OF MAY 12, 2025 9</w:t>
      </w:r>
    </w:p>
    <w:p>
      <w:r>
        <w:t>The activity of SIAE is governed by private law provisions, and SIAE is a "collective management organization" (hereinafter also referred to as OGC), pursuant to Directive 2014/26/EU of February 26, 2014, on the collective management of copyright and related rights and on the granting of multi-territorial licenses for rights in musical works for online use in the internal market; SIAE operates in the management and intermediation of copyright, granting licenses for the use of protected works, collecting royalties for copyright, and distributing the proceeds derived therefrom.</w:t>
      </w:r>
    </w:p>
    <w:p>
      <w:r>
        <w:t>II. THE REPORT</w:t>
      </w:r>
    </w:p>
    <w:p>
      <w:r>
        <w:t>3. In the complaint on file, SIAE illustrated the conduct of negotiations with Meta, initiated as early as July 2022 and abruptly interrupted on March 16, 2023, aimed at concluding a new agreement, as the previous one had expired (hereinafter referred to as the Music Rights Agreement or "MRA"), concerning the use on Meta's platforms of musical works protected by SIAE on behalf of individual authors. Through the MRA, the works of authors represented by SIAE can be made available on Meta's social platforms, particularly Instagram and Facebook.</w:t>
      </w:r>
    </w:p>
    <w:p>
      <w:r>
        <w:t>The use of these works is subject to remuneration, agreed upon by the parties, which is first collected by SIAE and then, according to its internal procedures, distributed among the copyright holders concerned, net of the fee due to SIAE for the intermediation activity performed.</w:t>
      </w:r>
    </w:p>
    <w:p>
      <w:r>
        <w:t>4. During the negotiation, SIAE repeatedly requested access to Meta's economic data in order to agree on a remuneration proportional to Meta's revenues derived from the use of such content. In particular, SIAE requested Meta to provide:</w:t>
        <w:br/>
        <w:t>i) data on Meta's revenues by territory (or groups of territories);</w:t>
        <w:br/>
        <w:t>ii) the incidence of musical content for each type of exploitation.</w:t>
      </w:r>
    </w:p>
    <w:p>
      <w:r>
        <w:t>Meta denied access to such data during the negotiation.</w:t>
      </w:r>
    </w:p>
    <w:p>
      <w:r>
        <w:t>5. On March 13, 2023, in a specific email, Meta reiterated its unavailability to provide the requested economic data and made its final offer to close the negotiation, to be accepted no later than March 14, 2023. In that email, Meta also stated that, in the absence of acceptance of the final offer, it would begin to remove from its platforms (namely, essentially Facebook and Instagram), starting from March 15, 2023, the content protected by this collecting.</w:t>
      </w:r>
    </w:p>
    <w:p>
      <w:r>
        <w:t>In this context, further attempts to agree on an additional extension of the negotiation followed, which also did not succeed. Meta then effectively followed through on its statement and progressively removed the content protected by SIAE from the Instagram and Facebook platforms.</w:t>
      </w:r>
    </w:p>
    <w:p>
      <w:r>
        <w:t>III. THE CONDUCTS ALLEGED IN THE INITIATION ORDER</w:t>
      </w:r>
    </w:p>
    <w:p>
      <w:r>
        <w:t>6. In the resolution to initiate the investigation, the Authority suggested that the reported conducts could constitute an abuse of economic dependence, pursuant to Article 9 of Law No. 192/1998, as amended by Law No. 118/2022 (Annual Law for the Market and Competition 2021), perpetrated by Meta against SIAE. For these purposes, the Authority believed that the elements constituting the hypothesized case could be found in the present case, namely:</w:t>
        <w:br/>
        <w:t>a) the existence of SIAE's economic dependence on Meta;</w:t>
        <w:br/>
        <w:t>b) the abusiveness of Meta's conduct;</w:t>
        <w:br/>
        <w:t>c) the relevance for the protection of competition of the case in question.</w:t>
      </w:r>
    </w:p>
    <w:p>
      <w:r>
        <w:t>a) On the existence of SIAE's economic dependence on Meta</w:t>
      </w:r>
    </w:p>
    <w:p>
      <w:r>
        <w:t>7. Article 9 of Law No. 192/1998 prohibits the abuse by one or more companies of the state of economic dependence, defined as "the situation in which a company is able to determine, in commercial relations with another company, an excessive imbalance of rights and obligations. Economic dependence is assessed taking into account also the actual possibility for the party that has suffered the abuse to find satisfactory alternatives in the market."</w:t>
      </w:r>
    </w:p>
    <w:p>
      <w:r>
        <w:t>Furthermore, with specific reference to digital platforms, the recent amendment introduced by Law No. 118/2022 established the presumption of the existence of economic dependence of a company that uses intermediation services: "Unless proven otherwise, economic dependence is presumed in cases where a company uses the intermediation services provided by a digital platform that has a decisive role in reaching end users or suppliers, also in terms of network effects or data availability" (Article 9, paragraph 1, of Law No. 192/1998).</w:t>
      </w:r>
    </w:p>
    <w:p>
      <w:r>
        <w:t>8. In this context, the Authority hypothesized, in the resolution to initiate the investigation, that Meta plays a decisive role "in reaching end users" and that therefore the requirement indicated in Article 9, paragraph 1, just mentioned, can be found. Indeed, without dwelling on the other services offered by Meta, Instagram and Facebook represent the most significant social networking digital platforms in the United States and in Europe, including Italy, and have an extremely high number of active users. Meta is also typically classified as a dominant company or otherwise endowed with a prominent position compared to other operators specifically regarding the offering of social platforms.</w:t>
      </w:r>
    </w:p>
    <w:p>
      <w:r>
        <w:t>9. The Authority, in the resolution to initiate the procedure, therefore outlined the applicability of the presumption introduced by the 2021 competition law in Article 9 of Law No. 192/1998, regarding the existence of a relationship of economic dependence, for which SIAE finds itself in a situation of dependence on Meta.</w:t>
      </w:r>
    </w:p>
    <w:p>
      <w:r>
        <w:t>Indeed, SIAE constitutes a company that offers intermediation and management services to copyright holders, and the Authority has hypothesized that there exists, between Meta and SIAE, a significant disproportion in favor of the former in terms of market power and economic size. In this context, the conclusion of licensing agreements with various categories of users, including Meta, is an essential aspect of SIAE's business activity, and over the years, the use of online works, particularly musical ones, has become an increasingly significant phenomenon. Furthermore, within the realm of social platforms, those digital platforms managed by Meta, namely Facebook and Instagram, are among the most relevant platforms. Therefore, through the conclusion of the license with Meta, SIAE ensures that the represented authors have the opportunity to reach the broad category of users who utilize these social platforms.</w:t>
      </w:r>
    </w:p>
    <w:p>
      <w:r>
        <w:t>b) On the possible abusiveness of Meta's conduct</w:t>
      </w:r>
    </w:p>
    <w:p>
      <w:r>
        <w:t>10. In the abuse of economic dependence, the unlawfulness of the conduct can "... also consist of the refusal to sell or the refusal to buy, the imposition of unjustifiably burdensome or discriminatory contractual conditions, the arbitrary interruption of ongoing commercial relations" (Article 9, paragraph 2, of Law No. 192/1998). Furthermore, also with reference to digital platforms, the same Article 9, paragraph 2 of Law No. 192/1998, the recent amendment specified that the abusiveness of the conduct may also consist of "... providing insufficient information or data regarding the scope or quality of the service provided...".</w:t>
      </w:r>
    </w:p>
    <w:p>
      <w:r>
        <w:t>Now, preemptively stating that the exemplification of abusive practices in Article 9 does not exhaust the conducts that can be qualified as such, the Authority has, in the resolution to initiate, hypothesized that Meta may have abused the imbalance of the bargaining power it benefits from compared to SIAE and may have engaged in an abusive practice consisting of violating the duties of good faith, fairness, and transparency in negotiating the new license with SIAE. In particular, the hypothesized abusive practice of Meta outlined in the initiation resolution would have consisted of:</w:t>
        <w:br/>
        <w:t>i) failing to provide SIAE with all the necessary information to conduct negotiations in full compliance with the principle of transparency and fairness;</w:t>
        <w:br/>
        <w:t>ii) unduly interrupting the negotiations and implementing the threat to remove the content protected by SIAE from its social platforms.</w:t>
      </w:r>
    </w:p>
    <w:p>
      <w:r>
        <w:t>11. On the first aspect, namely the failure to disclose the information requested by SIAE, it is useful to recall, in addition to Article 9 of Law No. 192/1998 in the part where it associates the abusive practice with the lack of information, also the evolution of the legislation in the field of copyright intermediation. This legislation, in fact, on the one hand, has attributed increasing importance to the use of protected works online and, on the other hand, has increasingly affirmed the necessity for negotiations to take place by reducing the information asymmetry between the parties, in order to arrive at the definition of a remuneration for the use of the works anchored to the revenues of the user and the actual use of the same. This is to ensure that copyright holders can, in a fair and proportionate manner, benefit from the "value" created by their own work. In this regard, first of all, reference is made to Directive 2014/26/EU of the European Parliament and of the Council of February 26, 2014, on the collective management of copyright and related rights (hereinafter, Barnier Directive), transposed by Legislative Decree No. 35/2017 and subsequent amendments, and the more recent</w:t>
      </w:r>
    </w:p>
    <w:p>
      <w:r>
        <w:rPr>
          <w:b/>
        </w:rPr>
        <w:t>[Pages 10–12]</w:t>
      </w:r>
    </w:p>
    <w:p>
      <w:r>
        <w:t>12 BULLETIN NO. 18 OF MAY 12, 2025</w:t>
      </w:r>
    </w:p>
    <w:p>
      <w:r>
        <w:t>Directive (EU) 2019/790 of the European Parliament and of the Council, of April 17, 2019, on copyright and related rights in the digital single market (Copyright Directive), implemented by Legislative Decree No. 177/20219.</w:t>
      </w:r>
    </w:p>
    <w:p>
      <w:r>
        <w:t>In this context, the Authority has deemed that the negotiation of a license defining the remuneration for the use of works on digital platforms must ensure the proper disclosure of all necessary information to establish a compensation that is fair and, therefore, proportionate to the revenues that Meta derives from the use of those same works, not only for SIAE but ultimately for the authors it represents.</w:t>
      </w:r>
    </w:p>
    <w:p>
      <w:r>
        <w:t>12. Regarding the second aspect, namely the abrupt interruption of negotiations, in the initiation resolution, the Authority considered that Meta may have abused the contractual imbalance it benefits from in relation to SIAE by placing the latter in the position of having to accept an economic offer whose appropriateness SIAE was unable to assess in the absence of the aforementioned information.</w:t>
      </w:r>
    </w:p>
    <w:p>
      <w:r>
        <w:t>Moreover, the interruption of negotiations led to Meta's removal of the musical content protected by SIAE from social platforms, so that these were no longer accessible to users of those platforms.</w:t>
      </w:r>
    </w:p>
    <w:p>
      <w:r>
        <w:t>The Authority therefore considered that the interruption of negotiations, resulting in the elimination of the works of authors protected by SIAE from social platforms, could constitute a violation of the principles of good faith, fairness, and transparency that should instead permeate the negotiations of agreements.</w:t>
      </w:r>
    </w:p>
    <w:p>
      <w:r>
        <w:t>c) On the relevance for the protection of competition of the case in question</w:t>
      </w:r>
    </w:p>
    <w:p>
      <w:r>
        <w:t>13. As is known, Article 9 of Law No. 192/1998 provides that the Authority may intervene in a case of abuse of economic dependence if it "... is relevant for the protection of competition and the market...".</w:t>
      </w:r>
    </w:p>
    <w:p>
      <w:r>
        <w:t>9 See in this regard, Article 22 of Legislative Decree No. 35/2017, which states: "1. Collective management organizations, on the one hand, and users, on the other, conduct negotiations for the granting of licenses on rights in good faith, exchanging all necessary information for this purpose. 2. Collective management organizations respond in writing without undue delay to requests from users specifying, among other things, the information that must be provided to grant a license. Upon receiving all relevant information, such organizations, without undue delay, grant a license or provide users with a reasoned statement explaining the reasons for not wishing to license a particular service. 3. The granting of licenses occurs under fair and non-discriminatory commercial conditions and based on simple, clear, objective, and reasonable criteria... 4. The fees related to exclusive rights and rights to remuneration must ensure adequate remuneration for rights holders and be reasonable and proportionate in relation, among other things, to the economic value of the use of the negotiated rights, taking into account the nature and extent of the use of the works and other protected materials, as well as the economic value of the service provided by the collective management organization. The latter informs the interested users about the criteria used to establish such fees...".</w:t>
      </w:r>
    </w:p>
    <w:p>
      <w:r>
        <w:t>See also Article 107 of Law No. 633 of April 22, 1941, Copyright Law (LdA), as amended by Legislative Decree No. 177/2021: "The rights of use belonging to authors of works of ingenuity, as well as the related rights of a patrimonial nature, may be acquired, alienated, or transferred in all ways and forms permitted by law, without prejudice to the application of the rules contained in this chapter. Authors, dialogue adapters, dubbing directors, and performing artists, including voice actors, who license or transfer their exclusive rights for the exploitation of their works or other protected materials have the right, directly or through collective management organizations and independent management entities referred to in Legislative Decree No. 35 of March 15, 2017, to adequate and proportionate remuneration relative to the value of the licensed or transferred rights, as well as commensurate with the revenues derived from their exploitation, also taking into account, as relevant, the particularities of the reference sector...".</w:t>
      </w:r>
    </w:p>
    <w:p>
      <w:r>
        <w:t>BULLETIN NO. 18 OF MAY 12, 2025 13</w:t>
      </w:r>
    </w:p>
    <w:p>
      <w:r>
        <w:t>To this end, the Authority hypothesized, in the initiation resolution, that Meta's conduct in question could have an impact that transcends mere contractual relationships between Meta and SIAE, causing harm to competitive dynamics in the markets for copyright and related rights as well as serious damage to end users.</w:t>
      </w:r>
    </w:p>
    <w:p>
      <w:r>
        <w:t>14. In fact, the abusive practice hypothesized in the initiation resolution appeared capable of compressing SIAE's competitive capacity in the affected markets and preventing the authors represented by it, who constitute a significant component of active authors in Italy, from reaching the increasingly broad category of users who utilize social platforms.</w:t>
      </w:r>
    </w:p>
    <w:p>
      <w:r>
        <w:t>Furthermore, Meta's conduct could also affect authors represented by other collecting societies who co-hold rights with authors protected by SIAE.</w:t>
      </w:r>
    </w:p>
    <w:p>
      <w:r>
        <w:t>Additionally, the obstacle to access to musical content protected by SIAE on Meta's platforms appeared capable not only of causing an elimination of copyright for such use but also of having negative effects on the remuneration of related rights of producers of musical works and all other legal positions protected under copyright law. In fact, since the musical content is not utilized, the related rights in a broad sense connected to those of the author would not accrue either.</w:t>
      </w:r>
    </w:p>
    <w:p>
      <w:r>
        <w:t>In conclusion, in the initiation resolution, the Authority suggested that the hypothesized abuse of economic dependence by Meta could have a significant impact on the protection of competition in the affected markets.</w:t>
      </w:r>
    </w:p>
    <w:p>
      <w:r>
        <w:t>IV. THE INQUIRY PROCEDURE</w:t>
      </w:r>
    </w:p>
    <w:p>
      <w:r>
        <w:t>a) The procedure aimed at ascertaining the possible abusive conduct of Meta</w:t>
      </w:r>
    </w:p>
    <w:p>
      <w:r>
        <w:t>15. Concurrently with the initiation of the inquiry, a precautionary procedure was also initiated pursuant to Article 14 bis of Law No. 287/1990.</w:t>
      </w:r>
    </w:p>
    <w:p>
      <w:r>
        <w:t>16. During the main procedure, the following parties submitted requests for participation, which were accepted: R.T.I. S.p.A.10, Innovaetica s.r.l.11, and the Italian Phonographic Association (AFI)12.</w:t>
      </w:r>
    </w:p>
    <w:p>
      <w:r>
        <w:t>17. During the procedure, the Authority also sent requests for information to both Parties of the procedure13, conducted hearings with the Parties and with other parties interested in Meta's conduct in question14.</w:t>
      </w:r>
    </w:p>
    <w:p>
      <w:r>
        <w:t xml:space="preserve">10 See doc. 51, Acceptance of participation request from RTI dated May 9, 2023.  </w:t>
        <w:br/>
        <w:t xml:space="preserve">11 See doc. 59, Acceptance of participation request from Innovaetica dated May 18, 2023.  </w:t>
        <w:br/>
        <w:t xml:space="preserve">12 See doc. 60, Acceptance of participation request from AFI dated May 18, 2023.  </w:t>
        <w:br/>
        <w:t xml:space="preserve">13 Following a detailed request for information dated June 28, 2024, Meta provided feedback on July 19 and September 5, 2024. Following a request for information to SIAE made during the hearing on July 18, 2025, the latter provided feedback on August 9, 2024, and transmitted further documentation on November 11, 2024.  </w:t>
        <w:br/>
        <w:t>14 The Italian Phonographic Association, RTI S.p.A., and Innovaetica were heard on June 19, 2024 (doc. 159), June 21, 2024 (doc. 163), and October 1, 2024 (doc. 185), respectively. LEA and Soundreef were heard jointly on November 5, 2024 (doc. 209).</w:t>
      </w:r>
    </w:p>
    <w:p>
      <w:r>
        <w:t>14 BULLETIN NO. 18 OF MAY 12, 2025</w:t>
      </w:r>
    </w:p>
    <w:p>
      <w:r>
        <w:t>Furthermore, during the procedure, SIAE and Meta exercised their rights of access and the right to be heard15.</w:t>
      </w:r>
    </w:p>
    <w:p>
      <w:r>
        <w:t>b) The precautionary sub-procedure</w:t>
      </w:r>
    </w:p>
    <w:p>
      <w:r>
        <w:t>18. Following the contradictory with the interested parties16, on April 20, 2023, the Authority, with provision No. 30606 (hereinafter the Precautionary Provision), confirmed what was hypothesized at the initiation of the precautionary procedure and imposed on Meta measures aimed at reactivating the proper negotiation between Meta and SIAE for the conclusion of the license for the use on Meta's platforms of the musical works protected by SIAE, consisting of:</w:t>
      </w:r>
    </w:p>
    <w:p>
      <w:r>
        <w:t xml:space="preserve">a) to immediately restore negotiations, maintaining behavior inspired by the principles of good faith and fairness;  </w:t>
        <w:br/>
        <w:t xml:space="preserve">b) for this purpose, to provide all the necessary information to allow SIAE to restore balance in the entire commercial relationship with Meta;  </w:t>
        <w:br/>
        <w:t xml:space="preserve">c) subject to SIAE's authorization, to promptly restore, in full, the availability of the musical content protected by SIAE on Meta's properties for the entire period necessary for the conclusion of negotiations;  </w:t>
        <w:br/>
        <w:t>d) in case of disagreement between the parties regarding the quantity and quality of the information referred to in point b), to appoint a suitable fiduciary subject.</w:t>
      </w:r>
    </w:p>
    <w:p>
      <w:r>
        <w:t>In implementation of the aforementioned precautionary measures, Meta restored the musical works protected by SIAE on the Facebook and Instagram platforms, which are still accessible to users.</w:t>
      </w:r>
    </w:p>
    <w:p>
      <w:r>
        <w:t>19. On the other hand, Meta and SIAE did not reach an agreement on the information set functional for SIAE to evaluate Meta's offer, and the procedure for appointing a fiduciary subject tasked with defining the minimum necessary information set to allow the restoration of a negotiating balance within the commercial-negotiating relationship between the Parties was therefore activated. All the information identified by the appointed subject was transmitted by Meta to SIAE during the procedure17.</w:t>
      </w:r>
    </w:p>
    <w:p>
      <w:r>
        <w:t>20. In the framework described so far and regarding the precautionary phase, the Council of State, with judgment No. 5827 of July 2, 2024 (hereinafter the Judgment), reformed the judgment of the Lazio TAR No. 16069/2023 (which had entirely rejected the appeals filed by Meta) and consequently annulled the aforementioned Precautionary Provision of the Authority.</w:t>
      </w:r>
    </w:p>
    <w:p>
      <w:r>
        <w:t>V. THE COMMITMENTS</w:t>
      </w:r>
    </w:p>
    <w:p>
      <w:r>
        <w:t>a) The sub-procedure for the evaluation of commitments</w:t>
      </w:r>
    </w:p>
    <w:p>
      <w:r>
        <w:t xml:space="preserve">21. During the procedure, Meta submitted a first set of commitments on October 6, 2023, rejected by the Authority with the provision adopted on October 31, 2023.  </w:t>
        <w:br/>
        <w:t xml:space="preserve">15 By way of example, Meta exercised the right of access to documents on July 27, 2023 (doc. 80), March 28, 2024 (doc. 140); SIAE exercised the right of access to documents on September 14, 2023 (doc. 84), on November 28, 2023 (doc. 110). SIAE was heard in a hearing, among others, on July 18, 2024 (doc. 164) and on October 15, 2024 (doc. 197). Meta was heard in a hearing, among others, on October 1, 2024 (doc. 184).  </w:t>
        <w:br/>
        <w:t xml:space="preserve">16 See the Minutes of the hearing before the College on April 17, 2023 (doc. 36).  </w:t>
        <w:br/>
        <w:t>17 See the final report of the fiduciary subject received on February 9, 2024 (doc. 129) and the subsequent transmission of information from Meta to SIAE on March 27, 2024 (doc. 139).</w:t>
      </w:r>
    </w:p>
    <w:p>
      <w:r>
        <w:rPr>
          <w:b/>
        </w:rPr>
        <w:t>[Pages 13–15]</w:t>
      </w:r>
    </w:p>
    <w:p>
      <w:r>
        <w:t>BULLETIN NO. 18 OF MAY 12, 2025 15</w:t>
      </w:r>
    </w:p>
    <w:p>
      <w:r>
        <w:t>22. Subsequently, Meta expressed its willingness to formulate new commitments, pursuant to Article 14-ter of Law No. 287/1990, in order to overcome the competitive issues highlighted in the resolution to initiate the proceedings, and on December 24, 2024, the final version of the commitments was received.</w:t>
      </w:r>
    </w:p>
    <w:p>
      <w:r>
        <w:t>23. Considering the commitments not to be manifestly unfounded and suitable for publication, the Authority ordered their publication for the conduct of the market test starting from January 10, 2025, indicating the following timeline:</w:t>
      </w:r>
    </w:p>
    <w:p>
      <w:r>
        <w:t>- by February 10, 2025, the deadline for all interested third parties to submit any observations on the commitments;</w:t>
        <w:br/>
        <w:t>- by March 12, 2025, the deadline for Meta to submit any replies to the observations on the commitments and any ancillary modifications to them.</w:t>
      </w:r>
    </w:p>
    <w:p>
      <w:r>
        <w:t>24. During the market test, observations were received from SIAE and AFI, both dated February 10, 2025, following which Meta submitted its observations and ancillary modifications to the commitments on March 12, 2025.</w:t>
      </w:r>
    </w:p>
    <w:p>
      <w:r>
        <w:t>b) The content of the commitments submitted for market test</w:t>
      </w:r>
    </w:p>
    <w:p>
      <w:r>
        <w:t>i) Scope of application of the commitments</w:t>
      </w:r>
    </w:p>
    <w:p>
      <w:r>
        <w:t>25. Meta's proposal for commitments concerns negotiations with "... any music rights management entity that has its main office or controlling company in Italy (excluding, however, local affiliates or companies controlled by rights holders with their main office or controlling company outside Italy, such as major music publishing rights holders, and also excluding individuals) to the extent that such entities can adequately demonstrate that they are directly entitled to, control, or directly manage the reproduction and public communication rights related to musical works protected by copyright (the Partners) necessary in the event that Meta intends to make available to users of the Meta Platforms based in Italy musical works (i.e., musical compositions) in the Audio Library (the Italian Music Rights)."</w:t>
      </w:r>
    </w:p>
    <w:p>
      <w:r>
        <w:t>26. In this context, in the commitments subject to market test, Meta specified that it may also be interested in negotiating rights related to so-called user-generated content (UGC) on its platforms or other related rights; but clarified that "the behavioral commitments proposed herein pertain exclusively to negotiations for licenses concerning the Italian Music Rights" and therefore do not extend to that area.</w:t>
      </w:r>
    </w:p>
    <w:p>
      <w:r>
        <w:t>ii) Commitments aimed at ensuring that negotiations are conducted promptly and in good faith</w:t>
      </w:r>
    </w:p>
    <w:p>
      <w:r>
        <w:t>27. The first set of commitments presented by Meta concerns the conduct of negotiations that Meta decides to initiate both in the case of entering into a first license and in the case of a potential renewal of an expiring license.</w:t>
      </w:r>
    </w:p>
    <w:p>
      <w:r>
        <w:t>28. In the case of renewal, Meta commits to initiate negotiations at least four months prior to the license expiration. Furthermore, both in the case of a first license and in the case of renewal, Meta commits to outline to the negotiating counterpart the timeline to be followed during the relevant negotiation cycle. In particular, Meta will take into account the needs of the counterpart or the requests for clarification raised by the Partner during the negotiations, based on the assumption of mutual good faith availability.</w:t>
      </w:r>
    </w:p>
    <w:p>
      <w:r>
        <w:t>29. In cases where the license expires before the conclusion of the new license, Meta commits to make itself available to enter into transitional agreements, in order to be able to use the contents subject to negotiation more tempore. In particular, Meta has provided that no later than two weeks before the expiration of the relevant license contract, it will propose to the negotiating counterpart a provisional agreement, in parallel with the negotiation of the terms of the main license contract. The provisional agreement will generally cover the automatic extension of the remuneration previously provided for in the license contract (if any) until the new license contract comes into effect.</w:t>
      </w:r>
    </w:p>
    <w:p>
      <w:r>
        <w:t>30. Furthermore, at least five days before the actual expiration of the license contract, Meta commits, as a last resort solution aimed at keeping the musical contents available on its platforms, to agree to a so-called covenant not to sue (CNS) solely for the purpose of legitimately maintaining the protected musical works on its platforms while negotiations on the provisional agreement are concluded.</w:t>
      </w:r>
    </w:p>
    <w:p>
      <w:r>
        <w:t>31. Finally, Meta commits to propose to the Partners with whom it has entered into license contracts an intermediate review moment.</w:t>
      </w:r>
    </w:p>
    <w:p>
      <w:r>
        <w:t>iii) Commitments aimed at ensuring that Partners receive the necessary data during negotiations</w:t>
      </w:r>
    </w:p>
    <w:p>
      <w:r>
        <w:t>32. Meta commits to provide each Partner, during the ongoing negotiation cycle and the subsequent one(s), with the information listed below, without prejudice to the possibility for the parties to agree on additional or different information:</w:t>
      </w:r>
    </w:p>
    <w:p>
      <w:r>
        <w:t>"a) an overview of Meta's proposed remuneration and the underlying principles/reasons;</w:t>
        <w:br/>
        <w:t>b) information/data similar to those shared by Meta when interacting with other comparable European OGCs (where applicable) or other rights holders of comparable musical works established in the EU (if the Partner in question is not an OGC), in each case, to the extent that they concern musical works;</w:t>
        <w:br/>
        <w:t>c) to the extent that the Partner has previously provided Meta, directly or indirectly, with the identification of the musical works it holds, controls, or administers based on a data exchange process agreed between them, data relating to the share of musical works of the individual Partner on the Meta Platforms;</w:t>
        <w:br/>
        <w:t>d) to the extent available (and provided that the Partner has provided Meta with the identification of its musical works as indicated in point (c)), statistics/analyses on the use of the individual Partner's musical repertoire in the Audio Library;</w:t>
        <w:br/>
        <w:t>e) the following quantitative information, as defined in the Report of the Trustee appointed by this Authority and prepared pursuant to points 94(b) and (d) of the Decision:</w:t>
        <w:br/>
        <w:t>- detailed revenue data that – according to the Trustee's Report – refer to the use of the Italian Music Rights of a Partner on the Meta Platforms; and</w:t>
        <w:br/>
        <w:t>- data on the long-term dynamics of the percentage change in Meta's aggregate revenues."</w:t>
      </w:r>
    </w:p>
    <w:p>
      <w:r>
        <w:t>iv) Recourse to a trustee.</w:t>
      </w:r>
    </w:p>
    <w:p>
      <w:r>
        <w:t>33. In the commitments subject to market test, Meta has provided for the possible recourse, under certain circumstances, to the appointment of a trustee. In particular, in the event that Meta and the negotiating counterpart do not agree on whether the shared data meet the requirements of the specific section of the Commitments, Meta commits to appoint a trustee who will provide the Authority with its assessment regarding the extent to which Meta's conduct is substantially compliant with that section.</w:t>
      </w:r>
    </w:p>
    <w:p>
      <w:r>
        <w:t>34. The process for appointing the trustee can be initiated by either Meta or the negotiating counterpart after 6 months from the moment Meta shared the first draft of the license contract (or the draft renewal of the previously existing license contract).</w:t>
      </w:r>
    </w:p>
    <w:p>
      <w:r>
        <w:t>35. Regarding the characteristics of the trustee, it must be an independent entity with respect to Meta and the negotiating counterpart, having neither been exposed to a conflict of interest nor having held any significant position on behalf of Meta in the year preceding its appointment, nor may such a figure hold similar positions for the year following the termination of the appointment. For the purpose of the appointment, Meta will submit to the Authority a shortlist of three candidates, to which the Authority must provide its feedback and potentially approve one of the three proposed candidates within 20 working days from the receipt of Meta's communication. Meta has also specified that the compensation of the appointed trustee will be entirely borne by it.</w:t>
      </w:r>
    </w:p>
    <w:p>
      <w:r>
        <w:t>v) Timing and methods of implementation of the proposed commitments</w:t>
      </w:r>
    </w:p>
    <w:p>
      <w:r>
        <w:t>36. Meta commits to implement the Commitments no later than 15 days from the date on which the decision to accept the Commitments is notified to it.</w:t>
      </w:r>
    </w:p>
    <w:p>
      <w:r>
        <w:t>37. The Commitments will apply substantially for two negotiation cycles and will generally have a total duration of 4 years from the most recent date between the Authority's decision to accept them and the start of the (subsequent) negotiation cycle with a Partner, provided that the negotiation with the Partner begins within one year from the Authority's decision. The Commitments are also applicable to the current ongoing negotiation with SIAE.</w:t>
      </w:r>
    </w:p>
    <w:p>
      <w:r>
        <w:t>38. Furthermore, Meta will report to the Authority, on an annual basis, on the implementation of both sets of commitments outlined above, namely those aimed at ensuring that negotiations are conducted promptly and in good faith and those related to the sharing of necessary data during the relevant negotiation cycles.</w:t>
      </w:r>
    </w:p>
    <w:p>
      <w:r>
        <w:t>c) The main observations of SIAE on the commitments subject to market test</w:t>
      </w:r>
    </w:p>
    <w:p>
      <w:r>
        <w:t>39. In the observations submitted on February 10, 2025, SIAE makes specific observations regarding Meta's commitments, which are illustrated below.</w:t>
      </w:r>
    </w:p>
    <w:p>
      <w:r>
        <w:t>i) The extension of the commitments to the use of works in UGC</w:t>
      </w:r>
    </w:p>
    <w:p>
      <w:r>
        <w:t>40. With reference to the scope of application of the commitments, the main criticism raised by SIAE is that they refer to the use of musical works solely within the audio library and do not extend to user-generated content (so-called UGC).</w:t>
      </w:r>
    </w:p>
    <w:p>
      <w:r>
        <w:t>41. To support its position, SIAE highlights that the exclusion of the use of musical works within UGC would be contrary to the following circumstances:</w:t>
        <w:br/>
        <w:t>i) all previous licenses entered into with Meta and also the one currently under negotiation cover all forms of use of musical works, including the use of works within UGC;</w:t>
        <w:br/>
        <w:t>ii) the subject of the proceedings - namely, the negotiation of the license - also includes the negotiation of UGC and not just the audio library;</w:t>
      </w:r>
    </w:p>
    <w:p>
      <w:r>
        <w:rPr>
          <w:b/>
        </w:rPr>
        <w:t>[Pages 16–18]</w:t>
      </w:r>
    </w:p>
    <w:p>
      <w:r>
        <w:t>18 BULLETIN NO. 18 OF MAY 12, 2025</w:t>
      </w:r>
    </w:p>
    <w:p>
      <w:r>
        <w:t>iii) EU Directive No. 2019/2019 (the Copyright Directive) requires platforms to make every effort to obtain licenses also with regard to UGC.</w:t>
      </w:r>
    </w:p>
    <w:p>
      <w:r>
        <w:t>ii) Observations on Meta's commitments to negotiate in good faith</w:t>
      </w:r>
    </w:p>
    <w:p>
      <w:r>
        <w:t>42. In this context, the main critical point raised by SIAE is that in the commitments, Meta reserves a wide commercial autonomy regarding the decision to initiate or not the negotiation during the first negotiation phase and in the (possible) renewal of the license. According to SIAE, Meta should assume a true obligation to negotiate with the interested parties, and this obligation would derive from Article 17 of Directive (EU) No. 2019/790 (the so-called "Copyright Directive") which, among other things, requires META to make "the utmost efforts to obtain authorization" (see Article 17, paragraph 4, letter a).</w:t>
      </w:r>
    </w:p>
    <w:p>
      <w:r>
        <w:t>43. On this set of commitments, SIAE also raises two other critical aspects.</w:t>
      </w:r>
    </w:p>
    <w:p>
      <w:r>
        <w:t>44. First, SIAE criticizes that the provisional agreement possibly concluded during the negotiations does not ensure the retroactive application of the conditions contained in the new license (if concluded). Furthermore, regarding the timing of the negotiation, SIAE believes that the commitment is too unbalanced in that it only allows Meta to establish the timing of the negotiations.</w:t>
      </w:r>
    </w:p>
    <w:p>
      <w:r>
        <w:t>iii) Observations on Meta's commitment to provide the necessary information for the negotiation</w:t>
      </w:r>
    </w:p>
    <w:p>
      <w:r>
        <w:t>45. While highlighting the relevance of this commitment, SIAE believes that the commitment should not contain ambiguities regarding its content, especially concerning the information that Meta must provide, mirroring what has already occurred in the compliance with the Precautionary Measure, namely when Meta provided SIAE with the information identified in that context by the trustee (see above). According to SIAE, the commitment should obligate Meta to provide all the information actually transmitted in that context and the commitment should better specify the content of such information. Furthermore, SIAE requests the introduction of an audit system. SIAE finally notes the importance of specifying that Meta must share not only principle information (e.g., budget allocation) but also the model underlying the economic proposal.</w:t>
      </w:r>
    </w:p>
    <w:p>
      <w:r>
        <w:t>iv) Other observations</w:t>
      </w:r>
    </w:p>
    <w:p>
      <w:r>
        <w:t>46. SIAE believes, among other things, that the procedure for appointing the trustee proposed by Meta should be modified to provide that the shortlist of candidates be shared with the partner. SIAE also believes that the duration of the commitments is not appropriate and should be extended to an indefinite duration and, as a subordinate measure, to a minimum duration of ten years.</w:t>
      </w:r>
    </w:p>
    <w:p>
      <w:r>
        <w:t>d) Main observations of AFI</w:t>
      </w:r>
    </w:p>
    <w:p>
      <w:r>
        <w:t>47. AFI primarily criticizes the autonomy that Meta reserves in establishing its commercial partners. In particular, AFI argues that copyright and related rights are inextricably linked and it cannot be sufficient for Meta to negotiate only with SIAE.</w:t>
      </w:r>
    </w:p>
    <w:p>
      <w:r>
        <w:t>BULLETIN NO. 18 OF MAY 12, 2025 19</w:t>
      </w:r>
    </w:p>
    <w:p>
      <w:r>
        <w:t>AFI therefore considers it necessary for Meta, for the purposes of the commitments, to take into account all the collecting societies listed in the appropriate public list maintained by AGCom and that, "collectively, manage 100% of the rights related to Italian copyright."</w:t>
      </w:r>
    </w:p>
    <w:p>
      <w:r>
        <w:t>e) The reply observations and the accessory modifications made by Meta following the market test</w:t>
      </w:r>
    </w:p>
    <w:p>
      <w:r>
        <w:t>i) The reply observations</w:t>
      </w:r>
    </w:p>
    <w:p>
      <w:r>
        <w:t>48. On March 12, 2025, Meta transmitted observations aimed at responding to the criticisms of the commitments that emerged during the market test, noting that, as illustrated below, Meta has nonetheless made some accessory modifications that address some of the concerns raised by SIAE and AFI (see below). Subsequently, Meta's observations will first be recalled in response to the position represented by SIAE and then Meta's observations regarding AFI's position will be illustrated.</w:t>
      </w:r>
    </w:p>
    <w:p>
      <w:r>
        <w:t>- The objective scope of application of the commitments</w:t>
      </w:r>
    </w:p>
    <w:p>
      <w:r>
        <w:t>49. With regard to SIAE's main observation concerning the objective scope of the Commitments which, excluding user-generated content (User Generated Contents – UGC), would contradict both the purpose of the investigation and the Copyright Directive (Article 17), Meta has expressed substantial disagreement for the following reasons.</w:t>
      </w:r>
    </w:p>
    <w:p>
      <w:r>
        <w:t>50. First, Article 17 of the Copyright Directive, according to Meta, is not relevant in the context of this proceeding which pertains to the hypothesis of economic dependency abuse. Secondly, the fact that the commitments are focused on the Audio Library stems from the fact that the rationale of the licenses negotiated by Meta for Italian Music Rights would be centered precisely on the Audio Library, which constitutes the main functionality available to users on Meta platforms for accessing musical content.</w:t>
      </w:r>
    </w:p>
    <w:p>
      <w:r>
        <w:t>51. That said, Meta acknowledges that the licenses negotiated by MPIL for the Audio Library typically also cover UGC in an ancillary manner, as this benefits users and helps ensure legal certainty as part of a comprehensive license. Therefore, following the public consultation, Meta has proposed a specific accessory modification aimed at clarifying this aspect and extending, in such cases, the application of the commitments (see below).</w:t>
      </w:r>
    </w:p>
    <w:p>
      <w:r>
        <w:t>- Good faith negotiations</w:t>
      </w:r>
    </w:p>
    <w:p>
      <w:r>
        <w:t>52. Meta does not agree with SIAE's observations regarding the circumstance that the commitments should ensure greater sharing with the negotiating counterpart regarding the timing of the negotiation, believing that the commitments published for the market test already present a sufficient degree of flexibility in favor of the negotiating counterpart. However, Meta has presented, in this regard, a specific accessory modification (see below).</w:t>
      </w:r>
    </w:p>
    <w:p>
      <w:r>
        <w:t>53. For a different aspect, Meta does not agree with SIAE's position, according to which the mere extension of the terms of a previously existing agreement would prejudice Meta's contractual counterpart. That said, in order to eliminate any potential doubt regarding Meta's commitment to negotiate in good faith, Meta has also made an accessory modification aimed at taking greater account of the needs of the negotiating counterpart (see below).</w:t>
      </w:r>
    </w:p>
    <w:p>
      <w:r>
        <w:t>20 BULLETIN NO. 18 OF MAY 12, 2025</w:t>
      </w:r>
    </w:p>
    <w:p>
      <w:r>
        <w:t>- Sharing of information</w:t>
      </w:r>
    </w:p>
    <w:p>
      <w:r>
        <w:t>54. Regarding SIAE's observations concerning the information subject to the commitments, Meta believes that they have already been clearly defined by the trustee appointed by the Authority in implementation of the Precautionary Measure and that the sharing of such information is sufficient to rebalance the alleged contractual imbalance between Meta and SIAE. In this context, Meta believes that the formulation of the commitments should not serve as a venue to reopen this issue.</w:t>
      </w:r>
    </w:p>
    <w:p>
      <w:r>
        <w:t>55. Secondly, according to Meta, in the event of a dispute, the identification of a trustee provided for in the Commitments is functional to ascertain the adherence of the information shared during the specific negotiation to what is provided in the commitments. The introduction of an audit system therefore appears, in Meta's opinion, to be an onerous duplication.</w:t>
      </w:r>
    </w:p>
    <w:p>
      <w:r>
        <w:t>56. Thirdly, Meta believes that the commitments already include a sufficiently broad range of information and a clear description of the type of data that will be disclosed. Furthermore, the commitments also maintain sufficient flexibility to allow the parties to mutually agree on additional different information to be shared during negotiations.</w:t>
      </w:r>
    </w:p>
    <w:p>
      <w:r>
        <w:t>57. In light of the above, Meta does not agree with SIAE's observations and has not proposed any accessory modification on this point.</w:t>
      </w:r>
    </w:p>
    <w:p>
      <w:r>
        <w:t>- Appointment of the trustee</w:t>
      </w:r>
    </w:p>
    <w:p>
      <w:r>
        <w:t>58. Regarding SIAE's observations on this point, Meta believes that the eligibility criteria established for the identification of the shortlist of candidates presented and the final approval by the Authority itself provide sufficient guarantees regarding the impartiality of the Trustee. In any case, Meta has made an accessory modification on this point, which will be illustrated below (see below).</w:t>
      </w:r>
    </w:p>
    <w:p>
      <w:r>
        <w:t>- Duration of the commitments</w:t>
      </w:r>
    </w:p>
    <w:p>
      <w:r>
        <w:t>59. Meta believes that - especially in light of the dynamic nature of the sector in question, the evolution of market practices and licensing remuneration models, as well as the constant development of products - extending the duration of the Commitments would not be reasonable. Therefore, Meta does not propose any modification on this point.</w:t>
      </w:r>
    </w:p>
    <w:p>
      <w:r>
        <w:t>- Regarding AFI's observations</w:t>
      </w:r>
    </w:p>
    <w:p>
      <w:r>
        <w:t>60. Regarding AFI's observations, Meta states that negotiations for a license agreement on a protected musical repertoire must be based on the preliminary demonstration of its legitimate ownership of the relevant musical rights subject to the license.</w:t>
      </w:r>
    </w:p>
    <w:p>
      <w:r>
        <w:t>61. In this context, and having made this premise regarding the necessity of clear ownership of the positions for which a collecting society intends to negotiate, Meta states that the commitments that went to market test are already sufficiently clear in covering all negotiations "between Meta and any party that is the legitimate holder of exclusive rights to musical compositions necessary for the Audio Library of Meta Platforms and able to demonstrate ownership of such rights." In other words, according to Meta, the commitments subject to market test are already applicable to the "...entire pool of potential holders of the relevant rights necessary for Meta to render."</w:t>
      </w:r>
    </w:p>
    <w:p>
      <w:r>
        <w:rPr>
          <w:b/>
        </w:rPr>
        <w:t>[Pages 19–21]</w:t>
      </w:r>
    </w:p>
    <w:p>
      <w:r>
        <w:t>BULLETIN NO. 18 OF MAY 12, 2025 21</w:t>
      </w:r>
    </w:p>
    <w:p>
      <w:r>
        <w:t>available the musical works in the Audio Library to Italian users, avoiding tying the Proposal for Commitments to a predefined list of subjects.</w:t>
      </w:r>
    </w:p>
    <w:p>
      <w:r>
        <w:t>Furthermore, in the Commitment Form, Meta states that "the scope of application of the Commitments goes beyond the perimeter of the concerns raised by the Authority in the Resolution, as the Commitments are applicable not only to SIAE but also to other Partners with whom Meta may decide to negotiate licenses for Italian Musical Rights. In this way, the Commitments provide legal certainty also to 'all subjects that make up the chain of the copyright intermediation markets' (§18 Resolution) in Italy, regarding licensing contracts on the musical repertoire of Italian authors."</w:t>
      </w:r>
    </w:p>
    <w:p>
      <w:r>
        <w:t>Having clarified that the commitments apply to all active collecting societies in both copyright and related rights protection, provided they can demonstrate ownership of the rights, Meta does not consider it necessary to make any ancillary modifications.</w:t>
      </w:r>
    </w:p>
    <w:p>
      <w:r>
        <w:t>ii) The ancillary modifications</w:t>
      </w:r>
    </w:p>
    <w:p>
      <w:r>
        <w:t>62. In the final version of the commitments, received on March 12, 2025, Meta made the ancillary modifications illustrated below, which address some of the observations made by SIAE and AFI during the market test.</w:t>
      </w:r>
    </w:p>
    <w:p>
      <w:r>
        <w:t>- The objective scope of application of the commitments</w:t>
      </w:r>
    </w:p>
    <w:p>
      <w:r>
        <w:t>63. Starting from the observations of SIAE, the first ancillary modification made by Meta concerns the scope of application of the commitments to negotiations related to UGC. It is specified that in the context of "negotiations with Partners, Meta may wish to obtain licenses on rights additional to the Italian Musical Rights, such as, for example, rights related to so-called user-generated content (UGC) on Meta Platforms or other related rights. For clarity, it is noted that the behavioral commitments proposed herein do not extend to negotiations that do not primarily concern licenses relating to Italian Musical Rights."</w:t>
      </w:r>
    </w:p>
    <w:p>
      <w:r>
        <w:t>Moreover, in the reply observations, Meta stated that the ancillary modifications effectively address "important aspects of the Proposal for Commitments" and, in particular, "the objective scope of application of the Commitments has been clarified to ensure greater clarity regarding their applicability to (i) any Partner negotiating licenses for Italian Musical Rights and (ii) both Audio Library and UGC and related rights to the extent that they are part of negotiations primarily concerning Italian Musical Rights."</w:t>
      </w:r>
    </w:p>
    <w:p>
      <w:r>
        <w:t>In doing so, Meta clarified that the commitments apply to negotiations related to user-generated content not considered independently, but within the context of negotiations related to the functionality of the audio library.</w:t>
      </w:r>
    </w:p>
    <w:p>
      <w:r>
        <w:t>- Good faith negotiations</w:t>
      </w:r>
    </w:p>
    <w:p>
      <w:r>
        <w:t>64. Meta made the following ancillary modification aimed at stating more clearly than in the version subject to market test that the timing of the negotiation is not unilaterally imposed by Meta.</w:t>
      </w:r>
    </w:p>
    <w:p>
      <w:r>
        <w:t>In particular, in the final version of the Commitments, it is found that: "both in the case of (possible) initial negotiation with a Partner to obtain Italian Musical Rights and/or in the case of negotiating renewals of existing licenses also for Italian Musical Rights, Meta and the Partner in question will negotiate in good faith from the outset the timelines to be followed in the relevant negotiation cycle, taking into account the specific needs of each party. In the absence of such an agreement, Meta commits to illustrating to the Partner – along with the first draft of the license contract – the timeline that Meta proposes to follow during the relevant negotiation cycle, duly considering any reasonable and objective needs raised by the Partner. In particular, Meta will propose the timeline expected to respond to reasonable and proportionate questions or requests for clarification raised by the Partner during negotiations, on the assumption of a mutual good faith willingness of the parties to interact in a reasonably timely manner."</w:t>
      </w:r>
    </w:p>
    <w:p>
      <w:r>
        <w:t>65. Regarding the ancillary modification concerning the content of any provisional agreement, Meta has removed, in the commitments received on March 12, 2025, any reference to economic conditions, so that the commitments do not constitute any limit to the definition of the economic conditions provided therein, which are entirely left to negotiation between the parties.</w:t>
      </w:r>
    </w:p>
    <w:p>
      <w:r>
        <w:t>- The appointment of the trustee</w:t>
      </w:r>
    </w:p>
    <w:p>
      <w:r>
        <w:t>66. Meta has modified the commitments subject to market test by extending to three years (instead of one year) the period of absence of conflicts of interest/independence, both prior to and following the appointment.</w:t>
      </w:r>
    </w:p>
    <w:p>
      <w:r>
        <w:t>In particular, the commitments received on March 12, 2025, provide on this point: "The Trustee must be an independent subject with respect to Meta and the interested Partner, having not been exposed to a conflict of interest with either party and, in particular, not having held any significant position on behalf of Meta or the Partner in the three years preceding their appointment nor being able to hold similar positions (for Meta or for the Partner) for the three years following the termination of their appointment as Trustee. The Trustee must also possess the necessary qualifications to perform the tasks assigned to them. To this end, Meta will notify this Authority of a shortlist of three candidates, along with their curricula and mandate, within 20 working days from the activation of the procedure for the appointment of the Trustee, so that this Authority can then provide its feedback and potentially approve one of the candidates. The remuneration of the Trustee will be borne by Meta."</w:t>
      </w:r>
    </w:p>
    <w:p>
      <w:r>
        <w:t>- Conclusions on the ancillary modifications</w:t>
      </w:r>
    </w:p>
    <w:p>
      <w:r>
        <w:t>67. According to Meta, the ancillary modifications illustrated above address the concerns of SIAE and AFI and render "a fortiori the revised commitments fully suitable and adequate to respond to the concerns raised during the market test and to any residual concerns" of the Authority.</w:t>
      </w:r>
    </w:p>
    <w:p>
      <w:r>
        <w:t>68. The ancillary modifications, in fact, effectively address the following aspects:</w:t>
      </w:r>
    </w:p>
    <w:p>
      <w:r>
        <w:t>BULLETIN NO. 18 OF MAY 12, 2025 23</w:t>
      </w:r>
    </w:p>
    <w:p>
      <w:r>
        <w:t>- the objective scope of application of the Commitments "to ensure greater clarity regarding their applicability to (i) any Partner negotiating licenses for Italian Musical Rights and (ii) both Audio Library and UGC and related rights," to the extent that they are part of negotiations primarily concerning Italian Musical Rights;</w:t>
        <w:br/>
        <w:t>- the existing guarantees for negotiating counterparts from the perspective of a fair procedure, which have been made clearer and further strengthened;</w:t>
        <w:br/>
        <w:t>- the independence of the Trustee, which has been further strengthened, in order to provide third parties with additional guarantees of their independence in the event of disagreement between the parties during the negotiation process.</w:t>
      </w:r>
    </w:p>
    <w:p>
      <w:r>
        <w:t>VI. THE EVALUATION OF THE COMMITMENTS</w:t>
      </w:r>
    </w:p>
    <w:p>
      <w:r>
        <w:t>69. First of all, it should be noted that, in this case, the Authority deemed it appropriate to proceed with the evaluation of Meta's commitments even though they were submitted after the three-month deadline from the start of the procedure and following an initial rejection. In this regard, it is highlighted that this option is permitted by the Communication on commitments and is supported by some precedents of the Authority.</w:t>
      </w:r>
    </w:p>
    <w:p>
      <w:r>
        <w:t>Considering the peculiar nature of the case at hand and the content of the final commitments presented by Meta, the Authority believes that, in this case, the conditions for proceeding in this manner are met.</w:t>
      </w:r>
    </w:p>
    <w:p>
      <w:r>
        <w:t>a) On the scope of application of the commitments</w:t>
      </w:r>
    </w:p>
    <w:p>
      <w:r>
        <w:t>70. First, the Authority notes that the objective and subjective scope of application of the commitments, as per the latest received on March 12, 2024, is very broad and coherently responds to the concerns outlined in the resolution to initiate the procedure.</w:t>
      </w:r>
    </w:p>
    <w:p>
      <w:r>
        <w:t>71. In particular, with regard to the objective scope, it is important to highlight that the commitments not only apply to licenses related to the audio library but, by virtue of the ancillary modification made by Meta, also apply to the negotiation, within the same license, of user-generated content (UGC).</w:t>
      </w:r>
    </w:p>
    <w:p>
      <w:r>
        <w:t>72. Furthermore, Meta, responding to the concerns of AFI, has dispelled any doubts regarding the subjective scope of application of the commitments, which not only concerns SIAE and other collecting societies active in the management of copyright but also collecting societies, such as AFI, active in the management of related rights.</w:t>
      </w:r>
    </w:p>
    <w:p>
      <w:r>
        <w:t>In fact, as noted by Meta in the reply observations and in the commitment form and consistently with the concerns expressed by the Authority in the initiation resolution, the commitments</w:t>
      </w:r>
    </w:p>
    <w:p>
      <w:r>
        <w:t>23 It is recalled that in this case, Meta submitted commitments on October 6, 2023, which were subject to the rejection decision adopted on October 31, 2023.</w:t>
      </w:r>
    </w:p>
    <w:p>
      <w:r>
        <w:t>24 Communication on the procedures for the application of Article 14-ter of Law No. 287 of October 10, 1990 (par. 3, which states: "3. In any case, within three months from the notification of the opening of the investigation, as provided for in Article 14-ter of the law, the interested parties must submit to the Authority the final version of the proposed commitments. The Authority reserves the right to allow, in exceptional cases, based on a reasoned and timely request from the parties, the submission of commitments beyond the above deadline").</w:t>
      </w:r>
    </w:p>
    <w:p>
      <w:r>
        <w:t>25 The cases A357 Tele2/Tim/Vodafone/Wind and A407, Conto TV/Sky Italia and, more recently, see the case A543, Contractual relations between Benetton and its retailers, decision of January 31, 2023, No. 30472 for a possible case of abuse of economic dependence.</w:t>
      </w:r>
    </w:p>
    <w:p>
      <w:r>
        <w:rPr>
          <w:b/>
        </w:rPr>
        <w:t>[Pages 22–24]</w:t>
      </w:r>
    </w:p>
    <w:p>
      <w:r>
        <w:t>24 BULLETIN NO. 18 OF MAY 12, 2025</w:t>
      </w:r>
    </w:p>
    <w:p>
      <w:r>
        <w:t xml:space="preserve">concern all subjects that make up the chain of the copyright intermediation markets.  </w:t>
        <w:br/>
        <w:t xml:space="preserve">The only condition required by Meta is that the negotiating counterpart is an entity that is actually the holder of the rights subject to the negotiation of licenses related to the use of musical works on Meta's platforms.  </w:t>
        <w:br/>
        <w:t xml:space="preserve">73. In this context, in light of the objective and subjective scope as recently defined by Meta, the Authority believes that SIAE's observations regarding the circumstance that the commitments should extend to the provision of an obligation to contract in application of Article 17 of the Copyright Directive are not shareable.  </w:t>
        <w:br/>
        <w:t xml:space="preserve">74. In particular, the Authority highlights that this proceeding originates from a hypothesis of abuse of economic dependence by Meta regarding the manner in which the digital platform conducted negotiations with SIAE, in violation of the principles of fairness and good faith, particularly denying the disclosure of information that is necessary for the proper conduct of the negotiation process. This proceeding and Meta's commitments therefore leave entirely unaffected the separate issue of the application of Article 17 of the Copyright Directive to Meta and other digital platforms.  </w:t>
        <w:br/>
        <w:t xml:space="preserve">75. On another note, regarding AFI's hope that Meta's commitments apply to all collecting societies listed by AGCom, the Authority believes that the clarifications provided by Meta are adequate to ensure that the commitments apply to negotiations with all entities active in the copyright and related rights management chain. In other words, Meta has committed to ensuring fair and transparent negotiations with a broader audience of potential interested parties than just SIAE, from which this proceeding originated, and, at the same time, consistent with the critical issues expressed in the resolution to initiate the proceeding that concerned the entire chain of copyright and related rights management.  </w:t>
        <w:br/>
        <w:t xml:space="preserve">In this context, the Authority believes that the lack of an explicit reference to the AGCom list does not reduce the potential scope of application of the commitments concerning the entities indicated therein, provided that Meta's negotiating counterparts must be in a position to prove their legitimacy to conclude the licenses in question.  </w:t>
        <w:br/>
        <w:t xml:space="preserve">b) On the content of the commitments  </w:t>
        <w:br/>
        <w:t xml:space="preserve">76. Regarding the content, Meta has essentially presented two sets of commitments: the first aimed at ensuring that negotiations take place in a timely manner and in good faith; and the second aimed at ensuring that negotiating counterparts receive the necessary data during the relevant negotiation cycles.  </w:t>
        <w:br/>
        <w:t xml:space="preserve">From a complementary perspective, the first set concerns the timing for the proper conduct of negotiations both in the case of initial stipulation and in the case of license renewal; while the second set addresses the extremely delicate issue of the correct sharing of information during negotiations.  </w:t>
        <w:br/>
        <w:t>77. The Authority believes that the first set of commitments contributes to the proper conduct of negotiations according to a clear and transparent timeline. Furthermore, addressing the possible critical issues raised by SIAE, it is believed that the commitments, as recently proposed by Meta, represent a fair balance between the two needs, on the one hand, to ensure that the commitments have a concrete and immediately applicable content and, on the other hand, to ensure the flexibility that typically characterizes negotiations.</w:t>
      </w:r>
    </w:p>
    <w:p>
      <w:r>
        <w:t xml:space="preserve">BULLETIN NO. 18 OF MAY 12, 2025 25  </w:t>
        <w:br/>
        <w:t xml:space="preserve">In other words, it is believed that the timing and procedure indicated in the first set of commitments can facilitate the conduct of fair negotiations, respecting the needs expressed by the negotiating counterpart from time to time. The commitments do not outline a negotiation procedure unilaterally imposed by Meta but instead aim to reduce the asymmetry between the parties, requiring Meta to constantly take into account the needs of the other negotiating party.  </w:t>
        <w:br/>
        <w:t xml:space="preserve">78. As for the second set of commitments, the Authority believes that the commitment to share the set of information defined therein during negotiations constitutes an essential moment to significantly reduce the imbalance that typically advantages Meta compared to the negotiating counterparts.  </w:t>
        <w:br/>
        <w:t xml:space="preserve">79. In this regard, it should be emphasized that the possible abusive conduct of Meta, from which this proceeding originates, concerns the possible violation of the principle of fairness and good faith in conducting negotiations, primarily consisting of Meta's failure to share the necessary set of information, including information on Meta's relevant revenues, to restore a negotiating parity with the commercial counterpart.  </w:t>
        <w:br/>
        <w:t xml:space="preserve">During the precautionary sub-proceeding, the identification of the minimum set of information necessary to restore negotiating parity was entrusted to a specific appointed entity.  </w:t>
        <w:br/>
        <w:t xml:space="preserve">In this context, the Authority believes that the sharing of the information listed in the commitments and, among these, the specific information identified by the appointed fiduciary entity mentioned above can constitute an essential element to ensure that future negotiations of the licenses subject to the commitments take place on a more balanced negotiating level between the parties.  </w:t>
        <w:br/>
        <w:t xml:space="preserve">80. Additionally, it should be noted that the set of information indicated in the commitments does not appear exhaustive but can be adapted, based on a transparent discussion between the parties, to the specific needs of the negotiation at hand.  </w:t>
        <w:br/>
        <w:t xml:space="preserve">c) On the fiduciary subject, the duration of the commitments, and their implementation  </w:t>
        <w:br/>
        <w:t xml:space="preserve">81. Regarding the provision of a specifically appointed entity to evaluate the compliance of the information shared by Meta during negotiations, in application of the commitments, the Authority believes that this is a useful tool that contributes to providing certainty and transparency to the implementation of the commitments.  </w:t>
        <w:br/>
        <w:t xml:space="preserve">Furthermore, in the final version of the commitments, Meta has defined this figure in fully consistent terms with the Authority's practice in this matter.  </w:t>
        <w:br/>
        <w:t xml:space="preserve">82. Regarding the duration of the commitments, the Authority believes that Meta's consideration of two negotiation cycles represents a reasonable period, also in light of the rapid evolution of the relevant sector.  </w:t>
        <w:br/>
        <w:t xml:space="preserve">Moreover, the timeline provided for the implementation and the preparation of specific reports regarding the status of implementation of the commitments contributes to making them effective and monitorable.  </w:t>
        <w:br/>
        <w:t xml:space="preserve">VII. CONCLUSIONS  </w:t>
        <w:br/>
        <w:t>83. Based on the above, it is believed that the commitments proposed by Meta Platforms Inc., Meta Platforms Ireland Limited, Meta Platforms Technologies UK Limited, and Facebook Italy S.r.l. are overall suitable to remove the competitive concerns related to the profiles of abuse of economic dependence hypothesized in the initiation provision, pursuant to Article 9 of Law No. 192/1998.</w:t>
      </w:r>
    </w:p>
    <w:p>
      <w:r>
        <w:t xml:space="preserve">26 BULLETIN NO. 18 OF MAY 12, 2025  </w:t>
        <w:br/>
        <w:t xml:space="preserve">THEREFORE, IT IS CONSIDERED that the commitments presented by Meta Platforms Inc., Meta Platforms Ireland Limited, Meta Platforms Technologies UK Limited, and Facebook Italy S.r.l. are suitable to eliminate the critical profiles subject to the investigation;  </w:t>
        <w:br/>
        <w:t xml:space="preserve">IT IS CONSIDERED to order the mandatory nature of the commitments presented by Meta Platforms Inc., Meta Platforms Ireland Limited, Meta Platforms Technologies UK Limited, and Facebook Italy S.r.l., pursuant to Article 14-ter, paragraph 1, of Law No. 287/1990;  </w:t>
        <w:br/>
        <w:t xml:space="preserve">All of the above having been stated and considered:  </w:t>
        <w:br/>
        <w:t xml:space="preserve">RESOLVES  </w:t>
        <w:br/>
        <w:t xml:space="preserve">a) to make mandatory for the companies Meta Platforms Inc., Meta Platforms Ireland Limited, Meta Platforms Technologies UK Limited, and Facebook Italy S.r.l. the commitments presented, pursuant to Article 14-ter, paragraph 1, of Law No. 287/1990, in the terms described above and in the version attached to this provision, which is an integral part thereof;  </w:t>
        <w:br/>
        <w:t xml:space="preserve">b) to close the proceeding without ascertaining the violation of Article 9 of Law June 18, 1998, No. 192, pursuant to Article 14-ter, paragraph 1, of Law No. 287/1990.  </w:t>
        <w:br/>
        <w:t xml:space="preserve">This provision will be notified to the interested parties and published in the Bulletin of the Italian Competition Authority.  </w:t>
        <w:br/>
        <w:t xml:space="preserve">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the term of one hundred and twenty days from the date of notification of the provision itself.  </w:t>
        <w:br/>
        <w:t xml:space="preserve">THE DEPUTY SECRETARY GENERAL THE PRESIDENT  </w:t>
        <w:br/>
        <w:t>Serena Stella Roberto Rustichelli</w:t>
      </w:r>
    </w:p>
    <w:p>
      <w:r>
        <w:rPr>
          <w:b/>
        </w:rPr>
        <w:t>[Pages 25–27]</w:t>
      </w:r>
    </w:p>
    <w:p>
      <w:r>
        <w:t>BULLETIN NO. 18 OF MAY 12, 2025 27</w:t>
        <w:br/>
        <w:t>CONCENTRATION OPERATIONS</w:t>
        <w:br/>
        <w:t>C12714 - GRENKE LOCATIONS/INTESA SANPAOLO RENT FOR YOU</w:t>
        <w:br/>
        <w:t>Provision No. 31531</w:t>
        <w:br/>
        <w:t>THE ITALIAN COMPETITION AUTHORITY</w:t>
        <w:br/>
        <w:t>IN ITS MEETING of April 24, 2025;</w:t>
        <w:br/>
        <w:t>HEARD the Rapporteur, Professor Elisabetta Iossa;</w:t>
        <w:br/>
        <w:t>HAVING REGARD to Law No. 287 of October 10, 1990;</w:t>
        <w:br/>
        <w:t>HAVING REGARD to Regulation (EC) No. 139/2004;</w:t>
        <w:br/>
        <w:t>HAVING REGARD to the D.P.R. No. 217 of April 30, 1998;</w:t>
        <w:br/>
        <w:t>HAVING REGARD to the communication from Grenke Locazione S.r.l., received on April 3, 2025;</w:t>
        <w:br/>
        <w:t>HAVING REGARD to the documents in the file;</w:t>
        <w:br/>
        <w:t>CONSIDERING the following:</w:t>
        <w:br/>
        <w:t>I. THE PARTIES</w:t>
        <w:br/>
        <w:t>1. Grenke Locazione S.r.l. (hereinafter, “GLOC”, VAT No. 13187000156) is a company controlled by Grenke Aktiengesellschaft (hereinafter, “GAG”), engaged, as a lessor, in financial and operational leasing contracts for movable assets of all kinds and in the management of leasing contracts on behalf of third parties, as well as in the intermediation of insurance for leased assets. GLOC is the only controlled company of GAG active in Italy in the medium-long term operational leasing of instrumental movable assets to a clientele primarily composed of businesses and professionals.</w:t>
        <w:br/>
        <w:t>2. The revenue generated in Italy by GLOC in 2024 amounts to [100-582]* million euros.</w:t>
        <w:br/>
        <w:t>3. Intesa Sanpaolo Rent For You S.p.A. (hereinafter, “RFY” or “Target”, VAT No. 05956150964) is a company controlled by Intesa Sanpaolo S.p.a. (hereinafter, “ISP”), active in offering operational leasing services for instrumental assets. These services are indiscriminately aimed at companies that produce and distribute goods and services, as well as at companies and professionals who need to use a specific asset without owning it.</w:t>
        <w:br/>
        <w:t>4. The revenue generated in Italy by the Target in 2024 amounts to [35-100] million euros.</w:t>
        <w:br/>
        <w:t>II. DESCRIPTION OF THE OPERATION</w:t>
        <w:br/>
        <w:t>5. The notified operation (hereinafter, “Operation”) consists of the merger of RFY by incorporation into GLOC and preliminarily provides for an increase in GLOC's capital reserved exclusively for ISP, which will subscribe and pay for this increase through the contribution in kind of all the shares held by it in RFY. This will occur in exchange for the assignment to ISP of shares representing a minority stake in GLOC, which has meanwhile been transformed into a joint-stock company, equal to 17% of the nominal share capital of the latter (the remaining 83% will continue to be held by GAG).</w:t>
        <w:br/>
        <w:t>III. QUALIFICATION OF THE OPERATION</w:t>
        <w:br/>
        <w:t>6. The Operation, as it involves the merger by incorporation of one company into another, constitutes a concentration pursuant to Article 5, paragraph 1, letter a), of Law No. 287/1990.</w:t>
        <w:br/>
        <w:t>7. It falls within the scope of application of Law No. 287/1990, as the conditions set out in Article 1 of Regulation (EC) No. 139/2004 do not apply. However, this concentration is not subject to the obligation of prior notification provided for by Article 16, paragraphs 1 and 2, of the law, as the total revenue generated in the last financial year at the national level by the group of companies involved was below 582 million euros.</w:t>
        <w:br/>
        <w:t>CONSIDERING, therefore, that the Operation is not subject to the obligation of prior notification pursuant to Article 16, paragraph 1, of Law No. 287/1990;</w:t>
        <w:br/>
        <w:t>RESOLVES</w:t>
        <w:br/>
        <w:t>that there is no need to take action.</w:t>
        <w:br/>
        <w:t>The above conclusions will be communicated, pursuant to Article 16, paragraph 4, of Law No. 287/1990, to the companies involved and to the Minister of Enterprises and Made in Italy.</w:t>
        <w:br/>
        <w:t>This provision will be published in the Bulletin of the Italian Competition Authority.</w:t>
        <w:br/>
        <w:t>THE DEPUTY SECRETARY GENERAL THE PRESIDENT</w:t>
        <w:br/>
        <w:t>Serena Stella Roberto Rustichelli</w:t>
      </w:r>
    </w:p>
    <w:p>
      <w:r>
        <w:t>BULLETIN NO. 18 OF MAY 12, 2025 29</w:t>
        <w:br/>
        <w:t>C12715 - GRUPPO INTERGEA/PROGLIO L’AUTOMOBILE</w:t>
        <w:br/>
        <w:t>Provision No. 31532</w:t>
        <w:br/>
        <w:t>THE ITALIAN COMPETITION AUTHORITY</w:t>
        <w:br/>
        <w:t>IN ITS MEETING of April 24, 2025;</w:t>
        <w:br/>
        <w:t>HEARD the Rapporteur, Professor Elisabetta Iossa;</w:t>
        <w:br/>
        <w:t>HAVING REGARD to Regulation (EC) No. 139/2004;</w:t>
        <w:br/>
        <w:t>HAVING REGARD to Law No. 287 of October 10, 1990;</w:t>
        <w:br/>
        <w:t>HAVING REGARD to the D.P.R. No. 217 of April 30, 1998;</w:t>
        <w:br/>
        <w:t>HAVING REGARD to the communication made by Gruppo Intergea S.p.A. received on April 3, 2025;</w:t>
        <w:br/>
        <w:t>HAVING REGARD to the documentation on file;</w:t>
        <w:br/>
        <w:t>CONSIDERING the following:</w:t>
        <w:br/>
        <w:t>I. THE PARTIES</w:t>
        <w:br/>
        <w:t>1. Gruppo Intergea S.p.A. (hereinafter, “Integea”, VAT No. 05417120010), controlled by the holding LDP Investments S.r.l. (hereinafter, “LDP”) and in turn the parent company of the Intergea group (hereinafter collectively “Gruppo Intergea”), is a company active in Italy in the retail sale of new and used passenger cars and commercial vehicles, in the provision of after-sales assistance services, and in the retail supply of spare parts. The Gruppo Intergea holds - through its dealerships - numerous sales mandates for various automobile manufacturers, operating for the brands of the Stellantis Group (Abarth, Alfa Romeo, Chrysler, Citroën, DR, FIAT, Jeep, Lancia, Maserati, Opel, Peugeot), Volvo, Renault, and Volkswagen.</w:t>
        <w:br/>
        <w:t>2. The consolidated revenue generated by Gruppo Intergea in the financial year 2023 amounts to approximately [1-2]* billion euros, almost entirely achieved in Italy.</w:t>
        <w:br/>
        <w:t>3. Proglio L’Automobile S.p.A. (VAT No. 03513630040, hereinafter, “Target” or “Proglio” and, together with Intergea, “the Parties”) is a car dealership, also active in the marketing and sale of new and used vehicles, in the provision of after-sales assistance services, and in the retail supply of spare parts, with four operational locations in the municipalities of Alba, Borgo San Dalmazzo, and Fossano (in the province of Cuneo). Proglio is controlled by Progest Società Semplice di Proglio Franco &amp; C. (hereinafter, “Progest”), which is in turn controlled by a natural person.</w:t>
        <w:br/>
        <w:t>4. The revenue generated by the Target in the financial year 2023 amounts to approximately [35-100] million euros, entirely achieved in Italy.</w:t>
        <w:br/>
        <w:t>II. DESCRIPTION OF THE OPERATION</w:t>
        <w:br/>
        <w:t>5. The communicated operation (hereinafter, “Operation”) consists of the acquisition, by Intergea, of exclusive control over Proglio.</w:t>
      </w:r>
    </w:p>
    <w:p>
      <w:r>
        <w:rPr>
          <w:b/>
        </w:rPr>
        <w:t>[Pages 28–30]</w:t>
      </w:r>
    </w:p>
    <w:p>
      <w:r>
        <w:t>30 BULLETIN NO. 18 OF MAY 12, 2025</w:t>
      </w:r>
    </w:p>
    <w:p>
      <w:r>
        <w:t>6. The contract entered into between the Parties provides that, on the closing date, the company Progest (currently holding 100% of the shares of the Target) will transfer to Intergea 75% of the shares it holds.</w:t>
      </w:r>
    </w:p>
    <w:p>
      <w:r>
        <w:t>7. The Parties have also agreed on certain restrictions consisting of a commitment by Progest [omitted].</w:t>
      </w:r>
    </w:p>
    <w:p>
      <w:r>
        <w:t>8. The rationale for the Operation, as indicated by the notifying party, lies in the intention of the Intergea Group to consolidate its business and achieve adequate economies of scale.</w:t>
      </w:r>
    </w:p>
    <w:p>
      <w:r>
        <w:t>III. QUALIFICATION OF THE OPERATION</w:t>
      </w:r>
    </w:p>
    <w:p>
      <w:r>
        <w:t>9. The Operation, being aimed at acquiring exclusive control of a company, constitutes a concentration pursuant to Article 5, paragraph 1, letter b), of Law No. 287/1990. It falls within the scope of application of Law No. 287/1990, as the conditions set out in Article 1 of Regulation (EC) 139/2004 do not apply, and it is subject to the obligation of prior notification established by Article 16, paragraph 1, of the same law, as the total turnover achieved, in the last financial year at the national level, by the group of companies involved was over 582 million euros and the total turnover achieved, in the last financial year at the national level, by at least two of the companies involved was over 35 million euros1.</w:t>
      </w:r>
    </w:p>
    <w:p>
      <w:r>
        <w:t>10. The non-compete and non-solicitation agreement signed by the parties and described above can be considered directly connected and necessary for the realization of the Operation, as it is functional to safeguarding the value of the acquired company, provided that it is geographically limited to the area of activity of the acquired company, temporally to a period of two years, and does not prevent the seller from acquiring or holding shares solely for financial investment purposes2.</w:t>
      </w:r>
    </w:p>
    <w:p>
      <w:r>
        <w:t>IV. ASSESSMENT OF THE OPERATION</w:t>
      </w:r>
    </w:p>
    <w:p>
      <w:r>
        <w:t>The product market</w:t>
      </w:r>
    </w:p>
    <w:p>
      <w:r>
        <w:t>11. From a commodity perspective, the markets affected by the operation are those in which the company subject to acquisition operates, namely3:</w:t>
        <w:br/>
        <w:t>i) the retail distribution of passenger and commercial vehicles;</w:t>
        <w:br/>
        <w:t>ii) the retail distribution of spare parts for passenger vehicles and commercial vehicles;</w:t>
        <w:br/>
        <w:t>iii) the after-sales services of assistance, maintenance, and repair of vehicles.</w:t>
      </w:r>
    </w:p>
    <w:p>
      <w:r>
        <w:t>1 See Resolution No. 31495 of March 18, 2025.</w:t>
        <w:br/>
        <w:t>2 See Communication from the European Commission on restrictions directly related and necessary to concentrations (2005/C 56/03).</w:t>
        <w:br/>
        <w:t>3 See, among others, C12693 - Intergea Group/Alessandria Auto, Decision No. 31470 of February 25, 2025, in Bulletin No. 10/2025; C12637 - Intergea Group/Autoghinzani Bergamo, Decision No. 31228 of May 28, 2024, in Bulletin No. 24/2024; C12596 - Bossoni Automobili/Baiauto, Decision No. 31041 of January 23, 2024, in Bulletin No. 6/2024; C12573 - PAG Italy/Sarma NewCo, Decision No. 30845 of October 24, 2023, in Bulletin No. 43/2023; C12550 - Autotorino/Mercedes-Benz Roma, Decision No. 30738 of July 18, 2023, in Bulletin No. 30/2023; C12300 - Eurocar Italia/Erre Esse, Decision No. 28273 of June 17, 2020, in Bulletin No. 27/2020; see also the decisions of the European Commission M.8963 - Eurocar/Bonaldi of August 1, 2018, and M.9070 - Eurocar/Vicentini of September 10, 2018.</w:t>
      </w:r>
    </w:p>
    <w:p>
      <w:r>
        <w:t>BULLETIN NO. 18 OF MAY 12, 2025 31</w:t>
      </w:r>
    </w:p>
    <w:p>
      <w:r>
        <w:t>12. The market for the retail distribution of passenger vehicles involves the distribution of vehicles by dealers to end consumers. Manufacturers market their vehicles through distribution companies (controlled companies or third-party operators) which, in turn, utilize a sales network to reach customers. Within this market, different segments can be identified, distinguishing between passenger vehicles and commercial vehicles, new and used vehicles, based on performance, size, and price of the marketed cars. However, distributors frequently offer various types of products (city cars, mid-range, premium, etc.), and the differences have been decreasing over the years due to manufacturers' trends to offer more accessories even for mid-range and small vehicles. For the purposes of this operation, however, it does not seem necessary to arrive at an exact commodity delimitation of the market.</w:t>
      </w:r>
    </w:p>
    <w:p>
      <w:r>
        <w:t>13. Within the sector of marketing parts and accessories, which includes spare parts for vehicles, two types of products can be identified: original and equivalent (of corresponding quality). Original spare parts are marketed under the manufacturer's brand; equivalent spare parts are instead supplied by independent operators in the component sector (who may also supply the same manufacturers). The prices of equivalent spare parts are significantly lower, varying depending on the type of spare part considered.</w:t>
      </w:r>
    </w:p>
    <w:p>
      <w:r>
        <w:t>14. Furthermore, the different types of spare parts for vehicles (gaskets, pads, shock absorbers, belts, spark plugs, filters, lighting, etc.) are not substitutable from the final demand side, which evidently depends on the maintenance or repair intervention to be carried out. However, there is significant substitutability from the demand side between original and equivalent spare parts (provided they are of corresponding quality), varying according to the age and economic class of the vehicle, as well as the type of spare part. From the supply side, moreover, the manufacturers' assistance centers (generally dealerships and authorized workshops) can distribute both original and equivalent spare parts. Finally, from the supply side, operators generally distribute a wide range of spare parts. For the purposes of this operation, however, it does not seem necessary to arrive at an exact commodity delimitation of the market.</w:t>
      </w:r>
    </w:p>
    <w:p>
      <w:r>
        <w:t>15. The market for after-sales assistance services for vehicles is characterized by extreme fragmentation of supply. The repair and maintenance activity is, in fact, carried out by a wide range of operators, such as: authorized dealerships and retailers, independent workshops, service stations, specialized auto centers, quick assistance services (the warranty assistance activity is, instead, carried out by the manufacturers' dealerships or by other subjects authorized by them). For the purposes of the Operation, however, it does not seem necessary to arrive at an exact commodity delimitation of the market.</w:t>
      </w:r>
    </w:p>
    <w:p>
      <w:r>
        <w:t>The geographic market</w:t>
      </w:r>
    </w:p>
    <w:p>
      <w:r>
        <w:t>16. Regarding the geographical extent of the markets identified above, it is observed that, due to consumer purchasing behaviors and, in particular, the importance attributed by them to the proximity of sales and assistance points, it is believed that it should be local4.</w:t>
      </w:r>
    </w:p>
    <w:p>
      <w:r>
        <w:t>4 See C12637 - Intergea Group/Autoghinzani Bergamo, cited; C12372 - Bossoni-Agricar Group/Branch of business bankruptcy Agricar Diesel, Decision No. 29653, of May 4, 2021, in Bulletin No. 21/2021.</w:t>
      </w:r>
    </w:p>
    <w:p>
      <w:r>
        <w:t>32 BULLETIN NO. 18 OF MAY 12, 2025</w:t>
      </w:r>
    </w:p>
    <w:p>
      <w:r>
        <w:t>17. In various precedents related to the markets in question5, the Authority has defined local markets based on administrative boundaries, identifying markets with a tendency towards provincial size, also considering the possibility of defining markets constituted by areas around sales points reachable within a certain period of time (so-called isochrones), thus taking into account the size of the catchment areas of the individual sales points of the companies involved and the propensity to mobility from the demand side. In this case, following this approach, considering the operational scope of the Target, the relevant geographic market - for all the commodity markets mentioned above - appears to be initially confined to the province of Cuneo, within which the Target's business is concentrated, and the adjacent province of Asti. Furthermore, it is possible to hypothesize the existence of a catchment area identified by the areas located around the four locations of the Target (three in Alessandria and one in Asti), reachable within a 40-60 minute drive for market sub i) and within a 20-minute drive for markets sub ii) and iii) (so-called isochrones).</w:t>
      </w:r>
    </w:p>
    <w:p>
      <w:r>
        <w:t>18. For the purposes of the Operation, however, it does not seem necessary to arrive at an exact geographical delimitation of the market as this would not change the assessment of the operation.</w:t>
      </w:r>
    </w:p>
    <w:p>
      <w:r>
        <w:t>The effects of the operation</w:t>
      </w:r>
    </w:p>
    <w:p>
      <w:r>
        <w:t>19. Proglio operates as an official dealership for Volkswagen, Škoda, and Opel vehicles at four sales points located in the province of Cuneo (specifically two in Alba, one in Borgo San Dalmazzo, and one in Fossano), as well as related activities of selling accessories and spare parts and providing assistance and maintenance. The Operation does not appear to produce significant effects on competition considering any commodity and geographical definition of the market.</w:t>
      </w:r>
    </w:p>
    <w:p>
      <w:r>
        <w:t>20. In particular, regarding market sub i) related to the distribution of new and used passenger and commercial vehicles to end consumers, according to the data provided by the notifying company, following the Operation, the entity will hold market shares in value always below [5-10%] for passenger vehicles and always below [1-5%] for commercial vehicles (Table 1 below).</w:t>
      </w:r>
    </w:p>
    <w:p>
      <w:r>
        <w:t>5 See, among others, C12693 - Intergea Group/Alessandria Auto, cited; C12637 - Intergea Group/Autoghinzani Bergamo, cited; C12596 - Bossoni Automobili/Baiauto, cited; C12573 - PAG Italy/Sarma NewCo, cited; C12550 - Autotorino/Mercedes-Benz Roma, cited; and C12300 - Eurocar Italia/Erre Esse, cited; see also the decisions of the European Commission M.8963 - Eurocar/Bonaldi, cited and M.9070 - Eurocar/Vicentini, cited.</w:t>
      </w:r>
    </w:p>
    <w:p>
      <w:r>
        <w:rPr>
          <w:b/>
        </w:rPr>
        <w:t>[Pages 31–33]</w:t>
      </w:r>
    </w:p>
    <w:p>
      <w:r>
        <w:t>BULLETIN NO. 18 OF MAY 12, 2025 33</w:t>
        <w:br/>
        <w:t>Table 1 - Market shares in value in the retail distribution of new and used passenger and commercial vehicles in possible geographical market definitions</w:t>
        <w:br/>
        <w:t>Market share</w:t>
        <w:br/>
        <w:t>Possible geographical definition of the market for retail distribution of passenger and commercial vehicles New and used (passenger vehicle) Joint market share (commercial vehicle)</w:t>
        <w:br/>
        <w:t>Province of Asti [5-10%] [&lt;1%]</w:t>
        <w:br/>
        <w:t>Province of Cuneo [5-10%] [&lt;1%]</w:t>
        <w:br/>
        <w:t>40-minute isochrone - centroid 1 [omitted] [5-10%] [&lt;1%]</w:t>
        <w:br/>
        <w:t>60-minute isochrone - centroid 1 [omitted] [5-10%] [&lt;1%]</w:t>
        <w:br/>
        <w:t>40-minute isochrone - centroid 2 [omitted] [5-10%] [&lt;1%]</w:t>
        <w:br/>
        <w:t>60-minute isochrone - centroid 2 [omitted] [1-5%] [&lt;1%]</w:t>
        <w:br/>
        <w:t>40-minute isochrone - centroid 3 [omitted] [5-10%] [&lt;1%]</w:t>
        <w:br/>
        <w:t>60-minute isochrone - centroid 3 [omitted] [1-5%] [&lt;1%]</w:t>
        <w:br/>
        <w:t>40-minute isochrone - centroid 4 [omitted] [1-5%] [&lt;1%]</w:t>
        <w:br/>
        <w:t>60-minute isochrone - centroid 4 [omitted] [1-5%] [&lt;1%]</w:t>
        <w:br/>
        <w:t>Source: the Parties</w:t>
        <w:br/>
        <w:t>21. As for the sub-market ii) related to the retail distribution of spare parts for passenger vehicles and commercial vehicles, Intergea is not active in these geographical markets and the market shares of the Target are always below [5-10%] both considering isochrones of a width of 20 minutes by car from the three locations of the Target where such activities are carried out, and considering the provincial data. The same considerations apply to sub-market iii), related to after-sales services for assistance, maintenance, and repair of vehicles, in which Intergea is not active and the market shares of the Target are always below approximately [5-10%] considering all possible geographical definitions of the market.</w:t>
        <w:br/>
        <w:t>22. In light of the above considerations, the concentration under examination does not appear to hinder competition in the affected markets and does not lead to the establishment or strengthening of a dominant position.</w:t>
        <w:br/>
        <w:t>CONSIDERING, therefore, that the Operation does not significantly hinder effective competition in the affected markets pursuant to Article 6, paragraph 1, of Law No. 287/1990, and does not result in the establishment or strengthening of a dominant position;</w:t>
        <w:br/>
        <w:t>CONSIDERING, also, that the non-competition and non-solicitation agreement between the Parties is ancillary to the Operation only to the limits described above and that the Authority reserves the right to evaluate, where the conditions exist, the aforementioned agreement that occurs beyond the limits indicated therein;</w:t>
        <w:br/>
        <w:t>6 Source: ibidem.</w:t>
      </w:r>
    </w:p>
    <w:p>
      <w:r>
        <w:t>34 BULLETIN NO. 18 OF MAY 12, 2025</w:t>
        <w:br/>
        <w:t>RESOLUTION</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br/>
        <w:t>This provision will be published in the Bulletin of the Italian Competition Authority.</w:t>
        <w:br/>
        <w:t>THE DEPUTY SECRETARY GENERAL THE PRESIDENT</w:t>
        <w:br/>
        <w:t>Serena Stella Roberto Rustichelli</w:t>
      </w:r>
    </w:p>
    <w:p>
      <w:r>
        <w:t>BULLETIN NO. 18 OF MAY 12, 2025 35</w:t>
        <w:br/>
        <w:t>C12716 - FSI SGR/CASALASCO SOCIETÀ AGRICOLA</w:t>
        <w:br/>
        <w:t>Provision No. 31533</w:t>
        <w:br/>
        <w:t>THE ITALIAN COMPETITION AUTHORITY</w:t>
        <w:br/>
        <w:t>IN ITS MEETING of April 24, 2025;</w:t>
        <w:br/>
        <w:t>HEARD the Rapporteur, Professor Elisabetta Iossa;</w:t>
        <w:br/>
        <w:t>HAVING REGARD TO Regulation (EC) No. 139/2004;</w:t>
        <w:br/>
        <w:t>HAVING REGARD TO Law No. 287 of October 10, 1990;</w:t>
        <w:br/>
        <w:t>HAVING REGARD TO Presidential Decree No. 217 of April 30, 1998;</w:t>
        <w:br/>
        <w:t>HAVING REGARD TO the communication made by FSI SGR S.p.A. received on April 4, 2025 and supplemented on April 14, 2025;</w:t>
        <w:br/>
        <w:t>HAVING REGARD TO the documentation on file;</w:t>
        <w:br/>
        <w:t>CONSIDERING the following</w:t>
        <w:br/>
        <w:t>I. THE PARTIES</w:t>
        <w:br/>
        <w:t>1. FSI SGR S.p.A. (hereinafter, “FSI”, VAT No. 09422290966) is an asset management company that manages the private equity funds FSI I and FSI II, closed-end alternative investment funds reserved for qualified investors. The FSI I and FSI II funds invest in Italian companies to support their dimensional growth, promote their internationalization, strengthen them, stabilize their shareholding, and manage succession processes, as well as to promote access to the capital market. They include some of the largest Italian institutional investors (as subscribers of the fund shares and, therefore, without active governance).</w:t>
        <w:br/>
        <w:t>The share capital of FSI is currently held by Magenta 71 S.r.l., with a controlling stake of 90.1%, and ION Capital Partners Limited, with a stake of 9.9%.</w:t>
        <w:br/>
        <w:t>The portfolio companies under FSI's control are active in the monetary sector, auxiliary financial services, information technology, and clothing.</w:t>
        <w:br/>
        <w:t>In 2023, the consolidated revenue generated by FSI was approximately [100-582]* million euros globally, of which [100-582] million euros in Italy.</w:t>
        <w:br/>
        <w:t>2. Casalasco Società Agricola S.p.A. (hereinafter, “Casalasco”, VAT No. 01756860191, together with its subsidiaries “Gruppo Casalasco” or “Target”) is primarily active in the production of tomatoes and related products, such as sauces, pulp, concentrates, dressings, and ketchup, as well as, on a residual basis, in the production of sauces, non-tomato-based condiments, and broths. It produces both for its multinational clients and for its own brands “Pomì”, “De Rica”, and “Victoria”.</w:t>
        <w:br/>
        <w:t>Casalasco is jointly controlled, on one side, by the Casalasco Tomato Consortium Agricultural Cooperative (hereinafter, “Casilasco Consortium” or “Consortium”) and the company CCdP Holding S.p.A. (hereinafter, “CCdP Holding”) and, on the other side, by QuattroR SGR S.p.A. (hereinafter</w:t>
        <w:br/>
        <w:t>*In this version, some data are omitted, as there were deemed to be elements of confidentiality or secrecy of the information.</w:t>
      </w:r>
    </w:p>
    <w:p>
      <w:r>
        <w:rPr>
          <w:b/>
        </w:rPr>
        <w:t>[Pages 34–36]</w:t>
      </w:r>
    </w:p>
    <w:p>
      <w:r>
        <w:t>36 BULLETIN NO. 18 OF MAY 12, 2025</w:t>
        <w:br/>
        <w:t>"QuattroR"). A residual part of the share capital of Casalasco is held by certain [minority shareholders]. The consolidated revenue achieved in 2023 by the Casalasco Group was approximately [582-700] million euros, of which approximately [100-582] million euros in Italy.</w:t>
      </w:r>
    </w:p>
    <w:p>
      <w:r>
        <w:t>II. DESCRIPTION OF THE TRANSACTION</w:t>
        <w:br/>
        <w:t>3. The notified transaction consists of the acquisition, by FSI, of exclusive control of Casalasco (hereinafter, "Transaction").</w:t>
        <w:br/>
        <w:t>4. On March 28, 2025, FSI signed: (i) an investment contract, together with FSI Holdings 3 S.r.l.1, with the Casalasco Consortium and (ii) a sales contract with the other shareholders of Casalasco (hereinafter, "Sellers"). Based on the combination of these agreements, FSI, through a specially established corporate vehicle (hereinafter, "BidCo"), indirectly controlled by FSI through the company FSI Holdings 3 S.r.l., will acquire 100% of the share capital of Casalasco.</w:t>
        <w:br/>
        <w:t>5. In the investment contract, an investment by the Casalasco Consortium and two other minority shareholders in BidCo is provided, whose share capital, as a result of the Transaction, will be held: for the [omitted] by FSI Holdings 3 S.r.l., with [&gt; 50%] of the voting rights2 and for the [omitted] by the Casalasco Consortium, with [&lt; 50%] of the voting rights. The residual part of the share capital and voting rights will be held by minority shareholders3. Within 12 months from the closing, a reverse merger is planned for the incorporation of BidCo into Casalasco, which will maintain the same distribution of share capital and the same statute as BidCo.</w:t>
        <w:br/>
        <w:t>6. The Board of Directors of Casalasco (hereinafter, "BdD") will be composed of eight members4, of which: three appointed by FSI (including the vice-president), three appointed by the Casalasco Consortium (including the president), one appointed by [a minority shareholder] and the managing director appointed jointly by FSI and the Consortium, of which FSI will have the right to request and obtain revocation at any time. FSI will also have the right to designate the Chief Financial Officer (hereinafter, "CFO").</w:t>
        <w:br/>
        <w:t>7. The Assembly will be validly constituted and will adopt its resolutions with the legal quorums and majorities. The BdD will adopt its resolutions with the presence and favorable vote of the serving members. However, the favorable vote of at least one of the directors of FSI will be required for resolutions concerning: "The approval of provisional budgets (including consolidated) and multi-year business plans (including consolidated) as well as the approval of amendments to them." In the event of a potential deadlock within the BdD, the vice-president designated by FSI will be granted a casting vote.</w:t>
        <w:br/>
        <w:t>8. FSI will therefore benefit from: (i) the majority of voting rights at the assembly; (ii) the right of veto on the approval and modification of budgets and business plans in the BdD5; (iii) the right to revoke the managing director and appoint the CFO6 and (iv) the casting vote, attributed to the vice-president of the BdD designated by FSI7. FSI will thus have the ability to exercise, alone, a decisive influence over the Target and, therefore, will obtain exclusive control8.</w:t>
        <w:br/>
        <w:t>9. Finally, the sales contract provides for a non-compete obligation on the part of the Sellers, whereby they undertake, directly or indirectly, for thirty-six months from the closing of the Transaction, not to employ or collaborate in any form or manner with individuals linked to the Target - or who have been in the previous twelve months - by subordinate employment or collaboration relationships. There are no limits to the scope of application of the prohibition either at the product level (area of activity of the Target) or geographically.</w:t>
        <w:br/>
        <w:t>III. QUALIFICATION OF THE TRANSACTION</w:t>
        <w:br/>
        <w:t>10. The Transaction, being aimed at acquiring exclusive control of a company, constitutes a concentration pursuant to Article 5, paragraph 1, letter b), of Law No. 287/1990. It falls within the scope of application of Law No. 287/1990 as the conditions of Article 1 of Regulation (EC) 139/2004 are not met, and is subject to the obligation of prior notification provided for by Article 16, paragraph 1, of the same law, as the total revenue achieved, in the last financial year at the national level, by the group of companies involved was over 582 million euros and the total revenue achieved, in the last financial year at the national level, by at least two of the companies involved was over 35 million euros.</w:t>
        <w:br/>
        <w:t>11. The non-compete obligation signed by FSI and the Sellers, described in the previous paragraph, can be considered directly connected and necessary for the realization of the Transaction, as it is functional to safeguarding the value of the acquired company, provided that it is limited both in terms of product and geographically to the area of activity of the acquired company and temporally to a period of three years9.</w:t>
        <w:br/>
        <w:t>IV. EVALUATION OF THE TRANSACTION</w:t>
        <w:br/>
        <w:t>The relevant markets</w:t>
        <w:br/>
        <w:t>12. With regard to the main activity of the Target, the sector concerned by the Transaction is that related to the processing, production, and marketing of tomato preserves, which includes the segments of peeled tomatoes, pulp, passata, enriched (i.e., ready-made sauces based on tomato pulp), and concentrate.</w:t>
        <w:br/>
        <w:t>13. According to the established practice of the Authority10, the above-described sector represents a single product market, considering consumer usage habits and, in particular, the fact that all products belonging to the different segments are used as a basic element for the preparation of condiments, more or less elaborate, for pasta and other food dishes, and in such use, they do not have direct industrial substitutes. In any case, even if one were to consider each segment as a distinct relevant market, the evaluation of the Transaction would not change.</w:t>
        <w:br/>
        <w:t>14. From a geographical perspective, the identified product market has a national dimension.</w:t>
        <w:br/>
        <w:t>The effects of the Transaction</w:t>
        <w:br/>
        <w:t>15. The Transaction does not appear to be likely to produce distortive effects on competition.</w:t>
        <w:br/>
        <w:t>16. Based on the estimates of the parties, in its main market of activity - namely, the market for the processing, production, and marketing of tomato preserves - the Casalasco Group holds, in 2023 and 2024, a market share of approximately [10-15%] in value and approximately [10-15%] in volume, in the face of the presence of other operators with comparable market shares.</w:t>
        <w:br/>
        <w:t>17. The acquiring party FSI is not active, through its portfolio companies, in this market, nor in upstream or downstream markets.</w:t>
        <w:br/>
        <w:t>18. The Transaction therefore involves merely replacing one operator with another, not implying horizontal overlaps and/or vertical relationships between the parties.</w:t>
        <w:br/>
        <w:t>19. In light of the above considerations, the Transaction does not appear to be likely to hinder competition in the relevant markets or to result in the establishment or strengthening of a dominant position.</w:t>
        <w:br/>
        <w:t>CONSIDERING, therefore, that the Transaction does not significantly hinder effective competition in the relevant markets pursuant to Article 6, paragraph 1, of Law No. 287/1990 and does not involve the establishment or strengthening of a dominant position;</w:t>
        <w:br/>
        <w:t>CONSIDERING, furthermore, that the non-compete obligation described above can be considered accessory to this transaction only within the limits indicated above and that the Authority reserves the right to evaluate, where the conditions exist, the aforementioned agreement that may be realized beyond those limits;</w:t>
        <w:br/>
        <w:t>RESOLVES</w:t>
        <w:br/>
        <w:t>not to initiate the investigation referred to in Article 16, paragraph 4, of Law No. 287/1990. The above conclusions will be communicated, pursuant to Article 16, paragraph 4, of Law No. 287/1990, to the interested companies and to the Minister of Enterprises and Made in Italy.</w:t>
        <w:br/>
        <w:t>10 See, inter alia, C12435 - Casalasco Società Agricola/Emiliana Conserve Società Agricola, provision No. 30102 of April 5, 2022, in Bulletin No. 12/2022 and previous references therein.</w:t>
      </w:r>
    </w:p>
    <w:p>
      <w:r>
        <w:rPr>
          <w:b/>
        </w:rPr>
        <w:t>[Pages 37–39]</w:t>
      </w:r>
    </w:p>
    <w:p>
      <w:r>
        <w:t>BULLETIN NO. 18 OF MAY 12, 2025 39</w:t>
        <w:br/>
        <w:t>This provision will be published in the Bulletin of the Italian Competition Authority.</w:t>
      </w:r>
    </w:p>
    <w:p>
      <w:r>
        <w:t>THE DEPUTY SECRETARY GENERAL THE PRESIDENT</w:t>
        <w:br/>
        <w:t>Serena Stella Roberto Rustichelli</w:t>
      </w:r>
    </w:p>
    <w:p>
      <w:r>
        <w:t>40 BULLETIN NO. 18 OF MAY 12, 2025</w:t>
        <w:br/>
        <w:t>C12717 - BAIN CAPITAL INVESTORS/NAMIRIAL HOLDING</w:t>
        <w:br/>
        <w:t>Provision No. 31534</w:t>
        <w:br/>
        <w:t>THE ITALIAN COMPETITION AUTHORITY</w:t>
        <w:br/>
        <w:t>IN ITS MEETING of April 24, 2025;</w:t>
        <w:br/>
        <w:t>HEARD the Rapporteur, Saverio Valentino;</w:t>
        <w:br/>
        <w:t>HAVING REGARD TO Regulation (EC) No. 139/2004;</w:t>
        <w:br/>
        <w:t>HAVING REGARD TO Law No. 287 of October 10, 1990;</w:t>
        <w:br/>
        <w:t>HAVING REGARD TO the Presidential Decree No. 217 of April 30, 1998;</w:t>
        <w:br/>
        <w:t>HAVING REGARD TO the communication from Bain Capital Investors LLC, received on April 8, 2025;</w:t>
        <w:br/>
        <w:t>CONSIDERING the following:</w:t>
        <w:br/>
        <w:t>I. THE PARTIES</w:t>
        <w:br/>
        <w:t>1. Bain Capital Investors, LLC (hereinafter, “Bain Capital”) is a U.S. private equity investment management company, leading the eponymous Group, which invests in companies active in various sectors, such as information technology, healthcare, retail of consumer goods, communications, financial services, and industrial/manufacturing sectors. In 2023, the Bain Capital Group generated a revenue of [100-582]* billion euros worldwide, of which [20-30] billion euros in Europe and [2-3] billion euros in Italy1.</w:t>
        <w:br/>
        <w:t>2. Namirial Holding S.p.A. (hereinafter, “Namirial”) is an Italian joint-stock company and is the holding company of the eponymous Namirial Group, primarily active in providing trust services and electronic identification (regulated by the eIDAS Regulation)2 to large enterprises, small and medium-sized enterprises, public administrations, and individuals. In addition to its core activities described, the Namirial Group also offers other ancillary software: these include specific solutions aimed at meeting the end-to-end needs of SMEs (such as electronic invoicing and document management solutions), which are typically purchased together with core products. Currently, Namirial is indirectly controlled by the asset management company Ambienta S.G.R. S.p.A. (hereinafter, “Ambienta”).</w:t>
        <w:br/>
        <w:t>* In this version, some data are omitted, as there were deemed to be elements of confidentiality or secrecy of the information.</w:t>
        <w:br/>
        <w:t>1 The financial year 2023 is the last complete financial year for which data related to Bain Capital is available.</w:t>
        <w:br/>
        <w:t>2 The eIDAS Regulation (Electronic identification and trust services for electronic transactions in the internal market), namely EU Regulation No. 910/2014 on digital identity, establishes standards to ensure interoperability and security in electronic transactions between various Member States. It also sets out rules regarding qualified trust services and establishes a union legal framework, providing for the registration of qualified trust service providers in specific public lists.</w:t>
      </w:r>
    </w:p>
    <w:p>
      <w:r>
        <w:t>BULLETIN NO. 18 OF MAY 12, 2025 41</w:t>
        <w:br/>
        <w:t>In 2023, the Namirial Group generated a revenue of [100-582] million euros worldwide, [100-582] million euros in Europe, and [100-582] million euros in Italy3.</w:t>
        <w:br/>
        <w:t>II. DESCRIPTION OF THE OPERATION</w:t>
        <w:br/>
        <w:t>3. The notified concentration (hereinafter, “Operation”) consists of the acquisition by Bain Capital - through the Italian company Ink Topco S.r.l. (hereinafter, “Ink TopCo”) - of exclusive indirect control over Namirial and the companies controlled by it (hereinafter, “Namirial Group” or “Target”). More specifically, the Buyer will indirectly acquire 100% of the share capital of the Target; furthermore, the contracts signed between the Parties provide that after the closing: (i) certain current senior managers of the Namirial Group may reinvest in the Target, provided that the reinvestment stake will be absolutely less than 50% of the Target's capital and no strategic governance rights will be linked to it; (ii) similarly, Ambienta, the current controlling shareholder, has the right to subscribe for a stake not exceeding 20% of the Target's share capital, a stake that would grant it the ability to appoint one member of the boards of directors of certain companies in the Namirial Group, provided that this participation will also not be suitable to confer any control rights. Therefore, the Operation will involve the acquisition of exclusive control by Bain Capital over Namirial.</w:t>
        <w:br/>
        <w:t>III. QUALIFICATION OF THE OPERATION</w:t>
        <w:br/>
        <w:t>4. The Operation, having as its object the acquisition of exclusive control of a company, constitutes a concentration pursuant to Article 5, paragraph 1, letter b), of Law No. 287/1990. It falls within the scope of application of Law No. 287/1990, as the conditions set out in Article 1 of Regulation (EC) No. 139/2004 do not apply, and it is subject to the prior notification obligation established by Article 1, paragraph 1, of the same law, as the total revenue generated, in the last financial year at the national level, by the group of interested companies exceeded 582 million euros and the total revenue generated individually, in the last financial year at the national level, by at least two of the interested companies exceeded 35 million euros.</w:t>
        <w:br/>
        <w:t>IV. EVALUATION OF THE CONCENTRATION</w:t>
        <w:br/>
        <w:t>Relevant markets</w:t>
        <w:br/>
        <w:t>5. The Operation in question concerns the following relevant markets: a) the market for the provision of “qualified” trust services; b) the market for the provision of electronic identification services.</w:t>
        <w:br/>
        <w:t>6. The market for the provision of “qualified” trust services includes the design, implementation, and management of digital signature certification services and related services, as well as the management of the certified email service.</w:t>
        <w:br/>
        <w:t>7. The market for the provision of electronic identification services includes the automatic extraction of information contained in identity documents, as well as recognition services.</w:t>
        <w:br/>
        <w:t>3 The financial year 2023 is the last complete financial year for which certified data related to the Namirial Group is available.</w:t>
      </w:r>
    </w:p>
    <w:p>
      <w:r>
        <w:rPr>
          <w:b/>
        </w:rPr>
        <w:t>[Pages 40–42]</w:t>
      </w:r>
    </w:p>
    <w:p>
      <w:r>
        <w:t>42 BULLETIN NO. 18 OF MAY 12, 2025</w:t>
      </w:r>
    </w:p>
    <w:p>
      <w:r>
        <w:t>biometric recognition and identity verification through national digital identity schemes (e.g., SPID, CIE, etc.).</w:t>
      </w:r>
    </w:p>
    <w:p>
      <w:r>
        <w:t>8. With regard to the geographical dimension, in a previous provision, the Authority had considered that the markets related to the activities in question had a national scope, and not supranational, considering the significant regulatory differences that were in force at the time in the various Member States. In this regard, it is highlighted that such activities are now governed by the eIDAS Regulation, which has direct applicability in all Member States and is aimed precisely at promoting the cross-border use of online services. In the case at hand, however, there is no need to dwell on the definition of the markets affected by the concentration, as the delineation would not alter the assessment of the Operation.</w:t>
      </w:r>
    </w:p>
    <w:p>
      <w:r>
        <w:t>9. The Namirial Group is, in fact, active in both relevant markets, with market shares of no particular significance, while none of the companies directly or indirectly controlled by funds managed and/or advised by Bain Capital is active in the aforementioned markets, nor in adjacent, closely related, or upstream or downstream markets. The Operation therefore results in the mere replacement of one operator with another and it is believed that it does not have substantial effects on the competitive structure of the affected markets.</w:t>
      </w:r>
    </w:p>
    <w:p>
      <w:r>
        <w:t>CONSIDERING, therefore, that the Operation does not significantly impede effective competition in the relevant market pursuant to Article 6, paragraph 1, of Law No. 287/1990 and does not lead to the establishment or strengthening of a dominant position;</w:t>
      </w:r>
    </w:p>
    <w:p>
      <w:r>
        <w:t>RESOLVES</w:t>
      </w:r>
    </w:p>
    <w:p>
      <w:r>
        <w:t>not to initiate the investigation referred to in Article 16, paragraph 4, of Law No. 287/1990. The above conclusions will be communicated, pursuant to Article 16, paragraph 4, of Law No. 287/1990, to the interested companies and to the Minister of Enterprises and Made in Italy. This provision will be published in the Bulletin of the Italian Competition Authority.</w:t>
      </w:r>
    </w:p>
    <w:p>
      <w:r>
        <w:t>THE DEPUTY SECRETARY GENERAL THE PRESIDENT</w:t>
        <w:br/>
        <w:t>Serena Stella Roberto Rustichelli</w:t>
      </w:r>
    </w:p>
    <w:p>
      <w:r>
        <w:t>4 See C7770 - Almaviva/Actalis, provision No. 15646 of June 28, 2006, in Bulletin No. 26/2006.</w:t>
      </w:r>
    </w:p>
    <w:p>
      <w:r>
        <w:t>BULLETIN NO. 18 OF MAY 12, 2025 43</w:t>
      </w:r>
    </w:p>
    <w:p>
      <w:r>
        <w:t>ACTIVITY OF REPORTING AND CONSULTATION</w:t>
      </w:r>
    </w:p>
    <w:p>
      <w:r>
        <w:t>AS2079 - EXTENSION OF CONCESSIONS FOR THE ELECTRICITY DISTRIBUTION SERVICE</w:t>
      </w:r>
    </w:p>
    <w:p>
      <w:r>
        <w:t>Rome, April 30, 2025</w:t>
      </w:r>
    </w:p>
    <w:p>
      <w:r>
        <w:t>Ministry of the Environment and Energy Security</w:t>
      </w:r>
    </w:p>
    <w:p>
      <w:r>
        <w:t>The Italian Competition Authority, in its meeting of April 24, 2025, pursuant to Article 21 of Law No. 287 of October 10, 1990, has resolved to formulate the following observations and consequent proposals for the forthcoming implementing decree, in light of some competitive issues identified regarding the extension of concessions for the electricity distribution service, provided for by Article 1, paragraphs 50 et seq., of Law No. 207 of December 30, 2024 (“2025 Budget Law”).</w:t>
      </w:r>
    </w:p>
    <w:p>
      <w:r>
        <w:t>The activity of electricity distribution is a natural monopoly; therefore, it cannot be efficiently managed in a competitive market regime. Consequently, the best way to obtain the benefits that derive from competitive comparison, in terms of efficiency, service quality, and lower prices for final consumers, is represented by the selection of the concessionaire through a public evidence procedure, for example, through a tender (so-called competition for the market).</w:t>
      </w:r>
    </w:p>
    <w:p>
      <w:r>
        <w:t>This method of selecting the entity entitled to exercise the electricity distribution service, in each of the segmentation areas of the national territory, has been identified by the legislator in the regulatory framework for the reorganization and liberalization of the electricity sector as a whole, enacted already at the end of the last century (Legislative Decree No. 79/1999).</w:t>
      </w:r>
    </w:p>
    <w:p>
      <w:r>
        <w:t>In particular, Article 9, paragraph 2, of Legislative Decree No. 79/1999 established the principle of awarding electricity distribution concessions through a tender at expiration, set by the same decree for December 31, 2030, thus simultaneously providing for a thirty-year duration of the arrangements in force at that time, based on concessions to be granted by the Minister of Industry, Commerce, and Crafts by 2001 (Article 9, paragraph 1).</w:t>
      </w:r>
    </w:p>
    <w:p>
      <w:r>
        <w:t>Legislative Decree No. 79/1999, in the same Article 9, paragraph 2, established not only that the concessions for the electricity distribution service, after 2030, would have to be awarded through competitive selection of operators via a public tender, to be issued no later than five years before the expiration (therefore, by the current year 2025), but also provided that, for this purpose, appropriate territorial areas would have to be designed, which should not be less than the municipal territory and not more than a quarter of all final customers connected to the electricity distribution network in the national territory.</w:t>
      </w:r>
    </w:p>
    <w:p>
      <w:r>
        <w:t>These provisions have represented the well-known regulatory framework for all sector operators and institutional stakeholders, called to manage and regulate the concessions taking into account this time frame. Compliance with such a long deadline was aimed at ensuring, on the one hand, the recovery of investments made by concessionaires and, on the other, the realization in the medium term, even for the electricity distribution segment, of the liberalization provided for by Legislative Decree No. 79/1999, in the form of competition for the market.</w:t>
      </w:r>
    </w:p>
    <w:p>
      <w:r>
        <w:t>As is known, this regulation has been modified by the new legislation subject to this Report, approved within the latest 2025 Budget Law (Article 1, paragraphs 50 et seq.). According to the new provisions, in light of the presentation of extraordinary multi-year investment plans by the current concessionaires of the electricity distribution service, aimed at achieving a series of predetermined objectives (such as, among others, improving the resilience and reliability of the service, increasing the capacity for integrating distributed generation, and absorbing the increased demand related to the transition of consumption towards the use of electricity), the existing concessions may be restructured, “in line with the duration of the investments provided for by the same plans, however for a period not exceeding twenty years” (Article 1, paragraph 52).</w:t>
      </w:r>
    </w:p>
    <w:p>
      <w:r>
        <w:t>This Ministry is called to establish by decree, to be issued within one hundred eighty days from the entry into force of the Budget Law (therefore, by June 30, 2025), in agreement with the Ministry of Economy and Finance, upon proposal of the Regulatory Authority for Energy, Networks and Environment (hereinafter, “ARERA”), the terms and methods for the submission by concessionaires of such extraordinary multi-year investment plans (Article 1, paragraph 50) and for the subsequent evaluation and approval of the same, as well as for the determination of the concession fees that concessionaires are required to pay due to the restructuring of the concessions (Article 1, paragraph 51).</w:t>
      </w:r>
    </w:p>
    <w:p>
      <w:r>
        <w:t>Based on the above, preliminarily and generally, the Authority observes that an intervention to extend the concessions for an additional twenty years, such as that recently</w:t>
      </w:r>
    </w:p>
    <w:p>
      <w:r>
        <w:t>3 In addition to the specific investment objectives, the general purposes indicated by the regulations in question appear to be those of “improving the security, reliability, and efficiency of the electricity distribution network as a critical infrastructure and promptly achieving the decarbonization objectives set by international agreements and the European Union for 2050, as well as […] ensuring urgent interventions aimed at strengthening the defense and security of electricity distribution infrastructures also against the risks of illegal intrusion and cyber and cyber-attacks” (Article 1, paragraph 50).</w:t>
      </w:r>
    </w:p>
    <w:p>
      <w:r>
        <w:t>4 As well as prior agreement, for the aspects of competence, at the Unified Conference referred to in Article 8 of Legislative Decree No. 281 of August 28, 1997, and prior opinion of the competent Parliamentary Committees.</w:t>
      </w:r>
    </w:p>
    <w:p>
      <w:r>
        <w:rPr>
          <w:b/>
        </w:rPr>
        <w:t>[Pages 43–45]</w:t>
      </w:r>
    </w:p>
    <w:p>
      <w:r>
        <w:t>BULLETIN NO. 18 OF MAY 12, 2025 45</w:t>
      </w:r>
    </w:p>
    <w:p>
      <w:r>
        <w:t>approved, appears inconsistent with principles of competition protection, crystallizing for a potentially significant period the position of absolute preeminence of the main operator, which currently accounts for about 85% of connected users, while, as mentioned, from the perspective set forth by Legislative Decree No. 79/1999, subsequent tender procedures should have been organized by areas, in order to proceed with the reassignment of concessions with a maximum limit equal to one quarter of the final customers for each area.</w:t>
      </w:r>
    </w:p>
    <w:p>
      <w:r>
        <w:t>The potentially prolonged time deferral, enacted by the regulation, hinders the benefits that competition for the market could bring through tenders specifically aimed at the realization of the aforementioned multi-year plans.</w:t>
      </w:r>
    </w:p>
    <w:p>
      <w:r>
        <w:t>Moreover, it delays the redefinition of the concession areas that could bring significant advantages to consumers, applying a sectoral regulation of a comparative nature to homogeneous dimensional realities.</w:t>
      </w:r>
    </w:p>
    <w:p>
      <w:r>
        <w:t>Such deferral risks, therefore, reinforcing the competitive advantages that larger outgoing operators will benefit from in future tenders, compared to smaller operators potentially interested in participating, further compromising the level of competitiveness that can be expressed within future procedures.</w:t>
      </w:r>
    </w:p>
    <w:p>
      <w:r>
        <w:t>This is in a context where, moreover, the choice to crystallize the current high degree of concentration in the electricity distribution sector does not appear coherent even with some available empirical evidence, which shows that economies of scale in the sector diminish at substantially reduced scales, equal to several hundred thousand (or, in the most extreme cases, a few million) users.</w:t>
      </w:r>
    </w:p>
    <w:p>
      <w:r>
        <w:t>The existence in the market of a plurality of companies at an efficient scale would conversely lead to better overall results both in terms of innovation and in terms of results achievable through the aforementioned comparative sectoral regulation, reducing the typical informational asymmetries regarding costs that hinder proper regulation and, ultimately, the reduction of the regulated components of bills.</w:t>
      </w:r>
    </w:p>
    <w:p>
      <w:r>
        <w:t>Considering, therefore, for all these reasons, the necessarily derogatory nature of the extension of existing concessions with respect to the principles of competition, the Authority believes that it should be foreseen and limited to exceptional cases, justified by reasons of general interest, being necessary and strictly proportional to the pursuit of such interests.</w:t>
      </w:r>
    </w:p>
    <w:p>
      <w:r>
        <w:t>This implies that, in the specific case, the challenges posed by the energy transition and the need for modernization and digitalization of networks, indicated by the Budget Law as motivations for the intervention of temporal extension of existing concessions, cannot render an excessively broad and disproportionate use of the same admissible.</w:t>
      </w:r>
    </w:p>
    <w:p>
      <w:r>
        <w:t>In light of the arguments presented, the Authority intends, therefore, to formulate some indications that may be usefully considered by this Ministry in drafting the implementing decree provided for by the regulations in question and expected by next June, for the purpose of its compatibility with national and EU competition principles.</w:t>
      </w:r>
    </w:p>
    <w:p>
      <w:r>
        <w:t>Firstly, in order to ensure maximum compatibility between the pursuit of the public purposes indicated by the regulation and the protection of competition, the Authority considers it essential that, in setting terms and methods for the approval of extraordinary investment plans of the concessionaires and the related reconfiguration of the concessions, this Ministry wishes to decline the regulatory indication of a period "not exceeding twenty years," ensuring, to the widest extent possible,</w:t>
      </w:r>
    </w:p>
    <w:p>
      <w:r>
        <w:t>46 BULLETIN NO. 18 OF MAY 12, 2025</w:t>
      </w:r>
    </w:p>
    <w:p>
      <w:r>
        <w:t>that the actual duration of the extension itself is correctly and strictly limited to the time related to the realization of the investments that are actually indispensable in the immediate and cannot be postponed, and then proceed - as soon as possible - to the announcement of public tenders for the selection of concessionaires, with the simultaneous redefinition of the concession areas according to the scheme already contemplated by Legislative Decree No. 79/1999.</w:t>
      </w:r>
    </w:p>
    <w:p>
      <w:r>
        <w:t>Where, in fact, investments deemed absolutely indispensable in the immediate have characteristics that require a prolonged recovery time similar to that indicated by the regulation as the maximum limit for the extension, the Authority believes that the preferable method from a competitive perspective is to grant the selected operator through tender the possibility to reimburse the outgoing operator for the portion of investments not yet amortized, as already occurs in many other economic sectors at the time of the takeover of a different operator of a public utility service (for example, in natural gas distribution, in port areas, in public lighting, etc.).</w:t>
      </w:r>
    </w:p>
    <w:p>
      <w:r>
        <w:t>With specific reference to the sector, which is in many ways analogous, of natural gas distribution, for which, as is well known, tenders are expected for minimum territorial areas (so-called ATEM) for the awarding of expired concessions, the Authority has made many efforts over the years to encourage the effective conduct of tenders. Although the two sectors are undergoing different technological and market dynamics, which make the use of electric vectors in final uses predominant and increase the related needs for network modernization, these elements do not appear to justify such a radical difference in the approach to the regulation of the two sectors, such as that realized by the complete exclusion of electricity distribution from the principle of conducting tenders for a particularly significant period, which adds to that already originally identified by Legislative Decree No. 79/1999.</w:t>
      </w:r>
    </w:p>
    <w:p>
      <w:r>
        <w:t>Only a method, such as the one indicated above, of the incoming operator's takeover identified through public tender prior to reimbursement to the outgoing operator of the portion of multi-year investments not yet amortized, avoids the risk feared by the Authority in this context, namely the disproportionality of competitive restrictions for the achievement of a public interest such as the modernization of electricity distribution networks in the current energy transition scenario.</w:t>
      </w:r>
    </w:p>
    <w:p>
      <w:r>
        <w:t>The Authority finally intends to emphasize the importance of ensuring necessary coherence, in the evaluation and approval by this Ministry of the extraordinary investment plans of the concessionaires, as well as in the related reconfiguration of the concessions, with any public funding that the distributors themselves receive for the implementation of investments with similar purposes, for example within initiatives related to the implementation of the National Recovery and Resilience Plan. It is therefore essential that the investments to be proposed and admitted within the multi-year investment plans to be presented in compliance with the provisions included in the 2025 Budget Law are complementary and additional to those already underway (financed with PNRR funds), the completion of which is expected by the second quarter of 2026.</w:t>
      </w:r>
    </w:p>
    <w:p>
      <w:r>
        <w:t>This coherence objective, aimed at avoiding any multiple valuations of the same types of interventions that have already been financed with public funds, assumes particular importance also in light of the circumstance that the investments of distributors financed through public contributions are currently further incentivized with forms of rewards through electricity bills and, therefore, with burdens on Italian electricity users.</w:t>
      </w:r>
    </w:p>
    <w:p>
      <w:r>
        <w:t>The Authority trusts that the above considerations and indications will be duly taken into account in order to ensure maximum respect for competitive principles in the drafting of the implementing decree provided for by the regulations in question and subsequently ensure, in the shortest possible time, the unfolding of competition for the market in the offering of electricity distribution services through the organization of public tenders for the awarding of concessions, in the best interest of citizens and businesses.</w:t>
      </w:r>
    </w:p>
    <w:p>
      <w:r>
        <w:t>This report will be published in the Bulletin of the Italian Competition Authority.</w:t>
      </w:r>
    </w:p>
    <w:p>
      <w:r>
        <w:t xml:space="preserve">THE PRESIDENT </w:t>
        <w:br/>
        <w:t>Roberto Rustichelli</w:t>
      </w:r>
    </w:p>
    <w:p>
      <w:r>
        <w:rPr>
          <w:b/>
        </w:rPr>
        <w:t>[Pages 46–48]</w:t>
      </w:r>
    </w:p>
    <w:p>
      <w:r>
        <w:t>48 BULLETIN NO. 18 OF MAY 12, 2025</w:t>
        <w:br/>
        <w:t>UNFAIR BUSINESS PRACTICES</w:t>
        <w:br/>
        <w:t>PS12743 - ENEL ENERGIA – RENEWAL COMMUNICATION METHODS</w:t>
        <w:br/>
        <w:t>Provision No. 31536</w:t>
        <w:br/>
        <w:t>THE ITALIAN COMPETITION AUTHORITY</w:t>
        <w:br/>
        <w:t>IN ITS MEETING of April 24, 2025;</w:t>
        <w:br/>
        <w:t>HEARD the Rapporteur, Saverio Valentino;</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 in force at the time of the initiation of the procedure, subsequently replaced by the "Regulation on investigative procedures in consumer protection and misleading and comparative advertising," adopted by the Authority with resolution No. 31356 of November 5, 2024 (hereinafter, "Regulation");</w:t>
        <w:br/>
        <w:t>HAVING REGARD TO the communication of April 3, 2024, which initiated procedure PS12743 against the company Enel Energia S.p.A.;</w:t>
        <w:br/>
        <w:t>HAVING REGARD TO its provision of April 3, 2024, which ordered the inspection, pursuant to Article 27, paragraphs 2 and 3, of the Consumer Code, at the registered office of Enel Energia S.p.A.;</w:t>
        <w:br/>
        <w:t>HAVING REGARD TO its provisions of July 30, September 24, December 17, 2025, and January 21, 2025, which, pursuant to Article 7, paragraph 3, of the Regulation in force at the time and Article 8, paragraph 4, of the Regulation, ordered the extension of the deadline for concluding the procedure for investigative needs;</w:t>
        <w:br/>
        <w:t>HAVING REGARD TO the communication received on May 21, 2024, in which the company Enel Energia S.p.A. submitted, pursuant to Article 27, paragraph 7, and Article 9 of the Regulation in force at the time, a proposal for commitments, subsequently integrated into the definitive and consolidated version on January 15, 2025;</w:t>
        <w:br/>
        <w:t>HAVING REGARD TO the documents of the procedure;</w:t>
        <w:br/>
        <w:t>I. THE PARTIES</w:t>
        <w:br/>
        <w:t>1. The company Enel Energia S.p.A. (hereinafter also Enel Energia or EE), VAT No. 15844561009, with its registered office in Rome at Via Luigi Boccherini, 15, active in the supply of electricity and natural gas in the free market, as a professional, pursuant to Article 18, letter b), of the Consumer Code. In the fiscal year 2024, based on provisional data, the company achieved a turnover of approximately 25 billion euros.</w:t>
      </w:r>
    </w:p>
    <w:p>
      <w:r>
        <w:t>BULLETIN NO. 18 OF MAY 12, 2025 49</w:t>
        <w:br/>
        <w:t>2. Adiconsum Sardegna, Codici, Codici Lombardia, Confconsumatori, Associazione Consumerismo No Profit, Federconsumatori, Movimento Difesa del Cittadino (MDC), U.Di.Con., Unione Nazionale Consumatori (UNC), Altroconsumo, Assoutenti, as consumer associations.</w:t>
        <w:br/>
        <w:t>3. Coop F.lli Giannattasio as the reporting cooperative.</w:t>
        <w:br/>
        <w:t>II. THE CONDUCTS SUBJECT TO THE PROCEDURE</w:t>
        <w:br/>
        <w:t>4. The procedure concerns certain behaviors carried out by EE, regarding the methods used to communicate to users the renewal of the economic supply conditions expiring on June 1, 2023.</w:t>
        <w:br/>
        <w:t>In particular, numerous consumers and micro-enterprises complained of not having received the renewal communication of the economic supply conditions (by mail or email), having found it accidentally in spam, or having confused the email (so-called DEM) that contained the new economic conditions as merely a promotional message. Therefore, the reporters complained that they became aware of the application of new economic conditions only upon receiving the gas and electricity bills issued by EE related to the months of higher consumption, highlighting that they were unable to exercise the right of withdrawal.</w:t>
        <w:br/>
        <w:t>Furthermore, the possible misleading nature of the accompanying DEM of the communications sent via email was also hypothesized, as it could be confused with a promotional message due to its editorial format or intercepted by spam filters.</w:t>
        <w:br/>
        <w:t>III. THE OUTCOMES OF THE PROCEDURE</w:t>
        <w:br/>
        <w:t>a. The procedure process</w:t>
        <w:br/>
        <w:t>5. In relation to the aforementioned conducts, on April 3, 2024, the investigative procedure PS12743 was initiated against the professional for possible violation of Articles 20, 24, 25 of the Consumer Code1.</w:t>
        <w:br/>
        <w:t>Simultaneously with the communication of the initiation of the investigative procedure, in order to acquire useful knowledge elements for the evaluation of the commercial practice, a request for information was made to the professional, pursuant to Article 27, paragraphs 3 and 4, of the Consumer Code and Article 12, paragraph 1, of the Regulation in force at the time, accompanied by the relevant documentation, regarding the contested conduct.</w:t>
        <w:br/>
        <w:t>6. On April 5, 2024, an inspection was carried out at the registered office of the professional2.</w:t>
        <w:br/>
        <w:t>7. During the procedure, the consumer associations Adiconsum Sardegna, Codici, Codici Lombardia, Confconsumatori, Associazione Consumerismo No Profit, Federconsumatori, Movimento Difesa del Cittadino, U.Di.Con., Unione Nazionale Consumatori, Altroconsumo, Assoutenti, as well as Coop F.lli Giannattasio, were admitted to participate.</w:t>
        <w:br/>
        <w:t>1 Doc. No. 639 of the index of the investigative file.</w:t>
        <w:br/>
        <w:t>2 See inspection report, doc. No. 699 of the index of the investigative file.</w:t>
      </w:r>
    </w:p>
    <w:p>
      <w:r>
        <w:t>50 BULLETIN NO. 18 OF MAY 12, 2025</w:t>
        <w:br/>
        <w:t>8. With communication dated May 20, 20243, Enel submitted a response to the request for information contained in the communication initiating the procedure. On July 4 and 10, 20244, September 13, 20245, October 30, 20246, and January 9, 20257, Enel Energia sent responses to the requests for information made during the procedure8.</w:t>
        <w:br/>
        <w:t>9. Enel Energia had access to the documents on April 15,9 June 17, 202410, February 14 and 17, 202511, and March 26, 202512; furthermore, the legal representatives and external lawyers of the company were heard in a hearing on June 17, 202413.</w:t>
        <w:br/>
        <w:t>10. On May 21, 2024, Enel Energia submitted, pursuant to Article 27, paragraph 7, of the Consumer Code and Article 9 of the Regulation in force at the time, a proposal for commitments14, subsequently integrated into the definitive and consolidated version on January 15, 202515.</w:t>
        <w:br/>
        <w:t>11. On January 23, 2025, the conclusion of the investigative phase was communicated to the Parties pursuant to Article 17, paragraph 1, of the Regulation, and a deadline of 20 days was assigned for any written counterarguments to be submitted to the College16.</w:t>
        <w:br/>
        <w:t>12. MDC and Altroconsumo had access to the documents on February 3, 202517, U.Di.Con. on February 3 and 4, 202518, UNC on February 4, 202519, Codici on February 14, 202520, U.Di.Con. on February 25, 202521.</w:t>
        <w:br/>
        <w:t>3 Doc. No. 2196 of the index of the investigative file.</w:t>
        <w:br/>
        <w:t>4 Doc. No. 4472 and doc. No. 4538 of the index of the investigative file.</w:t>
        <w:br/>
        <w:t>5 Doc. No. 5063 of the index of the investigative file.</w:t>
        <w:br/>
        <w:t>6 Doc. No. 5169 of the index of the investigative file.</w:t>
        <w:br/>
        <w:t>7 Doc. No. 5252 of the index of the investigative file.</w:t>
        <w:br/>
        <w:t>8 See doc. No. 4333 and doc. No. 5137 of the index of the investigative file.</w:t>
        <w:br/>
        <w:t>9 Doc. No. 774 of the index of the investigative file.</w:t>
        <w:br/>
        <w:t>10 Doc. No. 4138 of the index of the investigative file.</w:t>
        <w:br/>
        <w:t>11 Doc. No. 5319 and doc. No. of the index of the investigative file.</w:t>
        <w:br/>
        <w:t>12 Doc. No. 5345 of the index of the investigative file.</w:t>
        <w:br/>
        <w:t>13 See doc. No. 4333 of the index of the investigative file: hearing report signed on June 25, 2024.</w:t>
        <w:br/>
        <w:t>14 Doc. No. 2270 of the index of the investigative file.</w:t>
        <w:br/>
        <w:t>15 Doc. No. 5254 of the index of the investigative file.</w:t>
        <w:br/>
        <w:t>16 Docs. Nos. 5272 - 5284 of the index of the investigative file.</w:t>
        <w:br/>
        <w:t>17 Respectively doc. No. 5296 and doc. No. 5298 of the index of the investigative file.</w:t>
        <w:br/>
        <w:t>18 Doc. No. 5297 and doc. No. 5303 of the index of the investigative file.</w:t>
        <w:br/>
        <w:t>19 Doc. No. 5304 of the index of the investigative file.</w:t>
        <w:br/>
        <w:t>20 Doc. No. 5318 of the index of the investigative file.</w:t>
        <w:br/>
        <w:t>21 Doc. No. 5326 of the index of the investigative file.</w:t>
      </w:r>
    </w:p>
    <w:p>
      <w:r>
        <w:rPr>
          <w:b/>
        </w:rPr>
        <w:t>[Pages 49–51]</w:t>
      </w:r>
    </w:p>
    <w:p>
      <w:r>
        <w:t>BULLETIN NO. 18 OF MAY 12, 2025 51</w:t>
      </w:r>
    </w:p>
    <w:p>
      <w:r>
        <w:t>13. Altroconsumo submitted memoranda on February 11, 2025, UNC and U.Di.Con. on February 12, 2025, MDC on February 13, 2025, as well as Codici, Assoutenti, and Confconsumatori on February 17, 2025.</w:t>
      </w:r>
    </w:p>
    <w:p>
      <w:r>
        <w:t>14. On February 21, 2025, Enel Energia submitted counterarguments to the Board.</w:t>
      </w:r>
    </w:p>
    <w:p>
      <w:r>
        <w:t>15. On March 5, 2025, a request for an opinion was made to the Regulatory Authority for Energy Networks and Environment (ARERA), pursuant to Article 27, paragraph 1-bis, of the Consumer Code. The opinion was received on April 16, 2025.</w:t>
      </w:r>
    </w:p>
    <w:p>
      <w:r>
        <w:t>b. The elements acquired and the commitments of the professional</w:t>
      </w:r>
    </w:p>
    <w:p>
      <w:r>
        <w:t>16. From the evidentiary findings and the information acquired during the proceedings, the following emerged.</w:t>
      </w:r>
    </w:p>
    <w:p>
      <w:r>
        <w:t>17. EE sent, in January and February 2023, [1,000,000-1,500,000]* communications regarding the renewal of the economic conditions of energy and/or gas supplies, effective from June 1, 2023, of which [500,000-1,000,000] were sent by mail and [100,000-500,000] via digital channels (PEC/email). During the three-month notice period indicated in the communications, [50,000-100,000] supply users migrated to another operator: a cancellation rate of [1-5%] was recorded for the digital channel and [5-10%] for the postal channel. In light of the feedback provided by the professional on October 30, 2024, it appears that the "non-delivered" communications for which the carrier or provider returned a negative outcome (so-called "KO") after sending, amount to over [40,000-100,000], to which approximately [100,000-500,000] communications sent in association with the contested DEM via digital channel are added.</w:t>
      </w:r>
    </w:p>
    <w:p>
      <w:r>
        <w:t>18. Regarding the management of digital "non-deliveries," EE specified that it has re-sent the renewal letter via ordinary mail. As for the paper "non-deliveries," the professional stated that it introduced, starting in January 2024, a specific procedure that involves, if the non-receipt of such communications is reported, the opening of an ad hoc investigation to verify the outcome returned by the postal carrier regarding delivery, as well as the application of the new economic conditions only in the case of a positive delivery confirmation.</w:t>
      </w:r>
    </w:p>
    <w:p>
      <w:r>
        <w:t>19. Furthermore, it emerged that EE had already activated, in November 2023, a dedicated working group aimed at adopting new versions of DEM, which are significantly modified starting from May 2024, as well as strengthening its domain authentication measures for sending in order to comply with the guidelines "New Gmail protections for a safer, less spammy inbox," adopted by Google in December 2023, concerning policies on anti-spam measures reserved for "bulk senders" (massive users sending a significant volume of emails). EE added that it had implemented, concurrently and subsequently to the initiation of the proceedings, a series of caring measures in favor of consumers most affected by the increases in energy costs in the form of payment extensions, invoice bonuses, or renegotiations, for a total amount of [15-25] million euros (as of July 3, 2024).</w:t>
      </w:r>
    </w:p>
    <w:p>
      <w:r>
        <w:t>20. On May 21, 2024, EE submitted, pursuant to Article 27, paragraph 7, of the Consumer Code and Article 9 of the applicable Regulation, a proposal for commitments, subsequently integrated into the definitive and consolidated version on January 15, 2025, which consists of three measures, namely:</w:t>
        <w:br/>
        <w:t>i) an informational measure, consisting of the implementation of consumer awareness regarding the renewal communication, made clearer through a renewed DEM both in textual and graphical parts;</w:t>
        <w:br/>
        <w:t>ii) a second measure aimed at enhancing the information systems and functionalities related to the customer assistance service, concerning contract renewals;</w:t>
        <w:br/>
        <w:t>iii) an additional measure aimed at compensating customers who received a renewal communication sent via ordinary mail with a negative outcome, as well as customers who received a renewal communication sent via digital channel who, by the date of adoption of the acceptance of the commitments, had filed a complaint regarding the lack of clarity of the DEM.</w:t>
      </w:r>
    </w:p>
    <w:p>
      <w:r>
        <w:t>21. The first measure, of an informational nature, consists of the preparation of a detailed information campaign through:</w:t>
        <w:br/>
        <w:t>a) a notification system, via SMS (or email in case the customer's mobile number is unavailable), to remind customers to whom the new economic conditions will apply both of the sending of the renewal communication and the availability, in the reserved area of the EE website, of the last two renewal communications received (regardless of the customer's request). Such notifications will be sent primarily via SMS to reach as many customers as possible and, secondarily, only for those customers for whom EE does not have a mobile number, via email/PEC to the address available in the customer database. The same notifications will also be available in the EE app;</w:t>
        <w:br/>
        <w:t>b) a message in the first invoice issued following the renewal, reminding customers of the application of the communicated conditions: "Starting from this bill, the new economic conditions of your offer apply. For info call 800.900.860 or visit one of our stores";</w:t>
        <w:br/>
        <w:t>c) renewed DEM both in graphic structure and in text.</w:t>
      </w:r>
    </w:p>
    <w:p>
      <w:r>
        <w:t>22. The second measure consists of enhancing the information systems and functionalities related to the front-end customer assistance service, through multiple touchpoints of the professional (contact center, physical points, digital channel), so that the assigned operators, subject to specific training, can promptly verify: i) whether the economic conditions of the customer's supply are subject to a renewal, providing any clarifications in this regard, and ii) whether the renewal communication has been correctly delivered, consulting the management system where the outcomes provided by postal carriers/providers are recorded.</w:t>
      </w:r>
    </w:p>
    <w:p>
      <w:r>
        <w:t>23. The third measure is compensatory and consists of recognizing a refund equal to [25%-50%] of the difference between the renewal price and the previous price, applied to the consumption made by the affected customers until the expiration date of the new conditions, unless renegotiation or termination of the bond. This amount – in favor of approximately [40,000-100,000] supplies for a total value of approximately [5-11] million euros – was identified based on an analysis of the mainstream gas and electricity offers (i.e., best-selling) proposed by EE to new customers during the observation period, in order to allow the affected consumers to benefit from the savings they would have achieved had they opted for another offer in EE's portfolio for the free market, available during the same period. Specifically, the compensation will be granted to:</w:t>
        <w:br/>
        <w:t>a) all customers, both those still in the customer base and those who have since ceased, who received a renewal communication with an increase (with economic conditions effective from June 2023 until April 2024), sent via ordinary mail with a KO delivery outcome. The email message will be configured as follows: "Sender: Enel Energia Subject: New economic conditions for your electricity/gas offer Header: Have you read the new economic conditions of your electricity/gas offer? Body-copy: Hi, the economic conditions of your electricity/gas offer are expiring. In recent weeks, we sent you a communication with the details of the new conditions through one of these channels: • PEC, if you provided it • email, also check your spam/junk folder • mail, to the address where you receive the bill. If you prefer, you can also find the communication in your Reserved Area Enel Energia via App and web in the "Documents" section. To speak with one of our consultants, call the toll-free number 800.900.860 or visit us in-store. See you soon, The Enel Energia team." Finally, the app push will have, in the title, "New economic conditions of your offer" and, in the subtitle, "Have you read them? Go to the Documents section." The card text will be: "We have sent you the new economic conditions of your electricity/gas offer via PEC, email, or mail. You can also find them in the "Documents" section. For info call 800.900.860 or visit us in-store." Such notifications will be sent primarily via SMS to reach as many customers as possible and, secondarily, only for those customers for whom EE does not have a mobile number, via email/PEC to the address available in the customer database. The same notifications will also be available in the Enel Energia App.</w:t>
      </w:r>
    </w:p>
    <w:p>
      <w:r>
        <w:t>34 Below is the text of the DEM: "Sender: Enel Energia Subject: New economic conditions for your electricity/gas offer Header: New economic conditions for your electricity/gas offer Text: Hi, the economic conditions of your electricity/gas offer + offer name are expiring. Attached you will find the new conditions that will be valid from xx/xx/xx to xx/xx/xx and you can read more details. If you prefer, you can also find the communication in your Reserved Area Enel Energia via App and web in the "Documents" section. If you need clarifications, our consultants are at your disposal: • call the toll-free number 800 900 860 • visit a store, find the one closest to you. See you soon, The Enel Energia team."</w:t>
      </w:r>
    </w:p>
    <w:p>
      <w:r>
        <w:rPr>
          <w:b/>
        </w:rPr>
        <w:t>[Pages 52–54]</w:t>
      </w:r>
    </w:p>
    <w:p>
      <w:r>
        <w:t>54 BULLETIN NO. 18 OF MAY 12, 2025</w:t>
        <w:br/>
        <w:t>will be approximately [40,000-80,000] and the total value of the measure is approximately [4-8] million euros;</w:t>
        <w:br/>
        <w:t>b) all customers, both those still in the customer base and those who have since ceased, recipients of a renewal communication with an increase (with economic conditions effective from June 2023 until April 2024), sent via digital channel, with an OK delivery outcome, who have submitted a complaint, as of the date of adoption of the acceptance of commitments, complaining about the lack of clarity of the message associated with the new contractual conditions. The compensation is also extended to complaints addressed solely to the Authority (and not also to EE)35. The affected supplies will be approximately [3,000-8,000] and the total value of the measure is approximately [1-3] million euros;</w:t>
        <w:br/>
        <w:t>24. The compensations will be recognized to EE customers in the form of a bonus directly on the bill and to former customers through a credit note to be reimbursed via Mooney service or postal check (depending on the amount)36.</w:t>
        <w:br/>
        <w:t>25. Regarding the timing, the first and second measures will be implemented, respectively, within 3 months and within 6 months from the notification of the acceptance of the commitments, due to the IT developments to be carried out. The third measure, finally, will be recognized, considering the necessary coordination among the various business functions involved (pricing, billing, marketing, customer care), to EE customers within the third ordinary useful bill after one month from the notification of the acceptance of the commitments and to former customers within 7 months from the notification of the acceptance of the commitments.</w:t>
        <w:br/>
        <w:t>26. The professional emphasized that the commitments illustrated above are in addition to the measures already autonomously taken (consisting of bonuses and renegotiations) in favor of approximately [100,000-200,000] supplies for a total amount of approximately [15-20] million euros and the agreements signed with the main national consumer associations to define measures to mitigate energy costs. Overall, therefore, the measures implemented and to be implemented by EE, towards the recipients of renewal communications with increases sent during 2023, allow for the return of approximately [20-30] million euros to approximately [150,000-250,000] customers.</w:t>
        <w:br/>
        <w:t>IV. COUNTERARGUMENTS OF THE PARTIES</w:t>
        <w:br/>
        <w:t>27. Some consumer associations have presented counterarguments regarding the suitability of the commitments to remedy the issues contested against the professional, briefly illustrated below.</w:t>
        <w:br/>
        <w:t>28. Altroconsumo considers it appropriate to include, within the consumer information, a clear reference to the increase in the supply fee. It does not find the offered compensation satisfactory because it does not restore the affected consumer's ability to withdraw, does not protect the recipients of the digital communication who did not complain, is conditioned to a time period that is too limited, and the implementation methods do not include reimbursement via bank transfer.</w:t>
        <w:br/>
        <w:t>29. According to UNC, it would be desirable to confirm the consumer's acknowledgment of the renewal communication and to include, in it, both the items "percentage increase of the bill" and "% increase" in the comparison table on the estimated annual expenditure for 8 consumption bands, as well as a personalized information based on the customer's consumption from the last year.</w:t>
        <w:br/>
        <w:t>30. According to U.Di.Con., the provision of a reminder via email seems illogical as it is a channel that has proven ineffective for communicating renewals in 2023 and, in any case, considers its content unsuitable to convey that the commercial offer will undergo a change. The association also finds the compensations unsatisfactory because the quantification of the related amounts has been autonomously defined by EE and because they exclude those who remained inactive; it also criticizes the methods (without tracking) and the timing (excessively long) of the disbursement of the aforementioned compensations.</w:t>
        <w:br/>
        <w:t>31. MDC notes that the lack of a mechanism for explicit acceptance could lead the consumer to neglect the acknowledgment of the renewal communication; it also considers the inclusion of a notice on the bill insufficient because it is too late. It also contests the vagueness of the commitment related to strengthening customer service and the lack of a dedicated service for contesting tariff changes, highlighting how the training of operators does not ensure the provision of clear answers and concrete solutions. Finally, it considers the methods of recognizing compensations lengthy and cumbersome, the amount of which is unsatisfactory because it does not fully cover the sums paid by consumers for the supply of energy and criticizes the lack of recognition of compensations in favor of those who did not complain.</w:t>
        <w:br/>
        <w:t>32. Assoutenti, Confconsumatori, and Codici emphasize the lack of adoption of certified tools that attest to the actual receipt of the renewal communication and believe that EE should apply the pre-existing tariffs in the absence of certain proof of receipt of the renewal communications and that the sums subject to compensation should be returned with interest. The three entities finally complain that the agreements made between EE and some consumer associations would provide preferential treatment for the consumers associated with them.</w:t>
        <w:br/>
        <w:t>V. OPINION OF THE REGULATORY AUTHORITY</w:t>
        <w:br/>
        <w:t>33. Since the commercial practice subject to this provision concerns the energy services supply sector, on March 5, 2025, the opinion was requested from the Regulatory Authority for Energy Networks and Environment (ARERA), pursuant to and for the effects of Article 27, paragraph 1-bis, of the Consumer Code, introduced by Article 1, paragraph 6, letter a), of Legislative Decree No. 21 of February 21, 2014.</w:t>
        <w:br/>
        <w:t>34. In an opinion received on April 16, 2025, the aforementioned Authority referred to the Code of Commercial Conduct (as per Annex A to resolution No. 366/2018/R/com of June 28, 2018, and subsequent amendments) which integrates a sector-specific specification of the general regulations on consumer protection, with particular regard to the offer and conclusion phase of the supply contract and aims to prevent harmful conduct towards end customers (including small non-domestic customers) when they receive offers for the conclusion of electricity and/or natural gas supply contracts in the free market.</w:t>
        <w:br/>
        <w:t>35. In particular, ARERA specified, with reference to the obligations of sellers in the event of changes to contractual conditions (unilateral changes, automatic evolutions, and renewals), that from January 1, 2025, the related communications must be provided on a durable medium, previously accepted by the customer and, in the case of unilateral changes and renewals, must have content bound to specific regulatory provisions and be separate from communications of another nature, such as commercial communications. Furthermore, in the case of electronic transmission, the heading of the communications regarding contractual changes and renewals must coincide with the possible subject of the transmission message of the communications37.</w:t>
        <w:br/>
        <w:t>36. ARERA also reiterated, from the perspective of informational obligations, that from January 1, 2024, the heading of the written communication regarding the commencement of the new and different economic conditions must contain the wording: "Proposal for renewal of economic conditions with modification of the same conditions38. In the event of non-compliance with the provisions of the aforementioned Code, the renewals of the economic conditions with modification of the same conditions do not apply, except in cases where they involve a decrease in unit fees provided for in the contract. In cases of non-application, the conditions prior to the proposed changes continue to apply.</w:t>
        <w:br/>
        <w:t>37. ARERA also pointed out that the regulation does not provide specific obligations for sellers to use appropriate methods of sending communications regarding changes to contractual conditions that attest to the receipt of such communications by the end customer, as, in the event of a dispute regarding the effectiveness of unilateral changes and renewals of the economic conditions of contracts, arising from the complaint made by the end customer regarding the receipt of the act, the burden of proof of sending and delivering the aforementioned acts to the recipient's address39.</w:t>
        <w:br/>
        <w:t>38. Regarding the commitments proposed by EE, specifically the first measure, the Regulatory Authority highlighted that:</w:t>
        <w:br/>
        <w:t>a) the information conveyed in the reserved area, via SMS, email, push in the app does not conflict with the current regulation, as it reinforces the awareness of the renewal communications of the economic conditions sent via email, certified email, or mail and also makes them accessible through additional informational tools available to end customers;</w:t>
        <w:br/>
        <w:t>b) the inclusion of a message in the first bill issued following the renewal, reminding the customer of the application of the new economic conditions - if it is to be realized after July 1, 2025 - seems compatible with the regulation only if placed within the "seller's informational space" or in the additional pages following the summary bill;</w:t>
        <w:br/>
        <w:t>c) the revision of the graphic structure and text of the accompanying DEM communications of the renewals is not entirely compliant with Article 13, paragraph 8, of the Code of Commercial Conduct, which prescribes the following wording "Proposal for renewal of economic conditions with modification of the same conditions" both in the heading of the document containing the renewal information and in the subject of the possible transmission message of the communication, in the case of electronic sending.</w:t>
        <w:br/>
        <w:t>37 See resolution 395/2024/R/com of October 1, 2024.</w:t>
        <w:br/>
        <w:t>38 See resolution 250/2023/R/com of January 1, 2024.</w:t>
        <w:br/>
        <w:t>39 The possibility for sellers to identify and use communication and notification tools, including digital ones, that facilitate the verification of the actual receipt and/or acknowledgment by the end customer alongside the methods already used remains unaffected.</w:t>
      </w:r>
    </w:p>
    <w:p>
      <w:r>
        <w:rPr>
          <w:b/>
        </w:rPr>
        <w:t>[Pages 55–57]</w:t>
      </w:r>
    </w:p>
    <w:p>
      <w:r>
        <w:t>BULLETIN NO. 18 OF MAY 12, 2025 57</w:t>
      </w:r>
    </w:p>
    <w:p>
      <w:r>
        <w:t>39. As for the second measure, consisting of enhancing the front-end system, the Regulatory Authority emphasized that this is an intervention aimed at adapting the current response capacity of its operators on aspects particularly sensitive for mass market customers, such as the renewal or modification of supply conditions, and that it only indirectly involves the aspects of the quality of customer assistance services regulated within the Integrated Text on the Quality of Sales Services (TIQV)40, which does not provide specific measures regarding the organizational methods of assistance channels and the training of operators assigned to customer service or other organizational aspects of customer care that operators implement.</w:t>
      </w:r>
    </w:p>
    <w:p>
      <w:r>
        <w:t>40. Furthermore, in relation to the compensations recognized to customers receiving a renewal communication sent via postal channel in the event of a negative delivery outcome of the same communication (“KO”), ARERA noted that - since the renewals have not been perfected - the previous contractual conditions should continue to apply between the parties. Therefore, the proposed compensatory measure would not return what is due to the final customers affected by the non-receipt of renewal communications.</w:t>
      </w:r>
    </w:p>
    <w:p>
      <w:r>
        <w:t>Finally, the aforementioned Authority did not find any conflicts with sector regulation regarding the compensations recognized in favor of customers receiving a renewal communication sent via digital channel and delivered to the same customers.</w:t>
      </w:r>
    </w:p>
    <w:p>
      <w:r>
        <w:t>VI. EVALUATION OF THE COMMITMENTS</w:t>
      </w:r>
    </w:p>
    <w:p>
      <w:r>
        <w:t>41. The Authority believes that the commitments proposed by the professional are suitable to remedy the possible profiles of illegitimacy of the contested commercial practice in the initiation communication of April 3, 2024, considering that they take into account all the profiles subject to the procedure and appear to be resolutive of the related criticalities.</w:t>
      </w:r>
    </w:p>
    <w:p>
      <w:r>
        <w:t>42. Specifically, the first measure proposed by EE decisively impacts the contested informational profile, adequately modifying the business procedures related to the communication methods of renewals. In fact, as a result of the commitment undertaken by EE, the sending of renewal communications will be accompanied by a detailed system of alerts and reminders, capable of impacting consumer awareness regarding contractual changes. In other words, the introduction of a plurality of communication tools with the final customer, which are complementary to each other (SMS, email, invoice, app notification, and Reserved Area) resolves the contested criticalities at the outset. Furthermore, this alert and reminder system meets the communication needs of various types of customers - including those who do not use digital channels - and intervenes: i) before the application of the new economic conditions, in order to inform about the sending of the renewal communication and its availability in the reserved area; ii) ex post, through the information included in the first invoice in which the new economic conditions will apply, in order to reiterate the actual start date of the prices communicated months earlier41.</w:t>
      </w:r>
    </w:p>
    <w:p>
      <w:r>
        <w:t>40 As per Annex A to resolution 413/2016/R/com of July 21, 2016.</w:t>
      </w:r>
    </w:p>
    <w:p>
      <w:r>
        <w:t>41 It should be noted, moreover, that to date ARERA has not found it appropriate to provide for a system of express consent in the event of worsening changes to the economic supply conditions (see the reasoning of resolution 395/2024/R/COM of October 1, 2024).</w:t>
      </w:r>
    </w:p>
    <w:p>
      <w:r>
        <w:t>58 BULLETIN NO. 18 OF MAY 12, 2025</w:t>
      </w:r>
    </w:p>
    <w:p>
      <w:r>
        <w:t>It is specified that the acceptance of this measure does not prejudice compliance with subsequent regulatory developments regarding the heading of the document containing information on the renewal, as well as the subject of the message in the case of electronic sending.</w:t>
      </w:r>
    </w:p>
    <w:p>
      <w:r>
        <w:t>43. From the communication perspective, it is noted that the revision of the layout and text of the accompanying DEMs appears suitable to make customers fully aware that the economic supply conditions will undergo a change. The layout and text of the DEMs have indeed been renewed in both the textual and graphical parts, eliminating any element of possible deception42.</w:t>
      </w:r>
    </w:p>
    <w:p>
      <w:r>
        <w:t>44. Furthermore, the enhancement of information systems and functionalities related to customer assistance services, with explicit reference to contractual renewals, will facilitate customers facing issues related to the receipt of renewal communications. In fact, the double verification system regarding the actual delivery of the communication in question, which front-end operators will be required to adhere to, represents a tool for direct and timely assistance, capable of providing consumers with the requested clarifications, relieving them of the burden of sending a complaint.</w:t>
      </w:r>
    </w:p>
    <w:p>
      <w:r>
        <w:t>45. The third compensatory measure also appears appropriate and commendable: EE, in fact, recognizes, in favor of over [40,000-100,000] consumers, compensation for a significant portion of the additional expenses associated with tariff increases resulting from undelivered or not fully understood communications. Indeed, the rationale behind the calculation underlying the proposed measure allows positioning the affected customers in a situation that is generally close to the one they would have found themselves in had they received and understood the renewal communication and decided to exercise their right of withdrawal. It should be noted that the offers proposed by EE to new customers during the relevant observation period were in line with the average of the offers then available on the market. In other words, the measure recognizes, for the benefit of all consumers with a KO outcome of the renewal communication, the same benefit enjoyed by those customers who, reacting to the received renewal communication, contacted EE requesting a renegotiation (whose offers were in line with those promoted to new customers) or migrated to other market operators.</w:t>
      </w:r>
    </w:p>
    <w:p>
      <w:r>
        <w:t>It is noted that, in the context of this provision accepting the commitments presented by the professional, without ascertaining the infringement, the proposed compensatory measure automatically affects all recipients of a renewal communication with an increase (with economic conditions effective from June 2023 until April 2024) with a KO delivery outcome, without prejudice to their right to assert further claims.</w:t>
      </w:r>
    </w:p>
    <w:p>
      <w:r>
        <w:t>46. It is worth adding that the measure also appears adequate concerning the group of consumers affected by the commercial practice, as it involves both those who have maintained the contractual relationship with EE and those who have switched to another operator and, therefore, are no longer part of EE's customer base.</w:t>
      </w:r>
    </w:p>
    <w:p>
      <w:r>
        <w:t>47. Finally, with reference to customers receiving a digital communication, the provision of compensations to those who have complained about the lack of clarity of the renewal communication by the date of the resolution accepting the commitments appears reasonable and shareable, as this criterion allows the professional to identify the customers to be compensated and takes into account the rate of withdrawals exercised by consumers equal to [1-5%] for the first three months and equal to [5-10%] in the following five months.</w:t>
      </w:r>
    </w:p>
    <w:p>
      <w:r>
        <w:t>42 Furthermore, the link to Pedius (app for people with hearing disabilities) has been removed from the body of the email due to the higher likelihood of being captured by spam filters set by providers.</w:t>
      </w:r>
    </w:p>
    <w:p>
      <w:r>
        <w:t>BULLETIN NO. 18 OF MAY 12, 2025 59</w:t>
      </w:r>
    </w:p>
    <w:p>
      <w:r>
        <w:t>It should also be considered that extending the commitment to those who have filed a complaint exclusively with the Authority allows for protection to be offered to those consumers affected by the conduct who have not extended their complaint to the professional.</w:t>
      </w:r>
    </w:p>
    <w:p>
      <w:r>
        <w:t>48. The counterarguments submitted by some associations, parties to this proceeding, are absorbed by the preceding considerations.</w:t>
      </w:r>
    </w:p>
    <w:p>
      <w:r>
        <w:t>49. In light of the aforementioned considerations, it is believed that the commitments presented meet the requirements set forth in Article 27, paragraph 7, of the Consumer Code.</w:t>
      </w:r>
    </w:p>
    <w:p>
      <w:r>
        <w:t>THEREFORE, CONSIDERING that the commitments presented by Enel Energia S.p.A., in the terms outlined above, are suitable to eliminate the possible profiles of unfairness of the commercial practice subject to investigation;</w:t>
      </w:r>
    </w:p>
    <w:p>
      <w:r>
        <w:t>CONSIDERING to order the mandatory nature of the aforementioned commitments towards Enel Energia S.p.A.;</w:t>
      </w:r>
    </w:p>
    <w:p>
      <w:r>
        <w:t>CONSIDERING, therefore, that it is possible to close the proceeding without ascertaining the infringement</w:t>
      </w:r>
    </w:p>
    <w:p>
      <w:r>
        <w:t>RESOLVES</w:t>
      </w:r>
    </w:p>
    <w:p>
      <w:r>
        <w:t>a) to make mandatory pursuant to Article 27, paragraph 7, of the Consumer Code and Article 10, paragraph 2, letter a), of the Regulation, towards Enel Energia S.p.A. the commitments presented by it in their definitive version on January 15, 2025, as described in the attached declaration, which constitutes an integral part of the provision;</w:t>
      </w:r>
    </w:p>
    <w:p>
      <w:r>
        <w:t>b) to close the proceeding without ascertaining the infringement, pursuant to Article 27, paragraph 7, of the Consumer Code and Article 10, paragraph 2, letter a), of the Regulation;</w:t>
      </w:r>
    </w:p>
    <w:p>
      <w:r>
        <w:t>c) that Enel Energia S.p.A. informs the Authority, within thirty and ninety days from the date of notification of this resolution, of the implementation of the commitments up to that point and, finally, within one hundred eighty days from the date of notification of this resolution, of the full implementation of the commitments.</w:t>
      </w:r>
    </w:p>
    <w:p>
      <w:r>
        <w:t>Pursuant to Article 10, paragraph 3, of the Regulation, the proceeding may be reopened ex officio, where:</w:t>
      </w:r>
    </w:p>
    <w:p>
      <w:r>
        <w:t>a) the professional does not implement the commitments undertaken;</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€10,000,000. In the</w:t>
      </w:r>
    </w:p>
    <w:p>
      <w:r>
        <w:rPr>
          <w:b/>
        </w:rPr>
        <w:t>[Pages 58–59]</w:t>
      </w:r>
    </w:p>
    <w:p>
      <w:r>
        <w:t>60 BULLETIN NO. 18 OF MAY 12, 2025</w:t>
      </w:r>
    </w:p>
    <w:p>
      <w:r>
        <w:t>In cases of repeated non-compliance, the Authority may order the suspension of business activities for a period not exceeding thirty days.</w:t>
      </w:r>
    </w:p>
    <w:p>
      <w:r>
        <w:t>This provision will be notified to the interested parties and published in the Bulletin of the Italian Competition Authority.</w:t>
      </w:r>
    </w:p>
    <w:p>
      <w:r>
        <w:t>THE DEPUTY SECRETARY GENERAL THE PRESIDENT</w:t>
        <w:br/>
        <w:t>Serena Stella Roberto Rustichelli</w:t>
      </w:r>
    </w:p>
    <w:p>
      <w:r>
        <w:t>Italian Competition Authority Weekly Bulletin</w:t>
        <w:br/>
        <w:t>of Competition and Market Year XXXV - No. 18 - 2025</w:t>
        <w:br/>
        <w:t>Editorial Coordination Giulia Antenucci</w:t>
        <w:br/>
        <w:t>Editorial Staff Angela D’Auria, Valerio Ruocco, Manuela Villani</w:t>
        <w:br/>
        <w:t>Italian Competition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