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http://www.agcm.it/dotcmsdoc/bollettini/19-17.pdf</w:t>
      </w:r>
    </w:p>
    <w:p>
      <w:r>
        <w:t>Pages translated : 223</w:t>
      </w:r>
    </w:p>
    <w:p/>
    <w:p>
      <w:r>
        <w:rPr>
          <w:b/>
        </w:rPr>
        <w:t>[Pages 1–3]</w:t>
      </w:r>
    </w:p>
    <w:p>
      <w:r>
        <w:t xml:space="preserve">Bulletin  </w:t>
        <w:br/>
        <w:t xml:space="preserve">Weekly  </w:t>
        <w:br/>
        <w:t xml:space="preserve">Year XXVII - No. 19  </w:t>
        <w:br/>
        <w:t xml:space="preserve">Published on the website www.agcm.it  </w:t>
        <w:br/>
        <w:t>May 22, 2017</w:t>
      </w:r>
    </w:p>
    <w:p>
      <w:r>
        <w:t xml:space="preserve">SUMMARY  </w:t>
        <w:br/>
        <w:t xml:space="preserve">AGREEMENTS AND ABUSE OF DOMINANT POSITION 5  </w:t>
        <w:br/>
        <w:t xml:space="preserve">I794 - ABI/SEDA  </w:t>
        <w:br/>
        <w:t xml:space="preserve">Decision No. 26565 5  </w:t>
        <w:br/>
        <w:t xml:space="preserve">I803 - RESTRICTIVE CONDUCT OF THE NOTARIAL COUNCIL OF MILAN  </w:t>
        <w:br/>
        <w:t xml:space="preserve">Decision No. 26566 96  </w:t>
        <w:br/>
        <w:t xml:space="preserve">I793 - INCREASE IN CEMENT PRICES  </w:t>
        <w:br/>
        <w:t xml:space="preserve">Decision No. 26601 97  </w:t>
        <w:br/>
        <w:t xml:space="preserve">I804 - ADMIRAL ENTERTAINMENT-LOTTOMATICA HOLDING/NEWCO  </w:t>
        <w:br/>
        <w:t xml:space="preserve">Decision No. 26602 99  </w:t>
        <w:br/>
        <w:t xml:space="preserve">I812 – FIGC - REGULATION OF THE ACTIVITIES OF SPORTS DIRECTOR - COLLABORATOR OF SPORTS MANAGEMENT - FOOTBALL SCOUT AND MATCH ANALYST  </w:t>
        <w:br/>
        <w:t xml:space="preserve">Decision No. 26603 101  </w:t>
        <w:br/>
        <w:t xml:space="preserve">CONCENTRATION OPERATIONS 110  </w:t>
        <w:br/>
        <w:t xml:space="preserve">C12080 - FERROVIE DELLO STATO ITALIANE/METRO 5  </w:t>
        <w:br/>
        <w:t xml:space="preserve">Decision No. 26598 110  </w:t>
        <w:br/>
        <w:t xml:space="preserve">TELEVISION RIGHTS 115  </w:t>
        <w:br/>
        <w:t xml:space="preserve">SR28B - SERIE A FOOTBALL LEAGUE - GUIDELINES FOR FOOTBALL CHAMPIONSHIPS 2018/2019 - 2019/2020 - 2020/2021  </w:t>
        <w:br/>
        <w:t xml:space="preserve">Decision No. 26609 115  </w:t>
        <w:br/>
        <w:t xml:space="preserve">REPORTING AND CONSULTATIVE ACTIVITIES 134  </w:t>
        <w:br/>
        <w:t xml:space="preserve">AS1373 – CONSIP - SUPPLY IN PURCHASE OF BUSES AND RELATED AND OPTIONAL SERVICES 134  </w:t>
        <w:br/>
        <w:t xml:space="preserve">AS1374 - AUTONOMOUS PROVINCE OF TRENTO - AMENDMENTS TO THE PROVINCIAL LAW ON QUARRIES 2006 AND RELATED PROVINCIAL PROVISIONS 135  </w:t>
        <w:br/>
        <w:t xml:space="preserve">UNFAIR COMMERCIAL PRACTICES 138  </w:t>
        <w:br/>
        <w:t xml:space="preserve">PS10212 - PROSERPINA FOUNDATION - UNRECOGNIZED ROMANIAN UNIVERSITY  </w:t>
        <w:br/>
        <w:t xml:space="preserve">Decision No. 26440 138  </w:t>
        <w:br/>
        <w:t xml:space="preserve">IP255 - GREEN NETWORK - UNREQUESTED ACTIVATIONS  </w:t>
        <w:br/>
        <w:t xml:space="preserve">Decision No. 26542 153  </w:t>
        <w:br/>
        <w:t xml:space="preserve">PS10608 - NEW MEDIA SERVICE  </w:t>
        <w:br/>
        <w:t xml:space="preserve">Decision No. 26607 170  </w:t>
        <w:br/>
        <w:t xml:space="preserve">PS10609 - SEO MARKETING  </w:t>
        <w:br/>
        <w:t xml:space="preserve">Notice of adoption of closure of the proceeding 178  </w:t>
        <w:br/>
        <w:t xml:space="preserve">PS10609 - SEO MARKETING  </w:t>
        <w:br/>
        <w:t xml:space="preserve">Decision No. 26608 179  </w:t>
        <w:br/>
        <w:t xml:space="preserve">PS9031B ADEMATHE’ – REGISTRATION IN MISE LIST  </w:t>
        <w:br/>
        <w:t xml:space="preserve">Notice of communication of the deadline for the conclusion of the investigative phase. 187  </w:t>
        <w:br/>
        <w:t xml:space="preserve">UNFAIR CLAUSES 191  </w:t>
        <w:br/>
        <w:t xml:space="preserve">CV149 - VODAFONE - AMENDMENTS TO CONTRACTUAL CLAUSES  </w:t>
        <w:br/>
        <w:t xml:space="preserve">Decision No. 26599 191  </w:t>
        <w:br/>
        <w:t xml:space="preserve">CV151 - FASTWEB - AMENDMENTS TO CONTRACTUAL CLAUSES  </w:t>
        <w:br/>
        <w:t>Decision No. 26600 204</w:t>
      </w:r>
    </w:p>
    <w:p>
      <w:r>
        <w:t xml:space="preserve">BULLETIN NO. 19 OF MAY 22, 2017 5  </w:t>
        <w:br/>
        <w:t xml:space="preserve">AGREEMENTS AND ABUSE OF DOMINANT POSITION  </w:t>
        <w:br/>
        <w:t xml:space="preserve">I794 - ABI/SEDA  </w:t>
        <w:br/>
        <w:t xml:space="preserve">Decision No. 26565  </w:t>
        <w:br/>
        <w:t xml:space="preserve">THE ANTITRUST AUTHORITY  </w:t>
        <w:br/>
        <w:t xml:space="preserve">IN ITS MEETING of April 28, 2017;  </w:t>
        <w:br/>
        <w:t xml:space="preserve">HEARD the Rapporteur Dr. Gabriella Muscolo;  </w:t>
        <w:br/>
        <w:t xml:space="preserve">HAVING REGARD to Article 101 of the Treaty on the Functioning of the European Union (TFEU);  </w:t>
        <w:br/>
        <w:t xml:space="preserve">HAVING REGARD to Law No. 287 of October 10, 1990;  </w:t>
        <w:br/>
        <w:t xml:space="preserve">HAVING REGARD to Council Regulation No. 1/2003 of December 16, 2002;  </w:t>
        <w:br/>
        <w:t xml:space="preserve">HAVING REGARD to the decree of the President of the Republic No. 217 of April 30, 1998;  </w:t>
        <w:br/>
        <w:t xml:space="preserve">HAVING REGARD to its resolution of January 21, 2016, with which an investigation was initiated pursuant to Article 14 of Law No. 287/90, against the Italian Banking Association (ABI) aimed at ascertaining any violations of Article 101 TFEU committed through the design of the remuneration model for the service called Sepa Compliant Electronic Database Alignment (hereinafter SEDA), through technical circular series No. 14 of June 10, 2013;  </w:t>
        <w:br/>
        <w:t xml:space="preserve">HAVING REGARD to its resolution of April 13, 2016, with which it objectively and subjectively extended the proceeding against Unicredit S.p.A., Intesa SanPaolo S.p.A., ICCREA Banca S.p.A. – Central Institute of Cooperative Credit, Central Institute of Italian Popular Banks S.p.A., Banca Nazionale del Lavoro S.p.A., Banca Monte dei Paschi di Siena S.p.A., UBI Banca S.p.A., Cassa di Risparmio di Parma e Piacenza S.p.A., Credito Valtellinese S.C.P.A., Banca del Piemonte S.p.A., Banca Sella S.p.A. in order to ascertain the existence of concerted activities aimed at defining the remuneration system of SEDA and the application of commissions to pre-existing RID mandates, with anti-competitive purposes aimed at maintaining a high price for the SEDA service;  </w:t>
        <w:br/>
        <w:t xml:space="preserve">HAVING REGARD to the communication of July 20, 2016, with which the Parties presented two alternative groups of commitments, pursuant to Article 14-ter of Law No. 287/90;  </w:t>
        <w:br/>
        <w:t xml:space="preserve">HAVING REGARD to its resolution of August 4, 2016, with which the Authority rejected the commitments as it was deemed necessary to ascertain the possible infringement;  </w:t>
        <w:br/>
        <w:t xml:space="preserve">HAVING REGARD to the Communication of Investigative Findings, sent to the Parties on January 26, 2017, pursuant to Article 14 of the D.P.R. No. 217 of April 30, 1998;  </w:t>
        <w:br/>
        <w:t xml:space="preserve">HAVING REGARD to the extension of the deadline for closing the proceeding to April 30, 2017, decided at the request of the Parties with the decision of February 7, 2017;  </w:t>
        <w:br/>
        <w:t>HAVING REGARD to the final submissions of the ABI association and the companies Unicredit S.p.A., Intesa SanPaolo S.p.A., ICCREA Banca S.p.A. – Central Institute of Cooperative Credit, Central Institute of Italian Popular Banks S.p.A., Banca Nazionale del Lavoro S.p.A., Banca Monte dei Paschi di Siena S.p.A., UBI Banca S.p.A., Cassa di Risparmio di Parma e Piacenza S.p.A., Credito Valtellinese S.C.P.A., Banca del Piemonte S.p.A., Banca Sella S.p.A. received on April 6, 7, and 10, 2017;</w:t>
      </w:r>
    </w:p>
    <w:p>
      <w:r>
        <w:rPr>
          <w:b/>
        </w:rPr>
        <w:t>[Pages 4–6]</w:t>
      </w:r>
    </w:p>
    <w:p>
      <w:r>
        <w:t>6 BULLETIN NO. 19 OF MAY 22, 2017</w:t>
      </w:r>
    </w:p>
    <w:p>
      <w:r>
        <w:t>HEARD in the final hearing the representatives of the ABI association and the companies Unicredit S.p.A., Intesa SanPaolo S.p.A., ICCREA Banca S.p.A.– Central Institute of Cooperative Credit, Central Institute of Italian Popular Banks S.p.A., Banca Nazionale del Lavoro S.p.A., Banca Monte dei Paschi di Siena S.p.A., UBI Banca S.p.A., Cassa di Risparmio di Parma e Piacenza S.p.A., Credito Valtellinese S.C.P.A., Banca del Piemonte S.p.A., Banca Sella S.p.A. on April 13, 2017;</w:t>
      </w:r>
    </w:p>
    <w:p>
      <w:r>
        <w:t>HAVING REGARD to the acts of the proceeding and the documentation acquired during the investigation;</w:t>
      </w:r>
    </w:p>
    <w:p>
      <w:r>
        <w:t>CONSIDERED the following:</w:t>
      </w:r>
    </w:p>
    <w:p>
      <w:r>
        <w:t>1 INTRODUCTION</w:t>
      </w:r>
    </w:p>
    <w:p>
      <w:r>
        <w:t>1. On January 21, 2016, the Authority initiated, pursuant to Article 14 of Law No. 287/90, an investigation against the Italian Banking Association (ABI) aimed at ascertaining any violations of Article 101 TFEU committed through the design of the remuneration model for the service called Sepa Compliant Electronic Database Alignment (hereinafter SEDA), through technical circular series no. 14 of June 10, 2013. The documentation concerning the interbank agreement subject to the initiation was submitted by ABI to the Authority on December 17, 2013, and was subsequently supplemented. Following the inspection findings carried out at ABI, in light of the documentation that revealed a series of behaviors beyond those hypothesized in the initiation provision, carried out not only by ABI in its capacity as a trade association but also by some banks including the main Italian banking groups, on April 13, 2016, the Authority objectively and subjectively extended the proceeding against Unicredit S.p.A., Intesa SanPaolo S.p.A., ICCREA Banca S.p.A.– Central Institute of Cooperative Credit, Central Institute of Italian Popular Banks S.p.A., Banca Nazionale del Lavoro S.p.A., Banca Monte dei Paschi di Siena S.p.A., UBI Banca S.p.A., Cassa di Risparmio di Parma e Piacenza S.p.A., Credito Valtellinese S.C.P.A., Banca del Piemonte S.p.A., Banca Sella S.p.A. in order to ascertain the existence of concerted activities aimed at defining the remuneration system of SEDA and the application of commissions to the pre-existing RID mandates, with anti-competitive purposes aimed at maintaining a high price for the SEDA service.</w:t>
      </w:r>
    </w:p>
    <w:p>
      <w:r>
        <w:t>2 THE PARTIES TO THE PROCEEDING</w:t>
      </w:r>
    </w:p>
    <w:p>
      <w:r>
        <w:t>2. The Italian Banking Association (also referred to as ABI) is a voluntary non-profit association whose members represent, directly or indirectly, all credit institutions in Italy or operating in Italy and the most significant part of financial intermediaries. In particular, ABI has 626 banks as members (of which 166 incorporated as joint-stock companies, 1 having the legal nature of public law, 411 incorporated as cooperative societies, 47 branches in Italy of foreign banks, 1 representative office in Italy of a foreign bank); 165 financial intermediaries (such as, for example, financial companies, leasing companies, factoring companies, securities brokerage firms); 13 trade associations (5 among banks and 8 among financial intermediaries). In 2016, the membership fees paid to ABI amounted to € 38,468,524.00.</w:t>
      </w:r>
    </w:p>
    <w:p>
      <w:r>
        <w:t>3. Banca del Piemonte S.p.A. (also referred to as Banca del Piemonte) is a bank of regional size primarily active in Piedmont. Banca del Piemonte operates in various segments of banking and financial activity, including the domestic and international collection and payment sector for families and businesses. Banca del Piemonte offers both the Sepa Direct Debit (SDD) payment service and the SEDA service. In 2016, Banca del Piemonte's revenue was € 75,638,317.00.</w:t>
      </w:r>
    </w:p>
    <w:p>
      <w:r>
        <w:t>4. Banca Monte dei Paschi di Siena S.p.A. (also referred to as MPS) is the holding company at the head of the namesake group active in various segments of banking and financial activity. MPS is one of the main Italian banking groups with significant shares in all business areas in which it operates. MPS offers both the Sepa Direct Debit (SDD) payment service and the SEDA service. The revenue generated by MPS in 2016 was € 5,806,206,041.00.</w:t>
      </w:r>
    </w:p>
    <w:p>
      <w:r>
        <w:t>5. Banca Nazionale del Lavoro S.p.A. (also referred to as BNL) is one of the main Italian banks active in various segments of banking and financial activity. BNL is part of the BNP Paribas group, one of the main European banking groups. BNL offers both the Sepa Direct Debit (SDD) payment service and the SEDA service. The revenue generated by BNL in 2015 was € 3,215,167,000.00.</w:t>
      </w:r>
    </w:p>
    <w:p>
      <w:r>
        <w:t>6. Cassa di Risparmio di Parma e Piacenza S.p.A. (also referred to as Cariparma) is an Italian bank active in various segments of banking and financial activity. Cariparma is part of the Crédit Agricole group, one of the main European banking groups. Cariparma offers both the Sepa Direct Debit (SDD) payment service and the SEDA service. The revenue generated by Cariparma in 2015 was € 1,692,632,300.00.</w:t>
      </w:r>
    </w:p>
    <w:p>
      <w:r>
        <w:t>7. Banca Piccolo Credito Valtellinese S.p.A. (also referred to as Creval) is the company resulting from the transformation of Credito Valtellinese S.C. into a joint-stock company. Creval is at the head of the Credito Valtellinese group active in various segments of banking and financial activity. Creval offers both the Sepa Direct Debit (SDD) payment service and the SEDA service. The revenue generated by Creval in 2015 was € 1,692,632,300.00.</w:t>
      </w:r>
    </w:p>
    <w:p>
      <w:r>
        <w:t>8. Istituto Centrale delle Banche Popolari Italiane S.p.A. (also referred to as ICBPI) is the parent company of the banking group that provides services and infrastructures for the competitiveness and growth of banks, financial and insurance institutions, and public administration. ICBPI has, as its main activity, the aim of making the work of Italian popular banks more intense and effective, to whose purposes its actions are inspired. ICBPI specializes in the management of Payment Services, national – international, and in Securities Services. ICBPI is a second-tier bank not authorized to perform retail services. ICBPI offers the SEDA service free of charge for the beneficiaries of payments due from its account holders, exclusively employees of the bank. ICBPI offers the SDD service. The revenue generated by ICBPI in 2015 was € 315,158,337.00.</w:t>
      </w:r>
    </w:p>
    <w:p>
      <w:r>
        <w:t>9. ICCREA Banca - Istituto Centrale del Credito Cooperativo (also referred to as ICCREA) is at the top of the ICCREA banking group. ICCREA is a second-tier bank that provides services to cooperative credit banks that hold its capital in a fragmented manner. ICCREA participated in the meetings and technical tables of ABI as is customary in similar cases, as the institutional representative of the BCC. ICCREA does not offer the SEDA service but provides the service of "processing" messaging between individual BCCs and the EBA Clearing Clearing Mechanism. ICCREA does not offer the SDD service. The revenue generated by ICCREA in 2015 was € 717,148,812.00.</w:t>
      </w:r>
    </w:p>
    <w:p>
      <w:r>
        <w:t>10. Intesa SanPaolo S.p.A. (also referred to as Intesa) is the parent company of the namesake banking group. The Intesa SanPaolo group, born from the integration of Banca Intesa S.p.A. and Sanpaolo IMI S.p.A., is active in offering banking, financial, and insurance services and is one of the main banking groups in Italy with a widespread national network and significant shares in all business areas in which it operates. Intesa offers both the Sepa Direct Debit (SDD) payment service and the SEDA service. The revenue generated by Intesa in 2015 was € 25,951,000,000.00.</w:t>
      </w:r>
    </w:p>
    <w:p>
      <w:r>
        <w:t>11. Banca Sella S.p.A. (also referred to as Banca Sella) is active in providing various banking-financial services and payment systems and is part of the namesake banking group. Banca Sella offers both the Sepa Direct Debit (SDD) payment service and the SEDA service. The revenue generated by Banca Sella in 2015 was € 558,226,837.00.</w:t>
      </w:r>
    </w:p>
    <w:p>
      <w:r>
        <w:t>12. UBI Banca S.p.A. (also referred to as UBI) is the parent company of the namesake banking group active in offering banking, financial, and insurance services. The UBI group is one of the main banking groups in Italy with a widespread national network and significant shares in all business areas in which it operates. UBI offers both the Sepa Direct Debit (SDD) payment service and the SEDA service. The revenue generated by UBI in 2015 was € 3,989,714,000.00.</w:t>
      </w:r>
    </w:p>
    <w:p>
      <w:r>
        <w:t>13. Unicredit S.p.A. (also referred to as Unicredit) is the parent company of the namesake banking group, reorganized following the completion of the merger operation incorporating Capitalia S.p.A. into UniCredito Italiano S.p.A. In Italy, the Unicredit group is active in offering banking, financial, and insurance services. Unicredit is one of the main Italian banking groups with significant shares in all business areas in which it operates. Unicredit offers both the Sepa Direct Debit (SDD) payment service and the SEDA service. The revenue generated by Unicredit in 2015 was € 13,729,919,887.00.</w:t>
      </w:r>
    </w:p>
    <w:p>
      <w:r>
        <w:rPr>
          <w:b/>
        </w:rPr>
        <w:t>[Pages 7–9]</w:t>
      </w:r>
    </w:p>
    <w:p>
      <w:r>
        <w:t>BULLETIN NO. 19 OF MAY 22, 2017</w:t>
      </w:r>
    </w:p>
    <w:p>
      <w:r>
        <w:t>3 THE INSTRUCTIONAL ACTIVITY CARRIED OUT</w:t>
      </w:r>
    </w:p>
    <w:p>
      <w:r>
        <w:t>14. Since 2013, numerous pieces of information have been collected, both in the pre-instruction phase and during the instruction phase, in order to deepen the remuneration system of the SEDA service and to identify any critical issues that may have arisen in the market.</w:t>
      </w:r>
    </w:p>
    <w:p>
      <w:r>
        <w:t>15. With reference to the pre-instruction phase, the Authority's Offices sent requests for information to ABI on the following dates: March 11, 20144; July 2, 20145; November 21, 20146; April 1, 20157; August 12, 20158. ABI has been heard several times in hearings, in particular on December 17, 20139; April 3, 201410; July 24, 201411; December 18, 201412; April 20, 201513 and September 22, 201514.</w:t>
      </w:r>
    </w:p>
    <w:p>
      <w:r>
        <w:t>16. On November 24, 2014, requests for information were made to Unicredit15; BNL16; Intesa17; MPS18; Banca Popolare di Sondrio19; Banca Popolare di Milano20; Banco di Sardegna21; Banca di credito cooperativo di Cambiano22. On September 29, 2015, requests for information were made to various beneficiaries of the SEDA service such as: A2A S.p.A.23; Acquedotto Pugliese S.p.A.24; Enel Energia S.p.A.25; Enel servizio elettrico S.p.A.26; Hera S.p.A.27; Iren S.p.A.28; Sorgenia S.p.A.29; Telecom Italia S.p.A.30; Tiscali Italia S.p.A.31; Fastweb S.p.A.32; Acea S.p.A.33; American Express Services Europe Limited34.</w:t>
      </w:r>
    </w:p>
    <w:p>
      <w:r>
        <w:t>17. In addition, the associations Federutility (now Utilitalia) were heard on May 20, 201535, Assotelecomunicazioni (ASSTEL) on June 10, 201536, and the company Eni S.p.A. on July 15, 201537.</w:t>
      </w:r>
    </w:p>
    <w:p>
      <w:r>
        <w:t>18. Following the initiation of the investigation, ABI was heard in hearings on March 22, 201638; March 31, 201639; April 12, 201640; April 21, 201641; September 8, 201642 and January 9, 201743.</w:t>
      </w:r>
    </w:p>
    <w:p>
      <w:r>
        <w:t>19. The other parties to the proceedings were heard in hearings between July 28, 201644 and October 7, 201645.</w:t>
      </w:r>
    </w:p>
    <w:p>
      <w:r>
        <w:t>20. The parties proposed commitments pursuant to Article 14-ter of Law 287/90 on July 20, 201646. The commitments were rejected by the Authority with a decision of August 4, 2016, communicated to the parties on August 8, 201647, as in this case, it was deemed, in line with community regulations as well as with what is expressly provided in paragraph 6 of the "Communication on the application procedures of Article 14-ter of Law No. 287/90", not to accept the proposed commitments and to proceed with the ascertainment of any infringement, also considering the Authority's interest in establishing the unlawfulness of the conduct adopted.</w:t>
      </w:r>
    </w:p>
    <w:p>
      <w:r>
        <w:t>21. As will be seen further below, ABI and the banks involved in the proceedings participated in several hearings held to present a possible alternative remuneration system for SEDA compatible with antitrust rules. In this context, ABI and the other parties to the proceedings were heard in hearings on October 17, 201648; October 28, 201649; November 14, 201650; November 21, 201651 and December 22, 201652 and January 13, 201753.</w:t>
      </w:r>
    </w:p>
    <w:p>
      <w:r>
        <w:t>22. The parties to the proceedings have all repeatedly exercised their right of access to the documents, most recently on April 10 and 11, 2017.</w:t>
      </w:r>
    </w:p>
    <w:p>
      <w:r>
        <w:t>23. During the proceedings, ENEL S.p.A.54; American Express Services Europe Limited55 and Telecom S.p.A.56 were also heard. Requests for information were sent to HSBC Bank plc Italy57 and Citibank n.a.58.</w:t>
      </w:r>
    </w:p>
    <w:p>
      <w:r>
        <w:t>24. The Bank of Italy was heard in a hearing on October 17, 201659.</w:t>
      </w:r>
    </w:p>
    <w:p>
      <w:r>
        <w:t>25. The parties submitted written statements and clarifications during the proceedings, the contents of which were duly considered in the drafting of this decision60.</w:t>
      </w:r>
    </w:p>
    <w:p>
      <w:r>
        <w:t>26. On January 26, 2017, the Instructional Findings of the proceedings were sent to the parties.</w:t>
      </w:r>
    </w:p>
    <w:p>
      <w:r>
        <w:t>27. Between January 27 and February 1, 2017, requests for extensions of the procedural deadlines of the investigation were received from all parties to the proceedings, motivated by the need to fully exercise the right of defense and to carry out the necessary in-depth analyses, among other things, due to the complexity of the case and the large volume of documents on which to exercise the right to counter-argue. Such requests were accepted by the Authority, which, in order to fully apply the principle of contradiction, extended the deadline for closing the proceedings to April 30, 2017, with a resolution of February 7, 2017.</w:t>
      </w:r>
    </w:p>
    <w:p>
      <w:r>
        <w:t>28. On April 7, 2017, a request was received from the company Monte dei Paschi di Siena for a reduction of the sanction, due to the alleged inability of the requesting company to contribute.</w:t>
      </w:r>
    </w:p>
    <w:p>
      <w:r>
        <w:t>29. On April 13, 2017, the final hearing was held before the Board, with the representatives of the ABI association and the companies Unicredit S.p.A., Intesa SanPaolo S.p.A., ICCREA Banca S.p.A. – Istituto Centrale del Credito Cooperativo, Istituto Centrale delle Banche Popolari Italiane S.p.A., Banca Nazionale del Lavoro S.p.A., Banca Monte dei Paschi di Siena S.p.A., UBI Banca S.p.A., Cassa di Risparmio di Parma e Piacenza S.p.A., Credito Valtellinese S.C.P.A., Banca del Piemonte S.p.A., Banca Sella S.p.A..</w:t>
      </w:r>
    </w:p>
    <w:p>
      <w:r>
        <w:t>4 THE REFERENCE LEGISLATION</w:t>
      </w:r>
    </w:p>
    <w:p>
      <w:r>
        <w:t>29. Within the framework of the process of creating the common payment market (Single Euro Payments Area – SEPA), which finds its regulatory framework in the so-called European directives on "payment services" (Payments Service Directive (PSD 1 and 2), Regulation (EU) No. 260/2012 of the Parliament and the Council of March 14, 2012, which establishes the technical and commercial requirements for euro transfers and direct debits and amends Regulation (EC) No. 924/200962.</w:t>
      </w:r>
    </w:p>
    <w:p>
      <w:r>
        <w:t>30. The first recital of Regulation (EU) No. 260/2012 states that "SEPA should be completed in such a way as to [...] create favorable conditions for greater competition in payment services and for the free development and rapid implementation throughout the Union of the</w:t>
      </w:r>
    </w:p>
    <w:p>
      <w:r>
        <w:rPr>
          <w:b/>
        </w:rPr>
        <w:t>[Pages 10–12]</w:t>
      </w:r>
    </w:p>
    <w:p>
      <w:r>
        <w:t>12 BULLETIN NO. 19 OF MAY 22, 2017</w:t>
      </w:r>
    </w:p>
    <w:p>
      <w:r>
        <w:t>innovations related to payments. Consequently, the increase in economies of scale, enhanced operational efficiency, and strengthened competition should translate into optimized downward pressure on the prices of electronic payment services in euros. The effects should be significant […]. The transition to SEPA should therefore not be accompanied by overall price increases for users of payment services ("USP"), in general, and for consumers, in particular”63 (ed.: emphasis added).</w:t>
      </w:r>
    </w:p>
    <w:p>
      <w:r>
        <w:t>31. Regulation (EU) 260/2012, in Articles 5 et seq., governs the Sepa Direct Debit (SEPA DD), which is the payment instrument that allows the payer, through a "mandate," to express consent and authorization to the beneficiary and their bank (hereinafter also Payment Service Provider or PSP, usually the payment institution with which they have a current account relationship) to debit their payment account for an amount corresponding to what is due to their creditor/beneficiary from time to time (e.g., utility bills for electricity, gas, water, etc.).</w:t>
      </w:r>
    </w:p>
    <w:p>
      <w:r>
        <w:t>32. Regulation (EU) No. 260/2012 intervenes both to ensure uniform standards at the community level that allow the operation of SEPA DD at a transnational level and to set rules on the remuneration of the instrument that limit costs for users (businesses and consumers). In this regard, Regulation (EU) No. 260/2012, in Article 8, states that “no MIF64 or any other form of agreed remuneration with equivalent object or effect applies to direct debit transactions.” As a result of this provision, each bank independently decides how to obtain remuneration for the service by setting collection fees that may be borne by the beneficiary, by the consumer who authorizes the debit, or by both.</w:t>
      </w:r>
    </w:p>
    <w:p>
      <w:r>
        <w:t>33. In Italy, the payment system prior to SEPA DD was the RID. This system combined two services into a single instrument: the payment service and an informational service (Electronic Archive Alignment) that allowed beneficiaries to obtain information about the current accounts of the paying subjects who had authorized the debit. The SEPA DD, on the other hand, is a pure payment instrument that does not associate a reporting system.</w:t>
      </w:r>
    </w:p>
    <w:p>
      <w:r>
        <w:t>34. With resolution No. 85/2013 of February 2013, the Bank of Italy issued the provision containing the implementing instructions of Regulation (EU) No. 260/2012, providing, for what is relevant here, that “payment service providers, also through their associative representations, in collaboration with the associative representations of users of payment services, define and make available additional optional services capable of ensuring that the service levels of the transfers and direct debits provided for by Regulation 260/2012 are at least equal to those of the corresponding national services”65 (Article 8).</w:t>
      </w:r>
    </w:p>
    <w:p>
      <w:r>
        <w:t>63 Regulation (EU) No. 260/2012, directly applicable at the national level, imposed a binding timeline for the transposition of the PSD directive and SEPA principles. For what is relevant here, Regulation (EU) No. 260/2012 indicated the conditions for the implementation of SEPA and set the deadline for the migration from national debit systems (in Italy RID) to SEPA Direct Debit to February 1, 2014. This deadline was subsequently extended to August 2, 2014, by Regulation (EU) No. 248/2014 of the European Parliament and of the Council of February 26, 2014, which amends Regulation (EU) No. 260/2012 regarding the migration to transfers and direct debits at the Union level, in OJUE of March 20, 2014, L. 84/1. The extension is included in Article 1, which amends Article 16 of Regulation 260/2012, providing that “until August 1, 2014, PSPs may continue to process payment transactions in euros in formats other than those required for direct transfers and direct debits under this regulation.”</w:t>
      </w:r>
    </w:p>
    <w:p>
      <w:r>
        <w:t>64 The MIF is defined by Article 2 of Regulation (EU) No. 260/2012 as “a multilateral interbank fee subject to an agreement between more than two PSPs.” The interbank fee, defined by the aforementioned article, for what is relevant here is “a fee paid between the payer's PSP and the beneficiary's PSP for direct debit transactions.”</w:t>
      </w:r>
    </w:p>
    <w:p>
      <w:r>
        <w:t>65 It has also been provided that “the retention of mandates conferred by the payer within a direct debit service by the beneficiary or a third party does not constitute a payment service and is not an activity reserved for payment service providers” (Article 6), thus leaving open the possibility for entities other than PSPs to offer the service of retaining mandates.</w:t>
      </w:r>
    </w:p>
    <w:p>
      <w:r>
        <w:t>BULLETIN NO. 19 OF MAY 22, 2017 13</w:t>
      </w:r>
    </w:p>
    <w:p>
      <w:r>
        <w:t>35. The SEDA Service constitutes an additional optional service (AOS) to the SEPA DD that, in Italy, has been perceived by companies using SEPA DD as essential to continue using the latter and to complete the migration process by definitively abandoning the previous RID system.</w:t>
      </w:r>
    </w:p>
    <w:p>
      <w:r>
        <w:t>36. Regulation (EU) No. 260/2012, while not expressly governing AOS, has expressly provided that the prohibition of MIF does not apply to them66.</w:t>
      </w:r>
    </w:p>
    <w:p>
      <w:r>
        <w:t>5 INTERACTIONS WITH THE AUTHORITY</w:t>
      </w:r>
    </w:p>
    <w:p>
      <w:r>
        <w:t>37. On April 10, 2009, ABI, following a request for information from the Authority, sent a letter in which, in addition to describing the progress of the adaptation of the Italian banking system to SEPA, announced that, following requests from companies, ABI was studying the adoption of additional optional services (AOS). In particular, ABI specified that “banks have been urged to implement an AOS, called SEPA Electronic Database Alignment (SEDA), aimed at making available for SEPA direct debit instruments the functionalities of the electronic archive alignment procedure provided for by the national RID scheme”67. Regarding the remuneration of the service, ABI clarified that: “since the costs incurred by the debtor's bank for the alignment service should not be passed on to the debtor, who would not be in a position to choose whether or not to use the additional service, it is believed that the only possible mechanism to support the SEDA model from an economic compatibility standpoint is to provide for an interbank fee in favor of the debtor's bank at the expense of the creditor's bank. During the analysis work, representatives of companies did not express doubts or concerns about the introduction of a cost compensation mechanism”68.</w:t>
      </w:r>
    </w:p>
    <w:p>
      <w:r>
        <w:t>38. On October 30, 2012, ABI presented the SEDA service in a hearing to the offices, specifying that “in line with the indications of the Regulation, a hypothesis of remuneration closely linked to the object of the additional optional service SEDA has been identified: the remuneration model for the optional SEDA services is based on a fee for each mandate paid by the beneficiary to the PSPs of the payers to whom the beneficiary itself has requested the SEDA domiciliation of the mandate”69.</w:t>
      </w:r>
    </w:p>
    <w:p>
      <w:r>
        <w:t>39. In response to the Authority's request for information on January 11, 2013, ABI specified that “given that pursuant to Article 8 of the aforementioned Regulation (EC) No. 260/2012, the adoption of a remuneration model based on interbank commission exchanges, in any form, related to direct debit transactions is not permitted, and considering that the SEDA service is an optional service separate from the underlying SEPA debit service, there was a need to identify a mechanism suitable for remunerating the activities carried out by the Payer's PSP towards the Beneficiaries within the new SEDA service, in compliance with the aforementioned technical-regulatory constraints. The choice to anchor the remuneration of the service to the ongoing management of the mandate carried out by the Payer's PSP, which indeed constitutes the primary characteristic of the SEDA service, was deemed the most efficient solution and most responsive to the object of the additional service, taking into account the aforementioned constraints” (emphasis in the original ed.)70.</w:t>
      </w:r>
    </w:p>
    <w:p>
      <w:r>
        <w:t>40. Following these interactions, on March 18, 2013, the Authority sent a letter to ABI observing “that this is an optional and additional service compared to the basic SEPA Direct Debit scheme, which is, at present, still in the design phase. In particular, as expressly stated in your communication of January 14, 2013, the ‘remuneration model of the service… as well as the related contractual and regulatory aspects (interbank agreement) are not defined. The Authority therefore reserves every assessment pursuant to Law 287/90 also in light of the concrete modalities of the provision of the SEDA service and the consequent effects produced on the market”71.</w:t>
      </w:r>
    </w:p>
    <w:p>
      <w:r>
        <w:t>41. On December 17, 2013, ABI presented the SEDA service in its final version in a hearing to the Authority. Following this communication, the Authority made several requests for information72 in order to acquire the necessary knowledge elements to understand the functioning of the remuneration system of the service73.</w:t>
      </w:r>
    </w:p>
    <w:p>
      <w:r>
        <w:t>6 THE SEDA SERVICE: FUNCTIONING AND REMUNERATION MODEL</w:t>
      </w:r>
    </w:p>
    <w:p>
      <w:r>
        <w:t>6.1 The SEDA service</w:t>
      </w:r>
    </w:p>
    <w:p>
      <w:r>
        <w:t>42. The parties involved in the provision of the SEDA service are the creditor and their bank (so-called alignment bank) and the debtor/payer and their bank. The creditor, or the beneficiary of the SEDA service, is generally represented by a company (for example, utilities) that issues invoices that must be paid by its customers, i.e., the debtors/payers.</w:t>
      </w:r>
    </w:p>
    <w:p>
      <w:r>
        <w:t>43. The SEDA service was activated through ABI technical circular No. 14 of June 10, 2013, in which it is specified that “the SEDA service, replicating – and in some ways integrating and improving – the functionalities of the national AEA procedure74, allows beneficiaries to send and receive information related to the authorization for the debit signed by the Payer, through a telematic dialogue with their Payment Service Provider (so-called “alignment PSP”) which, in turn, communicates with the PSPs of the Payers”75.</w:t>
      </w:r>
    </w:p>
    <w:p>
      <w:r>
        <w:t>44. The service provides that the bank of the beneficiary/creditor (Payment Service Provider – PSP – of alignment) signs the adhesion contract with the beneficiary/creditor itself (the company that uses SEPA DD to receive payments for its invoices) and carries out a series of activities such as managing the SEDA contract and transmitting, on behalf of the beneficiary/creditor, the SEDA messaging coming from and/or destined to all the PSPs of the payers at which the SEDA mandates are domiciled.</w:t>
      </w:r>
    </w:p>
    <w:p>
      <w:r>
        <w:t>70 Cf. doc. 006, p. 8.</w:t>
      </w:r>
    </w:p>
    <w:p>
      <w:r>
        <w:t>71 Cf. doc. 0.16, p. 2. On this point, the official minutes of the Technical Committee of March 19, 2013 specify that: “as for the remuneration model, which ABI has brought to the attention of the Antitrust Authority […] the AGCM has sent ABI a communication clarifying that it reserves every assessment pursuant to Law 287/90 also in light of the concrete modalities of the provision of the SEDA service and the consequent effects produced on the market …”. Cf. doc. 91.</w:t>
      </w:r>
    </w:p>
    <w:p>
      <w:r>
        <w:t>72 Cf. doc. 2, request for information of March 11, 2014; doc. 5, request for information of July 2, 2014, doc. 8, request for information of November 21, 2014, doc. 31, request for information of April 1, 2015, and doc. 42, request for information of August 12, 2015.</w:t>
      </w:r>
    </w:p>
    <w:p>
      <w:r>
        <w:t>73 Cf. doc. 91.</w:t>
      </w:r>
    </w:p>
    <w:p>
      <w:r>
        <w:t>74 Electronic Archive Alignment: this is the previous reporting service included in the RID.</w:t>
      </w:r>
    </w:p>
    <w:p>
      <w:r>
        <w:t>75 Cf. ABI circular 14/2013, p. 1 and 2.</w:t>
      </w:r>
    </w:p>
    <w:p>
      <w:r>
        <w:rPr>
          <w:b/>
        </w:rPr>
        <w:t>[Pages 13–15]</w:t>
      </w:r>
    </w:p>
    <w:p>
      <w:r>
        <w:t>BULLETIN NO. 19 OF MAY 22, 2017</w:t>
      </w:r>
    </w:p>
    <w:p>
      <w:r>
        <w:t>45. The payer's PSP, on the other hand, is the one where the mandates are domiciled. The payer's PSP performs most of the activities provided for by SEDA, such as the reception and transmission of SEDA messaging to and from the beneficiaries/creditors, the consistency check between the information present in the SEPA direct debit requests and that present in the mandate, the check of the debitability of the accounts, etc. In the Advanced module, it is also provided that the payer's PSP acquires and retains the mandates, while in the case of adherence to the basic module only, this activity (which was generally performed by the bank) must be carried out by the beneficiary/creditor themselves (billing company, e.g. Enel, Telecom, etc.) using their own means.</w:t>
      </w:r>
    </w:p>
    <w:p>
      <w:r>
        <w:t>46. The SEDA service is therefore qualified as an ancillary service offered by the banking system to the beneficiaries/creditors who, to replace the previous RID payment service, can choose between the following alternatives:</w:t>
        <w:br/>
        <w:t>- the SEPA direct debit (DD), that is, the service used throughout Europe and defined by community standards, with which the debtor grants the creditor a mandate for collection from the current account. This service is a basic service and differs from the previous RID because it does not include the informational component and the management of the mandate (acquisition and retention) at the payer's PSP;</w:t>
        <w:br/>
        <w:t>- the SEPA DD in combination with the basic SEDA, that is, the service with which the creditor, through their PSP, requests the debtor's bank also the alignment component (i.e., the verification of the correctness of the data and the consequent communications). This service, which also includes the informational component, differs from the RID in that it does not include the management of the mandate at the payer's PSP;</w:t>
        <w:br/>
        <w:t>- the SEPA DD combined with the advanced SEDA, which provides, in addition to electronic alignment of archives, also the management of the mandate. This service can be considered fully substitutive of the previous RID service.</w:t>
      </w:r>
    </w:p>
    <w:p>
      <w:r>
        <w:t>6.2 The remuneration model and the differences compared to RID</w:t>
      </w:r>
    </w:p>
    <w:p>
      <w:r>
        <w:t>47. SEDA was developed to replicate the functionalities of RID, but the remuneration system constructed by the banks is completely different from that of the previous domestic instrument.</w:t>
      </w:r>
    </w:p>
    <w:p>
      <w:r>
        <w:t>48. In this regard, it is noted that the remuneration system of RID provided for the presence of an interbank commission (MIF) set, at the associative level, by ABI and that, through an interbank payment, was paid by the creditor/beneficiary's bank to the debtor/payer's bank. The creditor/beneficiary's bank then charged its customer (the beneficiary) a commission for each RID credited. This commission incorporated the value of the MIF and any additional commission set by the bank to compensate for the services rendered. The Authority analyzed the system described above in case I725 Interbank agreements "RIBA-RID-Bancomat," closed with a decision accepting commitments on September 30, 2010, in which the Authority, in accordance with community principles, considered MIFs as restrictive agreements under Article 101 TFUE. During the I725 procedure, the MIF for the RID collection was €0.26. During the I725 procedure, ABI proposed commitments under Article 14-ter of Law 287/90, which provided, as specifically relevant in this case:</w:t>
        <w:br/>
        <w:t>a) methodological reconfiguration aimed at making evident the common characteristics of RID and the SEPA DD service and the specific elements of the national collection service, as follows:</w:t>
        <w:br/>
        <w:t>1. collection service</w:t>
        <w:br/>
        <w:t>2. electronic alignment of archives</w:t>
        <w:br/>
        <w:t>3. management of defaults.</w:t>
        <w:br/>
        <w:t>b) reduction of the MIF as follows:</w:t>
        <w:br/>
        <w:t>1. for the collection service: from €0.173 to €0.08;</w:t>
        <w:br/>
        <w:t>2. for the electronic alignment of archives: €0.071;</w:t>
        <w:br/>
        <w:t>3. for the management of unpaid: from €0.0833 to €0.</w:t>
        <w:br/>
        <w:t>4. total MIF: €0.16.</w:t>
        <w:br/>
        <w:t>By note of June 28, 2012, ABI communicated the intention to eliminate, effective from November 2, 2012, the component of the MIF related to the collection service. As a result of this reconfiguration, starting from November 2, 2012, the MIF for the ordinary RID was €0.07 while the MIF for the fast RID was €0.17.</w:t>
      </w:r>
    </w:p>
    <w:p>
      <w:r>
        <w:t>49. The creditor now typically pays two commissions: one related to the SEPA DD to be paid to their PSP, called "collection commission," which compensates exclusively for the SEPA DD payment service; the other, to be paid to the payer's PSP, related to the SEDA service, in case of adherence to it. This commission, in the absence of a different bilateral agreement between the creditor and the payer's PSP, corresponds to the maximum set unilaterally by the payer's PSP and published on the website www.sepaitalia.eu. From the elements acquired during the inspection, it emerged, as better described below, that the creditor in some cases also pays a third commission to the alignment bank, a commission that compensates for the services rendered in relation to SEDA.</w:t>
      </w:r>
    </w:p>
    <w:p>
      <w:r>
        <w:t>50. Therefore, the commissions that the beneficiary/creditor has to pay are at least two and sometimes three: 1) the collection commission related to the SEPA DD; 2) the commission related to the SEDA service (paid by the creditor to the payer's bank); 3) any commission for alignment services (paid by the creditor to their bank). It is noted that with the previous RID system, the beneficiary paid a single commission that included both the collection component and the reporting component.</w:t>
      </w:r>
    </w:p>
    <w:p>
      <w:r>
        <w:t>7 INVESTIGATIVE FINDINGS</w:t>
      </w:r>
    </w:p>
    <w:p>
      <w:r>
        <w:t>7.1 The functioning of ABI: GDL and Technical Committees</w:t>
      </w:r>
    </w:p>
    <w:p>
      <w:r>
        <w:t>51. As will be seen, the development of the SEDA remuneration model, as evidenced by the documentation on file, took place mainly within the framework of meetings of two collegial bodies of ABI: i) the Working Group (GDL) for collections and ii) the Technical Committee for payment and settlement services.</w:t>
      </w:r>
    </w:p>
    <w:p>
      <w:r>
        <w:t>52. In general, the GDLs assist ABI's activities through the technical examination of the main issues related to banking operations. They are temporary in nature and dissolve upon achieving the objective for which they were established. The establishment, competencies, and composition of the Working Groups are decided by the Executive Committee. The technical committees assist the Association's bodies in carrying out their activities by pursuing specific objectives or monitoring the evolution of a particular matter. The establishment, competencies, and composition of the technical committees are decided by the Executive Committee.</w:t>
      </w:r>
    </w:p>
    <w:p>
      <w:r>
        <w:t>53. With specific reference to the case at hand, it is specified from the outset that from the documents on file it emerges, on the one hand, that not all members always participate in the meetings and, on the other hand, that all participants are nevertheless informed by ABI both before and after the meeting regarding the topics discussed and their content through the sending of working documents on which the members are called to engage and, subsequently after the meetings, through the sending of the minutes of the same.</w:t>
      </w:r>
    </w:p>
    <w:p>
      <w:r>
        <w:t>7.2 Design and implementation of the SEDA remuneration model: the meetings of July 17/18 and July 25, 2012</w:t>
      </w:r>
    </w:p>
    <w:p>
      <w:r>
        <w:t>54. The design of the entire SEDA service took place progressively throughout 2012, and if initially the remuneration system envisioned by ABI and the banks was oriented towards a model based on the interbank commission (MIF), preferred, as it appears from the inspection documents, on the basis of efficiency reasons, over time and with the deepening of the issue, the banks and ABI deemed it more convenient to agree on a remuneration system that, limiting competitive pressure, would allow for prices not aligned with costs and detached from competitive pressure. The Parties, therefore, designed the new SEDA model precisely to achieve greater remuneration.</w:t>
      </w:r>
    </w:p>
    <w:p>
      <w:r>
        <w:t>55. It should be noted in this regard that the object of contention is not, in itself, the abandonment of the model based on MIFs but the fact that the banks, starting from that model, devised an even more restrictive system in order to increase profit margins and apply a price unlinked from costs.</w:t>
      </w:r>
    </w:p>
    <w:p>
      <w:r>
        <w:t>56. Such choices matured throughout 2012 and were definitively clarified in two crucial occasions in July 2012: the meetings of the Working Group for collections on July 17 and 18 and the meeting of the Technical Committee on July 25. The choices made in the latter meeting were reiterated in the Technical Committee meeting on September 21, 2012, in which it was decided to present the model to the Authority. These choices were definitively confirmed in the meeting of December 11, 2012, in which, as will be seen, the topics already decided were brought back to the attention of the technical committee for final confirmation.</w:t>
      </w:r>
    </w:p>
    <w:p>
      <w:r>
        <w:t>57. In particular, in these contexts, the participating banks devised a remuneration system that would allow them both to increase margins compared to the previous RID system and to recover revenues that would have been lost due to the elimination of MIFs on SEPA DD, while avoiding interference from the Authority, particularly regarding the level of the MIFs themselves. Such reflections were made despite the full awareness that:</w:t>
      </w:r>
    </w:p>
    <w:p>
      <w:r>
        <w:rPr>
          <w:b/>
        </w:rPr>
        <w:t>[Pages 16–18]</w:t>
      </w:r>
    </w:p>
    <w:p>
      <w:r>
        <w:t>18 BULLETIN NO. 19 OF MAY 22, 2017</w:t>
      </w:r>
    </w:p>
    <w:p>
      <w:r>
        <w:t xml:space="preserve">a) The SEDA, as stated by ABI, is "largely overlapping with the AEA service"83, that is to say with the reporting service of the RID.  </w:t>
        <w:br/>
        <w:t>b) The purpose of Regulation (EU) 260/2012 is also to reduce the prices of payment services84.</w:t>
      </w:r>
    </w:p>
    <w:p>
      <w:r>
        <w:t>58. As can be seen from the table below, based on the documents on file, it has been possible to identify the parties that participated in the meetings where the SEDA remuneration system was defined. It should be clarified that the remuneration system is an integral part of the interbank agreement to which all parties registered with ABI (about 600) participate. However, its design was carried out by a limited number of parties.</w:t>
      </w:r>
    </w:p>
    <w:p>
      <w:r>
        <w:t>59. From the documents on file, the existence of a group of banks that, together with ABI, devised the SEDA remuneration system is evident, providing mechanisms capable of allowing the setting of higher prices than would have been possible with the other remuneration systems examined from time to time. Cariparma, although not present at the aforementioned meetings, was informed and contributed to the decision-making as it was nonetheless a member of the GDL collections and was frequently active in email exchanges concerning both the content of the aforementioned meetings and the definition of the remuneration model85.</w:t>
      </w:r>
    </w:p>
    <w:p>
      <w:r>
        <w:t>60. Finally, at the meeting of December 11, 2012, the banks present confirmed a remuneration system that had already been largely defined (and already presented to the Authority)86.</w:t>
      </w:r>
    </w:p>
    <w:p>
      <w:r>
        <w:t>61. From the documents on file, it follows that the parties that, together with ABI, devised the SEDA remuneration system, later formalized in circular no. 14 of June 10, 2013, are: Unicredit, Intesa, MPS, ICCREA Banca, ICBPI, BNL, UBI, Cariparma, Banca del Piemonte, Banca Sella, and Credito Valtellinese.</w:t>
      </w:r>
    </w:p>
    <w:p>
      <w:r>
        <w:t>62. The aforementioned banks decided to create the SEDA by providing a remuneration model that ensured the overcoming of the logic of interbank commissions (whose level was decreasing) in favor of a model in which the price of the additional service included the application of a profit margin ("mark-up") and also allowed for the recovery of further profits following the elimination of the MIF on the new collection service: the SEPA DD.</w:t>
      </w:r>
    </w:p>
    <w:p>
      <w:r>
        <w:t>63. This decision, at the basis of the interbank agreement, was adopted in the aforementioned meetings of the GDL Collections on July 17/18 and the Technical Committee on July 25, 2012. These meetings were preceded by other meetings at ABI in which the banks began to address the issue of the remuneration of the SEDA service and the overcoming of the previous MIF system, due to its low profitability. The decision-making stages are summarized below starting from January 2012, a period in which, due to the approaching end date of the entry into force of the SEPA Regulation, reflections became concrete.</w:t>
      </w:r>
    </w:p>
    <w:p>
      <w:r>
        <w:t>64. In the first meeting in which it is recorded that the Restricted GDL Collections dealt with the remuneration of SEDA (January 26, 2012), the application of the MIF was taken for granted. In particular, in the presentation sent to the banks as a working document, it is stated: "The AOS SEDA is requested and performed in the interest of the Beneficiary, but is based on the predominant operation of the Paying Bank. The mechanism based on the application of a multilateral interbank commission is the most efficient for remunerating the services provided by the Paying Bank"87. In the subsequent Parts of the presentation, it is highlighted that Regulation (EU) 260/2012 provides for the possibility of using MIF for optional additional services (AOS) such as SEDA88 and it focuses on which element to use to quantify the interbank commission. The minutes of the meeting state: "with reference to the business model of the SEDA service, after presenting to the working group the provisions of the Regulation on MIF, in the perspective that the prohibition established for direct debits would not apply to optional additional services, two possible ways of applying an interbank commission are submitted to the Working Group. In the first, the commission would be linked to the direct debit transaction (with SEDA flag), in the second to the events of the mandate's life cycle. Other possible methods of remunerating the debtor's bank, already emerged during the phase of defining the functionalities of the service, such as the application of an annual fee, are also mentioned by the banks. Regarding the preference for one of the conceivable methods, the banks reserved the right to carry out internal checks and evaluations"89.</w:t>
      </w:r>
    </w:p>
    <w:p>
      <w:r>
        <w:t>65. This vision begins to change at the Technical Committee meeting on April 18, 2012, where for the first time the possibility that the SEDA service be remunerated not only by recovering costs but in a "business" perspective emerges. During the meeting, in response to ABI's statement that "the definition of the commission for the AEA service will serve as a basis for constructing the business model underlying the SEDA"90, the Chairman of the committee (a representative of Banca Sella) "points out that in addition to the new Regulation, there are currently various pressures aimed at trying to reduce as well as eliminate the costs of banking services, [...] and considering that any type of service that users utilize is subject to remuneration, he believes it is appropriate to safeguard this principle also for banking services. This thesis is also supported by (...) (UBI bank ed.) which adds the importance of"</w:t>
      </w:r>
    </w:p>
    <w:p>
      <w:r>
        <w:t xml:space="preserve">87 Cf. doc. 220. This is a presentation sent by ABI to Cariparma, ICBPI, BNL, UBI, MPS, Intesa, ICCREA, Pop. Vicenza, Banca Sella, and Unicredit.  </w:t>
        <w:br/>
        <w:t xml:space="preserve">88 Note that this possibility was included at the specific request of the Italian Authorities. Cf. doc. 90, minutes of the Technical Committee of April 18, 2012, in which the representative of Banca d’Italia "intervenes to confirm the importance of implementing the AOS SEDA regardless of the definition of the underlying business model and recalls that the Italian delegation supported the exclusion in the text of the Regulation of the prohibition of MIF for additional services also in the perspective of implementing the SEDA service". See also doc. 206, minutes of the Technical Committee of December 13, 2011, in which Banca d’Italia intervenes stating that: "the objective of Italy to have guaranteed the maintenance of the MIF on additional services has been achieved". This circumstance is confirmed by the statements that Banca d’Italia made in hearings before the offices, see infra par. 9. Cf. doc. 1219.  </w:t>
        <w:br/>
        <w:t xml:space="preserve">89 Cf. doc. 278  </w:t>
        <w:br/>
        <w:t>90 Cf. doc. 105.</w:t>
      </w:r>
    </w:p>
    <w:p>
      <w:r>
        <w:rPr>
          <w:b/>
        </w:rPr>
        <w:t>[Pages 19–21]</w:t>
      </w:r>
    </w:p>
    <w:p>
      <w:r>
        <w:t>BULLETIN NO. 19 OF MAY 22, 2017</w:t>
      </w:r>
    </w:p>
    <w:p>
      <w:r>
        <w:t>21. to highlight the differences between the national RID service and the SDD service with the necessary investments that the banking system will have to sustain... for this reason, the determination of the fees for the SEDA service must take into account the cost item of the investments, which is not present in the current survey on the AEA91. Therefore, there emerges a shared understanding among the Parties of the aim to load the necessary investments for the adaptation of the banking system to the new SEPA regulations onto the new SEDA service, even though these are distinct services.</w:t>
      </w:r>
    </w:p>
    <w:p>
      <w:r>
        <w:t>66. Also noteworthy are the considerations of MPS in the margin of an ABI document on the remuneration system, which states: "it has been agreed that the mechanism currently in place for national collection services, based on the application of a multilateral interbank commission, paid for each collection operation from the beneficiary's bank to the payer's bank, is the most efficient for remunerating the services provided by the Payer Bank [...] The AGCM has also recently approved a proposal for commitments from ABI in which a component of interbank remuneration for the national service of aligning archives and managing the database during the collection debit phase is foreseen, also in view of migration to SEPA."92. In commenting on this information, MPS specifies: "if we pursue this path (application of MIF per collection operation), in addition to the doubts related to compliance with reg 260 (prohibition of MIF for standard cross-border collection operations from October 2012 and national operations from February 2017. However, it does not seem to establish prohibitions of MIF for AOS. This MIF would only be applied to SEDA-branded collection operations?), the applicable amount would still be very limited since from previous commitments presented to AGCM, the component of the process related to alignment is equal to €0.071. The amount of the MIF is currently under review by AGCM but, as per commitments, it cannot exceed the previous amounts"93. (emphasis added ed.)</w:t>
      </w:r>
    </w:p>
    <w:p>
      <w:r>
        <w:t>67. In the meeting of July 17/18, it was decided to modify the model based on MIF. In an internal email to ABI, regarding the meeting of July 17/18, it states: "... MPS [...] repeatedly emphasized during the meeting the need to: [...] “significantly increase the remuneration compared to today, as we are currently operating at a loss after the vertical decreases in MIF values in recent years.” During the meeting, there was an effort to blunt this "political" position sharply, and some banks (UBI and ICCREA, which are net recipients, among others) have explicitly stated that one cannot expect to collect an amount significantly higher than that currently represented by the MIF (which, however, even in the minds of the moderates, is based on €0.16 from July and not on €0.07 from next November94). When prompted to consider the institutional context in which SEDA is placed to have a realistic position on remuneration, MPS shifted the topic to the approach methods in discussions with AGCM (let's start like this... let them tell us... etc.). The moderates, however, also spoke of "business" and not merely "cost recovery."</w:t>
      </w:r>
    </w:p>
    <w:p>
      <w:r>
        <w:t>On this point, a strategic orientation from the Technical Committee was requested on how to set up the discussion before meeting AGCM95.</w:t>
      </w:r>
    </w:p>
    <w:p>
      <w:r>
        <w:t>68. The positions expressed by MPS in the July GDL are also reported in another internal email to ABI dated July 23, 2012, in which, referring to MPS's positions in the GDL, it states "let's say that its positions were all aimed at enhancing points that would leave more freedom regarding Antitrust; the feeling is that it was concerned about that"96.</w:t>
      </w:r>
    </w:p>
    <w:p>
      <w:r>
        <w:t>69. It is MPS itself that, in an internal report, describes the contents of the meeting of July 17/18, 2012: " - It was reiterated by all that the MIF model must therefore be overcome, to avoid downward interventions by AGCM (this is the current scenario, with continuous interventions by AGCM aimed at reducing interbank commissions on collection services), although MIFs are also allowed post-2017 on AOS (as in the case of SEDA)"97.</w:t>
      </w:r>
    </w:p>
    <w:p>
      <w:r>
        <w:t>70. The decision to define a different interbank remuneration model due to the poor profitability of the previous one (based on MIF) was confirmed in the Technical Committee meeting of July 25, 2012. In particular, a draft of the minutes of the Technical Committee was found, in which the different and real positions of the participants in the meetings emerge, not reported in the official versions98 of the minutes, which link the reasons for overcoming the MIF not to technical issues or risks of restricting competition, but to motivations of business profitability and the opportunity to avoid the Authority's control over the value of the MIF itself. In this draft, it states: "… (MPS ed.) intervenes highlighting how the service model is radically different from the past. It is necessary to acknowledge and make all stakeholders aware that, in the new context, the SEPA direct debit service cannot be considered a mere continuation of the old RID/AEA model, and in this sense, it is necessary to strengthen communication. Therefore, it is favorable to consider the approach based on interbank charges overcome regardless of any considerations aimed at maintaining the MIF [...]. (ICBPI ed.) agrees on the overcoming of the MIF but also believes that it can be preserved as an option if AGCM is inclined to preserve such a model.</w:t>
      </w:r>
    </w:p>
    <w:p>
      <w:r>
        <w:t>94 N.D.R.: it is recalled that, as a result of the AGCM provision on case I725 RIBA RID Bancomat, the MIF of the RID has been zeroed on the collection component and has remained only on the alignment component. The total amount of the MIF has therefore decreased from €0.16 (including the collection component) to €0.07 (only the reporting component - AEA) in November 2012.</w:t>
      </w:r>
    </w:p>
    <w:p>
      <w:r>
        <w:t>95 Cf. doc. 213.</w:t>
      </w:r>
    </w:p>
    <w:p>
      <w:r>
        <w:t>96 Cf. doc. 200.</w:t>
      </w:r>
    </w:p>
    <w:p>
      <w:r>
        <w:t>97 Doc. 772, attached email, "R: outcome of ABI meeting of 17/7/2012 ...".</w:t>
      </w:r>
    </w:p>
    <w:p>
      <w:r>
        <w:t>98 In particular, the version, recognized as truthful but not suitable for dissemination and public release, is modified within ABI. Cf. doc. 201 in which it states: "This version of the minutes is for personal use only by ... [omitted, referring to the author of the minutes present at the meeting]. I would not circulate it at all. A public version of the minutes should be particularly 'light' and not attribute positions to names." In the public version of the minutes (doc. 79), it is stated: "it is therefore agreed to consider the approach based on 'interbank charges' overcome. The participants share the consideration that SEDA is a service and an investment that must find remuneration as such...".</w:t>
      </w:r>
    </w:p>
    <w:p>
      <w:r>
        <w:t>BULLETIN NO. 19 OF MAY 22, 2017</w:t>
      </w:r>
    </w:p>
    <w:p>
      <w:r>
        <w:t>23. [...]. (ICCREA ed.) recalls that the MIF is now linked to the recovery of only direct costs, calculated based on increasingly less efficient averages related to the reality of the costs actually incurred, while in this case it is a matter of remunerating an additional and optional service. It therefore declares itself in favor of its overcoming and against any possibility of preserving it. [...] (INTESA ed.) agrees that it is necessary to detach from the logic of MIF and therefore is in favor of abandoning this option even if it were advocated by AGCM. It emphasizes that SEDA is a service and must find remuneration as such and in particular represents the need to overcome, even in language, the reference to some service models that are no longer applicable and therefore to abandon the terminology "interbank charges". [...] (UBI ed.) is in favor of overcoming the MIF. [...] (UNICREDIT ed.) agrees on abandoning the MIF. [...] (BNL ed.) declares itself in agreement with the overcoming of the MIF"99.</w:t>
      </w:r>
    </w:p>
    <w:p>
      <w:r>
        <w:t>71. In an internal email to MPS containing the report of the meeting of July 25, 2012, it states: "no MIF for any reason"100.</w:t>
      </w:r>
    </w:p>
    <w:p>
      <w:r>
        <w:t>72. Regarding the meeting of the strategic committee on July 25, 2012, there is also an internal email from July 25, 2012, prior to the aforementioned meeting, which reports an agreement with Unicredit and Intesa on the SEDA remuneration system without MIF: "Heard yesterday on the phone ... (Unicredit) and ... (Intesa) Agree that: [...] Cancellation of any reference to AEA and MIF - it is a new service and has no MIF"101.</w:t>
      </w:r>
    </w:p>
    <w:p>
      <w:r>
        <w:t>73. Unicredit, in an internal report, also describes that during the meeting: "all banks expressed themselves in favor of the fee, thus abandoning the model linked to the MIF as it is in stark contrast to what is provided by Regulation 260/2012 (cf. attached document)102; they see risks in the medium to long term, not being able to exclude AGCM interventions on mechanisms based on MIF applications (the history of AGCM provisions on MIF from 1999 to today is proof of this)..."103.</w:t>
      </w:r>
    </w:p>
    <w:p>
      <w:r>
        <w:t>74. The concern regarding the low profitability of the MIF is also reflected in internal documents found at some banks. For example, in an email from BNL following the initiation of the present case on February 24, 2016, it comments on the initiation provision: "... not to mention the devastating impacts for the Banks in case of a revision of the remuneration model by AGCM (MIF model instead of the current one) which, on the one hand,</w:t>
      </w:r>
    </w:p>
    <w:p>
      <w:r>
        <w:t>99 Cf. doc. 210.</w:t>
      </w:r>
    </w:p>
    <w:p>
      <w:r>
        <w:t>100 Cf. doc. 772, attached email "R: TO THE RESTRICTED GDL COLLECTIONS_SEDA Document".</w:t>
      </w:r>
    </w:p>
    <w:p>
      <w:r>
        <w:t>101 Cf. doc. 771. Attached email "I: URGENT conference call...". The email states: "heard yesterday on the phone ... (Unicredit) and ... (Intesa) Agree that</w:t>
        <w:br/>
        <w:t>1. Basic SEDA can be "mandatory" provided there are legal spaces</w:t>
        <w:br/>
        <w:t>2. Advanced SEDA optional with simultaneous communication from the participating banks (and we will participate, unless you tell me it is not convenient)</w:t>
        <w:br/>
        <w:t>3. No maximum price, but free and agreed price</w:t>
        <w:br/>
        <w:t>4. Agreements only between creditor and alignment bank</w:t>
        <w:br/>
        <w:t>5. Cancellation of any reference to AEA and MIF - it is a new service and has no MIF". The concern that the Authority intervenes in controlling that any MIF SEDA is compliant with costs (as happened in the past with case I725/Riba-Rid) also emerges in other documents. For example, in a presentation on the SEDA business model, referring to the "MIF like" model, while among the "PRO" it states "The application of a fee on the SDD collection would not require the development of new applications/processes ad hoc by the Payer PSPs. The application of the interbank fee has no managerial impacts for the Alignment PSPs. The model is the simplest and most efficient for the Beneficiaries", among the cons it is noted: "The interbank fee for optional additional services is subject to competition law (the amount would be bound to the cost analysis and the steps provided by the ABI Commitments made binding by AGCM)". Cf. doc. 119, attached presentation, slide 15.</w:t>
      </w:r>
    </w:p>
    <w:p>
      <w:r>
        <w:t>102 N.D.R.: in reality, as is known, the prohibition of MIF does not exist for optional additional services such as SEDA. Cf. Regulation 260/2012 EU, recital 20.</w:t>
      </w:r>
    </w:p>
    <w:p>
      <w:r>
        <w:t>103 Cf. doc. 463.</w:t>
      </w:r>
    </w:p>
    <w:p>
      <w:r>
        <w:rPr>
          <w:b/>
        </w:rPr>
        <w:t>[Pages 22–24]</w:t>
      </w:r>
    </w:p>
    <w:p>
      <w:r>
        <w:t>24 BULLETIN NO. 19 OF MAY 22, 2017</w:t>
      </w:r>
    </w:p>
    <w:p>
      <w:r>
        <w:t>could remedy the VAT issue on one hand but could mean dismantling the current structure, with technical (Fortis) and economic impacts (revenue decrease)104.</w:t>
      </w:r>
    </w:p>
    <w:p>
      <w:r>
        <w:t>7.3 Other inspection findings on the remuneration model</w:t>
      </w:r>
    </w:p>
    <w:p>
      <w:r>
        <w:t>75. The banks involved in the agreement and ABI, as emerges from the aforementioned meetings, unanimously decided not to use the MIF in order to apply to companies a price detached from the costs incurred and not verifiable by the Authority. The structure of the remuneration model as a whole has also been the subject of various in-depth analyses, and at the conclusion of this process, the banks and ABI devised a remuneration system for the service favoring solutions that, in the opinion of the banks, were deemed at the time suitable to generate the highest profits, as specified below.</w:t>
      </w:r>
    </w:p>
    <w:p>
      <w:r>
        <w:t>76. The salient aspects of the remuneration model, which will be analyzed below, can be traced back to:</w:t>
        <w:br/>
        <w:t>- subjects involved in the payment of the price: "1 to 1" model vs "1 to many" model;</w:t>
        <w:br/>
        <w:t>- definition of the pricing model (free price, maximum price).</w:t>
      </w:r>
    </w:p>
    <w:p>
      <w:r>
        <w:t>7.3.1 "1 to 1" model vs "1 to many"</w:t>
      </w:r>
    </w:p>
    <w:p>
      <w:r>
        <w:t>77. From the perspective of the subjects required to pay the SEDA fee, the banks discussed two possible alternatives. The model chosen by the banks, already described above, is identified as the "1 to many" model where "1" is the creditor (beneficiary/creditor, for example, large billers such as Utilities) and the "many" are the different banks chosen by the debtors (i.e., for example, the customers/users of the Utilities), or the banks to which the creditor is required to pay the fee for the SEDA service. This model contrasts with the "1 to 1" model, in which the creditor pays the service to their own bank (so-called alignment bank) and the latter retrocedes part of the fee to the payer's bank.</w:t>
      </w:r>
    </w:p>
    <w:p>
      <w:r>
        <w:t>78. Once the MIF-based remuneration model was abandoned, the banks initially considered adopting the so-called "1 to 1" model, and this decision was formalized in the GDL meeting of July 17-18, 2012. In a working document prepared as a basis for the decisions to be made in the Technical Committee on July 25, 2012, it is stated: "the restricted GdL (with a majority orientation and after a complex discussion) deemed preferable, because simpler from a legal/operational perspective, a model in which the obligation to pay the periodic fee to the Payer's Bank for active mandate is placed on the Alignment Bank (from interbank regulations) [...] From a technical perspective, the choice simplifies the activities of the Beneficiary as they will receive a single periodic charge for the SEDA services received and allows avoiding the search for "conventional" contractual solutions for the "one to many" remuneration of the services rendered. Also from a technical perspective, the "interbank" choice makes it necessary for each Alignment Bank to develop an application that - once managing the billing of the fees towards the "n" Payer Banks with which the Beneficiary works (it is plausible that in the billing of large utilities the set tends to coincide with all retail commercial banks) - aggregates the balances and based on the commercial policy of each applies an overall pricing to the Beneficiary customer that takes into account (obviously) the fees to be paid to the Payer Bank"105.</w:t>
      </w:r>
    </w:p>
    <w:p>
      <w:r>
        <w:t>79. The "1 to 1" model was discarded in the technical committee of July 25, 2012, in favor of the currently prevailing "1 to many" model. Following that meeting, ABI proposed to "set up simplification services offered by the Alignment Bank to the Beneficiary to facilitate the management of payments to the Payer Banks." This solution seems to have garnered consensus from all except MPS, which formalized its opposition to the model in the committee of December 11, 2012106.</w:t>
      </w:r>
    </w:p>
    <w:p>
      <w:r>
        <w:t>80. It should be clarified that among the banks there was immediately a disagreement regarding the model to be adopted, due to the different nature of the credit institutions involved in the decision. In particular, large banks preferred a "1 to 1" model while banks like ICCREA, aggregators of the interests of smaller banks, preferred the "1 to many" model. This emerges from numerous documents described below. However, it should be noted that this did not prevent reaching a general agreement on the remuneration system to be adopted that met the interests of all parties involved.</w:t>
      </w:r>
    </w:p>
    <w:p>
      <w:r>
        <w:t>81. First, an internal email from BNL should be cited, which contains the summary of the meetings of July 17-18, 2012, stating: "REMUNERATION METHODS Here again, still little clarity [...]. At the moment, two scenarios are foreseen:</w:t>
        <w:br/>
        <w:t>- Scenario 1 (Intesa, Unicredit, MPS) [1 to 1 model ed.]</w:t>
        <w:br/>
        <w:t>Each domiciled Bank sends SDD to the Creditor's Alignment Bank indicating in the reason the number of mandates managed for Creditor ID in the reference period. The Alignment Bank charges the Creditor according to agreements made with the beneficiary both in terms of price and reporting (single charge, plus charge according to how many domiciled banks there are). Intesa, Unicredit, MPS push for this model to have a commercial leverage on the creditor side (reduce fees for managed mandates to receive more flows).</w:t>
        <w:br/>
        <w:t>- Scenario 2 (ICCREA) [1 to many model ed.]</w:t>
        <w:br/>
        <w:t>Each domiciled Bank sends SDD to the Creditor's Alignment Bank indicating in the reason the number of mandates managed for Creditor ID in the reference period. The Alignment Bank charges the Creditor clearly indicating the charge of each domiciled bank. ICCREA pushes for this model to give maximum transparency to the Creditor regarding the fee applied by each domiciled bank"107.</w:t>
      </w:r>
    </w:p>
    <w:p>
      <w:r>
        <w:t>82. As can be inferred from the reading of the documents, therefore, the adopted model is the "1 to many" (the beneficiary pays directly to the debtor's bank). This solution, which initially saw larger banks (such as Unicredit and Intesa) opposed, is ultimately accepted as it is still provided for the possibility for the beneficiary's bank to offer ancillary services for managing the volume of SEDA transactions to be carried out. Therefore, it is a "mixed" model in which larger banks can offer additional services to their customers who express the need to manage the complex negotiation and accounting dynamics related to SEDA and the new remuneration system.</w:t>
      </w:r>
    </w:p>
    <w:p>
      <w:r>
        <w:t>83. In summary, while the "RID" model provided for the payment of a single fee (which the beneficiary/creditor paid to their alignment bank), the current system, in the case of adherence to SEDA, provides that the beneficiary/creditor pays up to three fees:</w:t>
        <w:br/>
        <w:t>1. Collection fee for the SEPA DD to their own bank;</w:t>
        <w:br/>
        <w:t>2. SEDA fee to the (potentially about 600) different banks of their customers;</w:t>
        <w:br/>
        <w:t>3. Alignment fee to their own bank, which remunerates the management activity of the payments referred to in the previous point 2.</w:t>
      </w:r>
    </w:p>
    <w:p>
      <w:r>
        <w:t>84. It should be noted that the ancillary services mentioned above, to which an alignment fee is connected, are simplification services provided to creditors, which are made necessary by the management and operational difficulties inherent in the SEDA remuneration model (1 to many) as defined by the banks themselves.</w:t>
      </w:r>
    </w:p>
    <w:p>
      <w:r>
        <w:t>85. It is noted that, regarding this specific aspect of the chosen model (1 to many), even within the group that adopted it, competitive criticalities were highlighted that, however, did not prevent the parties from reaching an overall agreement on the new remuneration system as a whole. For example, document 119 states that "It is also noted from a competition perspective that in this model the greater competitive freedom is only theoretical since:</w:t>
        <w:br/>
        <w:t>1) The beneficiary does not enter into a real negotiation with the PSPs of the payers (acknowledges their tariff);</w:t>
        <w:br/>
        <w:t>2) The tariff of the individual PSP is standard and therefore disregards the companies (any possible downward variations increase the complexity of a centralized management of the settlement/centralized reporting)"108.</w:t>
      </w:r>
    </w:p>
    <w:p>
      <w:r>
        <w:t>86. Unicredit also raises doubts in this regard. In an email dated September 17, 2012, it states: "as I have already mentioned to [Unicredit employee], I find the position of several Banks on the subject very strange. In particular: [...] it is unthinkable that every Customer should have relationships with 700 Banks and therefore we confirm that our position is that each creditor's bank acts as a provider for the entire system and charges the service costs. The possibility that each bank charges the costs to each Company seems very difficult to understand"109 (emphasis added ed.).</w:t>
      </w:r>
    </w:p>
    <w:p>
      <w:r>
        <w:t>87. Similarly, in an internal email dated January 24, 2013, from Unicredit, it states: "The use of SEPA Direct Debit to charge the SEDA service fees (Basic/Advanced Service) could make sense in my opinion only in the context where the Creditor agrees to be charged by each individual payer bank. The debtor's bank instructs as many SEPA Direct debits as there are Creditors, aggregating the information for "Creditor Identifier" and service type (Basic/Advanced). Disadvantages:</w:t>
      </w:r>
    </w:p>
    <w:p>
      <w:r>
        <w:rPr>
          <w:b/>
        </w:rPr>
        <w:t>[Pages 25–27]</w:t>
      </w:r>
    </w:p>
    <w:p>
      <w:r>
        <w:t>BULLETIN NO. 19 OF MAY 22, 2017 27</w:t>
      </w:r>
    </w:p>
    <w:p>
      <w:r>
        <w:t>- ABSURD: it imposes on the Creditor to manage up to 700/800 debits for the basic service (for the participating banks) plus N debits for the advanced service. … One possible solution could be to GO BACK on the decisions and to have the individual SEDA messages charged, managing a "charge amount" on the amount»110 (emphasis added).</w:t>
      </w:r>
    </w:p>
    <w:p>
      <w:r>
        <w:t>88. As mentioned, MPS expressed its opposing position on this specific aspect of the SEDA remuneration model in the meeting of December 11, 2012111 as well as subsequently, as evidenced by an internal email dated November 22, 2012: "I have discussed internally the Seda business model and we would be of the opinion to propose an urgent call of the Technical Committee (for example on 29/11 p.v. perhaps in the afternoon), to again submit the issue of the business model (1 to many does not work commercially as the companies represented to us in the meeting of 5/10 last and we would like to propose the 1 to 1: 1 creditor company v/ 1 alignment bank = 1 price, with relative remuneration for the alignment bank for the service of managing the relationship with the system)"112.</w:t>
      </w:r>
    </w:p>
    <w:p>
      <w:r>
        <w:t>89. More generally, with reference to the remuneration model of the service, it is also noted that an employee of ICCREA who, previously, was an employee of ABI involved in the development of the SEDA model, commented on SEDA as follows: "Anyway, the remuneration model is a mega trust…. It shocks me that they did not get an ok on the model from AGCM…. Now let me give you the scenario for the coming months/years: banks will charge fees to recover part of the profitability lost over the years, companies will compare the costs incurred in 2013 with those of 2014 and will get angry…. Remembering the spectacular successes of previous years, they will all go to cry to AGCM….. and AGCM will start attacking ABI which with a model like this (a parabolic trust made of rules and regulations that cage pricing in a structure that is only seemingly free) will be blackmailable…. Moreover, they do not realize that the SEDA profile will be pan-European so various European antitrust variables could come into play… and that would be serious trouble!"113.</w:t>
      </w:r>
    </w:p>
    <w:p>
      <w:r>
        <w:t>7.3.2 Definition of the pricing model: free price, maximum price</w:t>
      </w:r>
    </w:p>
    <w:p>
      <w:r>
        <w:t>90. Once the essential characteristics of the remuneration model (calculation based on the management of the mandate and "1 to many" model) were established, the Banks focused on the mechanisms for defining the price to be applied to the SEDA service, deciding that the price of SEDA would be freely defined by each bank and set, at its maximum value, differentiated for Basic SEDA and Advanced SEDA, through publication on the internet at www.sepaitalia.eu.</w:t>
      </w:r>
    </w:p>
    <w:p>
      <w:r>
        <w:t>91. Initially, the Parties, within the GDL, had adopted a solution that provided for "two fixed fees at the maximum amount (one for the basic SEDA service and the other for the advanced service) by virtue of interbank agreements, according to the typical logic of MIF. This approach responds to the need to provide certainty and simplify management on the beneficiary side of the Scheme since managing differentiated prices across more than 600 providers is complex and costly; moreover, it is considered protective against the risk of a generalized upward trend in fees"114.</w:t>
      </w:r>
    </w:p>
    <w:p>
      <w:r>
        <w:t>92. In particular, in the GDL of July 17/18, 2012, it was decided to adopt a model based on the maximum price even though some banks had expressed opposition. For example, in document 213, which provides a summary of the meetings, it states: "MPS repeatedly emphasized during the meeting the need to: […] leave the definition of the fee to the free determination of the payer's bank [ed. that is what was then done]. The proposal, seen as heralding a race to increase the fee to the level that guarantees profit maximization, was unanimously rejected by the banks, for various reasons, some because they would find themselves paying the freely determined fees, i.e., the large banks, others because they fear that the service will not 'take off'. All banks absolutely agree that a homogeneous pricing structure should be defined shared among all to ensure comparability for customers"115 (emphasis added).</w:t>
      </w:r>
    </w:p>
    <w:p>
      <w:r>
        <w:t>93. Within the GDL, a benchmark was also established on the level of the SEDA service fee through the analysis of three different levels of MIF (€0.07, €0.16, and €0.26)116 in order to allow banks to reflect on a possible maximum price to be applied for SEDA obtaining a remuneration capable of generating revenues at least equal to those obtained through the application of the aforementioned MIF on the RID service117 even if, as already mentioned, the SEPA DD service - which replaces the RID - is already remunerated through the collection fee.</w:t>
      </w:r>
    </w:p>
    <w:p>
      <w:r>
        <w:t>94. This circumstance emerges from the repeatedly cited document 103 in which (in the full version discussed) it states: "Some hypotheses of 'sustainable' values of the periodic fee have considered the break-even price between the current remunerations paid in the form of MIF to the Payer Banks and those that would be received through the fee"118.</w:t>
      </w:r>
    </w:p>
    <w:p>
      <w:r>
        <w:t>95. Subsequently, the approach based on the maximum amount was abandoned in favor of a price freely set by each payer PSP to be published on the dedicated website. This price is derogable, based on bilateral agreements, in the most favorable sense for the paying party (beneficiary/biller). The decision was made in the Technical Committee on July 25, 2012119.</w:t>
      </w:r>
    </w:p>
    <w:p>
      <w:r>
        <w:t>96. On this point, an internal email to MPS, reporting on the Technical Committee meeting of July 25, 2012, states: "I confirm that we expressed ourselves in favor of the 'free price' - as then passed in the Technical Committee of July - to avoid putting ourselves in a position of inferiority with respect to AGCM and therefore not defining a system price (although obviously hoped for by all) seemed to us to better guarantee us and avoid falling back into the 'MIF' logic"120.</w:t>
      </w:r>
    </w:p>
    <w:p>
      <w:r>
        <w:t>97. The adoption of the free price, instead of the maximum price, was questioned again after the Technical Committee of July 25, 2012. In particular, the technical committee convened for December 11, 2012 was urged to rethink the model, but further elements were raised in support of the free price solution, such as the greater profitability of the model and the hypothesized absence of antitrust oversight, as evidenced by document 205 in which it states: "given that the definition of a single maximum price at the system level on the payer PSP side could simplify the operational aspect of the detection and settlement of charges, it was considered that this solution might not be feasible from an antitrust perspective? Moreover, even if such a solution were deemed feasible, it was considered that such a choice could reduce competitiveness and compress margins for the payer PSPs as well as expose the banking sector to constant scrutiny from AGCM?" (emphasis added ed.)121. It should be noted that, even in this case, ABI later circulated a different document, purged of the aspects that highlight the true reasons underlying the choice of the model, and of which traces can be found in the cited document, which states: "Given that the definition of a single maximum price at the system level on the payer PSP side could simplify the operational aspect of the detection and settlement of charges, it was considered that this solution might present the problems of MIF?"122.</w:t>
      </w:r>
    </w:p>
    <w:p>
      <w:r>
        <w:t>98. In the Technical Committee of December 11, 2012, the model of the price freely defined by the payer banks and published at its maximum amount on the website www.sepaitalia.eu (currently in force) was definitively approved123.</w:t>
      </w:r>
    </w:p>
    <w:p>
      <w:r>
        <w:t>7.4 Treatment of mandates acquired with the previous RID system</w:t>
      </w:r>
    </w:p>
    <w:p>
      <w:r>
        <w:t>99. The banks agreed, with the collaboration of ABI, on the methods of applying SEDA fees to the old RID mandates already deposited with the banks before the entry into force of SEPA. This aspect, concerning the scope of application of the SEDA fee, is particularly relevant, firstly, because it could well have been left to the free determination of the Parties and, therefore, shows how the concertation activity of the Parties has pushed, even on this occasion, beyond the necessary degree to ensure the correct functioning in circularity of the service; secondly, the agreement reached on this aspect ensures that the restrictive agreement applies not only to new mandates but also to the old ones that numerically identify the predominant part of the SEDA clientele.</w:t>
      </w:r>
    </w:p>
    <w:p>
      <w:r>
        <w:t>100. In particular, in the SEDA agreement (art. 5)124 it is provided that the beneficiary pays quarterly to each payer PSP a fee determined by the application of the unit price for each SEDA Mandate; "the unit price, determined autonomously by each Payer PSP, may be differentiated depending on whether the mandate is issued and kept by the Beneficiary or by the payer PSP. The latter case occurs in the following situations:</w:t>
        <w:br/>
        <w:t>- Adherence of the Beneficiary to the 'Advanced' module;</w:t>
        <w:br/>
        <w:t>- When the payer PSP keeps mandates issued according to the national scheme (RID delegations) that are active for SEDA direct debits"125.</w:t>
      </w:r>
    </w:p>
    <w:p>
      <w:r>
        <w:t>101. In the event that the payer PSP keeps mandates issued according to the national scheme (RID delegations), the fee provided for Advanced SEDA may therefore be applied.</w:t>
      </w:r>
    </w:p>
    <w:p>
      <w:r>
        <w:rPr>
          <w:b/>
        </w:rPr>
        <w:t>[Pages 28–30]</w:t>
      </w:r>
    </w:p>
    <w:p>
      <w:r>
        <w:t>30 BULLETIN NO. 19 OF MAY 22, 2017</w:t>
      </w:r>
    </w:p>
    <w:p>
      <w:r>
        <w:t>102. The SEDA commission applies, therefore, not only to new mandates but also to pre-existing ones, for which the beneficiary will have to pay the higher commission (Advanced SEDA).</w:t>
      </w:r>
    </w:p>
    <w:p>
      <w:r>
        <w:t>103. It should be noted that, even regarding this aspect, the Parties have jointly chosen the most profitable solution, namely the application of the new SEDA rates to the old RID mandates as well.</w:t>
      </w:r>
    </w:p>
    <w:p>
      <w:r>
        <w:t>104. The importance from a profitability perspective of applying the new SEDA commissions to the old RID mandates clearly emerges from a series of emails dated June 22, 2013, between ABI and the other Parties, in which, in response to a proposal from an external consultant not to price the existing mandates of creditors migrated to SEDA, it is clearly specified: "I believe it is clear to everyone that such a decision, considering that the mandates coming from the RID delegations are and will be for a long time 99% of the entire mandate portfolio, completely changes the business plan of the service for each domiciled bank. It could even be that you yourself would be disincentivized from offering the Advanced SEDA, given the ridiculous number of mandates on which it would be applied!". In the email chain, MPS intervenes, referring to the consultant, stating that he "therefore proposes the free provision of the 'old', which we do not consider acceptable, since it is precisely the archive of the 'old' that allows us to recoup (perhaps!) the investments on SEDA, albeit with a minimal fee"126.</w:t>
      </w:r>
    </w:p>
    <w:p>
      <w:r>
        <w:t>105. Also noteworthy is an email from UBI commenting on ABI's proposal, which states: "the idea, although 'politically correct', of applying a single price does not please me very much. From what I have read in the last emails, it is clear to me that the crux of the matter is that the differential between the two SEDA prices is given by the activities of acquiring and maintaining authorizations, activities that in relation to RID delegations migrated to SEPA, and referred to non-SEDA adhering Beneficiaries, are not 'priced'. On this point, can we reason or is it a fact and therefore the price must be unique?"127.</w:t>
      </w:r>
    </w:p>
    <w:p>
      <w:r>
        <w:t>106. The banks, therefore, discuss commercial strategies closely related to the price of the service that are not connected to its circularity nor functional to its correct implementation. In fact, it was not necessary to establish a common line.</w:t>
      </w:r>
    </w:p>
    <w:p>
      <w:r>
        <w:t>8 THE DEFINITION OF SEDA PRICES AND RELATED PROFITABILITY</w:t>
      </w:r>
    </w:p>
    <w:p>
      <w:r>
        <w:t>107. During the inspections, several documents were acquired that testify to the methods followed by the banks for defining the SEDA price, from which it emerges, as will be seen, that the banks apply a considerable markup on the costs incurred, as shared during the aforementioned ABI meetings. Furthermore, through SEDA, the banks also sought to recover lost revenues due to community regulations that mandated the transition from RID to SEPA.</w:t>
      </w:r>
    </w:p>
    <w:p>
      <w:r>
        <w:t>108. With reference to MPS, document 848 is particularly noteworthy, which states: "Regarding specifically the pricing of the Domiciled Bank (quarterly fee per active mandate), the total direct fixed/variable costs have been considered, some of which are one-off, allocated considering the average duration of a single mandate and the expected average operations. The recovery of the annual margin resulting from the elimination of the interbank commission (balance between active and passive commissions incurred) currently in place for RID, which is not provided for in the SEPA Direct Debit service, has also been considered. The following are the values of the standard price lists identified:</w:t>
      </w:r>
    </w:p>
    <w:p>
      <w:r>
        <w:t>• Domiciled Bank:</w:t>
        <w:br/>
        <w:t>- Basic SEDA: quarterly fee per active mandate €0.25 (total bank cost [€0.10-0.20]*)</w:t>
        <w:br/>
        <w:t>- Advanced SEDA: quarterly fee per active mandate €0.50 (total bank cost [€0.20-0.30])</w:t>
      </w:r>
    </w:p>
    <w:p>
      <w:r>
        <w:t>• Alignment Bank:</w:t>
        <w:br/>
        <w:t>- Annual fee: [omitted] € (total bank cost [omitted] €)</w:t>
        <w:br/>
        <w:t>- Fee per single message: [omitted] €</w:t>
      </w:r>
    </w:p>
    <w:p>
      <w:r>
        <w:t>The application of pricing, considering discount hypotheses and average annual operations, is hypothesized to result in the following trend of new annual revenues: […].</w:t>
        <w:br/>
        <w:t>The identified values reported above, from information gathered informally, seem to be in line with what pertains to the market and also with the expectations of the companies".</w:t>
      </w:r>
    </w:p>
    <w:p>
      <w:r>
        <w:t>109. In the annex to this document, containing the details of the simulation carried out to define the SEDA price levels, it is specified that MPS applied a markup for Basic and Advanced SEDA of [90-100%] and [70-80%] respectively128.</w:t>
      </w:r>
    </w:p>
    <w:p>
      <w:r>
        <w:t>110. With reference to UBI, document 923, already partially cited, is noteworthy, which specifies: "The main figures for SEDA collections per quarter are as follows:</w:t>
        <w:br/>
        <w:t>- [500-1000]k total theoretical collection if everyone paid at list prices</w:t>
        <w:br/>
        <w:t>- [500-1000]k actual collection net of discounts ([&lt;500] k, therefore, total discount)</w:t>
      </w:r>
    </w:p>
    <w:p>
      <w:r>
        <w:t>The [90-100%] of the uncollected amount due to discounts granted is attributable to the discounts granted to the first [10-20] UBI clients presenting SDD (therefore with negotiating power) […].</w:t>
        <w:br/>
        <w:t>Of the total of [500-1,000]k collections, [500-1,000]k are attributable to Basic SEDA (of which [&lt;500]k related to clients paying the list price and [&lt;100]k to clients paying a derogated price) and [&lt;100]k to Advanced SEDA (of which [&lt;100]k related to clients paying the list price and [&lt;50]k to clients paying a derogated price).</w:t>
      </w:r>
    </w:p>
    <w:p>
      <w:r>
        <w:t>[…]</w:t>
      </w:r>
    </w:p>
    <w:p>
      <w:r>
        <w:t>Proposal for revision of list prices</w:t>
        <w:br/>
        <w:t>If we decided to take advantage of this opportunity, we could reposition our list price for the service starting from the second half of 2015, considering that today we have a clearer view of the cost elements incurred by the group for the development and management of the service and to address any confirmation regarding the applicability of the VAT regime on the fees in question.</w:t>
        <w:br/>
        <w:t>Considering the various factors at play, it is proposed to:</w:t>
        <w:br/>
        <w:t>- increase the list prices of Basic SEDA from €0.25 to €0.50</w:t>
        <w:br/>
        <w:t>- increase the list prices of Advanced SEDA from €0.50 to €0.90</w:t>
        <w:br/>
        <w:t>- request the Network Banks to renegotiate bilaterally with the derogated clientele, possibly applying the same incremental rates.</w:t>
      </w:r>
    </w:p>
    <w:p>
      <w:r>
        <w:t>* In this version, some data are omitted, as elements of confidentiality or secrecy of the information were deemed to exist.</w:t>
      </w:r>
    </w:p>
    <w:p>
      <w:r>
        <w:t>128 Cf. doc. 848, annex BC new SEDA service, where there are also extensive references to the costs incurred. On this point, cf. also docs. 863 and 874, where it emerges that revenue estimates are made considering the possible discounts to be applied.</w:t>
      </w:r>
    </w:p>
    <w:p>
      <w:r>
        <w:t>32 BULLETIN NO. 19 OF MAY 22, 2017</w:t>
      </w:r>
    </w:p>
    <w:p>
      <w:r>
        <w:t>Assuming a redemption129 of 15% on the derogated clientele and 80% on the non-derogated clientele, the price revision would lead to the following quarterly income framework:</w:t>
        <w:br/>
        <w:t>Basic SEDA non-derogated clients: from [&lt;500]k to [500-1000]k</w:t>
        <w:br/>
        <w:t>Basic SEDA derogated clients: from [&lt;100]k to [&gt;100]K</w:t>
        <w:br/>
        <w:t>Advanced SEDA non-derogated clients: from [&lt;100]K to [&lt;100]k</w:t>
        <w:br/>
        <w:t>Advanced SEDA derogated clients: from [&lt;100]K to [&lt;100]k</w:t>
      </w:r>
    </w:p>
    <w:p>
      <w:r>
        <w:t>The total quarterly amount would therefore increase from [500-1,000]k ([2,000-2,5000]k annually) to [500-1,000]k ([3,000-3,500]k annually) with an increase in annual profitability of [1000-1500]k euros."</w:t>
      </w:r>
    </w:p>
    <w:p>
      <w:r>
        <w:t>111. The document also highlights the transparency generated by the publication of prices: "At the level of the Italian Banking System, the average price for Basic SEDA (the most used service) is €0.29 and the prices are distributed in the following ranges:</w:t>
      </w:r>
    </w:p>
    <w:p>
      <w:r>
        <w:t>Price # banks</w:t>
        <w:br/>
        <w:t>Free 30</w:t>
        <w:br/>
        <w:t>up to 0.10 28</w:t>
        <w:br/>
        <w:t>from 0.11 to 0.20 178</w:t>
        <w:br/>
        <w:t>from 0.21 to 0.30 254</w:t>
        <w:br/>
        <w:t>from 0.31 to 0.50 71</w:t>
        <w:br/>
        <w:t>over 0.50 33</w:t>
      </w:r>
    </w:p>
    <w:p>
      <w:r>
        <w:t>[…]</w:t>
      </w:r>
    </w:p>
    <w:p>
      <w:r>
        <w:t>From our evidence, we believe that other banks are also reflecting on the opportunity to reposition their SEDA price list. On this, it is not possible to have any certain feedback, given that the price publication mechanism (on the system's website) is aimed at avoiding maximum agreements that could effectively create a cartel on the conditions. We will know the definitive positioning only at the time of the publication of the data contained on the website.</w:t>
      </w:r>
    </w:p>
    <w:p>
      <w:r>
        <w:t>In light of the certainty that other market players are also evaluating what to do, we remain aware that the new maneuver would place our price list in a medium-high price range in the system […]. In the case of clients with sensitive commercial dynamics and relationships with our group, already experienced with the top [10-20] mentioned above, it is always possible to reposition the pricing at a level agreed upon with the counterparty"130.</w:t>
      </w:r>
    </w:p>
    <w:p>
      <w:r>
        <w:t>112. Finally, with reference to UBI, a memorandum sent to the General Managers of the Network Banks of the UBI Group on September 9, 2013, is noteworthy, in which it is specified that with RID, UBI had a total margin in 2012 of [17-18 million] €, while overall for the SDD service and related services (including SEDA) a margin of [18-19 million] € is expected. These calculations take into account actual prices and not the maximum published prices.</w:t>
      </w:r>
    </w:p>
    <w:p>
      <w:r>
        <w:t>Secondly, this document specifies the group's guidelines for managing derogations on the SEDA price: "the possibility of negotiating with creditors for values lower than the maximums communicated remains firm. In this regard, it should be noted that:</w:t>
        <w:br/>
        <w:t>1) such derogations must only be recognized to clients of high standing.</w:t>
      </w:r>
    </w:p>
    <w:p>
      <w:r>
        <w:t>129 Ed. at the request of UBI offices, during the hearing of September 30, 2016, it was clarified that "this wording relates to the measure of the outcome of any initiatives of the bank". Cf. doc. 1142.</w:t>
      </w:r>
    </w:p>
    <w:p>
      <w:r>
        <w:t>130 Cf. doc. 923 which provides data related to revenues after the entry into force of SEDA. Other documents provide estimates made previously, such as docs. 912 and 936.</w:t>
      </w:r>
    </w:p>
    <w:p>
      <w:r>
        <w:rPr>
          <w:b/>
        </w:rPr>
        <w:t>[Pages 31–33]</w:t>
      </w:r>
    </w:p>
    <w:p>
      <w:r>
        <w:t>BULLETIN NO. 19 OF MAY 22, 2017</w:t>
      </w:r>
    </w:p>
    <w:p>
      <w:r>
        <w:t>2) must be used as leverage for the increase/maintenance of intra-group presentation flows and their validity must be subject to periodic verification of the actual conveyance of intra-group flows.</w:t>
      </w:r>
    </w:p>
    <w:p>
      <w:r>
        <w:t>3) negotiations must be managed according to a Group logic and not that of a single Banking Network, to strengthen the bargaining power of our bank: in other words, the pivot banks of such clients may make commitments on the SEDA fees applied by other Banks in the Group; furthermore, if there is more than one pivot bank, these, in response to requests from clients, must align to define a common offer. On this matter, we have aligned your Pricing and Commercial Planning Staff.</w:t>
      </w:r>
    </w:p>
    <w:p>
      <w:r>
        <w:t>113. Turning to Unicredit, document 490 is particularly noteworthy, in which, during a presentation for the country manager on the SEDA pricing strategy, the applied prices and calculation methods with prices, costs, and margins are specified. In particular, the following slide is noteworthy, which defines the calculation method. Starting from the MIF for the reporting component, and adding a cost for EBA clearing, the annual price of SEDA would have been [0.40-0.50] euros for "not on us" transactions and [0.40-0.50] euros for "on us" transactions.</w:t>
      </w:r>
    </w:p>
    <w:p>
      <w:r>
        <w:t>EBA Clearing is the company that manages clearing services for SEDA. A transaction is defined as on-us only if there is a coincidence between the payer's bank and the one chosen by the creditor, that is, the beneficiary of the SEDA service. In fact, both the payer and the creditor independently choose the banks to approach; if the choice falls on the same bank, the transaction is of the on-us type, as it occurs within the same bank.</w:t>
      </w:r>
    </w:p>
    <w:p>
      <w:r>
        <w:t>Figure 1. Composition of Unicredit's price (omitted version)</w:t>
      </w:r>
    </w:p>
    <w:p>
      <w:r>
        <w:t>114. In the following slide, the price and the actual mark-up applied and communicated to ABI for publication are reported.</w:t>
      </w:r>
    </w:p>
    <w:p>
      <w:r>
        <w:t>Figure 2: Definition of Unicredit's price (omitted version)</w:t>
      </w:r>
    </w:p>
    <w:p>
      <w:r>
        <w:t>Source: document 490, excerpt.</w:t>
      </w:r>
    </w:p>
    <w:p>
      <w:r>
        <w:t>115. The same document includes an estimate of revenues and specifies: "the commercial effort is equal to a 40% increase in transactions and a 20% increase in net margins; this product is strategic for maintaining the overall relationship with this type of clients, as it represents the main source of collections."</w:t>
      </w:r>
    </w:p>
    <w:p>
      <w:r>
        <w:t>116. In the slide below, it is also evident that Unicredit had planned to apply the break-even price to "top biller" clients, representing [70-80%] of the mandates, and to apply the list price to the remaining clients representing [30-40%] of the mandates. As can be seen from the document, the [30-40%] of mandates generates, in Unicredit's forecasts, higher revenues than those generated by clients with high bargaining power who are granted exceptions.</w:t>
      </w:r>
    </w:p>
    <w:p>
      <w:r>
        <w:t>Figure 3: estimate of potential revenues Unicredit (omitted)</w:t>
      </w:r>
    </w:p>
    <w:p>
      <w:r>
        <w:t>117. Finally, turning to Cariparma, in an internal email analyzing SEPA/SEDA revenues from November 2012, it states that the impact of SEPA, with reference to RID, will be approximately [omitted] euros. Possible revenues generated by new services are estimated, specifying that:</w:t>
      </w:r>
    </w:p>
    <w:p>
      <w:r>
        <w:t>(1) All creditors adhere to SEDA; the list price is applied to all creditors (including large billers). This scenario, defined as purely theoretical as it does not reflect actual commercial logic, generates revenues of [11.5-12] million euros ([9-9.5] million SEDA BASE and [2-2.5] million for the Advanced).</w:t>
      </w:r>
    </w:p>
    <w:p>
      <w:r>
        <w:t>(2) [70-80%] of creditors adhere to SEDA for a total of [9.5-10] million mandates; [70-80%] of the mandates adhering to SEDA consists of top billers to whom the exception will be applied. The revenues generated are equal to [3-3.5] million euros, of which approximately [500-1,000] k from exception prices. The exception prices applied are those of break-even.</w:t>
      </w:r>
    </w:p>
    <w:p>
      <w:r>
        <w:t>For break-even, a price is meant that allows for the recovery of at least variable costs.</w:t>
      </w:r>
    </w:p>
    <w:p>
      <w:r>
        <w:t>Cfr. doc. 988, attached presentation.</w:t>
      </w:r>
    </w:p>
    <w:p>
      <w:r>
        <w:rPr>
          <w:b/>
        </w:rPr>
        <w:t>[Pages 34–36]</w:t>
      </w:r>
    </w:p>
    <w:p>
      <w:r>
        <w:t>BULLETIN NO. 19 OF MAY 22, 2017</w:t>
      </w:r>
    </w:p>
    <w:p>
      <w:r>
        <w:t>"it is possible to recover profitability through new services"139 among which is explicitly mentioned "complete management of AOS SEDA direct debit mandates"140.</w:t>
      </w:r>
    </w:p>
    <w:p>
      <w:r>
        <w:t>118. With reference to Cariparma, numerous documents have been acquired that illustrate the methods of negotiating the SEDA price. In particular, from document 985 of November 2013, it is first evident the commercial link between the volumes of SDD conveyed by the billing company and the SEDA price, and secondly, the fact that, even considering the significant discount requested by the billing company compared to the list price, the industrial costs are more than covered. In the email, it is stated: "[primary billing company ed.] [...] I tried to negotiate and the result was that if we want to have a volume of redirected at least greater than [omitted] million annually, we should position ourselves on a commission at least equal to [omitted] € (for SDD ed.). The issue is obviously also related to the pricing we will propose for SEDA. The point is to try to get as close as possible to the requested [omitted] €. From my side, I believe that at [omitted] we could try to negotiate. [...]"141. With reference to [primary billing company ed.], it is stated: "considering that the Group has no relations with our Credit Institution and we do not have working data to reason in terms of operations, I am sending you the pricing related to the SEDA quotation. The quotation is clearly structured considering the "recommended" pricing from [omitted] which corresponds to [omitted]€ on an annual basis against a total of [omitted] domiciled mandates on our Banking Group. The gross contribution corresponds to € [100,000-200,000] and the industrial cost incurred of € [&lt;50,000]"142.</w:t>
      </w:r>
    </w:p>
    <w:p>
      <w:r>
        <w:t>119. With reference to Cariparma, document 983 notes that, from a prospective level, it forecasts: "The revenues from the SEDA service amount to ~ [3.5-4] million € in the base hypothesis that 'beat' by ~ [10-20%] the value of potential revenues communicated to the Steering Committee (01/28/13). The estimated alternative scenario with more precise hypotheses would lead to revenues around [4.5-5] million €"143.</w:t>
      </w:r>
    </w:p>
    <w:p>
      <w:r>
        <w:t>9 THE POSITION OF BANK OF ITALY</w:t>
      </w:r>
    </w:p>
    <w:p>
      <w:r>
        <w:t>120. Bank of Italy was heard in a hearing on October 17, 2016, and confirmed what had already emerged during the investigation, namely that its position on SEDA did not concern the aspect of remuneration, which was left to the free definition of the banks. Furthermore, Bank of Italy emphasized that it supported the exclusion of the MIF prohibition for additional optional services from Regulation 260/2012 EU at the European level144. In particular, during the hearing, Bank of Italy stated that: "SEDA, [...], was developed at the request of businesses to maintain the service levels provided by the national direct debit (RID) [...]; on January 26, 2009, the national committee for migration to SEPA mandates the Consultation Forum of banks-139 Cfr. doc. 988, attached presentation. 140 Cfr. doc. 988, attached presentation, slide 9. On this point, the presentation specifies that the potential new revenues from SDD for 2013 are between [2.5-3 and 4-4.5] million euros, which become, in 2014, between [2-2.5 and 3-3.5] million euros. 141 Cfr. doc. 985. 142 Cfr. doc. 986. The data refers exclusively to SEDA. The attached file specifies that the industrial cost (quarterly) for SEDA is equal to [&lt;0.1] €. 143 These estimates refer to the various hypotheses defined precisely regarding the possible methods of adhesion of different clients. Cfr. doc. 983, attached presentation, slide 6. 144 Cfr. for example doc. 90 in which a representative of Bank of Italy, participating in the Technical Committee at ABI on April 18, 2012, intervenes to emphasize "the importance of realizing AOS SEDA regardless of the definition of the underlying business model and recalls that the Italian delegation supported the exclusion in the text of the Regulation of the prohibition of MIF for additional services also in view of the realization of the SEDA service."</w:t>
      </w:r>
    </w:p>
    <w:p>
      <w:r>
        <w:t>BULLETIN NO. 19 OF MAY 22, 2017</w:t>
      </w:r>
    </w:p>
    <w:p>
      <w:r>
        <w:t>the companies to "start the realization of SEDA as soon as possible...". In the context of the AGCM investigation on RID (provision 21615 of 2010), with the collaboration of Bank of Italy, the MIF component of the collection service is given independent relevance and evidence, separating it from that related to the information service (AEA and data archive management). This intervention takes into account the pan-European development perspective of the direct debit service and, in particular, the objective of establishing the principle of tariff neutrality for value-added services (separating them from basic ones). This objective is enshrined in the Regulation on the SEPA migration end date (260/2012): during the negotiations at the EU Council, the Italian Delegation requested and obtained, in fact, not to extend the MIF prohibition imposed on the direct debit service to value-added services. In particular, Regulation 260/2012 provides: a) the possibility of applying the MIF to additional optional services "where they are clearly and unequivocally distinct from the basic direct debit services..." [considering 20]; b) the possibility that the mandate is retained by a third party on behalf of the beneficiary [art. 5, paragraph 3 a)ii)]. Considering the need expressed by businesses, Bank of Italy in its provision of February 2013 - implementing the SEPA Regulation - provides in art. 8 (Additional optional services) that: "Payment service providers, also through their associative representations, in collaboration with the associative representations of payment service users, define and make available additional optional services capable of ensuring that the service levels of transfers and direct debits provided by Regulation 260/2012 are at least equal to those of the corresponding national services."</w:t>
      </w:r>
    </w:p>
    <w:p>
      <w:r>
        <w:t>With reference to the remuneration model of SEDA, in the Communication of Bank of Italy of July 31, 2013, to the National Committee for migration to SEPA, the following is stated: a) "In the context of the work of the national committee for migration to SEPA, themes related to the remuneration model of the SEDA Service have been jointly represented by representatives of banks and businesses..."; b) "With reference to the above - given the urgency of meeting the deadlines set by the European legislator for migration to SEPA standards and also taking into account the need to ensure the phase of entry into operation during the first year of activity of the service - acknowledgment is taken of what has been communicated. At the end of the start-up year, in light of the experience gained, the adopted solution may be subject to verification also in light of the concrete functionalities of the service offered." c) The SEDA service has been offered to businesses since October 2013"145.</w:t>
      </w:r>
    </w:p>
    <w:p>
      <w:r>
        <w:t>121. Bank of Italy, after highlighting the urgent situation in which the SEDA service was born and after specifying that "the availability of SEDA has allowed businesses to complete the migration safely and to have the service levels previously enjoyed"146, emphasized "the commitment made by Bank of Italy to ensure both the regularity of the migration to SEPA and, through the realization of SEDA, the maintenance of the service levels that characterized the domestic direct debit model. With reference to this second objective, the Institute's attention has focused on the operational profiles of the SEDA service without interfering with the choice of the remuneration model, which has been freely defined by the representatives of banks and businesses within the organizational autonomy recognized to them"147.</w:t>
      </w:r>
    </w:p>
    <w:p>
      <w:r>
        <w:t>10 THE POSITION OF THIRD PARTIES</w:t>
      </w:r>
    </w:p>
    <w:p>
      <w:r>
        <w:t>122. From the documents obtained during the inspection, it emerged that during the period of defining the remuneration model of the SEDA service, banks, within ABI, met with interested third parties such as the beneficiaries of the service (billing companies), Confindustria, and some trade associations, to receive comments and evaluations regarding the SEDA remuneration model.</w:t>
      </w:r>
    </w:p>
    <w:p>
      <w:r>
        <w:t>123. The comments formally presented by AITI in 2012148, also shared by Confindustria149, and sent to ABI, highlight the competitive criticalities of the SEDA remuneration model. In fact, the trade association takes a position against the SEDA business model: "The proposed mechanism for formulating the prices applied for the provision of the service by the participating banks is not acceptable. The hypothesized solution of allowing individual service providers to apply commissions unilaterally defined by them does not guarantee the formulation of prices based on market mechanisms and free competition, pursuant to art. 81 of the EEC Treaty. It could lead to levels of remuneration that are inconsistent with the cost levels of the service, favoring the creation of position rents, contrary to the principles that govern the functioning of markets. The negotiation of the price for the services provided [...] would be extremely dispersive and burdensome, in fact accessible only to large users of the service and towards larger suppliers. It would certainly not be accessible to small users of the AOS service combined with SEPA Direct Debit: small and medium-sized enterprises, smaller public entities, schools, non-profit entities, etc., which would, in fact, suffer the prices defined by the participating banks outside the reach of a negotiated agreement. AITI has assessed that the proposed model does not represent the best solution for the formulation of prices charged to businesses for the provision of services provided by AOS SEDA. This is both due to the aforementioned operational difficulties in managing negotiation tables with multiple counterparts and to the very characteristics of the SEPA Direct Debit instrument, in which the choice of the domiciled bank pertains to the debtor. In fact, this bank would not always maintain contractual relationships with the creditor; indeed, in a significant number of cases, it might not have any, effectively minimizing, if not nullifying, the bargaining power of the creditor towards the banks participating in AOS. AITI prefers the definition of system reference prices for the provision of services provided by the domiciled banks to the creditor, determined based on the costs directly related to the management/exchange of information on mandates. Such reference prices should be applied by all banks participating in AOS, unless specific reductions are agreed on a bilateral basis between banks and creditor companies"150.</w:t>
      </w:r>
    </w:p>
    <w:p>
      <w:r>
        <w:rPr>
          <w:b/>
        </w:rPr>
        <w:t>[Pages 37–39]</w:t>
      </w:r>
    </w:p>
    <w:p>
      <w:r>
        <w:t>BULLETIN NO. 19 OF MAY 22, 2017</w:t>
      </w:r>
    </w:p>
    <w:p>
      <w:r>
        <w:t>39. It should be noted that this position of opposition to the SEDA business model has been brought to the attention of the banks, both by sending the document via email151 and during the Working Groups on October 5, 2012, and December 12, 2012152.</w:t>
      </w:r>
    </w:p>
    <w:p>
      <w:r>
        <w:t>124. Further comments from the world of billing companies, that is, the beneficiaries of the SEDA service, highlight (i) a general preference for a remuneration model based on the MIF, (ii) the expectation that the migration to the SEPA+SEDA system would not result in an increase in fees.</w:t>
      </w:r>
    </w:p>
    <w:p>
      <w:r>
        <w:t>125. In particular, ABI pointed out to the banks participating in the Working Group that "the representatives of companies have repeatedly stated, even on public occasions, their support for the model based on MIF provided it is subject to stringent requirements for setting values and to the Authority's control"153.</w:t>
      </w:r>
    </w:p>
    <w:p>
      <w:r>
        <w:t>126. Furthermore, during the Technical Committee on February 11, 2013, ABI clarified that "creditor companies also have the general expectation that in the transition from RID to SDD there will not be an overall increase in the cost of the service, but rather a 'decomposition' of the same between a reduced fee for the mere collection service (SDD) and a remuneration linked to the possible adherence/remuneration of the SEDA service (the prices valid until June 2014 are considered too high anyway)"154.</w:t>
      </w:r>
    </w:p>
    <w:p>
      <w:r>
        <w:t>127. Various internal documents from the banks reveal awareness of such critical issues. For example, an internal document from Unicredit emphasizes that "the abolition of the MIF effectively opens the market to a revision of pricing strategies by all market operators. Creditor companies expect a reduction in the fees paid to their acquiring banks in relation to the disappearance of the interbank charge155."</w:t>
      </w:r>
    </w:p>
    <w:p>
      <w:r>
        <w:t>128. At ICBPI, documents emerged stating "Regarding costs, I confirm that in recent days at SPIN the theme of 'WE WANT TO PAY LESS...' was strongly voiced by all the companies present (ENI in the front row)"156. Finally, a document acquired from ICCREA illustrates Enel's position, "Regarding pricing, we confirm the orientation we developed at the time of the SEPA's entry into force. On that occasion, we represented that - in our view - there are no reasons for the overall cost of the 'SDD+SEDA service' to be higher than the cost of the previous 'RID service'"157.</w:t>
      </w:r>
    </w:p>
    <w:p>
      <w:r>
        <w:t>129. During the procedure, various billing companies and associations were heard in a hearing, expressing their concerns regarding the SEDA remuneration system.</w:t>
      </w:r>
    </w:p>
    <w:p>
      <w:r>
        <w:t>130. In particular, in an initial phase, the following were summoned for a hearing, in order: Utilitalia (formerly Federutility), which represents entities operating in public services of Water, Environment, Electricity, and Gas; Asstel, the association representing companies in information technology providing fixed and mobile telecommunications services; and ENI S.p.A.</w:t>
      </w:r>
    </w:p>
    <w:p>
      <w:r>
        <w:t xml:space="preserve">151 Cf. doc. 837.  </w:t>
        <w:br/>
        <w:t xml:space="preserve">152 Cf. doc. 809 and 978.  </w:t>
        <w:br/>
        <w:t xml:space="preserve">153 Cf. doc. 103.  </w:t>
        <w:br/>
        <w:t xml:space="preserve">154 Cf. doc. 99.  </w:t>
        <w:br/>
        <w:t xml:space="preserve">155 Cf. doc. 474. This refers to the interbank charge (MIF) related to SEPA DD, abolished by the repeatedly mentioned EU Regulation 260/2012.  </w:t>
        <w:br/>
        <w:t xml:space="preserve">156 Cf. doc. 593.  </w:t>
        <w:br/>
        <w:t>157 Cf. doc. 653.</w:t>
      </w:r>
    </w:p>
    <w:p>
      <w:r>
        <w:t>40 BULLETIN NO. 19 OF MAY 22, 2017</w:t>
      </w:r>
    </w:p>
    <w:p>
      <w:r>
        <w:t>131. All parties heard during the hearing stated that the SEDA system, and in particular the Advanced SEDA model, was introduced with the aim of replacing the old RID system, as the SEPA DD service does not guarantee the alignment systems that were present in the RID158.</w:t>
      </w:r>
    </w:p>
    <w:p>
      <w:r>
        <w:t>132. Utilitalia and Asstel stated that their associated companies, with the introduction of the new SEDA system, have recorded an increase in costs compared to the old RID. In particular, according to preliminary estimates from Utilitalia, "the transition to the SEPA DD and SEDA system [has] generated an increase in costs, compared to RID, of about 40-45%"159. Utilitalia, in response to a request for information made during the hearing, sent an estimate of the cost impact resulting from the adoption of the Advanced SEPA-SEDA service compared to the old RID, during the first quarter of 2015, on a small sample of 3 large companies active in the protected and free electricity and gas markets, representing about 25% of the total customers served by the companies associated with Utilitalia. The three companies recorded an increase in costs of about 55%, 66%, and 84%160.</w:t>
      </w:r>
    </w:p>
    <w:p>
      <w:r>
        <w:t>133. According to Utilitalia, this increased cost is primarily due to the fact that "the billing company pays the fee directly to the bank of its customer, with a limited ability to exert competitive leverage on the price applied"161. Asstel stated, on this point, that "the companies associated with Asstel have experienced a general increase in service prices (compared to RID) in the order of 30/40% and a difficulty in negotiating lower SEDA service prices compared to those published. This difficulty is explained by the fact that the PSP (payment service provider) that applies the SEDA fee is chosen by the debtor and not by the creditor who pays the fee itself. This problem is even more serious for small companies that lack bargaining power and cannot, unlike large billers, negotiate prices at least with the major PSPs"162.</w:t>
      </w:r>
    </w:p>
    <w:p>
      <w:r>
        <w:t>134. In light of this increase in costs, the companies that have adhered to SEDA, according to what was reported by the associations, have also encountered difficulties in withdrawing from this service. According to Utilitalia, the problems encountered are as follows: "the first is related to the significant investments made by the company for updating the application systems necessary to manage SEDA. The second is attributable to the existence of a real 'barrier to exit', the reasons for which are not understood. In particular, when a billing company adheres to the SEDA service, it is assigned a new 'creditor ID'. At the same time, the mandates of its customers are assigned an identifying code by the system. In the event of withdrawal from SEDA and transition to SEPA, the system requires the assignment of a new 'creditor ID', which entails the need to have customers sign a new mandate from scratch. This, clearly, could result in enormous costs with the risk of losing customer mandates/direct debits"163.</w:t>
      </w:r>
    </w:p>
    <w:p>
      <w:r>
        <w:t>135. Enel confirmed that "the overall increase in prices for Sepa DD services (also SDD) + SEDA, compared to the previous RID system, is about [60-70%] excluding VAT.</w:t>
      </w:r>
    </w:p>
    <w:p>
      <w:r>
        <w:t xml:space="preserve">158 Utilitalia, for example, stated that "most of the associated companies opted for adherence to the optional additional service (AOS) Advanced SEDA... in the hope of ensuring customers the same level of service previously enjoyed with the RID system and the related Electronic Alignment service [...] those who did not adopt this system encountered difficulties especially in the case of defaults." Cf. doc. 36, minutes of Utilitalia hearing of May 20, 2015.  </w:t>
        <w:br/>
        <w:t xml:space="preserve">159 Cf. doc. 36, minutes of Utilitalia hearing of May 20, 2015.  </w:t>
        <w:br/>
        <w:t xml:space="preserve">160 Cf. doc. 39, response to Utilitalia's request for information of June 19, 2015.  </w:t>
        <w:br/>
        <w:t xml:space="preserve">161 Cf. doc. 36, minutes of Utilitalia hearing of May 20, 2015.  </w:t>
        <w:br/>
        <w:t xml:space="preserve">162 Cf. doc. 37, minutes of Asstel hearing of June 10, 2015.  </w:t>
        <w:br/>
        <w:t>163 Cf. doc. 36, minutes of Utilitalia hearing of May 20, 2015.</w:t>
      </w:r>
    </w:p>
    <w:p>
      <w:r>
        <w:t>BULLETIN NO. 19 OF MAY 22, 2017</w:t>
      </w:r>
    </w:p>
    <w:p>
      <w:r>
        <w:t>41</w:t>
        <w:br/>
        <w:t>[...] Prior to the introduction of SEPA, the cost was about [&lt;0.1] € per RID. This cost, multiplied by the 6 annual debits (most Enel bills are bimonthly), led to an annual cost of about [0.30-0.40] € per single direct debit mandate. Currently, considering the Sepa DD and SEDA services, the price per mandate is, instead, about [0.50-0.60] € [...] which the aforementioned increase of [60-70%] takes into account both the SEDA prices negotiated bilaterally with some banks and those list prices applied for customers with accounts at banks with which no bilateral negotiation has been reached, which account for about [25-30%] of the total customer base of the ENEL group"164. Enel specifies that "in the best-case scenarios, the price is at least equal to that paid previously [under the previous RID system n.d.r.] and that, had an agreement not been reached with the main banks, the increases, based on the published SEDA list prices, would have been in the order of 5-600% compared to the old RID system"165.</w:t>
      </w:r>
    </w:p>
    <w:p>
      <w:r>
        <w:t>136. Enel further explains, "how it is possible to undertake the negotiation of SEDA fees only if Enel has commercial relationships, of any nature, with the individual banks of the payers. In the absence of such relationships, it is difficult to proceed with negotiating the fees for this service because Enel has no commercial leverage to exert. [...] to obtain a reduction in SEDA fees compared to list prices, Enel had to endorse the banks' requests for an overall negotiation of the SEDA price and the prices and volumes of SDD conveyed to the individual banks. Specifically, during the negotiation phases, the SEDA fee applied by the bank in its capacity as PSP of the payer was always conditioned on the channeling, to that same bank, of a minimum volume of SDD. In other words, Enel had to guarantee, to the banks with which it negotiated reduced rates for SEDA, the conveyance of a certain volume of SDD collections to them. In the absence of such a guarantee, the banks would not have lowered the list prices of SEDA. This modus operandi of the banks creates a significant competitive restriction because it ties the price and volumes of SDD to the price of SEDA. In this way, the company is not free to choose even the bank that offers the SDD service at the lowest price but must accept a higher SDD price, compared to the more competitive ones, in order to obtain a lower SEDA price compared to list levels. In fact, this contractual dynamic, characterized by the need to channel a minimum level of SDD across different banks of the payers in order to obtain a reduction in SEDA fees, prevents Enel from managing the entire flow of its SDDs to the banks that offer the best economic conditions for this last service. [Enel n.d.r.] notes, on this point, that Italian companies, in this way, cannot turn to banks other than national ones for the SDD service – even though these offer a lower price – since bills are generally not domiciled with them and therefore Enel would lose the opportunity to negotiate lower SEDA prices with the domiciliary banks. Foreign banks, for this reason, cannot penetrate the SDD service market166. Similarly, Enel is forced to distribute its SDD flows across multiple banks.</w:t>
      </w:r>
    </w:p>
    <w:p>
      <w:r>
        <w:t xml:space="preserve">164 Cf. doc. 1052, Minutes of Enel hearing of July 15, 2016.  </w:t>
        <w:br/>
        <w:t xml:space="preserve">165 Cf. doc. 1052, Minutes of Enel hearing of July 15, 2016.  </w:t>
        <w:br/>
        <w:t>166 The same position was also highlighted by Telecom, which emphasized how the SEDA remuneration mechanism "makes it inefficient, for Telecom, to channel SDD collections to a foreign bank, even if the economic conditions offered were very advantageous, as it is more useful to use SDD volumes as a commercial leverage to obtain discounts on SEDA fees. [...] Telecom received some offers for the provision of SEPA DD from foreign banks that it did not accept due to the need to obtain exemptions on SEDA prices through the commercial leverage constituted by SEPA DD volumes. [...] the previous system based on MIF allowed banks and companies to compare the value of the MIF itself and to identify any anomalies and excessive fixations of the same. The benefits of the comparison, carried out by banks and larger companies, also fell on the...</w:t>
      </w:r>
    </w:p>
    <w:p>
      <w:r>
        <w:rPr>
          <w:b/>
        </w:rPr>
        <w:t>[Pages 40–42]</w:t>
      </w:r>
    </w:p>
    <w:p>
      <w:r>
        <w:t>42 BULLETIN NO. 19 OF MAY 22, 2017</w:t>
      </w:r>
    </w:p>
    <w:p>
      <w:r>
        <w:t>to obtain discounts on the SEDA price, while, if the SEDA price were set in a competitive manner, it could channel all its flows to the banks that offer a lower price for SDD, thus uncoupling the determination of the SDD price from that of the SEDA price"167.</w:t>
      </w:r>
    </w:p>
    <w:p>
      <w:r>
        <w:t>137. Regarding the possibility of withdrawing from SEDA only with respect to certain PSPs, Enel states that "while it is theoretically possible to waive SEDA only for some banks, this is not practically feasible because it would require a structure capable of managing the few mandates that pass through the banks for which the service has not been activated, and this would be entirely inefficient. […]168.</w:t>
      </w:r>
    </w:p>
    <w:p>
      <w:r>
        <w:t>138. American Express, heard in a hearing, stated that: "due to the complexity arising from managing over 600 relationships with its clients' banks, Amex has not initiated any negotiations to obtain discounts. […] unless further collaborations with the interested credit institutions, AmEx would not have commercial leverage on the SEDA service alone as it cannot choose its clients' bank. […]"169. In a subsequent communication, American Express confirmed an increase in the cost of the SDD + SEDA service compared to the previous Rid + AEA amounting to approximately [&lt;500,000] €, corresponding to about [0.10-0.20] € per mandate170.</w:t>
      </w:r>
    </w:p>
    <w:p>
      <w:r>
        <w:t>139. Telecom, heard in a hearing on October 4, 2016, stated that: "in addition to having to invest a significant amount (approximately [omitted] euros) to adapt its operating systems to the new SEPA standards, it currently incurs costs that are about 20-30% higher than those paid in the previous RID system. […] The increase in costs mentioned above is lower than the previously communicated increase of about 60%171, due to the diligent and intense negotiations that Telecom has undertaken with the banks with which it has commercial relationships in order to obtain a reduction in the fees paid. […] this increase is entirely unjustified because a large part of the costs incurred by banks for SEDA would have had to be borne anyway due to the obligations arising from adherence to SEPA.</w:t>
      </w:r>
    </w:p>
    <w:p>
      <w:r>
        <w:t>The current system, on the other hand, has resulted in an increase in prices for large enterprises, despite the bargaining power held by them, and a considerable increase for small and medium-sized enterprises that, instead, are unable to negotiate effectively. This implies a general increase in the price of banking services for the weaker parties who are unable to obtain a discount from the banks with which they have no commercial relationship" doc. 1150, minutes of Telecom hearing.</w:t>
      </w:r>
    </w:p>
    <w:p>
      <w:r>
        <w:t>167 Enel continues by stating that "it is considering the possibility of exiting SEDA, which, however, at this moment would cause great inconvenience both to Enel and to its customers due to the so-called misalignment (modification of the essential data of the mandate) and related defaults that would occur. Enel would therefore need to equip itself with an internal management system that would significantly increase costs. More specifically, Dr. … [omitted] notes that to revert a mandate from SEDA to SEPA DD, it is necessary to change the Creditor Identifier Number CID, and this could theoretically necessitate requesting all Enel customers to re-grant the Sepa DD mandate. Such an eventuality would certainly be harmful because it would create a huge burden on Enel's activities and the risk that customers decide not to use direct debit as a payment method anymore." See doc. 1052. Minutes of Enel hearing on July 15, 2016.</w:t>
      </w:r>
    </w:p>
    <w:p>
      <w:r>
        <w:t>168 See doc. 1052. Minutes of Enel hearing on July 15, 2016. Telecom also observes in a similar sense: "this is conceptually possible, but the system created with SEDA is an advanced system that has a very high cost of managing exceptions, so in reality, the hypothesis is difficult to implement. Additionally, excluding certain banking entities from SEDA could lead to the so-called prohibition of 'IBAN discrimination,' which requires creditors, within SEPA, not to discriminate payments based on the customer's IBAN." See doc. 1150, minutes of Telecom hearing.</w:t>
      </w:r>
    </w:p>
    <w:p>
      <w:r>
        <w:t>169 See doc. 1054, minutes of American Express hearing on July 19, 2016.</w:t>
      </w:r>
    </w:p>
    <w:p>
      <w:r>
        <w:t>170 See doc. 1066 where American Express states that it has experienced an increase of about [&lt;500,000] and doc. 1054 where American Express states that it manages about [500,000-1,000,000] mandates.</w:t>
      </w:r>
    </w:p>
    <w:p>
      <w:r>
        <w:t>171 Telecom refers to the communication of an increase in service costs from telecommunications companies made by ASSTEL during the hearing and in response to a request for information see doc. 37 and 59.</w:t>
      </w:r>
    </w:p>
    <w:p>
      <w:r>
        <w:t>BULLETIN NO. 19 OF MAY 22, 2017 43</w:t>
      </w:r>
    </w:p>
    <w:p>
      <w:r>
        <w:t>[…] in the best-case scenarios, the price is at most equal to that paid previously, but [that], at a general level, there has been a significant increase in the overall price paid"172.</w:t>
      </w:r>
    </w:p>
    <w:p>
      <w:r>
        <w:t>140. Eni S.p.A., which only adheres to the SEDA Base service, as a large biller has stated that "[in order to achieve cost savings … it has decided to negotiate bilaterally the SEDA fee initially with the main banks/banking groups. Currently, it has already negotiated agreements with about [25-30] institutions that represent about [70-80]% of the mandates … In light of such negotiations, calculating the total costs paid for the overall collection of a SEPA DD with the SEDA Base service, Eni has found, on average, a savings of 20-30% compared to the previous RID system."173 It should be noted, in this regard, that Eni adheres to the SEDA Base system which cannot be considered fully substitutive of RID as it does not provide for the possibility that the payer's PSP retains the mandate, a possibility that was, instead, included in RID.</w:t>
      </w:r>
    </w:p>
    <w:p>
      <w:r>
        <w:t>141. In order to understand the impact of SEDA on the activities of foreign banks, requests for information were sent to HSBC Bank plc Italy174 and Citibank n.a.175.</w:t>
      </w:r>
    </w:p>
    <w:p>
      <w:r>
        <w:t>142. HSBC stated that it found "during commercial discussions with the main Italian groups with a high number of SDD collections that their preference is directed towards banks with a high number of debtor clients (and thus SDD mandates). This allows banks that have simultaneous current account relationships with both the creditor and the debtor to offer a complete service. In commercial terms, the offer of the SDD service (without SEDA service) from the Branch finds interest from the main Italian corporate clients, but is not competitive in the integrated SDD SEDA services, as the Branch cannot apply fees for SEDA services different from those offered by each debtor bank. Currently, the Branch has no clients in Italy to whom it provides both SDD and SEDA services. Two clients are offered the SDD service"176.</w:t>
      </w:r>
    </w:p>
    <w:p>
      <w:r>
        <w:t>143. Citibank stated that "Some of our clients have considered the possibility of activating the SEDA service from the creditor side, but they abandoned the idea as they found the SEDA service burdensome compared to the costs incurred for any defaults along with the additional administrative costs arising from the non-use of the SEDA service. Other clients preferred to turn to other institutions for the management of the SEDA service, having a consolidated relationship with them. Due to the low demand from Italian clients, our institution has, so far, postponed the development of the SEDA service on the creditor side"177.</w:t>
      </w:r>
    </w:p>
    <w:p>
      <w:r>
        <w:t>11 THE POSITION OF THE PARTIES</w:t>
      </w:r>
    </w:p>
    <w:p>
      <w:r>
        <w:t>11.1 The position of ABI</w:t>
      </w:r>
    </w:p>
    <w:p>
      <w:r>
        <w:t>144. ABI has expressed its position regarding the legality of the system designed to compensate for the provision of the SEDA service on multiple occasions during the investigative proceedings throughout the numerous hearings, in the defensive memorandum filed on December 29, 2016178 and, lastly, in the final memorandum of April 6, 2017179 as well as during the final hearing on April 13, 2017180.</w:t>
      </w:r>
    </w:p>
    <w:p>
      <w:r>
        <w:t>145. Initially, in the defensive memoranda, ABI highlights how, regarding the contested case, a legitimate reliance has developed among the Parties regarding the legality of the conduct carried out. This is due to the time elapsed since the first presentation of the model to the Authority (in 2012) and the initiation of the proceeding by the same (January 2016) and the numerous interactions that took place during that time. Moreover, the correctness and legality of the proposed model – implemented since 2014 – had been endorsed, according to ABI, also by the Bank of Italy.</w:t>
      </w:r>
    </w:p>
    <w:p>
      <w:r>
        <w:t>146. In light of this factual situation, ABI could not have imagined that the proposed model could generate competitive issues such as to trigger the initiation of a proceeding. Also preliminarily, ABI believes that the Authority has lost its investigative and sanctioning powers under the provisions of Article 14 of Law 689/81, which provides a 90-day period from the notice of the infringement to activate the procedure. On this point, ABI emphasizes that the definitive model of the SEDA remuneration system had been presented in its entirety as early as the end of 2012 and, at the latest, during a hearing held at the Authority's offices in January 2013. Since then, unjustifiably over three years would have passed before the initiation of the investigation.</w:t>
      </w:r>
    </w:p>
    <w:p>
      <w:r>
        <w:t>147. On the merits of the contested behaviors, ABI notes, connecting to the previous points, the illogicality of the qualification of the agreement by object, as such qualification should be the consequence of a violation "icto oculi," while, from the tenor of the communications sent by the Authority, it would be inferred at most the need to evaluate the effects of the SEDA remuneration agreement.</w:t>
      </w:r>
    </w:p>
    <w:p>
      <w:r>
        <w:t>148. In particular, according to ABI, "during the long pre-investigative phase, the AGCM never expressed a preference for the MIF nor did it ever provide any indication that could lead to believe, even remotely, that the remuneration model being developed and ultimately proposed by ABI could configure a restrictive agreement by object and thus constitute a manifest violation of antitrust regulations [...]. It would be "the Authority itself, in declaring that the contested agreement would be restrictive of competition 'by object,' to confirm that the information regarding the contents of the remuneration agreement, of which the Authority had been aware at least since January 14, 2013 [...] was sufficient to determine an assessment of ABI's conduct and that of the interested companies. Restrictive agreements by object are characterized, in fact, by the fact that they present immediately identifiable characteristics through examination of the content of the agreement, which allow for the evaluation of the antitrust illegality of the agreement itself without the need to examine the concrete effects of the agreement"181.</w:t>
      </w:r>
    </w:p>
    <w:p>
      <w:r>
        <w:t>149. Specifically, ABI emphasizes that the initiation order lacks a precise definition of the conduct respectively attributed to the association and the companies and that, in any case, the contested agreement could not be restrictive by object but only "by effect." In particular, according to ABI, there would be a lack of clarity and precision in the accusation "made evident ... by the fact that the conduct attributed to the individual associated companies is described only generically, as having played an 'active role' within associative bodies [...]."</w:t>
      </w:r>
    </w:p>
    <w:p>
      <w:r>
        <w:rPr>
          <w:b/>
        </w:rPr>
        <w:t>[Pages 43–45]</w:t>
      </w:r>
    </w:p>
    <w:p>
      <w:r>
        <w:t>BULLETIN NO. 19 OF MAY 22, 2017</w:t>
      </w:r>
    </w:p>
    <w:p>
      <w:r>
        <w:t>45. In the case at hand, the "active role" of the companies involved in the proceeding, as per the current documents, is stated in entirely generic terms and is reduced to the observation of the companies' participation in technical bodies of the association, activated in compliance with statutory regulations in order to develop (necessarily) common technical rules for the provision of certain "network" services [...] it follows that participation in technical bodies, as such, implies an "active role" that is nothing more than normal participation in the associative life, and does not express – until proven otherwise – that quid pluris that allows attributing to individual associated companies, in conjunction with the association, a potential anti-competitive agreement182. ABI continues to highlight that "it is therefore clear that the accusation made by the Authority in this proceeding is not that of an anti-competitive agreement 'by object', because no accusation can be raised – in the payment services sector – against the mechanism of standardization, as such, of the remuneration model of a certain service [...] the accusation must therefore be understood exclusively as directed towards a potential or even probable 'anti-competitive effect' that the Authority believes it can identify in the remuneration mechanism adopted in the ABI"183.</w:t>
      </w:r>
    </w:p>
    <w:p>
      <w:r>
        <w:t>150. Regarding the choice of the remuneration system, ABI highlights that the decision to discard the model based on MIF was made due to a "perceived disfavor towards the MIF"184. In its defense, ABI specified that "the standard remuneration model traditionally operating in payment services markets, namely that of MIF (multilateral Interchange Fees), was programmatically discarded, during the initial implementation phase of the SEDA ancillary service, because such a model, as it entails a complete uniformity of prices practiced throughout the market, has raised various antitrust concerns in the past, and has also been prohibited, for actual payment services, by Article 8, Reg. 260/2012"185. ABI also notes that the existence of conditions for the admissibility of MIF to AOS (such as SEDA) was not at all established at the time of defining the remuneration model186.</w:t>
      </w:r>
    </w:p>
    <w:p>
      <w:r>
        <w:t>151. ABI further clarifies that, if in the initial phase of identifying the remuneration model for SEDA the MIF solution seemed the most efficient187, following the initiation of proceedings I/725, Interbank Agreements RIBA-RID-BANCOMAT, I/720 "Credit Cards" and the European cases VISA Mastercard, aimed at "raising objections regarding the use, within the payment systems based on cards offered by each of them, of interchange fees set at a level deemed excessively high..."188, the work for defining the remuneration model subject to investigation "could only... be positioned in a perspective of overcoming the remuneration model based on MIF, oriented towards the search and projection of completely new models. [...] In the case of the SEDA service, the only model that appeared to meet this objective, allowing the elimination of centralized and uniform methods of setting interbank fees, turned out to be the so-called '1 to many' model"189.</w:t>
      </w:r>
    </w:p>
    <w:p>
      <w:r>
        <w:t>152. ABI also presents a series of considerations aimed at demonstrating: i) the possibility for the beneficiary to "decide not to enter into a contractual relationship SEDA with certain PSPs of the payer, without compromising in any way the possibility of offering customers who use such PSPs the option to make the payments due via the SEPA direct debit service, nor the possibility of continuing to use the SEDA service with the remaining PSPs of the payer"190, ii) the impossibility of using the previous RID model as a counterfactual comparison model for a hypothetical "competitive" price, and iii) in any case, the absence of a price increase, even using the counterfactual model based on RID.</w:t>
      </w:r>
    </w:p>
    <w:p>
      <w:r>
        <w:t>153. Regarding the first aspect, ABI emphasizes that the interbank agreement SEDA provides for the possibility of exiting SEDA and/or not entering into a contractual relationship with certain PSPs of the payer, with no economic, contractual, or technical barriers to exiting the service.</w:t>
      </w:r>
    </w:p>
    <w:p>
      <w:r>
        <w:t>154. Concerning the second point, for ABI, assuming that a correct counterfactual scenario "should fully correspond to the circumstances of the factual scenario, except for not incorporating any competitive restriction"191, the "RID" model would not meet this requirement as "to offer companies the same functionalities of the Electronic Archive Alignment service (AEA) of the RID, with the SEDA service, entirely new processes were necessary, compatible with the new legal context and to be implemented through new investments in infrastructure and applications different from those previously used for the provision of the AEA RID service"192.</w:t>
      </w:r>
    </w:p>
    <w:p>
      <w:r>
        <w:t>155. Regarding the role played in defining the model, ABI highlights that throughout the migration process to the European payment system – SEPA, it played a strictly institutional role and, also concerning the activities related to SEDA, the Association acted at the explicit request of the companies and "upon continuous urging from the Bank of Italy"193. This would lead to the impossibility of sanctioning ABI for having carried out activities related to the definition "of the interbank agreements functional to the provision of the SEDA service, which therefore fully fall within the institutional tasks assigned to ABI by law"194.</w:t>
      </w:r>
    </w:p>
    <w:p>
      <w:r>
        <w:t>156. ABI contests that the anti-competitive intent of the Parties would also have materialized in the attempt to evade the aforementioned "control of the Authority" and, on this point, notes that "the claim for AGCM oversight on the level of final prices and their orientation to cost, apparently invoked by the CRI, has no normative foundation. The AGCM is not a regulatory Authority, let alone a price regulation authority"195. Regarding the effects of the agreement, ABI's position will be illustrated further along with that of the other Parties.</w:t>
      </w:r>
    </w:p>
    <w:p>
      <w:r>
        <w:t>157. ABI also denies any exclusionary intent towards foreign banks and asserts that the contractual link between SEPA DD and SEDA would be even stronger, and would have more exclusionary effects, with the choice of a remuneration model based on MIF196.</w:t>
      </w:r>
    </w:p>
    <w:p>
      <w:r>
        <w:t>11.2 The position of the other Parties in the proceeding</w:t>
      </w:r>
    </w:p>
    <w:p>
      <w:r>
        <w:t>158. The objections of the other Parties partially echo the criticisms raised by ABI and have mainly focused on the following aspects: i) expiration of the Authority's investigative/sanctioning powers and legitimate reliance, due to the time elapsed between the presentation of the model and the initiation of the proceeding, also in light of the discussions held both with the Authority and with the Bank of Italy; ii) the absence of a restriction by object as also demonstrated by the tardiness of the initiation; iii) the choice of the model and the Authority's disfavor towards MIF; iv) the sanctionability of behaviors and the absence of concertation on the "old RID". All Parties, including ABI, have denied the existence of restrictive effects on competition, both with respect to the possible increase in prices and regarding the exclusionary effect on the SEPA DD market. Lastly, some banks have emphasized the peculiarity of their position both in terms of non-participation in meetings whose subject would be configured as illicit, and in terms of lack of interest in the SEDA instrument as well as opposition to the decisions made.</w:t>
      </w:r>
    </w:p>
    <w:p>
      <w:r>
        <w:t>i) Expiration of the Authority's powers/legitimate reliance</w:t>
      </w:r>
    </w:p>
    <w:p>
      <w:r>
        <w:t>159. Regarding the alleged expiration of the Authority's powers, all the Parties197 involved have contested the tardiness of the investigative intervention which would have occurred well beyond the expiration period identified by Article 14 of Law 689/81.</w:t>
      </w:r>
    </w:p>
    <w:p>
      <w:r>
        <w:t>160. All Parties have highlighted the occurrence of legitimate reliance in light of both the discussions with the Authority and the participation of the Bank of Italy in the process of identifying the system, also inferred from the presence of some representatives of the institute at certain meetings of the ABI Technical Committee for Payment and Settlement Services198.</w:t>
      </w:r>
    </w:p>
    <w:p>
      <w:r>
        <w:t>161. As for the discussions with the Authority, the Parties have stated that "it is true that the Authority has never authorized the system, but it is also true that it was presented several years ago and on multiple occasions199". ICBPI has argued that "the dialogue with the Authority carried out by ABI represented, for ICBPI, a guarantee of the correctness of behaviors in view of the definition of the SEDA remuneration model. Moreover, the participation of a representative of the company who acted in isolation beyond the mandate received cannot lead to a finding of infringement"200.</w:t>
      </w:r>
    </w:p>
    <w:p>
      <w:r>
        <w:t>162. Unicredit has stated that the letter from March 2013, sent by the Authority to ABI201, would have had a formulation "indicative of the fact that no immediate competitive issues had emerged that could be directly attributed to the presented remuneration model (i.e. not</w:t>
      </w:r>
    </w:p>
    <w:p>
      <w:r>
        <w:rPr>
          <w:b/>
        </w:rPr>
        <w:t>[Pages 46–48]</w:t>
      </w:r>
    </w:p>
    <w:p>
      <w:r>
        <w:t>48 BULLETIN NO. 19 OF MAY 22, 2017</w:t>
      </w:r>
    </w:p>
    <w:p>
      <w:r>
        <w:t>could be considered restrictive in itself or by object), save for the need for subsequent monitoring of the effects"202. For Unicredit, moreover, "the horizontal nature of the agreement necessarily derives from a service in 'circularity' and is therefore the result of interbank decisions. However, the necessary discussions did not only concern the banking world but also involved the Antitrust Authority (AGCM). It is true that the Authority has never authorized the system, but it is also true that it was presented several years ago and on multiple occasions, and even the Bank of Italy shared it"203.</w:t>
      </w:r>
    </w:p>
    <w:p>
      <w:r>
        <w:t>163. For MPS, the very lengthy pre-investigation phase carried out by the offices would also translate into a clear violation of the defense rights of the Parties "insofar as the Offices, unexpectedly delaying the opening of the proceeding by several years, have in fact carried out almost the entire investigative phase outside of any procedural guarantees, acting moreover in blatant excess of power204."</w:t>
      </w:r>
    </w:p>
    <w:p>
      <w:r>
        <w:t>164. This assertion appears contradicted, at least with reference to the analysis of the restrictiveness of the effects of the remuneration system, by the positions expressed by UBI and Intesa, which state that "from a methodological perspective [...] an analysis based on the trend of prices of a completely new service, which came into effect about two years before the opening of this investigation, and which was even not remunerated for its first eight months of existence, is at least premature205."</w:t>
      </w:r>
    </w:p>
    <w:p>
      <w:r>
        <w:t>165. Regarding the role of the Bank of Italy, the Parties highlighted the explicit request of this Institution to ensure an IT service capable of replacing the previous AEA, even during the migration to SEPA. The approval of the remuneration model for the SEDA service by the Bank of Italy would be contained in the circular of the Bank of Italy of July 31, 2013206. ICCREA, on this point, stated that "this system has received the approval of the Bank of Italy and has been the subject of a long discussion with the Antitrust Authority"207 and "the widely participatory methods by which the SEDA service was implemented have led ICCREA to believe that the aspects related to the compliance of the service had been adequately addressed and that the competent authorities had not raised any objections in this regard"208. According to Banca Sella and Banca del Piemonte, there would have been a "forcing" of what was stated by the Bank of Italy209.</w:t>
      </w:r>
    </w:p>
    <w:p>
      <w:r>
        <w:t>ii) absence of a restriction "by object" as demonstrated also by the tardiness of the start</w:t>
      </w:r>
    </w:p>
    <w:p>
      <w:r>
        <w:t>166. All Parties contest the existence of a restriction "by object." Intesa and UBI, on this point, assert that it is not true that the Parties would have failed to provide essential elements about the agreement: "this accusation is not at all substantiated, as it is not explained at all what aspects would have been withheld from the Authority's knowledge. The surprise of the AGCM would be understandable if ABI had represented the banks' intention to orient their prices to costs. This, as stated, has never happened. On the contrary, ABI and the banks heard by the offices have detailed to the AGCM all the mechanisms governing the operation and remuneration of the SEDA, including the possibility for service providers to apply prices that included a reasonable margin"210.</w:t>
      </w:r>
    </w:p>
    <w:p>
      <w:r>
        <w:t>167. All banks denied that in the case at hand a concertation on the level of prices of the service could be identified, emphasizing their heterogeneity211.</w:t>
      </w:r>
    </w:p>
    <w:p>
      <w:r>
        <w:t>iii) The choice of the model: Authority's disfavor towards MIF</w:t>
      </w:r>
    </w:p>
    <w:p>
      <w:r>
        <w:t>168. Regarding the legitimacy and competitiveness of the chosen remuneration model, MPS represented that "at the time of defining the remuneration model for SEDA, ABI and the banks Parties to the proceeding perceived a climate of disfavor regarding the possible application of Multilateral Interchange Fees (MIF). Furthermore, regarding the MIF applied to Ri.Ba. services and the old RID, it is emphasized that these commissions did not guarantee the coverage of the costs incurred by BMPS in providing the services"212. MPS, in its final memorandum, further added that the absence of competitive pressure depends "on an element inherent to the SEDA system [...] the billing company will always find as a counterparty SEDA a bank of the payer which is a natural monopoly because it is the only one that can provide SEDA with reference to that customer, simply because the latter has chosen that bank for its current account"213. According to UBI, "the model based on MIF was never considered as it was deemed likely to raise competitive issues"214. The same position is held by BNL, which stated that the hypothesis of MIF was "never concretely considered as it was perceived as a critical system from an antitrust perspective due to the various proceedings initiated by the European Commission and various other competition authorities, including the AGCM"215. BNL added that "after considering the 'one-to-one' model, the Parties decided to discard it, noting its inefficiency and excessive burden for the creditor bank, which would have been required to negotiate different contractual conditions on behalf of each individual company with about 700 debtor banks"216. UBI stated that: "UBI's participation in working groups and technical committees at ABI [...] occurred at the invitation of ABI and also following the indications provided by the Bank of Italy regarding, in particular, the need to ensure the continuity of the reporting service in the migration from the previous RID system to the current SEPA DD. [...] participation in the aforementioned tables was exclusively technical on the assumption that it was not appropriate, given the general climate of disfavor towards MIF, to adopt a remuneration system based on the application of multilateral commissions"217.</w:t>
      </w:r>
    </w:p>
    <w:p>
      <w:r>
        <w:t>169. ICCREA argued that the SEDA remuneration model constitutes an ancillary restriction to the SEDA service, stating that "it is likely that in the absence of a multilateral agreement on the methods of remuneration, the cost of bilateral negotiation and management in relation to all relevant variables [...] would have been so high as to make it impossible to offer it at market prices, with evident repercussions on the level of demand for it"218.</w:t>
      </w:r>
    </w:p>
    <w:p>
      <w:r>
        <w:t>170. Also regarding the choice of the model, the Parties provided justifications of efficiency for the SEDA remuneration system, highlighting how it, unlike a system based on MIF, allowed for the application of differentiated prices, which were in many cases derogated, thus preserving margins of competitiveness and dynamism in the market.</w:t>
      </w:r>
    </w:p>
    <w:p>
      <w:r>
        <w:t>iv) The sanctionability of behaviors and the absence of concertation on the old RIDs</w:t>
      </w:r>
    </w:p>
    <w:p>
      <w:r>
        <w:t>171. Regarding sanctions, all Parties contested the severity of the alleged infringement and therefore the sanctionability of the behaviors, arguing in the alternative the mitigating factor related to the inducement to behavior by public authorities and the adoption of an alternative measure suitable to resolve the problems highlighted by the Authority in the CRI219.</w:t>
      </w:r>
    </w:p>
    <w:p>
      <w:r>
        <w:t>172. With reference to the duration of the infringement, some Parties highlighted the instantaneous duration of the alleged offense, which should be limited to the period between July 17 and December 12, 2012, during which the meetings that would have led to the offense took place220.</w:t>
      </w:r>
    </w:p>
    <w:p>
      <w:r>
        <w:t>173. Some Parties pointed out that the contested behaviors should have been examined and positively evaluated under Article 101, paragraph 3 TFEU221.</w:t>
      </w:r>
    </w:p>
    <w:p>
      <w:r>
        <w:t>174. Lastly, the inapplicability of the legal basis of Article 101 TFEU was raised, as the conditions for identifying harm to community trade were not found222.</w:t>
      </w:r>
    </w:p>
    <w:p>
      <w:r>
        <w:t>175. Regarding the "old RIDs," some Parties emphasized the logic underlying the choice of the rule set out in circular 14/2013, stating that "the choice to use the Advanced SEDA fee for the old RID mandates is also supported by a logical and legitimate economic justification223."</w:t>
      </w:r>
    </w:p>
    <w:p>
      <w:r>
        <w:t>176. It is also noted that ABI stated that: "regarding the management of the so-called old RIDs, [...] ABI necessarily had to address this issue, in a perspective of transition to the new service, leaving the Parties freedom of choice"224.</w:t>
      </w:r>
    </w:p>
    <w:p>
      <w:r>
        <w:t>177. With reference to the pricing methods of the mandates migrated to SEPA and acquired in the previous RID system, the Parties that declared they would not apply the Advanced SEDA fee to the mandates acquired in the previous RID system at the bank are MPS, Cariparma, and Banca Sella. The other Parties, on the other hand, applied the rule defined in the associative meeting to price the ex-RID mandates acquired at the bank as Advanced SEDA.</w:t>
      </w:r>
    </w:p>
    <w:p>
      <w:r>
        <w:t>178. Lastly, it is worth noting that MPS contested the rejection of the commitments, stating that the contested case would not constitute a serious offense225.</w:t>
      </w:r>
    </w:p>
    <w:p>
      <w:r>
        <w:rPr>
          <w:b/>
        </w:rPr>
        <w:t>[Pages 49–51]</w:t>
      </w:r>
    </w:p>
    <w:p>
      <w:r>
        <w:t>BULLETIN NO. 19 OF MAY 22, 2017 51</w:t>
      </w:r>
    </w:p>
    <w:p>
      <w:r>
        <w:t>11.3 The position of the Parties in the proceedings regarding the contested effects of the agreement</w:t>
      </w:r>
    </w:p>
    <w:p>
      <w:r>
        <w:t>179. All Parties contested the existence of restrictive effects, highlighting that: a) the analysis of the alleged price increases is not based on the identification of a valid counterfactual; b) there is no evidence of price increases, but rather, prices/revenues would have decreased in the transition from the RID service to SEPA and SEDA; c) significant discounts have been applied compared to the published list prices, even to the beneficiaries of the SEDA service who complain about the increase in prices; d) the non-existence of effects concerning the Sepa DD service, with the consequent absence of disadvantages towards foreign and small banks.</w:t>
      </w:r>
    </w:p>
    <w:p>
      <w:r>
        <w:t>a) The absence of a counterfactual analysis</w:t>
      </w:r>
    </w:p>
    <w:p>
      <w:r>
        <w:t>180. Firstly, ABI, while denying the suitability of the RID model and the value of the MIF on the AEA component as a counterfactual scenario, states that "the comparison in question is nonetheless suggestive and interesting because, if correctly carried out, it shows that the price increase does not exist even if one accepts, quod non, the counterfactual implicitly identified by the Authority"226. According to ABI, the maximum annual average price of SEDA is €1.28 while the average annual MIF of ordinary RID and fast RID was between the two extremes of approximately €0.76 and €2.29227. Furthermore, ABI states that "if one compares the intermediate value of this range, €1.52, with the maximum annual average price of the SEDA service, €1.28, a price reduction of approximately 16% is obtained. From this analysis, it emerges that it is decidedly more plausible that prices in the remuneration model of the SEDA service, on average, have decreased rather than increased to supra-competitive levels compared to the pre-existing RID model"228. It should also be added that "the maximum prices charged by the 11 banks involved in the proceedings are, individually and on average, significantly lower than the general average of maximum prices present in the market"229 and have been widely deviated from by the same Parties.</w:t>
      </w:r>
    </w:p>
    <w:p>
      <w:r>
        <w:t>181. Some Banks have highlighted that the alleged effects have not been evaluated in light of a correct counterfactual. In particular, MPS points out that "[...] the Offices have merely stated apodictically that prices would be 'supra-competitive', but have not based their statements on any valid counterfactual"230. BNL and Creval express similar sentiments, stating that "The absence of alternatives to a joint definition of the remuneration model is confirmed by the lack of indication [...] of a valid counterfactual analysis that indicated how 'without the agreement in question, competition would have operated within the market'"231. ICCREA, with specific reference to the criticisms of the so-called '1 to many' model, emphasizes: "[...] the offices did not carry out any in-depth analysis on this point, nor do they provide any evidence regarding the correctness of the hypothesized counterfactual scenario related to the '1 to 1' model"232.</w:t>
      </w:r>
    </w:p>
    <w:p>
      <w:r>
        <w:t>182. With specific reference to the comparison between the prices/revenues of the SEDA service and those of the RID, which involved the application of MIF, the Parties emphasize the inadequacy of such a comparison. Firstly, ABI contests that "The superficial assertion and the request for a strict comparability between the prices of the SEDA service and the MIF of the RID-AEA is therefore incorrect from a logical standpoint (as they are not the same service) and from a technical standpoint (as the two quantities are not comparable)"233. MPS argues that "The thesis of the supra-competitive increase in costs in the SEDA service [...] is based on an erroneous comparison, namely that between the price of the RID service and that of the SEDA service"234. MPS also states that "[...] it is incorrect to believe that any price above the MIF established for the RID is, for that sole reason, supra-competitive and illegitimate when applied to the SEDA service. Banks certainly have the right to recover the investments incurred [...]"235. Unicredit also emphasizes the "[...] erroneous assumption that the 'functional overlap' between the AEA service and the SEDA service should have led the Parties to choose the same remuneration model and/or, in any case, to accept for the new service an implicit price constraint derived from the previous value of the MIF for the AEA component of the RID"236.</w:t>
      </w:r>
    </w:p>
    <w:p>
      <w:r>
        <w:t>Banca Sella and Banca del Piemonte have pointed out that: "[...] the Offices [...] assume as a counterfactual reference the previous RID model, specifically the AEA component of the service [...]. However, [...] such a counterfactual scenario is not correct [...]237". Intesa and UBI also highlight "[...] how the comparison proposed by the Offices between the price applied for the AEA and that applied for the SEDA could be unrepresentative238".</w:t>
      </w:r>
    </w:p>
    <w:p>
      <w:r>
        <w:t>b) The alleged price increases</w:t>
      </w:r>
    </w:p>
    <w:p>
      <w:r>
        <w:t>183. All Parties contested the existence of restrictive effects, highlighting that following the implementation of the SEDA remuneration system, their prices and/or revenues have decreased compared to those of the previous RID service239.</w:t>
      </w:r>
    </w:p>
    <w:p>
      <w:r>
        <w:t>184. Firstly, ABI states that "Even if there had been a price increase for payment services [n.d.r. Sepa DD] and/or for informational services [n.d.r. SEDA], this does not constitute a restriction of competition per se"240. Furthermore, with specific reference to the general price level "[...] there are reasonable indications to presume that the SEDA remuneration model, in the end, has led to a price level similar to that of the pre-existing system"241. Specifically, some estimates would show "[...] that the remuneration model of the SEDA service has even led to a reduction in prices of at least 25%"242.</w:t>
      </w:r>
    </w:p>
    <w:p>
      <w:r>
        <w:t>185. Unicredit, with specific reference to the allegations concerning possible price increases, states, at a general level, that "[...] the assertions regarding a significant increase in prices in the new system compared to the RID and the achievement of disproportionate margins compared to costs are manifestly unfounded. In fact, prices have decreased in the transition from RID to SDD+SEDA and the margins on the SEDA service are negative"243. Regarding the formulation of SEDA prices and the related margins, Unicredit, referring to the values of 2016, explains that "[...] the margins [...] on the SEDA service continue to be negative" and, specifically, this margin would be negative and equal to [omissis] % approximately compared to the Basic SEDA and [omissis] % approximately for the Advanced244. Furthermore, with reference to internal documentation showing the application of high margins compared to a defined break-even price, it notes that "the 'break-even' price [...] is more properly categorized as 'minimum corporate &amp; CIB price', that is, the minimum price that would have been possible to offer to medium-large billing customers and that [...] would have been suitable to at least cover that portion of the management cost of the mandate approximated using the value of the MIF"245. Regarding the trend of unit prices, calculated concerning individual payment transactions, the bank, illustrating some elaborations, states that "[...] in the case of Unicredit, one can certainly speak of a reduction and not an increase in prices in the transition to the new system [n.d.r. Sepa DD+SEDA]"246. Finally, the Party has developed "[...] a counterfactual analysis from which it emerges that revenues for Unicredit [...] would have been significantly higher in a scenario characterized by the persistence of the economic conditions of the RID"247.</w:t>
      </w:r>
    </w:p>
    <w:p>
      <w:r>
        <w:t>186. Regarding the documentation from MPS concerning the estimation of prices, the mark-ups applied, and the revenues generated by SEDA, the bank illustrates that "[...] the margin in question is similar to that applied by MPS on other services and is not excessive even for SEDA [...]. Secondly, the measure of the estimated revenues [...] is certainly not excessive nor particularly large, given that the amounts collected by MPS as the domiciliary bank were of the same order of magnitude when considering the year prior to the SEPA migration [...]. Thirdly, an increase in costs for SEDA beneficiaries could abstractly have occurred even if the service had been maintained at cost, given that, in the transition from RID to the SEPA DD + SEDA system, banks still had to face significant investments for the realization of SEDA, while the investments related to RID had long been amortized, and therefore were no longer reflected in the fee"248.</w:t>
      </w:r>
    </w:p>
    <w:p>
      <w:r>
        <w:t>187. According to UBI, "The conclusions of the CRI regarding an alleged price increase are irreconcilable with the information provided by UBI during the proceedings, in which it was highlighted, inter alia, a reduction in revenues in the 'direct debit' sector, during the transition from RID to SEPA DD/SEDA"249. Furthermore, the bank emphasizes that "even if the</w:t>
      </w:r>
    </w:p>
    <w:p>
      <w:r>
        <w:rPr>
          <w:b/>
        </w:rPr>
        <w:t>[Pages 52–54]</w:t>
      </w:r>
    </w:p>
    <w:p>
      <w:r>
        <w:t>54 BULLETIN NO. 19 OF MAY 22, 2017</w:t>
      </w:r>
    </w:p>
    <w:p>
      <w:r>
        <w:t>the interbank commissions paid by UBI were deducted […] from the revenues generated by UBI in 2013 and 2015 (i.e. the two years to which the comparison referred by the Offices pertains), UBI's turnover in 2015 (equal to [omissis] euros, in the context of RID/SEPA DD/SEDA) would still be lower than that achieved in 2013 (equal to [omissis])”250. Finally, UBI emphasizes “[…] how the average annual price of UBI for mandates ([omissis] euros) is significantly lower than the annual MIF for the AEA service of RID calculated by ABI (1.5 euros) and is substantially aligned with the counterfactual of the Offices […]”251.</w:t>
      </w:r>
    </w:p>
    <w:p>
      <w:r>
        <w:t>188. Intesa emphasizes, first of all, that considering the average annual price for the SEDA service, in the first two years of service provision (2015 and 2016), it has decreased ([omissis] euros per mandate in 2015, [omissis] euros in 2016). Furthermore, the bank illustrates how “[…] the maximum annual price of ISP for the SEDA […] is lower than the average annual MIF applied during the previous RID-AEA service. This regardless of the counterfactual considered; both that identified by ABI […], and that envisaged by the Offices […]”252.</w:t>
      </w:r>
    </w:p>
    <w:p>
      <w:r>
        <w:t>189. ICCREA first emphasizes that “[…] it does not generate and has never generated any revenue in relation to the SEDA, since, as a second-level bank, having a small number of clients at its branch, it provides the service in a completely marginal and free manner […]”253. Regarding the formation of the SEDA price, ICCREA observes that it “[…] has set the price of the SEDA based on the average costs incurred at its branch for each transaction […] and applying a mark-up of 5%”254.</w:t>
      </w:r>
    </w:p>
    <w:p>
      <w:r>
        <w:t>190. ICBPI, also a second-level bank, emphasizes that “[…] the price is not inflated (being equal to zero) […]”255.</w:t>
      </w:r>
    </w:p>
    <w:p>
      <w:r>
        <w:t>191. Regarding SEDA prices, Banca Sella specifies that “[…] the maximum annual price of the SEDA service […], equal to 0.60 euros for the basic SEDA and 0.80 euros for the advanced SEDA, these values perfectly fall within the range between 0.42 and 0.84 euros which represent the minimum and maximum value of the annual MIF for the ordinary AEA RID calculated by multiplying the value of the AEA component of the ordinary RID MIF (equal to 0.07 euros) by the average number of debits between 6 and 12 for the ordinary RID”256.</w:t>
      </w:r>
    </w:p>
    <w:p>
      <w:r>
        <w:t>192. Banca del Piemonte states that “[…] the transition from the old RID system to the new SEDA […] has not resulted in any increase in terms of revenues; indeed, what was collected for the new service, as the debtor's bank, is aligned with the active interbank charges [n.d.r. active MIF] collected under the AEA regime: in fact, Banca del Piemonte's turnover in 2012 is, substantially, equal to that generated in 2016”257.</w:t>
      </w:r>
    </w:p>
    <w:p>
      <w:r>
        <w:t>193. BNL illustrates that it decided “[…] which prices to apply entirely autonomously, adopting in the period July-September 2013 an analytical approach that took into account the analysis of costs and investments incurred, with the assistance of an independent external consultant (PWC)”258.</w:t>
      </w:r>
    </w:p>
    <w:p>
      <w:r>
        <w:t>c) Discounts applied to major clients</w:t>
      </w:r>
    </w:p>
    <w:p>
      <w:r>
        <w:t>194. The banks involved in the proceedings contest the substantial presence of effects by illustrating the discounts applied to their clients, in order to contest the alleged price increases complained of by the main beneficiaries of the SEDA service, namely the large billers.</w:t>
      </w:r>
    </w:p>
    <w:p>
      <w:r>
        <w:t>195. Creval specifies that it has “[…] negotiated down the SEDA commissions with all the companies that requested it […], allowing for significant savings.” Compared to the list prices applied by the bank, the savings obtained by Creval's clients through discounts range from a minimum of [omissis]% up to about [omissis]%259.</w:t>
      </w:r>
    </w:p>
    <w:p>
      <w:r>
        <w:t>196. BNL states that “[…] in the transition from RID to SEPA, […] (i) it has negotiated down the SEDA commissions with reference to [omissis]% of the mandates (and [omissis]% of the clients), applying discounts ranging from [omissis]% to [omissis]% (on average, [omissis]% discount for the basic SEDA and [omissis]% discount for the advanced) and sometimes providing the service for free; (ii) it has allowed its clients participating in the SEDA to save on the collection and alignment service – with reference to the year 2016 – on average [omissis]% compared to what was spent with RID in 2013, despite the volumes of collections presented at BNL having significantly increased during the same period”260.</w:t>
      </w:r>
    </w:p>
    <w:p>
      <w:r>
        <w:t>197. Both Intesa and UBI focus on the economic conditions applied to Enel, stating that “the conditions offered […] to the ‘large billers’ who have raised criticisms regarding the current remuneration model have been significantly improved compared to those they benefited from during the previous RID-AEA system, as demonstrated [n.d.r. in the example of Enel]”261.</w:t>
      </w:r>
    </w:p>
    <w:p>
      <w:r>
        <w:t>198. MPS, with reference to the prices charged to the main billers, specifies that “Enel pays MPS a commission lower than the costs […]”262. With reference to Telecom “[…] currently pays a rather contained SEDA commission […] and, from the point of view of unit commissions, a price lower than what was paid during the RID system”263.</w:t>
      </w:r>
    </w:p>
    <w:p>
      <w:r>
        <w:t>199. Finally, Unicredit estimates that, compared to list prices, it has applied, compared to 2016, a discount on the average price per mandate of about [omissis]% for the Basic SEDA and about [omissis]% for the Advanced SEDA. Furthermore, the bank illustrates that large billers can obtain discounts of up to [omissis]% compared to the list price264.</w:t>
      </w:r>
    </w:p>
    <w:p>
      <w:r>
        <w:t>d) The effects of SEDA concerning the provision of the Sepa DD service</w:t>
      </w:r>
    </w:p>
    <w:p>
      <w:r>
        <w:t>200. The Parties also contest that the SEDA remuneration model can generate anti-competitive effects regarding the provision of the Sepa DD payment service, to the detriment of small banks and foreign banks that, having a small number of account holders, cannot offer discounts on the SEDA and, therefore, are less attractive even regarding the provision of the Sepa DD payment service.</w:t>
      </w:r>
    </w:p>
    <w:p>
      <w:r>
        <w:t>201. In this regard, ABI emphasizes that “[…] the accusation cannot credibly concern the fact that the very existence of the SEDA service, as well as its remuneration model, allows banks to formulate bundling offers. In fact, bundled offers, by non-dominant companies, are notoriously entirely lawful”265. Furthermore, ABI continues: “It is beyond doubt […] that the so-called ‘negotiation link’ between Sepa DD and SEDA does not depend in any way on the SEDA remuneration model, nor on other aspects of the provision of the ‘circularity’ service that have been subject to definition at the associative level. The ability to apply discounts for the SEDA service directly depends on the number of clients that each bank can bring “in supply” to the beneficiary company, or on factors that are entirely exogenous to the provision of the service itself.” ABI also emphasizes that if a remuneration model based on MIF were considered “[…] for on-us transactions, no interbank commissions are provided, [n.d.r. therefore] the conditions applied by larger banks for information alignment services would be in re ipsa better than those applied by foreign banks (which obviously have a smaller number of on-us transactions)”266.</w:t>
      </w:r>
    </w:p>
    <w:p>
      <w:r>
        <w:t>202. From the perspective of individual banks, Unicredit states that: “[…] the negotiation dynamics between banks and companies is not limited to the SDD-SEDA binomial, but extends to all services in the payment and collection sector, as well as to a plurality of other services offered by the bank within the credit relationship with the beneficiary. Therefore, the assertion that discounts on the SEDA would be granted “only in case of conveying Sepa DD flows” is not true”267.</w:t>
      </w:r>
    </w:p>
    <w:p>
      <w:r>
        <w:t>203. Similar observations are made by the other banks. Among these, Banca del Piemonte notes that it represents a “[…] regional bank with branches present exclusively in Piedmont (with only one branch in Milan for purely organizational reasons) and, therefore, its position is not very dissimilar, in terms of the capillarity of its presence in the national territory, from those of many foreign credit institutions. From this, it should be concluded that Banca del Piemonte participated in a concertation, one of whose purposes would have been precisely to exclude it from the SEPA DD payment services market”268. Banca Sella makes entirely analogous observations, due to the limited capillarity of its branches269.</w:t>
      </w:r>
    </w:p>
    <w:p>
      <w:r>
        <w:t>204. As a second-level bank, ICBPI states: “The company […], while having – like foreign banks – few account holders and while offering the SEDA service for free, obtains decent revenues from the provision of the SEPA DD service as a whole, having set up complementary and supplementary value-added services for its clients. […] The SEPA DD volumes, in fact, derive from the attractiveness of the offer both in qualitative terms […] and in terms of the price of the service itself, as well as from the convenience of the offer of other banking services essential for companies”270.</w:t>
      </w:r>
    </w:p>
    <w:p>
      <w:r>
        <w:t>11.4 The peculiarities of the individual Parties</w:t>
      </w:r>
    </w:p>
    <w:p>
      <w:r>
        <w:t>205. As already mentioned, some banks have fundamentally denied their involvement in defining the SEDA remuneration model. These include, in particular, ICBPI, ICCREA, Cariparma, Banca del Piemonte, Banca Sella, BNL, Creval, and UBI.</w:t>
      </w:r>
    </w:p>
    <w:p>
      <w:r>
        <w:t>206. ICBPI has specified that it is “a second-level bank and [that n.d.r.] does not generate revenue attributable to the SEDA service. This service is instead offered for free to the</w:t>
      </w:r>
    </w:p>
    <w:p>
      <w:r>
        <w:rPr>
          <w:b/>
        </w:rPr>
        <w:t>[Pages 55–57]</w:t>
      </w:r>
    </w:p>
    <w:p>
      <w:r>
        <w:t>BULLETIN NO. 19 OF MAY 22, 2017</w:t>
      </w:r>
    </w:p>
    <w:p>
      <w:r>
        <w:t>57 creditors of their clients. In this regard, it is specified that ICBPI has approximately [1,000-2,000] direct debits on approximately [2,500-3,000/3,000-3,500] current accounts attributable exclusively to its own employees, as it is not authorized by its statute to offer services to retail customers. For this reason, ICBPI's participation in the discussions within the ABI Working Group was aimed at monitoring the evolution of the SEDA service compared to the previous RID service, in a peculiar position compared to other banks. […] ICBPI is [is ed.] exclusively involved in the creation of services for other banks, corporate companies, and public administration with a minimal number of retail current accounts.271 ICBPI has also denied participating in the internal working groups of ABI representing the interests of cooperative banks, specifying that "cooperative banks manage the service autonomously and have exited the capital of ICBPI for over a year"272 and this "is also confirmed by the fact that other cooperative banks participated in the ABI working groups autonomously and that ICBPI was not the recipient of requests for information during the pre-investigation phase and therefore did not perceive the existence of an antitrust risk."273 Furthermore, ICBPI, to demonstrate the lack of interest in the profitability model of the SEDA service, offers it for free.274</w:t>
      </w:r>
    </w:p>
    <w:p>
      <w:r>
        <w:t>207. ICCREA also specified that it is "a particular banking entity as it is a so-called second-level bank that provides services to cooperative credit banks that hold, in a fragmented manner, its capital. In fact, by statute, no bank can hold more than 5% of the share capital of ICCREA, which excludes any control over it. […] ICCREA has no control over the BCCs, which are not even obliged to use the banking services provided by ICCREA. […] ICCREA does not offer the SEDA service but provides the service of "processing" the messaging between individual BCCs and the EBA Clearing Clearing Mechanism. Due to these peculiarities, ICCREA has [participated] in ABI meetings only at a technical regulatory level without taking a position, from the perspective of corporate policy, on behalf of the BCCs. This is demonstrated by the absence of a mandate from the BCCs in favor of ICCREA and also by the fact that some BCCs participate autonomously in ABI meetings."275 In its memorandum, ICCREA specified that it "participated in such meetings and in the technical tables of ABI on SEDA, as is customary in similar cases, as an institutional representative of the BCCs."276</w:t>
      </w:r>
    </w:p>
    <w:p>
      <w:r>
        <w:t>208. Cariparma has claimed its estrangement from the proceedings, having not participated in any of the meetings, the content of which would be the subject of dispute in the present proceedings. The attribution of the infringement to Cariparma would therefore entail an unjustified discrimination against the bank.277 In particular, Cariparma highlighted that: "after careful checks of both the documents in the case file and those internal to the bank, Cariparma's involvement in the decision regarding the remuneration model of SEDA did not emerge. More specifically, … [omissis] notes that the decision regarding the remuneration structure of SEDA was adopted in the Technical Committee on July 25, 2012, a committee in which Cariparma did not participate as it was not yet included among its members. Cariparma instead participated in the technical committee of December 12, 2012, after the technical committee had communicated the decision to the Authority in October of the same year. […] Cariparma participated in the ABI Working Groups (GDL) underlying the definition of SEDA, as did several other banks - not involved in the proceedings - through technical personnel. In fact, participants in these meetings were, as a rule, individuals with technical profiles and not managerial ones, lacking decision-making powers and therefore unable to represent the company […]… various possibilities had been discussed within the GDL and, with particular reference to the MIF, they were deemed no longer suitable."278</w:t>
      </w:r>
    </w:p>
    <w:p>
      <w:r>
        <w:t>209. Banca del Piemonte, after specifying that it is "… a small bank of infra-regional size active with 50 branches in Piedmont and only one branch in Milan, for predominantly representative purposes"279 - moreover comparable in size to a foreign bank, which in the accusatory hypothesis of the CRI would be discriminated against by the remuneration model in question280 - stated that it had "no active role in defining the remuneration model of SEDA as it was not and is not part of the ABI Working Groups where the SEDA remuneration model was discussed and outlined. Banca del Piemonte participates, in fact, exclusively in the Technical Committee together with other banks not Parties to the proceedings."281</w:t>
      </w:r>
    </w:p>
    <w:p>
      <w:r>
        <w:t>210. Banca del Piemonte specified that "although it has clients who benefit from SEPA DD as beneficiaries, it does not perform the role of alignment bank for SEDA. This circumstance is explained by the fact that the billing clientele of Banca del Piemonte is predominantly composed of small commercial activities that do not require the reporting component characteristic of SEDA. Banca del Piemonte manages approximately [omissis] mandates related to its current account holders, corresponding to approximately [300-600] companies adhering to SEDA. To these, the list price of SEDA (0.25€ basic and 0.38€ advanced, well below the arithmetic average of the maximum fees published on the website www.sepaitalia.it) is applied, except for the only company ([omissis]) that requested a derogation. To this latter, adhering only to the basic SEDA, a fee of € [omissis] is applied."282</w:t>
      </w:r>
    </w:p>
    <w:p>
      <w:r>
        <w:t>211. Banca Sella stated that it is "a bank that operates throughout the national territory although predominantly in the northwest, particularly in Piedmont, Liguria, and Valle d'Aosta. Banca Sella does not perform alignment bank functions for any billing entity that adheres to SEDA. This circumstance is related to the fact that the billing clientele of Banca Sella is predominantly composed of SMEs that do not require the reporting component characteristic of SEDA. […] Banca Sella's position in the definition of the SEDA remuneration model has been minimal. […] Banca Sella, although part of the restricted GDL for collections, due to issues related to internal reorganizations within the bank itself and the lack of commercial interest in SEDA, has never participated in the GDLs in the years 2012-2013."283 Therefore, the potential attribution of unlawful behavior would be comparable to the attribution of objective liability, as Banca Sella's participation in the Technical Committee meetings occurred only in an institutional capacity.284</w:t>
      </w:r>
    </w:p>
    <w:p>
      <w:r>
        <w:t>212. Credito Valtellinese stated that it participated "exclusively in the Technical Committees and did not play active roles in defining the SEDA remuneration system. The extension measure, moreover, is directed only at some banks of the technical committee and not all. Even where competitive issues were found in the SEDA remuneration model, therefore, the case should be traced exclusively to a deliberation of business association."285 Credito Valtellinese also observed "a significant reduction in the fees paid by some large clients (such as [omissis], [omissis], and [omissis]) compared to the previous RID system."286</w:t>
      </w:r>
    </w:p>
    <w:p>
      <w:r>
        <w:t>213. UBI stated that: "On no occasion has UBI perceived that the adopted remuneration model could raise competitive issues and, in any case, during the tables, issues related to the determination of the final price of the service were never addressed."287 and "Ubi Banca not only did not participate in any agreement with other banks aimed at influencing, in any way, the outcome of the aforementioned working tables, but, within the context described above, has never even perceived that the chosen technical solutions could have any type of anticompetitive implications."288 UBI believes that any attribution of unlawful behavior can only be contested against ABI, as UBI cannot refrain from participating in the Association's meetings to provide the technical contribution required of it.289</w:t>
      </w:r>
    </w:p>
    <w:p>
      <w:r>
        <w:t>214. BNL stated that it had "no active role in defining the remuneration system of the SEDA service having participated, at ABI's request, in exclusively technical meetings due to its internationally recognized expertise in payment systems. The extension measure, moreover, is directed only at some banks of the technical committee and not all. Even where competitive issues were found in the SEDA remuneration model, therefore, the case should be traced exclusively to a deliberation of business association."290</w:t>
      </w:r>
    </w:p>
    <w:p>
      <w:r>
        <w:t>215. MPS highlighted its dissociation from the "1 to many" model, stating that "MPS has from the beginning taken a differentiated position compared to other banks, repeatedly and insistently advocating for the one-to-one model; however, based on what emerged in the technical and in-depth tables with all the other banks, the decision was made to develop the current one-to-many model as a system decision, deemed overall the 'most feasible' considering also the timing and management complexities. MPS obviously could do nothing but adapt to system modalities formalized by ABI regulations."291</w:t>
      </w:r>
    </w:p>
    <w:p>
      <w:r>
        <w:t>216. Also Intesa, while admitting its participation in defining SEDA, highlighted that it "distinguished itself as a bearer of an alternative position compared to a</w:t>
      </w:r>
    </w:p>
    <w:p>
      <w:r>
        <w:rPr>
          <w:b/>
        </w:rPr>
        <w:t>[Pages 58–60]</w:t>
      </w:r>
    </w:p>
    <w:p>
      <w:r>
        <w:t>60 BULLETIN NO. 19 OF MAY 22, 2017</w:t>
      </w:r>
    </w:p>
    <w:p>
      <w:r>
        <w:t>particular aspect of the remuneration model itself. In particular, Intesa considered it more suitable for its corporate structure to adopt a form of remuneration known as Collection SEDA, which linked the payment of the fee to SEDA messages292, as emerges from the document of Intesa attached by ABI to the minutes of the Technical Committee held on December 11, 2012, at ABI293.</w:t>
      </w:r>
    </w:p>
    <w:p>
      <w:r>
        <w:t>12 THE NEW REMUNERATION MODEL PROPOSED BY THE PARTIES</w:t>
      </w:r>
    </w:p>
    <w:p>
      <w:r>
        <w:t>217. During the proceedings, in the context of certain hearings held with the offices, the Parties presented an alternative remuneration model to the one currently in force, based on the application of a quarterly MIF on each active mandate, different for the so-called SEDA Base and SEDA Advanced, identified based on the costs incurred for the provision of the SEDA service and calculated based on an average of an efficient sample of banks294.</w:t>
      </w:r>
    </w:p>
    <w:p>
      <w:r>
        <w:t>218. Specifically, on January 13, 2017, the Parties informed the Authority that the new model provides for a quarterly MIF of €0.14 for the service of acquiring the mandate at the beneficiary (SEDA Base) and €0.26 for the acquisition of the mandate at the payer's PSP (SEDA Advanced).</w:t>
      </w:r>
    </w:p>
    <w:p>
      <w:r>
        <w:t>219. Regarding the new proposed system, ABI clarified that the SEDA service, while offering "informational functionalities similar to those previously included in the RID service through the Electronic Alignment Component of RID archives, is configured as an autonomous and independent service that uses applications, procedures, and infrastructures different from those previously in use [...] this service was offered based on long-established processes, whose activation costs could be considered fully amortized [...]. On the other hand [...] the preparation of the new service [SEDA ed.] required new processes and new investments in order to provide customers with functionalities similar to those pre-existing..."295.</w:t>
      </w:r>
    </w:p>
    <w:p>
      <w:r>
        <w:t>220. ABI continues by specifying that while in the previous RID system "the MIF provided for the AEA component of RID was [...] the result of cost approximations that sought to isolate the informational service component of AEA from the overall and unit cost of RID," in the calculation of SEDA MIF "all cost elements arising from the migration process and belonging to the SEPA DD payment system are excluded." This confirms the stand-alone nature of the SEDA service which, however, "necessarily implies the loss of some economies of scope, especially in terms of management and maintenance costs, which are no longer shared with the payment service."</w:t>
      </w:r>
    </w:p>
    <w:p>
      <w:r>
        <w:t>221. Finally, ABI states that "if a comparative analysis is to be conducted and assuming plausible estimates of €0.07 and €0.16 for the MIF of the AEA component, it leads to the conclusion that – with the same comparison perimeter – the proposed MIF values for the SEDA service are not significantly different from those applied for the AEA component of the RID service and that the remaining limited differences appear to be well explained and justified by the previous considerations."</w:t>
      </w:r>
    </w:p>
    <w:p>
      <w:r>
        <w:t>222. According to ABI, therefore, the new proposed MIF is only €0.04 higher annually (€0.01 quarterly) than the previous MIF. This minimal increase, according to ABI, is attributable to the fact that "SEDA is a new service and therefore considers the investment costs that were necessary to prepare and offer it [...]. The cost of new investments, the higher cost naturally arising from a stand-alone production process, and the better identification of the cost of acquiring and maintaining the mandate fully explain and justify any limited deviations"296. Furthermore, the new remuneration model, when correctly implemented, will allow for a MIF for SEDA lower than that applied to the previous RID service297.</w:t>
      </w:r>
    </w:p>
    <w:p>
      <w:r>
        <w:t>223. All Parties298 emphasized that this system should be valued by the Authority in terms of the cessation of the infringement and the Parties' active repentance and, more generally, should be capable of resolving the competitive issues subject to this proceeding299. Moreover, on this basis, some banks have requested not to sanction the behaviors carried out300. ABI, during the final hearing, expressed "its willingness to implement the results of the table for identifying an alternative method of remuneration for the SEDA service, considering this initiative commendable for the resolution of the matters at hand" and "calls for the necessity that, should the Authority positively evaluate the results of the technical table, the legitimacy under Article 101.3 of the TFEU of the solution reached be recognized"301.</w:t>
      </w:r>
    </w:p>
    <w:p>
      <w:r>
        <w:t>13 EVALUATIONS</w:t>
      </w:r>
    </w:p>
    <w:p>
      <w:r>
        <w:t>13.1 Procedural exceptions: observations regarding the expiration of the sanctioning power, legitimate reliance, and the rejection of commitments</w:t>
      </w:r>
    </w:p>
    <w:p>
      <w:r>
        <w:t>224. With reference to the Parties' arguments regarding the alleged expiration of the Authority's intervention power – as it would have been aware of the concrete functioning of the SEDA remuneration mechanism since 2013 – and the legitimate reliance on the lawfulness of the behavior carried out by the Parties, the following observations are made.</w:t>
      </w:r>
    </w:p>
    <w:p>
      <w:r>
        <w:t>225. Regarding the alleged application of the 90-day term, referred to in Article 14 of Law 689/81, according to the majority jurisprudence, it is noted that this term is not applicable to the proceedings referred to in Law 287/90302.</w:t>
      </w:r>
    </w:p>
    <w:p>
      <w:r>
        <w:t>226. In fact, the administrative judge, even in its recent rulings, has clarified that the term for initiation "under Article 14 of Law No. 689 of 1981 is linked not to the date of commission of the violation, but to the time of ascertainment of the infringement, to be understood in a teleologically oriented perspective and therefore not to the news of the sanctionable fact in its materiality, but to the acquisition of full knowledge of the unlawful conduct, implying the verification of the existence and consistency of the infringement and its effects [considering that ed.] the same assessment of the need to initiate or not the investigation may present itself as complex303." Consequently, the ninety-day term provided for in paragraph 2 of Article 14 of Law No. 689/1981 "begins to run only from the moment when the administrative activity aimed at verifying the existence of the infringement is completed – or should reasonably have been completed, also in relation to the complexity of the case – including investigations aimed at verifying the existence of all subjective and objective elements of the infringement itself304."</w:t>
      </w:r>
    </w:p>
    <w:p>
      <w:r>
        <w:t>227. In this regard, it is also worth noting that what was communicated by ABI, most recently in December 2013, was only part of the broader concertation carried out by the Parties.</w:t>
      </w:r>
    </w:p>
    <w:p>
      <w:r>
        <w:t>228. In fact, the concertation of the Parties was not limited to defining the architecture of the remuneration system for the SEDA service but delved into the details of the application methods of the model. It also emerged that the parties took the opportunity of adopting the new model to increase remuneration, also in order to recover revenues that would have been lost with the transition to SEPA, even though these are distinct services, as well as to "avoid downward interventions by AGCM." This is contrary to what ABI asserted during the discussions with the Offices, during which the choice to anchor the remuneration of the service to the ongoing management of the mandate carried out by the Payer's PSP was described as the most efficient solution.</w:t>
      </w:r>
    </w:p>
    <w:p>
      <w:r>
        <w:t>229. The Authority became aware of these last aspects only upon acquiring inspection documentation, subsequent to the initiation of the proceedings. Moreover, it was only from the inspection documentation that it emerged that the shared objective of the Parties was to arrive, through concertation, at a system that allowed for an increase in the profitability of the service, compared to the previous RID service.</w:t>
      </w:r>
    </w:p>
    <w:p>
      <w:r>
        <w:t>230. In light of the only partial information provided by ABI regarding the subject of the agreement, the Authority's investigative intervention cannot therefore be considered late, under the applicable regulations and related jurisprudence. Additionally, it should be noted that the Authority carried out significant activity both in the pre-investigative and investigative phases. It is specified, in fact, that before the initiation of the proceedings, requests for information were made to ABI on the following dates: March 11, 2014305; July 2, 2014306; November 21, 2014307; April 1, 2015308; August 12, 2015309. ABI was heard multiple times in hearings, particularly on December 17, 2013310; April 3, 2014311; July 24, 2014312; December 18, 2014313; April 20, 2015314 and September 22, 2015315.</w:t>
      </w:r>
    </w:p>
    <w:p>
      <w:r>
        <w:t xml:space="preserve">305 See doc. 2, the request was fulfilled on April 3, 2014. See doc. 3. </w:t>
        <w:br/>
        <w:t xml:space="preserve">306 See doc. 5, the request was fulfilled on August 4, 2014. See doc. 7. </w:t>
        <w:br/>
        <w:t xml:space="preserve">307 See doc. 8, the request was fulfilled on December 18, 2014. See doc. 27. </w:t>
        <w:br/>
        <w:t xml:space="preserve">308 See doc. 31, the request was fulfilled on April 20, 2015. See doc. 33. </w:t>
        <w:br/>
        <w:t xml:space="preserve">309 See doc. 42, the request was fulfilled on September 23, 2015. See doc. 45. </w:t>
        <w:br/>
        <w:t>310 See doc. 1.</w:t>
      </w:r>
    </w:p>
    <w:p>
      <w:r>
        <w:rPr>
          <w:b/>
        </w:rPr>
        <w:t>[Pages 61–63]</w:t>
      </w:r>
    </w:p>
    <w:p>
      <w:r>
        <w:t>BULLETIN NO. 19 OF MAY 22, 2017</w:t>
      </w:r>
    </w:p>
    <w:p>
      <w:r>
        <w:t>On November 24, 2014, requests for information were made to Unicredit316; BNL317; Intesa318; MPS319; Banca Popolare di Sondrio320; Banca Popolare di Milano321; Banco di Sardegna322; Banca di credito cooperativo di Cambiano323. On September 29, 2015, requests for information were made to various beneficiaries of the SEDA service such as: A2A S.p.A..324; Acquedotto Pugliese S.p.A. 325; Enel Energia S.p.A. 326; Enel servizio elettrico S.p.A. 327; Hera S.p.A. 328; Iren S.p.A. 329; Sorgenia S.p.A. 330; Telecom Italia S.p.A. 331; Tiscali Italia S.p.A. 332; Fastweb S.p.A. 333; Acea S.p.A. 334; American Express Services Europe Limited335. Furthermore, the associations Federutility (now Utilitalia) were heard in a hearing on May 20, 2015336, Assotelecomunicazioni (ASSTEL) on June 10, 2015337, and the company Eni S.p.A. on July 15, 2015338. During these hearings, the billing companies and associations highlighted, among other things, that they had recorded an increase in costs with the introduction of the new SEDA system compared to the old RID.</w:t>
      </w:r>
    </w:p>
    <w:p>
      <w:r>
        <w:t>230. Regarding the alleged legitimate reliance that would have formed in the belief of the Parties regarding the legality of the agreement established, it should be noted that no communication of approval or acknowledgment of the system has ever been sent by the Authority.</w:t>
      </w:r>
    </w:p>
    <w:p>
      <w:r>
        <w:t>231. As reiterated by the administrative judge, an essential prerequisite for a legitimate reliance to arise is that there is a provision, a ruling, or a behavior of a qualified subject (in this case, the Authority), on which the party has based the belief in the legitimacy of its conduct. On this point, the jurisprudence is clear in stating that "the violation of legitimate reliance could only arise where precise, unconditional, and consistent reassurances have been provided to the interested party [...] and that such reassurances were suitable to generate reasonable expectations in the subject to whom they were addressed and that are in accordance with the applicable regulations. In fact, the right to invoke the principle of protection of legitimate reliance can only operate in the presence of behaviors that have given rise to reasonable hopes due to sufficiently precise assurances coming from institutional sources (Court of Justice of the EU, Third Chamber, September 17, 2009, No. 519 - case Comm. CE v. Koninklijke FrieslandCampina NV; Court of First Instance of the EU, Third Chamber, November 30, 2009, No. 427, case France Télécom; Court of First Instance of the EU, Second Chamber, February 4, 2009, No. 145, case Omya AG v. Comm. CE)339."</w:t>
      </w:r>
    </w:p>
    <w:p>
      <w:r>
        <w:t>232. Regarding the alleged assurances supposedly provided by the Bank of Italy concerning the legality of the behavior carried out by the Parties – even aside from the decisive circumstance that this Institution has no specific competence in the field of competition protection – it should be clarified that, precisely in order to clarify the extent of the intervention of the Bank of Italy in the establishment of the remuneration system for the SEDA service, it was heard in a hearing by the Offices on October 17, 2016.</w:t>
      </w:r>
    </w:p>
    <w:p>
      <w:r>
        <w:t>233. On that occasion, the representatives of the Bank of Italy clearly stated that: "the Institute's attention focused on the operational aspects of the SEDA service without interfering with the choice of the remuneration model, which was freely defined by the representatives of the banks and companies within the organizational autonomy recognized to them"340.</w:t>
      </w:r>
    </w:p>
    <w:p>
      <w:r>
        <w:t>234. In light of this statement, the defense of the Parties regarding the alleged approval of the Bank of Italy concerning the remuneration methods of the SEDA service, and the consequent legitimate reliance that arose, appears merely pretextual. At the same time, the statements of Banca del Piemonte and Banca Sella, according to which the offices would have imposed a "forcing" of the statements of the Bank of Italy, are not shareable in light of the content of the Institute's statements.</w:t>
      </w:r>
    </w:p>
    <w:p>
      <w:r>
        <w:t>Furthermore, the observations of some Parties regarding the fact that "the surprise of the AGCM would be understandable if ABI had represented the banks' intention to align their prices with costs" must be refuted. This, as stated, has never occurred. On the contrary, ABI and the banks heard by the offices have detailed to the AGCM all the mechanisms governing the operation and remuneration of the SEDA, including the possibility for service providers to apply prices that included a reasonable margin341. This circumstance, in fact, has never occurred, and ABI has always stated that the chosen model was the most efficient and the least restrictive of competition342. Moreover, the meeting cited by UBI and INTESA, in which such an intention to increase margins compared to the previous system would have been communicated, besides being a meeting in which such a statement is not contained, does not appear relevant as the Authority was not present nor was the content of it ever communicated to it. In fact, it is a meeting that took place at ABI on April 18, 2012, in which it is highlighted that "considering that any type of service that users use is subject to remuneration, it is deemed appropriate to safeguard this principle also for banking services"343.</w:t>
      </w:r>
    </w:p>
    <w:p>
      <w:r>
        <w:t>235. These elements unequivocally allow for the exclusion of the existence of the represented "reliance" of the Parties and qualify the restriction in question as an agreement aimed at restricting competition.</w:t>
      </w:r>
    </w:p>
    <w:p>
      <w:r>
        <w:t>236. Also in light of the above, the objection that all Parties have argued that the decision to overcome the remuneration system based on MIF was made due to the "climate of disfavor" towards MIF perceived due to national and community antitrust proceedings is unfounded. In reality, as stated in the factual part, no document on record has been found containing such a consideration. Excluding the statements made in the hearing - only after the initiation of the proceeding - the Parties have never, neither in meetings at ABI nor in internal meetings nor in the numerous emails acquired, stated that the MIF system was no longer implementable due to its antitrust restrictiveness. As stated above, instead:</w:t>
        <w:br/>
        <w:t>a) initially, the MIF solution was considered the most efficient and suitable to guarantee the remuneration of the SEDA service;</w:t>
        <w:br/>
        <w:t>b) the true reasons for overcoming the system are, instead, to avoid interventions by the Authority regarding the MIF by adopting a model that allowed the Parties to implement a generalized price increase for the service or to avoid a decrease in the same344.</w:t>
      </w:r>
    </w:p>
    <w:p>
      <w:r>
        <w:t>237. The Parties, therefore, did not implement a less restrictive system than the MIF, but rather devised a remuneration architecture suitable to produce a generalized increase in the price of the SEDA+ Sepa DD service compared to the previous RID system.</w:t>
      </w:r>
    </w:p>
    <w:p>
      <w:r>
        <w:t>238. Finally, regarding the alleged illegitimacy of the rejection of the commitments presented, it should be noted that in relation to such evaluations, which occur in an initial stage of the proceeding, the Authority has the discretionary power to deem it necessary to ascertain the illegality also due to the general need to define the legality of certain behaviors. In this case, being the first case in which a MIF mechanism is replaced with a new interbank market remuneration system, there was an interest on the part of the Authority to establish the conditions of legality of the conduct of the parties and, therefore, to proceed with the ascertainment.</w:t>
      </w:r>
    </w:p>
    <w:p>
      <w:r>
        <w:t>13.2 Competitive considerations: premise</w:t>
      </w:r>
    </w:p>
    <w:p>
      <w:r>
        <w:t>239. The present case concerns a restrictive agreement on competition, unique and complex, established by ABI and eleven banks, aimed at defining a restrictive remuneration system for the SEDA service capable of determining an increase in service prices. This agreement occurred within the framework of the discussions held between ABI and a core group of banks (including the main ones in the market) during the definition of the interbank SEDA service.</w:t>
      </w:r>
    </w:p>
    <w:p>
      <w:r>
        <w:t>240. It should be noted that the design of the SEDA service, which became necessary to allow the transition from the national system based on "RID" transactions to the new system based on SEPA DD transactions, is not the subject of this case, but exclusively the remuneration system.</w:t>
      </w:r>
    </w:p>
    <w:p>
      <w:r>
        <w:rPr>
          <w:b/>
        </w:rPr>
        <w:t>[Pages 64–66]</w:t>
      </w:r>
    </w:p>
    <w:p>
      <w:r>
        <w:t>BULLETIN NO. 19 OF MAY 22, 2017</w:t>
      </w:r>
    </w:p>
    <w:p>
      <w:r>
        <w:t>chosen for its operation. This system was devised by ABI and some banks, implementing a series of behaviors that restrict competition, which have determined its anti-competitive nature. These behaviors constitute the subject of the present case.</w:t>
      </w:r>
    </w:p>
    <w:p>
      <w:r>
        <w:t>241. In particular, the agreement materialized in a unique collusive scheme, aimed at restricting competition through a generalized increase in prices, articulated in the following behaviors:</w:t>
        <w:br/>
        <w:t>1) the definition at the interbank level of a new anti-competitive remuneration system for the SEDA service;</w:t>
        <w:br/>
        <w:t>2) the concertation on the treatment of the stock of old RID.</w:t>
      </w:r>
    </w:p>
    <w:p>
      <w:r>
        <w:t>13.3 The relevant market</w:t>
      </w:r>
    </w:p>
    <w:p>
      <w:r>
        <w:t>242. The agreement subject to this proceeding concerns the payment services sector, with particular reference to the SEPA DD service. In particular, the analyzed conduct concerns the optional ancillary service SEDA, which has as its object i) the provision of complementary information useful for the better functioning of the SEPA DD (existence of the debit current account, its capacity, etc. - Seda Base) and ii) the preservation of mandates (SEDA Advanced).</w:t>
      </w:r>
    </w:p>
    <w:p>
      <w:r>
        <w:t>243. The SEDA is a national optional service that is offered in conjunction with the SEPA DD and exists only in relation to the SEPA DD. Prior to the entry into force of Reg. 260/2012, the service was incorporated into the RID payment service, and in the Authority's precedents, the relevant market was deemed to coincide with that of the RID service itself345.</w:t>
      </w:r>
    </w:p>
    <w:p>
      <w:r>
        <w:t>244. It should be noted that, according to established jurisprudence of the Council of State346, in assessing an agreement, the identification of the market is aimed at delimiting the scope within which it can restrict or distort competitive dynamics. In the present case, the relevant market, in light of the conduct of the companies, must be limited to the offering of the SEDA service, even though, as will be seen, the effects of the agreement have partially reverberated on the distinct but adjacent market of SEPA DD.</w:t>
      </w:r>
    </w:p>
    <w:p>
      <w:r>
        <w:t>245. From a geographical standpoint, the agreement subject to this proceeding concerns services offered throughout the Italian territory by all banks active in Italy. The agreement is set in a centralized and uniform manner for the entire national territory by ABI. For the purposes of this assessment, therefore, the relevant geographical market has a national dimension.</w:t>
      </w:r>
    </w:p>
    <w:p>
      <w:r>
        <w:t>13.4 The agreement</w:t>
      </w:r>
    </w:p>
    <w:p>
      <w:r>
        <w:t>246. Based on the elements collected, it appears that the parties to the proceeding – Intesa, Unicredit, MPS, ICCREA, UBI, Cariparma, BNL, ICBPI, Banca del Piemonte, Credito Valtellinese, and Banca Sella, along with ABI – have established a single and complex agreement that began at least in July 2012, coinciding with the meetings at ABI (July 17/18, 2012, and July 25, 2012) in which the banks, by mutual agreement, decided to overcome the remuneration system based on the MIF and to develop a different remuneration system that allowed them to increase their margins. This agreement is still ongoing, as the interbank agreement referred to in circular 14/2013, which implemented the remuneration system of the SEDA in question, is still in force.</w:t>
      </w:r>
    </w:p>
    <w:p>
      <w:r>
        <w:t>345 See the previously cited case I725 Interbank agreements “RIBA-RID-Bancomat”.</w:t>
        <w:br/>
        <w:t>346 On this point, see among many, Council of State, section IV, judgment no. 127/06 of March 10, 2006, regarding the case Telecom Italia S.p.A. A351, more recently Council of State, June 13, 2014, no. 3032, in case I731 - Campania tenders.</w:t>
      </w:r>
    </w:p>
    <w:p>
      <w:r>
        <w:t>BULLETIN NO. 19 OF MAY 22, 2017</w:t>
      </w:r>
    </w:p>
    <w:p>
      <w:r>
        <w:t>247. The conduct under examination constitutes a unique and complex case of an agreement that presents elements of both the decision of an association of companies, the agreement, and the concerted practice. The banks and ABI, in fact, devised a restrictive remuneration system within meetings of Working Groups and ABI Technical Committees, as well as through contacts on the sidelines of such meetings.</w:t>
      </w:r>
    </w:p>
    <w:p>
      <w:r>
        <w:t>248. It should be recalled that jurisprudence has repeatedly clarified that: "If Article 85, no. 1, of the Treaty distinguishes the concept of concerted practice from that of an agreement between companies or a decision of associations of companies, this is due to the intention to include, among the behaviors prohibited by this article, different forms of coordination and collusion between companies (judgment ICI/Commission, cited, point 64). It does not follow, however, that behaviors that have the same anti-competitive object, each of which, taken in isolation, falls within the notion of agreement, concerted practice, or decision of an association of companies, cannot constitute different manifestations of a single infringement of Article 85, no. 1, of the Treaty"347.</w:t>
      </w:r>
    </w:p>
    <w:p>
      <w:r>
        <w:t>249. In this case, moreover, the banks did not limit themselves to participating in meetings at ABI to regulate technical aspects of the SEDA service, but directed, with their decisions, the choice of an anti-competitive remuneration system for the repeatedly stated purpose of increasing overall profitability. From the documents on file, it also emerges that the decisions made within ABI were preceded by contacts between the parties aimed at anticipating their content and reaching a shared solution348. Contrary to what some parties have claimed349, therefore, those elements suitable for attributing responsibility for the agreement, in addition to ABI, to the subjects who contributed to determining it with their decisions, emerge strongly.</w:t>
      </w:r>
    </w:p>
    <w:p>
      <w:r>
        <w:t>250. The involved banks established the agreement with the contribution of ABI, which, in its role as an association of companies, is the author of circular no. 14 of June 10, 2013, on the SEDA, but is also an active part of the agreement as it took on a coordinating role for the group of banks that decided on the remuneration system. In this perspective, the aforementioned activity, coming from an association of companies, is qualifying, pursuant to Article 101 of the TFEU, as a decision of an association of companies, which must be framed within the context of the aforementioned unitary agreement, as it is connected and functional to the same collusive plan implemented in conjunction with the companies350. More specifically, the agreement materialized in a unique collusive scheme, aimed at restricting competition through a generalized increase in prices, articulated in the behaviors described below.</w:t>
      </w:r>
    </w:p>
    <w:p>
      <w:r>
        <w:t>a) the meetings of July 2012: overcoming the MIF model as it was too little remunerative</w:t>
      </w:r>
    </w:p>
    <w:p>
      <w:r>
        <w:t>251. As described in fact, the parties to the agreement, since the beginning of 2012, began to meet in various meetings of Working Groups and technical committees at ABI. In the early meetings, the parties discussed the pricing system of the new SEDA service, considering, as a first hypothesis, the application of a system based on the interbank application of the MIF, similar to what occurred in the RID system, which, among other things, had been endorsed by the Authority, albeit with a significant reduction in the amount of the MIF351.</w:t>
      </w:r>
    </w:p>
    <w:p>
      <w:r>
        <w:t>252. On this point, the minutes of the meetings held at ABI are recalled, particularly in the first meeting in which it appears on record that the Restricted Working Group on Collections dealt with the remuneration of the SEDA (January 26, 2012), the application of the MIF was taken for granted. In the presentation sent to the banks as a working document, it states: "The AOS SEDA is requested and performed in the interest of the Beneficiary, but is based on the prevailing operations of the Paying Bank. The mechanism based on the application of a multilateral interbank commission is the most efficient for remunerating the services provided by the Paying Bank"352. In subsequent parts of the presentation, it is highlighted that Regulation (EU) 260/2012 provides for the possibility of using the MIF for optional ancillary services (AOS) such as the SEDA353 and it focuses on which element to use to quantify the interbank commission. Similarly, the minutes of the meeting acknowledge the possibility of using the MIF to remunerate the SEDA service354.</w:t>
      </w:r>
    </w:p>
    <w:p>
      <w:r>
        <w:t>253. It should be noted that the possibility, abstractly allowed by the Community legislator, of adopting a remuneration system based on the MIF is never questioned in the documents on file.</w:t>
      </w:r>
    </w:p>
    <w:p>
      <w:r>
        <w:t>254. This view begins to change in the meeting of the Technical Committee on April 18, 2012, where for the first time the possibility that the SEDA service, compared to the RID, could be declined in a more profitable way, through a remuneration aimed not only at recovering costs but in a true perspective of "business" emerges. During the meeting, "the President [Banca Sella ed.] points out that in addition to the new Regulation, there are currently various pressures that tend to seek to reduce as well as eliminate the costs of banking services, [...] and considering that any type of service that users use is subject to remuneration, he deems it appropriate to safeguard this principle also for banking services. This thesis is also supported by (...) (UBI bank ed.) which adds the importance of highlighting the differences between the national RID service and the SDD service with the necessary investments that the banking system will have to sustain... for this reason, the determination of the commissions for the service"351.</w:t>
      </w:r>
    </w:p>
    <w:p>
      <w:r>
        <w:t>355. See case I725, Riba RID. Cited.</w:t>
        <w:br/>
        <w:t>352. See doc. 220.</w:t>
        <w:br/>
        <w:t>353. It should be noted that this possibility was included at the specific request of the Italian Authorities. See doc. 90, minutes of the Technical Committee of April 18, 2012, in which the representative of the Bank of Italy "intervenes to confirm the importance of realizing the AOS SEDA regardless of the definition of the underlying business model and recalls that the Italian delegation supported the exclusion in the text of the Regulation of the prohibition of MIF for ancillary services also in a perspective of realizing the SEDA service." This circumstance is confirmed by the statements that the Bank of Italy made in hearings before the offices, specifying that: "on January 26, 2009, the National Committee for the migration to SEPA mandates the Consultation Forum of banks-businesses to 'start the realization of the SEDA as soon as possible...'. In the context of the AGCM investigation on the RID (provision 21615 of 2010), with the collaboration of the Bank of Italy, the MIF component of the collection service is given independent relevance and highlighted, separating it from that related to the information service (AEA and data archive management). This intervention takes into account the pan-European development perspective of the direct debit service and, in particular, the objective of establishing the principle of tariff neutrality for value-added services (separating them from basic services). This objective is enshrined in the Regulation on the SEPA migration end date (260/2012): during the negotiation at the EU Council, the Italian Delegation requests and obtains, in fact, not to extend the MIF prohibition imposed on the direct debit service to value-added services. In particular, Regulation 260/2012 provides: a) the possibility of applying the MIF to optional ancillary services "where they are clearly and unequivocally distinct from the basic direct debit services..." [recital 20]; b) the eventuality that the mandate is preserved by a third party on behalf of the beneficiary [art. 5, paragraph 3 a) ii)]." See doc. 1219.</w:t>
        <w:br/>
        <w:t>354. See doc. 278.</w:t>
      </w:r>
    </w:p>
    <w:p>
      <w:r>
        <w:rPr>
          <w:b/>
        </w:rPr>
        <w:t>[Pages 67–69]</w:t>
      </w:r>
    </w:p>
    <w:p>
      <w:r>
        <w:t>BULLETIN NO. 19 OF MAY 22, 2017</w:t>
      </w:r>
    </w:p>
    <w:p>
      <w:r>
        <w:t>69 SEDA must take into account the cost item of investments, which is not present in the current survey on AEA355.</w:t>
      </w:r>
    </w:p>
    <w:p>
      <w:r>
        <w:t>255. In the GDL of May 16, 2012, the Parties begin to express a preference for a system without MIF, deemed not sufficiently profitable, in favor of a system, also agreed upon, based on remuneration linked to the "continuous management of the mandate"356.</w:t>
      </w:r>
    </w:p>
    <w:p>
      <w:r>
        <w:t>256. The banks confronted each other, expressing their opposition to the remuneration system based on MIF, and the reasons for this opposition, explicitly agreeing not to adopt it "for any reason"357 in the meetings of July 17/18 and July 25, 2012. In these contexts, as seen in fact, the Parties carefully evaluated the pros and cons of the models and unanimously decided to set aside the one based on MIF solely for reasons of convenience in terms of profitability.</w:t>
      </w:r>
    </w:p>
    <w:p>
      <w:r>
        <w:t>257. It should be noted that such choices, legitimate if made individually by each company autonomously, take on an anti-competitive character if adopted within the framework of an interbank agreement, among other things in a context of adapting the Italian system to SEPA regulations, which aims, as repeatedly mentioned, to "create favorable conditions for greater competition in payment services... Consequently, the increase in economies of scale should translate into optimized downward pressure on payment service prices"358.</w:t>
      </w:r>
    </w:p>
    <w:p>
      <w:r>
        <w:t>258. Now turning to the specific content of the meetings of July 17/18 and July 25, 2012, the following is observed.</w:t>
      </w:r>
    </w:p>
    <w:p>
      <w:r>
        <w:t>259. In the meeting of July 17/18, MPS strongly raised the issue of service remuneration, noting that, in light of the Authority's interventions, multilateral commissions had significantly decreased and this trend needed to be halted. On this point, ABI commented "... MPS [...] repeatedly emphasized during the meeting the need to: [...] “significantly increase remuneration compared to today, as we are operating at a loss after the vertical decreases in MIF values in recent years.” During the meeting, there was an effort to blunt this "political" position sharply, and some banks (UBI and ICCREA, which among other things are net recipients) explicitly stated that one cannot expect to collect an amount significantly higher than that currently represented by the MIF (which, however, even in the minds of the moderates is based on €0.16 from July and not on €0.07 from the upcoming November359)... Even the moderates spoke of "business" and not merely "cost recovery."360.</w:t>
      </w:r>
    </w:p>
    <w:p>
      <w:r>
        <w:t>260. It is MPS itself that, in an internal report, describes the contents of the meeting. " - It was reiterated by all that the MIF model must therefore be overcome, to avoid downward interventions by AGCM (this is the current scenario, with continuous interventions by AGCM aimed at reducing interbank commissions on collection services), although MIF is also allowed post-2017 on AOS (as in the case of Seda)"361.</w:t>
      </w:r>
    </w:p>
    <w:p>
      <w:r>
        <w:t>261. On this point, it is recalled that jurisprudence has repeatedly clarified that "[L]’Article 101 of the TFEU (and correspondingly Article 2 of Law No. 287/90) must be interpreted in the sense of ascribing to the notion of 'prohibited agreement' any agreement or practice that may have a direct or indirect, actual or even potential influence on the unfolding of ordinary anti-competitive dynamics within the relevant market" altering "the ordinary decision-making autonomy that should characterize the activity of market operators, revealing the existence of 'a single articulated and complex anti-competitive design'"362.</w:t>
      </w:r>
    </w:p>
    <w:p>
      <w:r>
        <w:t>262. The decision to overcome the MIF model, not for reasons of efficiency or to respond to a generic "disfavor" of the Authority towards such a system (as repeatedly claimed by the Parties), but rather to avoid "downward interventions by AGCM" through a model that is inescapably restrictive, was confirmed in the meeting of the Technical Committee on July 25, 2012. In the draft minutes, recognized as truthful but "not suitable for circulation" by ABI363, it reads: "... (MPS ed.) intervenes highlighting how the service model is radically different from the past. It is necessary to acknowledge and make all stakeholders aware that, in the new context, the SEPA direct debit service cannot be considered a mere continuation of the old RID/AEA model, and in this sense, it is necessary to strengthen communication. Therefore, it is favorable to consider the approach based on interbank charges overcome regardless of any considerations aimed at maintaining MIF [...]. (ICBPI ed.) agrees with the overcoming of MIF but also believes that it can be retained as an option if AGCM is inclined to preserve such a model. [...]. (ICCREA ed.) recalls that MIF is now linked to the recovery of only direct costs calculated based on averages.</w:t>
      </w:r>
    </w:p>
    <w:p>
      <w:r>
        <w:t>363. In particular, the version, recognized as truthful but not suitable for being circulated and made public, is modified within ABI. Cf. doc. 201 in which it is written: "This version of the minutes is for personal use only by ... [omitted, referring to the author of the minutes present at the meeting]. I would absolutely not circulate it. A public version of the minutes should be particularly 'light' and not trace positions back to names."</w:t>
      </w:r>
    </w:p>
    <w:p>
      <w:r>
        <w:t>BULLETIN NO. 19 OF MAY 22, 2017</w:t>
      </w:r>
    </w:p>
    <w:p>
      <w:r>
        <w:t>71 increasingly efficient components less linked to the reality of the actual costs incurred, while in this case it is about remunerating an additional and optional service. It is therefore declared favorable to its overcoming and opposed to any possibility of preserving it. [...] (INTESA ed.) agrees that it is necessary to detach from the logic of MIF and is therefore in favor of abandoning this option even if it were advocated by AGCM. It emphasizes that SEDA is a service and must find remuneration as such and particularly represents the need to overcome, even in language, the reference to some service models that are no longer applicable and therefore to abandon the terminology "interbank charges." [...] (UBI ed.) is in favor of overcoming MIF. [...] (UNICREDIT ed.) agrees on abandoning MIF. [...] (BNL ed.) declares agreement with the overcoming of MIF"364.</w:t>
      </w:r>
    </w:p>
    <w:p>
      <w:r>
        <w:t>263. The meeting was also preceded by horizontal contacts between the Parties, which emerge from an internal MPS email dated July 25, 2012, prior to the aforementioned meeting: "Heard yesterday on the phone ... (Unicredit) and ... (Intesa) Agree that: [...] Deletion of any reference to aea and mif - it is a new service and has no mif"365.</w:t>
      </w:r>
    </w:p>
    <w:p>
      <w:r>
        <w:t>b) The July meetings: the new "free fee" remuneration model</w:t>
      </w:r>
    </w:p>
    <w:p>
      <w:r>
        <w:t>264. As seen, from the documents on file, it emerges that in the meetings of July 17/18 and July 25, 2012, the Parties analyzed a document titled "Hypotheses and complexities of the remuneration of the SEDA service July 2012"366, which contained calculations made by ABI regarding possible prices to be applied to the SEDA service.</w:t>
      </w:r>
    </w:p>
    <w:p>
      <w:r>
        <w:t>265. In this document, ABI considers the values of MIF applied to the previous RID system and calculates the equivalent, in terms of remuneration, in the form of an annual fee. These calculations, however, as already mentioned, are based not only on the MIF of the remuneration component (AEA), equal to €0.07, but also on the MIF, no longer in force, equal to €0.16 and €0.26.</w:t>
      </w:r>
    </w:p>
    <w:p>
      <w:r>
        <w:t>266. The document states: "Some hypotheses of 'sustainable' values of the periodic fee have considered the break-even price between the current remunerations paid in the form of MIF to the Paying Banks and those that would be perceived through the fee [...] In overall terms of service remuneration, it should also be considered that starting from February 1, 2014, interbank commissions for SEPA direct debit services, both national and cross-border, will no longer be operational. This circumstance results in a reduction in the fees paid by the...</w:t>
      </w:r>
    </w:p>
    <w:p>
      <w:r>
        <w:t xml:space="preserve">364 Cf. doc. 210. </w:t>
        <w:br/>
        <w:t>365 Cf. doc. 771. Attached email "I: URGENT conference call...". See also, within doc. 771, Attached email "I: URGENT conference call...", attached file, an internal comment on the SEDA remuneration hypothesis stating: "In this regard, it was shared that the mechanism currently in place for national collection services, based on the application of a multilateral interbank commission, paid for each collection operation from the beneficiary's bank to the payer's bank, is the most efficient for remunerating the services provided by the Payer Bank." In commenting on this statement, it reads: "... if we pursue this path (application of MIF for collection operations), in addition to the doubts related to compliance with reg 260 (prohibition of MIF for standard cross-border collection operations from October 2012 and national from February 2017. It does not seem to me that it establishes prohibitions of MIF for AOS. Would this MIF only be applied to SEDA-branded collection operations?), the applicable amount would still be very limited as from previous commitments presented to AGCM, the component of the process related to alignment is equal to €0.071. The amount of MIF is currently under review by AGCM but as per commitments, it cannot exceed previous amounts." The concern that AGCM intervenes to ensure that any potential SEDA MIF adheres to costs (as happened in the past with case I725/Riba-Rid) also emerges in other documents. For example, in a presentation on the SEDA business model, with reference to the "MIF like" model, while among the "PRO" it reads "The application of a commission on the SDD collection would not require the development of new applications/processes ad hoc by the Payer PSPs. The application of the interbank commission has no managerial impacts for the Alignment PSPs. The model is the simplest and most efficient for Beneficiaries," among the cons it is noted: "The interbank commission for optional additional services is subject to competition protection regulations (the amount would be bound to cost analysis and the steps provided by ABI commitments made binding by AGCM)." Cf. doc. 119, attached presentation, slide 15.</w:t>
      </w:r>
    </w:p>
    <w:p>
      <w:r>
        <w:t>366 Cf. doc. 103. Cf. also doc. 23.</w:t>
      </w:r>
    </w:p>
    <w:p>
      <w:r>
        <w:rPr>
          <w:b/>
        </w:rPr>
        <w:t>[Pages 70–72]</w:t>
      </w:r>
    </w:p>
    <w:p>
      <w:r>
        <w:t>72 BULLETIN NO. 19 OF MAY 22, 2017</w:t>
      </w:r>
    </w:p>
    <w:p>
      <w:r>
        <w:t>Beneficiaries for interbank direct debit transactions which, in the case of first-tier customers, is essentially immediate and mirrors the reduction of the interbank commission367.</w:t>
      </w:r>
    </w:p>
    <w:p>
      <w:r>
        <w:t>267. From the calculations reported in the document, it is evident that, considering an annual collection number of 6, the annual fee related solely to the MIF on the reporting component (€0.07) should have been equal to €0.42. The quarterly fee, therefore, would have been equal to €0.105. By parameterizing the annual fee to the MIF including the collection component, however, the annual fee would have been equal to €0.96 corresponding to a quarterly fee of €0.24.</w:t>
      </w:r>
    </w:p>
    <w:p>
      <w:r>
        <w:t>268. The reading of the document is confirmed by BNL, which in an internal email states: "Below I report a draft of the two-day meeting of the restricted Working Group on Collections regarding the SEDA topic (attached is the discussed presentation) (July 17/18, 2012 ed.) […] BUSINESS MODEL Still little clarity. […] Two fees are foreseen, one for the 'Basic' and one for the 'Advanced', which the Creditor companies will likely pay quarterly for each managed mandate. A study is to be finalized to understand the maximum price to apply. Currently, two price levels have been proposed starting from the current MIF:</w:t>
        <w:br/>
        <w:t>• 0.16 x RID collection x average number of 6 collections per year = €1/year per mandate in the 'Basic' (0.25€/quarter);</w:t>
        <w:br/>
        <w:t>• variable addition linked to the DMF service = €2/year per mandate in the 'Advanced' (0.50€/quarter). I reiterate: price level still to be defined especially for the 'Advanced'368.</w:t>
      </w:r>
    </w:p>
    <w:p>
      <w:r>
        <w:t>c) The other decisions on the SEDA remuneration model: "1 to many" and "free price"</w:t>
      </w:r>
    </w:p>
    <w:p>
      <w:r>
        <w:t>269. As seen, the salient aspects of the remuneration model on which the Parties focused their decisions are attributable to:</w:t>
        <w:br/>
        <w:t>- Subjects involved in the payment of the price: "1 to 1" model vs "1 to many" model;</w:t>
        <w:br/>
        <w:t>- Definition of the price (prices freely set by banks or maximum derogable single price).</w:t>
      </w:r>
    </w:p>
    <w:p>
      <w:r>
        <w:t>270. Regarding the choice of the "1 to many" model instead of the "1 to 1" model, and therefore from the perspective of the subjects obliged to pay the SEDA commission, the banks opted for a solution that, in fact, strongly limits competitive pressure on the subject that defines the price, offloading the negotiation burdens onto the companies. The beneficiary that pays the SEDA price, in fact, has no negotiating power against the payer's PSP, which can set the price at the level it prefers. This unless the beneficiary has a contractual relationship with the payer's PSP and is able to guarantee a high volume of "Sepa DD" to be channeled through the payer's PSP accounts. This circumstance, moreover, benefits only large billers and is therefore penalizing for small and medium enterprises that lack any commercial leverage, and still has anti-competitive effects as will be better seen infra, as it precludes access to the Sepa DD market for foreign banks lacking a widespread network of branches in Italy.</w:t>
      </w:r>
    </w:p>
    <w:p>
      <w:r>
        <w:t>271. The Parties were fully aware of the criticalities of the model but this did not prevent them from participating in its realization. It is noted, as stated several times, that no bank dissociated itself from the concertation nor did it report the illegitimate concertation in progress to the Authority.</w:t>
      </w:r>
    </w:p>
    <w:p>
      <w:r>
        <w:t>272. For example, reference is made to document 119 in which it is stated that "It is also noted from a competition perspective that in this model [ed. the adopted model] the greater competitive freedom is only theoretical since:</w:t>
        <w:br/>
        <w:t>- The beneficiary does not enter into a real negotiation with the payers' PSP (it acknowledges their tariff);</w:t>
        <w:br/>
        <w:t>- The tariff of the individual PSP is standard and therefore disregards the companies (any possible downward variations increase the complexity of a centralized management of settlement/reporting)"369.</w:t>
      </w:r>
    </w:p>
    <w:p>
      <w:r>
        <w:t>273. Unicredit also raises doubts in this regard. In an email dated September 17, 2012, it states: "As I have already mentioned to [Unicredit employee], I find the position of several Banks on the subject very strange. In particular: [...] it is unthinkable that every Customer should have relationships with 700 Banks and therefore we confirm that our position is that each bank of the Creditor acts as a provider for the entire system and charges the service costs. The possibility that each bank charges the costs to each Company seems very difficult to understand"370.</w:t>
      </w:r>
    </w:p>
    <w:p>
      <w:r>
        <w:t>274. On this point, it should be noted that BNL stated in its final memorandum that "after considering the 'one to one' model, the Parties decided to discard it noting its inefficiency and excessive burden for the creditor bank which would have been required to negotiate different contractual conditions on behalf of each individual company with about 700 debtor banks"371. It is singular that such burdens in terms of negotiation were then completely shifted by the banks onto the billing clients, through the adoption of the chosen "1 to many" model.</w:t>
      </w:r>
    </w:p>
    <w:p>
      <w:r>
        <w:t>275. Regarding the definition of the pricing model to be adopted (maximum fee or free price) once the essential characteristics of the remuneration model (calculation based on the management of the mandate and 1 to many model) were established, the Banks and ABI focused on the mechanisms for defining the price to be applied to the SEDA service, deciding that the price of SEDA would be defined through a quarterly fee freely determined by each bank at its maximum value, distinct for Basic SEDA and Advanced SEDA, published on the internet at www.sepaitalia.eu. This solution was adopted because the choice of a maximum fee would have determined a possible intervention by the AGCM, as can be inferred from document 205 in which it states: "given that the definition of a single maximum price at the system level on the side of the payers' PSP could simplify from an operational perspective the detection and settlement of charges, it was considered that this solution might not be feasible from an antitrust perspective? Moreover, even if such a solution were deemed feasible, it was considered that a choice of this type could reduce competitiveness and compress margins for the payers' PSPs as well as expose the banking sector to constant scrutiny from the AGCM?"372. It should be noted that, even in this case, ABI later circulated a different document, purged of the aspects that highlight the true underlying reasons for the choice of the model, in which it states: "Given that the definition of a single maximum price at the system level on the side of the payers' PSP could simplify from an operational perspective the detection and settlement of charges, it was considered that this solution could present the problems of the MIF?"373.</w:t>
      </w:r>
    </w:p>
    <w:p>
      <w:r>
        <w:t>d) The extension of the concertation to the treatment of existing mandates "ex RID".</w:t>
      </w:r>
    </w:p>
    <w:p>
      <w:r>
        <w:t>276. The Parties also coordinated regarding the application methods of the SEDA commissions to the old RID mandates already deposited with the banks before the entry into force of SEPA. On this point, the Parties could well have left this aspect to the free choice of each SEDA participant, as it is certainly not a risk factor for the stability or functioning of the system. Instead, the Parties also analyzed the possible solutions here, choosing the one that guaranteed all an economic return.</w:t>
      </w:r>
    </w:p>
    <w:p>
      <w:r>
        <w:t>277. As seen, in fact, in the SEDA agreement (art. 5)374 it was expressly provided that if the payer's PSP retains mandates issued according to the national scheme (RID delegations), the commission provided for the Advanced SEDA applies.</w:t>
      </w:r>
    </w:p>
    <w:p>
      <w:r>
        <w:t>278. Reference is made, above all, to an email among the banks, dated June 22, 2013, in which, in response to the proposal of the external consultant not to price the existing mandates of creditors migrated to SEDA, it is clearly specified "I believe that it is clear to everyone that such a decision, considering that the mandates coming from the RID delegations are and will be for a long time 99% of the entire mandate pool, completely changes the business plan of the service for each domiciled bank. It could even be that it is disincentivized from offering the Advanced SEDA, given the negligible number of mandates on which it would be applied!" In the email chain, MPS intervenes stating that the external consultant "therefore proposes the free provision of the 'old', which we do not consider acceptable, since it is precisely the archive of the 'old' that allows us to recover (perhaps!) from the investments on SEDA, albeit with a minimal fee"375.</w:t>
      </w:r>
    </w:p>
    <w:p>
      <w:r>
        <w:t>279. Also regarding this aspect, therefore, the banks coordinated on a specific aspect of price determination that, instead, could well have been left to their free determination, discarding more correct but less profitable solutions.</w:t>
      </w:r>
    </w:p>
    <w:p>
      <w:r>
        <w:t>280. In this context, the observation of some Parties that "the choice to use the Advanced SEDA fee for the old RID delegations is moreover supported by a logical and legitimate economic justification376": this principle would have been decisive in the event that the companies had autonomously determined this choice and had not arrived at the common rule through concertation on their respective future commercial choices.</w:t>
      </w:r>
    </w:p>
    <w:p>
      <w:r>
        <w:t>13.5 The restrictiveness of the agreement</w:t>
      </w:r>
    </w:p>
    <w:p>
      <w:r>
        <w:t>a) The object of the agreement</w:t>
      </w:r>
    </w:p>
    <w:p>
      <w:r>
        <w:t>281. The agreement concerned the elaboration of an interbank agreement that provides for a model for defining the price of the SEDA service which, through a system that eliminates (or strongly limits) competitive pressure on the subject that defines the price, allows banks to increase prices and profitability compared to the previous RID system or to avoid that the price of the service decreases with the introduction of SEPA, preventing the reduction of bank commissions hoped for by the PSD directive and EU Regulation 260/2012.</w:t>
      </w:r>
    </w:p>
    <w:p>
      <w:r>
        <w:rPr>
          <w:b/>
        </w:rPr>
        <w:t>[Pages 73–75]</w:t>
      </w:r>
    </w:p>
    <w:p>
      <w:r>
        <w:t>BULLETIN NO. 19 OF MAY 22, 2017</w:t>
      </w:r>
    </w:p>
    <w:p>
      <w:r>
        <w:t>282. The agreement in question, which also concerns the remuneration system defined by the Parties that has been made binding for all banks adhering to ABI through the repeatedly mentioned ABI circular no. 14/2013, is restrictive in its object. In this regard, it should be noted that: "in order to assess the anti-competitive nature of an agreement, reference must be made, in particular, to the content of its provisions, the objectives pursued by it, as well as the economic and legal context in which it is situated. Furthermore, although the intention of the Parties is not a necessary element for determining the restrictive nature of an agreement, nothing prevents the Commission or the judges of the European Union from taking it into account"377. Jurisprudence has also clarified that the configuration of the restriction "by object" is based on the fact that "certain forms of coordination between companies can be considered, by their very nature, harmful to the proper functioning of normal competition [...]. It is therefore clear that the likelihood that certain collusive behaviors, such as those leading to horizontal price fixing by cartels, have negative effects, particularly on price, quantity, or quality of products and services, is so high that it may be deemed unnecessary, for the purposes of applying Article 81, paragraph 1, EC, to demonstrate that such behaviors have concrete effects on the market [...]. Experience, in fact, shows that such behaviors lead to reductions in production and increases in prices, resulting in a poor allocation of resources to the detriment, in particular, of consumers"378.</w:t>
      </w:r>
    </w:p>
    <w:p>
      <w:r>
        <w:t>283. In this case, the Parties have established an agreement aimed at designing a remuneration system for a service offered in circularity (SEDA) suitable for supporting an overall increase in the prices of the service, compared to the similar service offered before the entry into force of Reg. 260/2012 (or to prevent their decrease).</w:t>
      </w:r>
    </w:p>
    <w:p>
      <w:r>
        <w:t>284. In particular, the pricing system for the SEDA service developed by the Parties has as its essential characteristic the fact that the entity defining the price of the service (PSP of the payer) is chosen by a different entity (user) from the one paying for the service (beneficiary): this strongly limits competitive pressure. The agreement adopted, instead of mitigating the effects of this characteristic of the service, accentuates it by providing for the "1 to many" system. The remuneration system also defines at the interbank level a series of strategic competitive variables (such as the choice to price the mandates acquired from the bank as Advanced SEDA) that should have been left to the free definition of the Parties and not concerted with a view to a generalized increase in overall remuneration.</w:t>
      </w:r>
    </w:p>
    <w:p>
      <w:r>
        <w:t>285. It should also be added that from the documentation on file it has emerged that:</w:t>
        <w:br/>
        <w:t>1) The objective of the entities that developed the SEDA remuneration system was to increase profits compared to the previous RID system.</w:t>
        <w:br/>
        <w:t>2) The concertation also concerned the treatment of the stock of mandates acquired under the previous RID system (so-called old RIDs).</w:t>
      </w:r>
    </w:p>
    <w:p>
      <w:r>
        <w:t>377 See General Court, judgment of June 29, 2012 — case T-360/09, E.On Ruhrgas and E.On / Commission, which also observes that: "an agreement may be considered to have a restrictive object even if its sole objective is not a restriction of competition, but also pursues other legitimate objectives." See also Court of Justice, September 11, 2014, case C-67/13 P Groupement des cartes bancaires, in which the Court clarified that "in assessing this context, the nature of the goods or services involved and the actual conditions of operation and structure of the market or markets in question must also be taken into account."</w:t>
      </w:r>
    </w:p>
    <w:p>
      <w:r>
        <w:t>378 Court of Justice, September 11, 2014, case C-67/13 P Groupement des cartes bancaires. See also Court of Justice, June 4, 2009, case C-8/08 T-Mobile, which states that "it should first be recalled that, [...], for there to be an anti-competitive object, it is sufficient that the agreed practice is such as to produce harmful effects on competition. In other words, this agreed practice must simply be capable in practice, taking into account the legal and economic context in which it is situated, of preventing, restricting or distorting competition in the common market. The question of whether, and to what extent, such an effect occurs in practice may only be of interest for the purpose of calculating the amount of fines and assessing the right to damages."</w:t>
      </w:r>
    </w:p>
    <w:p>
      <w:r>
        <w:t>286. These aspects of the agreement, linked by the common objective of implementing a generalized increase in the price of the SEDA service, are intrinsically capable of determining restrictive effects and therefore characterize the agreement in question as restrictive in its object.</w:t>
      </w:r>
    </w:p>
    <w:p>
      <w:r>
        <w:t>287. Regarding the objection of some Parties concerning the fact that, given the absence of "immediate" contestation of the communicated interbank agreement, the Parties deny the possibility that the agreement can be configured as a restriction "by object," it must be reiterated, first of all, that the agreement is much broader than the agreement communicated by ABI, as it also concerns the sharing of the objective of increasing the overall profitability of the service and the concertation on the treatment of the so-called old RIDs379. This objective has never been declared to the Authority and, moreover, it appears that the Parties shared the need to "avoid downward interventions by AGCM"380.</w:t>
      </w:r>
    </w:p>
    <w:p>
      <w:r>
        <w:t>288. Furthermore, the objections of some parties, including ABI, regarding the alleged regulatory intentions of the Authority are entirely without merit. In this regard, it should be noted that market operators are completely free to act, individually, to achieve maximum profit pursuing their economic interest. When companies, on the other hand, act in a coordinated manner to increase the profitability of a service, the Authority is fully entitled to intervene to verify any violations of the rules protecting competition.</w:t>
      </w:r>
    </w:p>
    <w:p>
      <w:r>
        <w:t>289. Although an examination of the effects of the agreement is not necessary, as it must be considered restrictive of competition in relation to its object381, as will be seen, it has also been possible to ascertain the existence of restrictive effects on the market, in light of numerous and relevant evidence present in the documents on file.</w:t>
      </w:r>
    </w:p>
    <w:p>
      <w:r>
        <w:t>b) The effects of the agreement</w:t>
      </w:r>
    </w:p>
    <w:p>
      <w:r>
        <w:t>290. The effects of the agreement will be examined below based on the evidence on file. However, it should be clarified that, in this case, as has been recalled several times, the agreement has materialized in the creation of a new remuneration model for SEDA, different from the previous RID system (AEA), with the objective of increasing remuneration. This model, as a result of ABI circular 14/2013, has been incorporated into an interbank agreement to which over 500 banks associated with ABI adhere. The model, therefore, produces effects as a whole, and this implies the need to look at the entirety of the appreciable consequences on the market.</w:t>
      </w:r>
    </w:p>
    <w:p>
      <w:r>
        <w:t>379 In this regard, it should be noted that the most recent jurisprudence has stated that "in order to assess the anti-competitive nature of an agreement, reference must be made to the content of its provisions, the objectives pursued by it, as well as the economic and legal context in which it is situated." See Court of Justice, September 11, 2014, case C-67/13 P Groupement des cartes bancaires.</w:t>
      </w:r>
    </w:p>
    <w:p>
      <w:r>
        <w:t>380 See doc. 772, attached email "Re: outcome of ABI meeting of 17/7/2012."</w:t>
      </w:r>
    </w:p>
    <w:p>
      <w:r>
        <w:t>381 See, among others, Court of Justice, June 4, 2009, in case C-8/08, T-Mobile, which stated that "in order to determine whether a practice falls within the prohibition laid down in Article 81, paragraph 1, EC, the anti-competitive object and effect are not cumulative conditions, but alternative ones. According to consistent jurisprudence since the judgment of June 30, 1966, case 56/65, LTM (Rec. pp. 262, 281), the alternativity of these conditions, expressed by the disjunction "or," makes it necessary to first consider the object of the agreed practice, taking into account the economic context in which it is to be applied. In cases where the analysis of the content of the agreed practice does not reveal a sufficient prejudice to competition, its effects should be examined, and in order to prohibit it, all elements must exist that prove that the game of competition has been effectively impeded, restricted, or distorted in a significant way (see, in this sense, judgment Beef Industry Development Society and Barry Brothers, cited, point 15). It should also be emphasized that, to assess whether an agreed practice is prohibited under Article 81, paragraph 1, EC, it is unnecessary to consider its concrete effects where it is clear that it aims to prevent, restrict, or distort the game of competition within the common market (see, in this sense, judgments of July 13, 1966, joined cases 56/64 and 58/64, Consten and Grundig/Commission, Rec. pp. 457, 520; September 21, 2006, case C-105/04 P, Nederlandse Federatieve Vereniging voor de Groothandel op Elektrotechnisch Gebied/Commission, Rec. p. I 8725, point 125, as well as Beef Industry Development Society and Barry Brothers, cited, point 16)."</w:t>
      </w:r>
    </w:p>
    <w:p>
      <w:r>
        <w:t>291. From the elements already described and further illustrated below, it emerges the overall increase in prices reported by the billing companies benefiting from the SEDA service, which, although managing, in some cases, to obtain discounts from the main banks (including those involved in this proceeding), see the list prices of the banks with which they do not negotiate discounts applied. The lack of negotiation is to be linked on one hand to the repeatedly noted absence of competitive pressure of the SEDA model: the billing company has no bargaining power against the bank of its customer to which it must pay for the SEDA service, at least with respect to that service. To obtain discounts, it is therefore required to activate other negotiation levers such as, for example, the volumes of Sepa DD. On the other hand, companies often find it extremely burdensome to negotiate with the over 500 banks present in the market, which leads them to attempt to negotiate the SEDA price exclusively with the main credit institutions, instead accepting the price charged by other banks.</w:t>
      </w:r>
    </w:p>
    <w:p>
      <w:r>
        <w:t>292. Companies other than the so-called "large billers" also have less bargaining power and, therefore, fewer opportunities to obtain discounts on the SEDA service and a greater likelihood of suffering the list prices of SEDA.</w:t>
      </w:r>
    </w:p>
    <w:p>
      <w:r>
        <w:t>293. On the other side of the banks, they, while applying discounts to the main billers, have nonetheless recorded an increase in the profitability of the SEDA service. This appears to be related to the incidence of list SEDA fees on billing entities that do not negotiate the service.</w:t>
      </w:r>
    </w:p>
    <w:p>
      <w:r>
        <w:t>294. In this context, where the effects of the agreement are generated with reference to the entire banking system, the observation of the banks regarding the fact that they granted discounts to the main billing companies is partial. The same applies to the objection regarding the alleged loss of profitability compared to RID. This fact would not, however, undermine the overall reconstruction of the effects aimed at assessing the overall price increases linked to the SEDA remuneration system on the entire banking system.</w:t>
      </w:r>
    </w:p>
    <w:p>
      <w:r>
        <w:t>295. All this premised, the effects on the reference market are analyzed, first of all, by virtue of the statements of the major billers benefiting from the SEDA service who have reported an increase in service prices and a difficulty in negotiating with foreign banks that have a limited number of branches; difficulties linked to the same characteristics of the SEDA remuneration model. Secondly, through the same data provided by the Parties, as comparing such data provided in defense with those acquired during inspections reveals an increase in the prices applied compared to RID.</w:t>
      </w:r>
    </w:p>
    <w:p>
      <w:r>
        <w:t>296. Furthermore, the low competitive pressure inherent in the SEDA remuneration model, arising from the fact that the beneficiary of the service pays the fees defined by a bank/PSP chosen by a third party, generates competitive distortions even in the offer of the Sepa DD service, posing obstacles to the provision of payment services by banks, such as foreign ones, that do not benefit from a widespread network of branches and, therefore, of account holders. In fact, the inability to grant discounts on SEDA fees makes even very competitive offers (in terms of prices) for the sole Sepa DD payment service unattractive.</w:t>
      </w:r>
    </w:p>
    <w:p>
      <w:r>
        <w:t>382 As illustrated, the SEDA remuneration model provides that the beneficiaries of the service (billing companies) pay the fees defined by banks/PSPs chosen by third parties, namely the account holders. This implies that, in the absence of commercial relationships between the beneficiary of the SEDA service and the banks that define the related fees, the negotiation of discounts on SEDA fees occurs using as a commercial lever also the volumes of Sepa DD that the billing company can channel to individual banks. Such a mode of negotiating SEDA fees, closely connected to the remuneration model, is suitable to hinder the provision of the Sepa DD service by banks, such as foreign ones, that are not characterized by a widespread network of bank branches and, therefore, of account holders. The absence of account holders and, consequently, the inability to grant reductions to</w:t>
      </w:r>
    </w:p>
    <w:p>
      <w:r>
        <w:rPr>
          <w:b/>
        </w:rPr>
        <w:t>[Pages 76–78]</w:t>
      </w:r>
    </w:p>
    <w:p>
      <w:r>
        <w:t>BULLETIN NO. 19 OF MAY 22, 2017</w:t>
      </w:r>
    </w:p>
    <w:p>
      <w:r>
        <w:t>1. Price increases reported by companies</w:t>
      </w:r>
    </w:p>
    <w:p>
      <w:r>
        <w:t>297. The main billers and their trade associations have reported price increases ranging from a minimum of 20% to a maximum of 80%. It should be noted that, in some cases, certain operators had highlighted the critical issues of the SEDA remuneration model.</w:t>
      </w:r>
    </w:p>
    <w:p>
      <w:r>
        <w:t>298. AITI, for example, in 2012383 emphasized to ABI the competitive criticalities of the SEDA remuneration model, stating that "the proposed solution to allow individual service providers to apply commissions unilaterally defined by themselves does not guarantee the formulation of prices based on market mechanisms and free competition, pursuant to Article 81 of the EEC Treaty. This could lead to levels of remuneration inconsistent with the cost levels of the service, favoring the creation of position rents, contrary to the principles governing the functioning of markets. The negotiation of the price for the services provided […]384." It should be noted that this position of opposition to the SEDA business model was clearly brought to the attention of the banks both by sending the document via email385 and during the Working Groups on October 5, 2012, and December 12, 2012386.</w:t>
      </w:r>
    </w:p>
    <w:p>
      <w:r>
        <w:t>299. Regarding the observed increases, Utilitalia and Asstel stated that their associated companies, with the introduction of the new SEDA system, have recorded an increase in costs compared to the old RID. In particular, according to preliminary estimates from Utilitalia, "the transition to the SEPA DD and SEDA system [has] generated an increase in costs, compared to the RID, of about 40-45%"387. Utilitalia also sent an estimate of the cost impact resulting from the adoption of the SEPA-SEDA service compared to the old RID, during the first quarter of 2015, on a small sample of 3 large companies active in the protected and free markets of the electricity and gas sector, representing about 25% of the total customers supplied by the companies associated with Utilitalia. The three companies recorded an increase in costs of about 55%, 66%, and 84%388.</w:t>
      </w:r>
    </w:p>
    <w:p>
      <w:r>
        <w:t>300. ASSTEL also stated that its associated companies "have reported a general increase in service prices (compared to the RID) in the order of 30/40% and a difficulty in negotiating lower SEDA service prices compared to those published. This difficulty is explained by the fact that the PSP (payment service provider) that applies the SEDA commission is chosen by the debtor and not by the creditor who pays the commission itself. This problem is even more serious for small companies that do not have bargaining power and cannot, unlike what happens for large billers, negotiate prices at least with the major PSPs. Additionally, it should be noted that, while in the RID model the price of additional services (alignment), regulated at the banking level with a MIF, was included in the collection commission, now the collection commission remains and the SEDA price is paid to the debtor's bank. The overall price of the service has therefore significantly increased"389.</w:t>
      </w:r>
    </w:p>
    <w:p>
      <w:r>
        <w:t>301. Regarding individual companies, Enel stated that "the overall increase in prices for Sepa DD services (hereinafter also SDD) + SEDA, compared to the previous RID system, is about [60-70]% excluding VAT. […] Prior to the introduction of SEPA, the cost was approximately [&lt;0.1] € for RID. This cost, multiplied by the 6 annual debits (most Enel bills are bimonthly), led to an annual cost of about [0.30-0.40] € per single direct debit mandate. Currently, considering the Sepa DD and SEDA services, the price per mandate is, instead, about [0.50-0.60] € […] the aforementioned increase of [60-70%] takes into account both the SEDA prices negotiated bilaterally with some banks and the list prices applied for customers domiciled at banks with which no bilateral negotiation has been reached, which account for about [25-30%] of the total customer base of the ENEL group sales companies." Enel clarified that "in the best-case scenarios, the price is at least equal to that paid previously [under the previous RID system n.d.r.] and that, if an agreement had not been reached with the main banks, the increases, based on the published SEDA list prices, would have been in the order of 5-600% compared to the old RID system"390.</w:t>
      </w:r>
    </w:p>
    <w:p>
      <w:r>
        <w:t>302. American Express also stated that: "due to the complexity arising from managing over 600 relationships with its clients' banks, Amex has not initiated any negotiations to obtain discounts. […] unless further collaborations with the interested credit institutions occur, AmEx would not have commercial leverage on the sole SEDA service as it cannot choose its clients' bank. […]"391. In a subsequent communication, American Express confirmed an increase in the cost of the Sepa DD + SEDA service compared to the previous Rid + AEA of about [&lt;500,000] €, corresponding to about [0.10-0.20] € per mandate392.</w:t>
      </w:r>
    </w:p>
    <w:p>
      <w:r>
        <w:t>303. Telecom stated that: "it currently incurs costs approximately 20-30% higher than those paid under the previous RID system. […] this increase is entirely unjustified because much of the costs borne by banks for SEDA would have had to be incurred due to the obligations arising from adherence to SEPA. […] in the best-case scenarios, the price is at most equal to that paid previously but [that], in general, a significant increase in the overall price paid has been recorded"393. Telecom continues by observing that […]. The current system […] has led to an increase in prices for large companies, despite the bargaining power held by them, and a considerable increase for small and medium-sized enterprises that, instead, are unable to negotiate effectively. This implies a general increase in the price of banking services for the weaker subjects who are unable to obtain a discount from banks with which they have no commercial relationship"394.</w:t>
      </w:r>
    </w:p>
    <w:p>
      <w:r>
        <w:t>304. Regarding ENI, which stated that it has achieved savings, with the introduction of SEDA, of [20-30%] compared to the previous RID system, it should be noted that, as clarified previously, the aforementioned company exclusively uses the Basic SEDA service. This circumstance makes the commissions paid by it not comparable to those of the RID as, as repeatedly emphasized, the RID included both the service currently referred to as "basic" and that "advanced." Therefore, the objections raised by various Parties on this point395 are irrelevant.</w:t>
      </w:r>
    </w:p>
    <w:p>
      <w:r>
        <w:t>2. Documentation acquired from the Parties</w:t>
      </w:r>
    </w:p>
    <w:p>
      <w:r>
        <w:t>305. The evidence of price increases reported by the main billers mentioned above is confirmed by the documentation acquired from the banks396.</w:t>
      </w:r>
    </w:p>
    <w:p>
      <w:r>
        <w:t>306. With reference to the Parties that defined the SEDA model, as seen in the factual part, the documents acquired during the inspection reveal that they had widely anticipated that SEDA would allow them to significantly increase prices, and consequently their profits, having designed the remuneration system specifically for this purpose. The effects that have occurred have confirmed the suitability of the chosen remuneration system to produce restrictive effects on competition. From the documents on record and from the objections of the parties themselves, it is indeed possible to find an increase in prices compared to the previous RID service397.</w:t>
      </w:r>
    </w:p>
    <w:p>
      <w:r>
        <w:t>307. Specifically, the acquired evidence shows how the MIFs previously applied to the RID were used as a cost element for setting SEDA commissions, allowing for the recovery of profitability associated with the elimination of MIFs. Furthermore, once a revenue level per single mandate equal to that of the RID was guaranteed, the evidence shows how the Parties applied additional margins or mark-ups, i.e., the increase in price compared to the estimated cost.</w:t>
      </w:r>
    </w:p>
    <w:p>
      <w:r>
        <w:t>308. In conclusion, it is believed, firstly, that the inspection evidence described confirms the price increases complained of by the beneficiaries of the SEDA service, namely the billing companies, both with respect to the sole Parties of the proceeding and with regard to the entire banking system. Furthermore, the defensive documentation of the Parties also shows the increase in prices compared to the RID. In fact, the defensive data provided, if read correctly, i.e., considering prices in relation to individual mandates and not in relation to individual transactions, highlight the increase in prices applied compared to the previous AEA information service. It should also be noted that price increases have occurred despite discounts being applied to the main billing clients.</w:t>
      </w:r>
    </w:p>
    <w:p>
      <w:r>
        <w:t>3. Observations regarding possible alternative scenarios (the counterfactual) and effects of the new model proposed by ABI</w:t>
      </w:r>
    </w:p>
    <w:p>
      <w:r>
        <w:t>309. What has just been illustrated is also relevant with respect to the observations made regarding the alleged absence of the so-called counterfactual analysis. The Parties, in fact, unanimously highlight the impossibility of contesting the effects of the current remuneration model of the SEDA service without evaluating what would have happened if the alleged restriction of competition had not existed. Such observations are not shareable.</w:t>
      </w:r>
    </w:p>
    <w:p>
      <w:r>
        <w:t>i) The comparison between the remuneration model under investigation and the MIFs applicable to the previous RID service</w:t>
      </w:r>
    </w:p>
    <w:p>
      <w:r>
        <w:t>310. In the CRI, a comparison was made between the SEDA remuneration model and that of the analogous and previous Electronic Archive Alignment (AEA) service of the RID398, which provided for the application of MIFs and which had previously been authorized by the Authority. It should be noted,</w:t>
      </w:r>
    </w:p>
    <w:p>
      <w:r>
        <w:rPr>
          <w:b/>
        </w:rPr>
        <w:t>[Pages 79–81]</w:t>
      </w:r>
    </w:p>
    <w:p>
      <w:r>
        <w:t>BULLETIN NO. 19 OF MAY 22, 2017</w:t>
      </w:r>
    </w:p>
    <w:p>
      <w:r>
        <w:t>81</w:t>
      </w:r>
    </w:p>
    <w:p>
      <w:r>
        <w:t>Furthermore, the evidentiary findings, extensively described previously, show how it was the Parties themselves who compared the SEDA with the RID (AEA), both by defining the remuneration model and by choosing the prices applied to the SEDA.</w:t>
      </w:r>
    </w:p>
    <w:p>
      <w:r>
        <w:t>311. To correctly compare the annual price per mandate of the SEDA against the hypothesized alternative scenario, namely the hypothesized application of the MIF in the previous RID system, it is necessary to standardize the two parameters. Considering that the RID provided for a MIF per transaction while the SEDA provides for a fee for each active mandate, it is necessary to know what the annual value of the MIF would be in relation to a single mandate and, therefore, it is necessary to identify the number of payment transactions made in a year in relation to a single mandate. Only in this way is it possible to compare the two annual prices concerning the single mandate.</w:t>
      </w:r>
    </w:p>
    <w:p>
      <w:r>
        <w:t>312. ABI, already in the submissions prior to the CRI399, provides some estimates aimed at showing how the average list price of SEDA is, in fact, lower than the average revenues that would have been hypothetically received by banks with the MIF applicable to the RID (by about 25%) in the alternative scenario. It is noted, as clarified, that such estimates are strongly dependent on the average number of transactions carried out for each single mandate. In these estimates, ABI, also considering the fast RID, hypothesized an annual number of transactions per mandate ranging from 6 to 96400. These values led to an average annual MIF for the RID of €1.52 per single mandate.</w:t>
      </w:r>
    </w:p>
    <w:p>
      <w:r>
        <w:t>313. Conversely, according to subsequent surveys by ABI, the average number of operations per single mandate in the years 2015 and 2016 was, in fact, equal to 7.33 and 7.63401, respectively, thus far from the hypothesized value of 96 transactions for the Fast RID, which was the basis for calculating ABI's initial estimates. In light of these data and the remaining observations made by ABI in its submissions regarding the type of RID operations (90% of transactions for ordinary RID – MIF equal to €0.07 per transaction – and 10% for fast RID – MIF equal to €0.16 per transaction), it emerges that, in the alternative scenario, the average annual prices per single mandate generated by the application of the RID MIF would be €0.579 for 2015 and €0.603 for 2016402.</w:t>
      </w:r>
    </w:p>
    <w:p>
      <w:r>
        <w:t>314. As for the average list price per single SEDA mandate, it is recalled that, as calculated by ABI itself, this is approximately €1.28 per year. The application of the MIFs provided for the RID, as mentioned, would have resulted in fees of approximately €0.60 on an annual basis, thus allowing for a price reduction of about 50%.</w:t>
      </w:r>
    </w:p>
    <w:p>
      <w:r>
        <w:t>399 Cfr. doc. 1393 and doc. 1223.</w:t>
      </w:r>
    </w:p>
    <w:p>
      <w:r>
        <w:t>400 ABI performs the following calculation: "The MIF per transaction for the ordinary AEA RID component was €0.07 and that for the fast AEA RID was €0.16. To determine the average annual value of this MIF, it is therefore necessary to take into account the data relating to the percentage distribution of the two types of RID and the annual number of RID debits of each type. The first information is easily identifiable based on the final data for 2013, the last year of full RID operation. In percentage terms, the category of ordinary RIDs accounts for 90% and the category of fast RIDs for about 10%. The second information is less unambiguously identifiable, as it varies by type of beneficiary. According to the final data for the last year of operation of the RID service, as well as the information present in the documentation in the case file, the annual number of debits ranged from 6 to 12 for the ordinary RID and from 24 to 96 (i.e., between two per month and about two per week) for the fast RID. Based on this data, it is possible to calculate the minimum and maximum values, respectively, of the annual MIF for ordinary and fast AEA RID. The first is between approximately €0.42 and €0.84. The second is between approximately €3.84 and €15.36. Weighting for the percentage of ordinary and fast RIDs (90% and 10%), it is obtained that the annual MIF for the average of the two types of RID was between the two extremes of approximately €0.76 and €2.29." Cfr. doc. 1224, p. 21.</w:t>
      </w:r>
    </w:p>
    <w:p>
      <w:r>
        <w:t>401 Cfr. doc. 1347 and 1378.</w:t>
      </w:r>
    </w:p>
    <w:p>
      <w:r>
        <w:t>402 These results derive from the application of the following formula for 2015: MIF = [(0.9*7.33)*0.07]+[(0.1*7.33)*0.16]. An analogous formula for 2016 replacing the respective number of operations. See also ABI's submission, doc 1378.</w:t>
      </w:r>
    </w:p>
    <w:p>
      <w:r>
        <w:t>82 BULLETIN NO. 19 OF MAY 22, 2017</w:t>
      </w:r>
    </w:p>
    <w:p>
      <w:r>
        <w:t>ii) The comparison between the remuneration model under investigation and the new remuneration model proposed by the Parties</w:t>
      </w:r>
    </w:p>
    <w:p>
      <w:r>
        <w:t>315. As mentioned, during the proceedings, the Parties presented an alternative remuneration model to the one currently in force, based on the application of a quarterly MIF on each active mandate, different for the so-called Basic SEDA and Advanced SEDA, identified based on the costs incurred for the provision of the SEDA service and calculated against an average of an efficient sample of banks. A comparison between the new remuneration model based on the MIFs applicable to the SEDA, proposed by ABI, and the average prices currently found for the SEDA service under investigation shows the economic benefits that can be achieved with the application of the new model. In fact, the new model proposed by ABI, namely the MIFs dedicated to the SEDA, which, on an annual basis, entail an expense of approximately €0.66 per single mandate403. Compared to the average list price of SEDA, equal to approximately €1.28 per year, the reduction amounts to about 50%.</w:t>
      </w:r>
    </w:p>
    <w:p>
      <w:r>
        <w:t>316. Moreover, it is noted that even a comparison between the previous interbank commission applicable to the RID service and the MIF of the new remuneration model of the SEDA shows that the latter is on similar or lower overall values (on which see infra paragraph "the non-severity of the agreement").</w:t>
      </w:r>
    </w:p>
    <w:p>
      <w:r>
        <w:t>4. The contractual link between the SEDA service and the Sepa DD and the excluding effect towards foreign banks</w:t>
      </w:r>
    </w:p>
    <w:p>
      <w:r>
        <w:t>317. Among the effects generated by the agreement, it is necessary to highlight the excluding effect of foreign banks on the Sepa DD market as a consequence of the contractual link between the provision of the Sepa DD payment service and the reduction of the fees for the SEDA information service. The evidence on file regarding this point is numerous and shows that, in light of the absence of competitive pressure on the SEDA price exerted by the user of the SEDA service (the billing company) towards the bank providing the service and defining the SEDA fee (the payer's PSP), due to the fact that the aforementioned bank is chosen by the payer (the customer) and not by the billing company, the only commercial leverage available to negotiate discounts on the SEDA fees is represented by the entirety of the commercial relationships with the bank, where existing, and by the conveyance to the same of a minimum volume of Sepa DD.</w:t>
      </w:r>
    </w:p>
    <w:p>
      <w:r>
        <w:t>318. From this element derives a distortion in the competitive dynamics related to the Sepa DD payment service, given that the beneficiaries of this service – who are the same beneficiaries of the SEDA service, namely the billing companies that collect Sepa DD – cannot entrust the complete provision of Sepa DD to banks that offer the best economic conditions, but must fragment their payment volumes across different banks in order to obtain discounts related to a different service, such as the SEDA, for which they do not have other commercial levers.</w:t>
      </w:r>
    </w:p>
    <w:p>
      <w:r>
        <w:t>319. In this regard, Telecom, for example, states that it has received "offers for the provision of Sepa DD from foreign banks that it did not accept due to the need to obtain derogations on SEDA prices through the commercial leverage constituted by Sepa DD volumes"404. Enel also specifies that it cannot turn to "banks other than national ones for the SDD service – even though these offer a lower price – as on these, bills are not usually domiciled and therefore Enel would lose the opportunity to negotiate lower SEDA prices [...]. Foreign banks, for this reason, cannot penetrate the SDD service market"405. American Express, at a general level, states that "unless further collaborations with the interested credit institutions, AmEx would not have commercial levers on the SEDA service alone as it cannot choose the bank of its customers"406. This circumstance has been confirmed by HSBC, which noted that: "during commercial discussions with major Italian groups with a high number of SDD collections, their preference is directed towards banks with a high number of debtor clients (and thus SDD mandates). This allows banks that simultaneously have a current account relationship with both the creditor and the debtor to offer a complete service. In commercial terms, the offer of the SDD service (without SEDA service) from the Branch finds interest from major Italian corporate clients, but is not competitive in the integrated SDD SEDA services, as the Branch cannot apply fees for SEDA services different from those offered by each debtor bank"407.</w:t>
      </w:r>
    </w:p>
    <w:p>
      <w:r>
        <w:t>320. Documents have been acquired from banks that confirm the practice of granting discounts on SEDA fees in exchange for an increase in payment service volumes (SDD). For example, an internal document from UBI specifies that "[ed. the derogations to the list prices] must be used as leverage for the increase/maintenance of intra-group presentation flows and their validity must be subject to periodic verification of the actual conveyance of intra-group flows"408. UBI, during a hearing, states that "it is also noted the ability of large creditors [ed. the billing companies benefiting from the SEDA and SDD services] to negotiate particularly favorable conditions both in the SEDA and in the SDD, thanks to the negotiating leverage represented by the volumes. It is indeed common for this type of creditors that the conditions applied by the bank for both services are defined within a single negotiation"409. MPS and Unicredit also confirmed during the hearing the custom of linking the negotiation of SEDA to that of Sepa DD410.</w:t>
      </w:r>
    </w:p>
    <w:p>
      <w:r>
        <w:t>321. In light of what has been illustrated, it emerges that, due to the absence of contractual power inherent in the SEDA remuneration model, a service that is distinct, optional, and additional to the Sepa DD payment service, as well as having an autonomous pricing, competitive distortions are generated in the provision of the Sepa DD payment service. Such distortions, lamented by the beneficiaries of the two services, namely the billing clients, are known to the banks, considered as industry practice and amplified by their strategies aimed at granting discounts on the SEDA only in the case of the conveyance of Sepa DD flows. The evidence shows that such</w:t>
      </w:r>
    </w:p>
    <w:p>
      <w:r>
        <w:t>405 Cfr. doc. 1052, hearing Enel of July 14, 2016.</w:t>
      </w:r>
    </w:p>
    <w:p>
      <w:r>
        <w:t>406 Cfr. doc. 1054, hearing American Express of July 19, 2016.</w:t>
      </w:r>
    </w:p>
    <w:p>
      <w:r>
        <w:t>407 Cfr. doc. 1221.</w:t>
      </w:r>
    </w:p>
    <w:p>
      <w:r>
        <w:t>408 Cfr. doc. 936. In particular, the UBI document clarifies that discounts on SEDA list prices, granted to billing clients, can only be granted in exchange for the transfer, by the same billing clients, of Sepa DD payment flows to the banks of the group. This transfer of payment flows, according to what was expressed by UBI, must be monitored in order to confirm the discounts granted on SEDA list prices.</w:t>
      </w:r>
    </w:p>
    <w:p>
      <w:r>
        <w:t>409 Cfr. doc. 1142, hearing UBI of September 30, 2016.</w:t>
      </w:r>
    </w:p>
    <w:p>
      <w:r>
        <w:t>410 As for MPS, the bank specifies that "with respect to the alleged leverage between the SEDA and SDD services [...] even in the provision of the previous RID service, discounted rates were proposed as a counterparty to the minimum volumes of guaranteed transactions" - doc. 1071, hearing MPS of July 28, 2016. Unicredit states that "the negotiation takes place taking into account the entirety of the commercial relationship with the company, not only of the SDD and SEDA services, and that in any case this would be entirely natural, as it is normal for negotiations to take place based on volumes and involving the payment service, which represents the main service" - doc. 1132, hearing Unicredit of September 26, 2016.</w:t>
      </w:r>
    </w:p>
    <w:p>
      <w:r>
        <w:rPr>
          <w:b/>
        </w:rPr>
        <w:t>[Pages 82–84]</w:t>
      </w:r>
    </w:p>
    <w:p>
      <w:r>
        <w:t>84 BULLETIN NO. 19 OF MAY 22, 2017</w:t>
      </w:r>
    </w:p>
    <w:p>
      <w:r>
        <w:t>Competitive distortions limit the competitive dynamics regarding the Sepa DD service of all banks that do not provide the SEDA service, whether these are foreign or national banks, as in the case of ICCREA.</w:t>
      </w:r>
    </w:p>
    <w:p>
      <w:r>
        <w:t>322. Therefore, the objections raised by many Parties aimed at emphasizing the legality of granting discounts on bundles of products (SEPA DD and SEDA) and the fact that it is common to link negotiation to a wide range of banking services, such as credit lines, are irrelevant. It should be noted that it is not the possibility of granting multi-product discounts that is contested, but the effects of the SEDA remuneration model which, precisely due to this practice, create a particular difficulty for foreign banks, typically lacking branches in Italy, to penetrate the SEPA DD market.</w:t>
      </w:r>
    </w:p>
    <w:p>
      <w:r>
        <w:t>323. In fact, regarding more general banking services (such as credit lines), the SEDA service is ancillary to the Sepa DD payment service and, therefore, a remuneration model for the SEDA service that allows only banks with their own customer base to grant discounts on this service has a direct impact on the negotiation dynamics of the Sepa DD service, precisely due to the possibility of negotiating on multiple products. It follows that the SEDA model, by anchoring the possibility of granting discounts on this service solely to banks already equipped with customers, automatically makes the offers less attractive compared to the Sepa DD product from banks, such as foreign ones, that do not possess such negotiating power.</w:t>
      </w:r>
    </w:p>
    <w:p>
      <w:r>
        <w:t>324. Furthermore, the observations of some Parties regarding the fact that, even in a system based on MIF, identical effects would occur to the detriment of banks with few customers (typically foreign banks), due to the discounts applicable in the case of on us transactions, do not merit acceptance. In the case of MIF, in fact, the interbank commission would be based on costs. Therefore, the importance of the discounts requested by the beneficiaries of the service is less decisive, making it easier to replicate the offers of banks that can offer discounts based on on us transactions. In the current system, however, in light of the high prices of the SEDA service, the overall offer of Sepa DD+SEDA from national banks is difficult to replicate. The foreign bank, as explained by ENEL and TELECOM, even offering a negligible price for the Sepa DD, cannot compensate for the discounts applied on the SEDA. It should be noted that this effect, albeit to a lesser extent, contrary to what was claimed by ICBPI, Banca del Piemonte, and Banca Sella, is also manifested with respect to Italian banks with few customers, as clarified by ICCREA: "[ed. the drastic drop in SDD collections] is attributable to the fact that ICCREA does not offer the SEDA service [...]. For this reason, it is likely that there has been a shift of SDD volumes to other banks that, in return, can offer the application of exceptions to the published SEDA price."</w:t>
      </w:r>
    </w:p>
    <w:p>
      <w:r>
        <w:t>325. In any case, it is worth noting that even smaller Italian banks have a significantly larger number of branches than foreign banks. HSBC, for example, has only two branches while Citibank has only one.</w:t>
      </w:r>
    </w:p>
    <w:p>
      <w:r>
        <w:t>13.6 The non-ancillary nature of the restriction</w:t>
      </w:r>
    </w:p>
    <w:p>
      <w:r>
        <w:t>326. Regarding the definition of the case, particularly with reference to the aspect of the agreement concerning the definition of the SEDA remuneration service, it should be noted that it cannot be considered necessary for the functioning of the SEDA service, as it is still abstractly possible to foresee a bilateral remuneration system that does not involve all credit institutions in an interbank agreement. The SEDA, as an optional ancillary service, and its remuneration system cannot therefore be excluded from the application of Article 101 TFEU as it does not constitute a necessary ancillary restriction for the circular functioning of a payment service.</w:t>
      </w:r>
    </w:p>
    <w:p>
      <w:r>
        <w:t>327. On this point, it is necessary to recall the community jurisprudence which established that "when it comes to clarifying whether an anti-competitive restriction may fall outside the prohibition laid down in Article 81, paragraph 1, EC as it is ancillary to a main operation that lacks such anti-competitive character, it must be ascertained whether the realization of that operation would be impossible in the absence of the restriction in question. [...] the circumstance that the aforementioned operation is simply made more difficult to realize or less profitable in the absence of the restriction in question cannot be considered sufficient to confer on that restriction the character of 'objectively necessary' required to qualify it as ancillary."</w:t>
      </w:r>
    </w:p>
    <w:p>
      <w:r>
        <w:t>As for the relationship between the first and third paragraphs of Article 101, particularly with reference to the criterion of the indispensability of the restriction, the Court of Justice stated that "there is no amalgamation between, on the one hand, the conditions established by jurisprudence to qualify, for the purposes of applying Article 81, paragraph 1, EC, a restriction as ancillary and, on the other hand, the criterion of the indispensable character required under Article 81, paragraph 3, EC, for a prohibited restriction to benefit from an exemption. In this regard, it is sufficient to recall that these two provisions pursue different purposes and that the latter criterion refers to the issue of clarifying whether a coordination between companies capable of producing a significant negative impact on the parameters of competition, such as, in particular, price, quantity, and quality of products and services, which consequently falls within the prohibition principle laid down in Article 81, paragraph 1, EC, may, however, in the context of Article 81, paragraph 3, EC, be considered indispensable for improving production or distribution or for promoting technical or economic progress, while reserving to consumers a fair share of the resulting profit. Instead, as emerges from points 89 and 90 of this judgment, the criterion of objective necessity, according to the same points, aims to ascertain whether, in the absence of a certain restriction of commercial autonomy, an operation or a main activity not covered by the prohibition established in Article 81, paragraph 1, EC and to which that restriction is secondary, risks not being realized or not continuing."</w:t>
      </w:r>
    </w:p>
    <w:p>
      <w:r>
        <w:t>328. Therefore, the observations of ICCREA regarding the fact that "it is presumed that in the absence of a multilateral agreement on the remuneration methods, the cost of bilateral negotiation and management concerning all relevant variables [...] would have been so high as to make it impossible to offer it at market prices, with evident repercussions on the level of demand for it" are without merit. Community jurisprudence has clarified that "It is not a matter of analyzing whether, considering the competitive situation in the market in question, the restriction is necessary for the commercial success of the main operation, but rather to determine whether, within the particular scope of the main operation, the restriction is necessary for the realization of that operation. If, in the absence of the restriction, the main operation proves difficult to realize, or even unfeasible, the restriction may be considered objectively necessary for its realization."</w:t>
      </w:r>
    </w:p>
    <w:p>
      <w:r>
        <w:t>329. It is also worth clarifying that the above conclusion is not affected by the fact that the Bank of Italy, in resolution no. 85/2013 of February 2013, provided that "payment service providers, also through their associative representations, in collaboration with the associative representations of payment service users, define and make available additional optional services capable of ensuring that the service levels of transfers and direct debits provided for by Regulation 260/2012 are at least equal to those of the corresponding national services." This provision, in fact, does not legitimize the behavior of ABI as it is not the SEDA service itself that restricts competition but its remuneration model, as configured by ABI and the Parties to the proceedings.</w:t>
      </w:r>
    </w:p>
    <w:p>
      <w:r>
        <w:t>330. The same Bank of Italy, moreover, acknowledged the SEDA service "given the urgency of complying with the deadlines set by the European legislator for the migration to SEPA standards and also taking into account the need to ensure the phase of entry into operation during the first year of activity of the service." It is also recalled that in the hearing, the Bank of Italy stated that: "the attention of the institute has focused on the operational profiles of the SEDA service without interfering with the choice of the remuneration model, which has been freely defined by the representatives of banks and businesses within the organizational autonomy recognized to them." The Bank of Italy also emphasized, to the Parties to the proceedings, that it supported the exclusion of the MIF prohibition for additional optional services from Regulation 260/2012 EU at the European level.</w:t>
      </w:r>
    </w:p>
    <w:p>
      <w:r>
        <w:t>13.7 The responsibility of the Parties for the infringement</w:t>
      </w:r>
    </w:p>
    <w:p>
      <w:r>
        <w:t>331. The behaviors subject to evaluation are attributable to ABI and the other Parties to the proceedings for the reasons outlined below.</w:t>
      </w:r>
    </w:p>
    <w:p>
      <w:r>
        <w:t>With reference to ABI's position, it is noted that it has actively contributed to the design of the SEDA service remuneration system, being the legal entity responsible for its implementation. In this regard, it is reiterated that the observations regarding the alleged legitimate reliance on the legality of the behavior of the Association are without merit.</w:t>
      </w:r>
    </w:p>
    <w:p>
      <w:r>
        <w:t>332. Regarding Unicredit, the documentation in the proceedings provides ample evidence of the company's involvement in the design and implementation of the contested SEDA remuneration model. In addition to having participated in all the meetings with restrictive subject matter (July 17/18 and July 25, 2012), Unicredit, as widely reported, has maintained direct horizontal contacts with the other Parties to the proceedings in order to influence decisions regarding the operational modalities of the model.</w:t>
      </w:r>
    </w:p>
    <w:p>
      <w:r>
        <w:rPr>
          <w:b/>
        </w:rPr>
        <w:t>[Pages 85–87]</w:t>
      </w:r>
    </w:p>
    <w:p>
      <w:r>
        <w:t>BULLETIN NO. 19 OF MAY 22, 2017</w:t>
      </w:r>
    </w:p>
    <w:p>
      <w:r>
        <w:t>333. Also with regard to BNL, the documents in the file extensively account for its participation in the meetings in question and the lack of any form of dissociation from the decisions reached in those venues. Therefore, the infringement contested is also fully attributable to BNL.</w:t>
      </w:r>
    </w:p>
    <w:p>
      <w:r>
        <w:t>334. With reference to ICBPI and ICCREA - which have highlighted the peculiarity of being second-tier banks, therefore not particularly active in providing the SEDA service, or providing the service free of charge - it is worth noting that both companies participated in the meetings where the remuneration model was defined (meetings of July 17/18 and July 25, 2012). In particular, ICCREA distinguished itself for its active role in the development of the model; ICBPI, while having a marginal role, nonetheless shared the contents of the agreement and did not express any disagreement in any way.</w:t>
      </w:r>
    </w:p>
    <w:p>
      <w:r>
        <w:t>335. Both companies also participated in the meetings in question representing the interests of the banking institutions to which they generally provide their technical support services (BCC and Cooperative Banks) and whose interests they manage as per statutory provisions and are still parties to the agreement.</w:t>
      </w:r>
    </w:p>
    <w:p>
      <w:r>
        <w:t>336. Regarding the positions highlighted by the representatives of Banca del Piemonte, Banca Sella, and Creval, aimed at emphasizing the marginality of the market shares held by such credit institutions, the limited interest in providing the SEDA service, as well as the passive participation in the contested meetings, it should be noted that the aforementioned banks participated in the meeting of July 25, 2012, without dissociating themselves in any way from the decisions made there. According to consistent jurisprudence, already cited: "it is sufficient for the Commission to demonstrate that the company concerned participated in meetings during which anti-competitive agreements were concluded, without having manifestly opposed them, for the participation of that company in the agreement to be sufficiently proven [...]"420.</w:t>
      </w:r>
    </w:p>
    <w:p>
      <w:r>
        <w:t>337. The position of Monte dei Paschi di Siena and Intesa also does not appear to be distinguishable from that of the other Parties in the proceedings. It is worth recalling the participation of both companies in the meetings of July 17/18 and July 25, 2012, where the remuneration model for the SEDA service was defined, in which they played a proposing role in the design of the model, also maintaining horizontal contacts with other Parties in the proceedings.</w:t>
      </w:r>
    </w:p>
    <w:p>
      <w:r>
        <w:t>338. Regarding the alleged dissociation from the decisions reached during the meetings, it is specified, with reference to Intesa, that such dissociation concerned the "flat fee"421 pricing methods, which were not contested in the Communication of the Investigative Findings nor are they within the scope of this provision. Therefore, this dissociation is irrelevant for the purposes of establishing the infringement in question.</w:t>
      </w:r>
    </w:p>
    <w:p>
      <w:r>
        <w:t>339. As for the dissociation of MPS regarding the "1 to many" remuneration model, it is highlighted that the favor expressed by the company for the "1 to 1" model does not constitute an expression of dissociation from a remuneration model that is strongly restrictive of competition and intrinsically harmful to it, but merely a preference for a model that would have resulted in an additional increase in profitability for the bank, in light of its characteristics.</w:t>
      </w:r>
    </w:p>
    <w:p>
      <w:r>
        <w:t>340. In general terms, the opposing vote of MPS and INTESA on two distinct aspects of the model and not on its entirety is motivated by technical reasons related not to the anti-competitiveness of the model but to considerations of efficiency of internal management processes and greater profitability.</w:t>
      </w:r>
    </w:p>
    <w:p>
      <w:r>
        <w:t>341. Such behaviors, according to consistent jurisprudence, do not constitute a "dissociation" suitable, under antitrust regulations, to justify the exclusion of the two companies from the agreement. It should also be noted that the companies party to an agreement always discuss, each trying to impose a solution that benefits them on the others, but this does not exclude the participation of all in the agreement, which is characterized by a common intent to restrict competition, through a generalized increase in prices422. With reference to MPS, the bank took a leading role in the project to increase the prices of the service in order to recover the lost profitability in the previous RID system423 and it is the same document that accounts for the concertation that took place between the Parties regarding the level of the SEDA price424. Lastly, it is noted that MPS itself, as seen, has anticipated significant increases in profitability linked to the introduction of the SEDA remuneration model425.</w:t>
      </w:r>
    </w:p>
    <w:p>
      <w:r>
        <w:t>342. As for the position of Cariparma, which did not participate in the meetings of July 2012, from the documents on file it must be considered that it at least shared the decisions made in the meetings, being always informed about their content426 and having also developed documents sent to other banks in order to analyze the greater or lesser profitability of certain aspects of the remuneration model427. Furthermore, Cariparma also participated in discussions regarding the pricing methods of mandates acquired at the payer's PSP in the previous RID system, on which see infra428.</w:t>
      </w:r>
    </w:p>
    <w:p>
      <w:r>
        <w:t>343. In particular, Cariparma excluded its participation in the agreement by stating that it did not participate in the Technical Committee of July 25, 2012, as it had not yet become a member of it. Cariparma itself, however, admitted its participation in the Working Groups "through technical staff. In fact, these meetings were generally attended by individuals with non-executive technical profiles, not endowed with decision-making powers and therefore unable to represent the company."</w:t>
      </w:r>
    </w:p>
    <w:p>
      <w:r>
        <w:t>344. On this specific point, however, Cariparma's objections miss the mark. Firstly, the nature of the meetings in which the agreement was perfected is not relevant for the purposes of attributing responsibility to it. What matters is that the parties, in different contexts, agreed to adopt a common strategy in directing the drafting of a circular capable of influencing the determination of the price of the SEDA service429.</w:t>
      </w:r>
    </w:p>
    <w:p>
      <w:r>
        <w:t>345. Secondly, with reference to the subjects who participated in the agreement, jurisprudence has repeatedly clarified that "the role played within the company by the individuals who materially carried out the prohibited behaviors or prepared the documents found during inspections is not relevant, but rather it must be considered that the conduct of the individual employee, accompanied by the consequent behavior of the company, is sufficient to make the commitments undertaken or the acts found attributable to the company (see Court of Justice, February 21, 1984, case 86/82, Hasselblad). Therefore, documents drafted by individuals lacking representation power are also attributable to the companies (Cons. State, VI, section, no. 1191/2001)"430.</w:t>
      </w:r>
    </w:p>
    <w:p>
      <w:r>
        <w:t>13.8 The inapplicability of Article 101.3 TFEU.</w:t>
      </w:r>
    </w:p>
    <w:p>
      <w:r>
        <w:t>346. Finally, it is noted that certain Parties431 have raised the applicability to the case at hand of the third paragraph of Article 101 TFEU. In this regard, it is recalled that in order to benefit from the exemption in question, agreements qualified as restrictive of competition must meet four cumulative conditions, two positive and two negative, expressly identified in the aforementioned provisions432. In particular, the agreement must: (a) contribute to the improvement of production and/or technical progress; (b) allocate to consumers a substantial part of the benefits resulting from the improvements referred to in letter (a); (c) the restriction of competition must be indispensable to achieving the improvements referred to in letter (a); (d) the agreement must not eliminate competition in a substantial part of the relevant market.</w:t>
      </w:r>
    </w:p>
    <w:p>
      <w:r>
        <w:t>As repeatedly stated by community jurisprudence, since the above conditions are cumulative, the failure to meet even one of them results in the inapplicability of the exemption under Article 101.3 TFEU433.</w:t>
      </w:r>
    </w:p>
    <w:p>
      <w:r>
        <w:t>In this regard, it is preliminarily observed that the argument cannot be accepted as the burden of proving the existence of all the conditions of Article 101.3, listed above, lies with the Party requesting its application. In this case, the Parties have merely asserted apodictically, without providing any evidence, the existence of alleged efficiencies resulting from anti-competitive collaboration. It must therefore be considered that the burden of proof has not been fulfilled by the Parties.</w:t>
      </w:r>
    </w:p>
    <w:p>
      <w:r>
        <w:t>347. Moreover, contrary to what is required by Article 101.3 TFEU, the SEDA remuneration model:</w:t>
        <w:br/>
        <w:t>a) Does not contribute to improving production nor promotes technical or economic progress as, as stated, the SEDA remuneration system is less efficient and more burdensome for companies compared to the previous remuneration system provided for the AEA service of the RID.</w:t>
        <w:br/>
        <w:t>b) Does not reserve to users a fair share of the profits as, on the one hand, higher fees are observed being paid by companies and, on the other hand, such higher fees can easily be passed on to consumers;</w:t>
      </w:r>
    </w:p>
    <w:p>
      <w:r>
        <w:rPr>
          <w:b/>
        </w:rPr>
        <w:t>[Pages 88–90]</w:t>
      </w:r>
    </w:p>
    <w:p>
      <w:r>
        <w:t>90 BULLETIN NO. 19 OF MAY 22, 2017</w:t>
      </w:r>
    </w:p>
    <w:p>
      <w:r>
        <w:t>c) It is not an indispensable restriction for providing the requested service as there are less restrictive and more efficient remuneration systems, as demonstrated by the new model proposed by the Parties, which provides for the application of the MIF for the remuneration of the service.</w:t>
      </w:r>
    </w:p>
    <w:p>
      <w:r>
        <w:t>13.9 The duration of the infringement</w:t>
      </w:r>
    </w:p>
    <w:p>
      <w:r>
        <w:t>348. The start of the aforementioned agreement must be attributed, for ABI, Unicredit, MPS, ICCREA, ICBPI, Intesa, UBI, and BNL, at least to July 17, 2012, the date of the first meeting in which the cited Parties were present or, as in the case of Cariparma, it must be considered, based on the evidence on file, that they were informed of the anti-competitive strategy expressly developed in that meeting434. It is recalled, in fact, that in the meeting of July 17/18 and 25, 2012, the aforementioned banks and ABI expressly decided to devise a new remuneration model that would allow a generalized increase in service prices detached from competitive pressures and potential antitrust scrutiny. For the other Parties in the proceeding, Creval, Banca del Piemonte, and Banca Sella, it must be considered that participation in the agreement began on July 25, 2012, coinciding with the meeting of the technical committee in which the decision to abandon the MIF model for the aforementioned purposes was definitively made. The agreement is still ongoing. It should be noted that the fact that the banks and ABI proposed the revision of the SEDA remuneration model in favor of a system based on cost-oriented MIFs does not exclude that the agreement is still ongoing, as the interbank agreement that is the subject of the agreement is necessarily still in force.</w:t>
      </w:r>
    </w:p>
    <w:p>
      <w:r>
        <w:t>349. Therefore, the objections of the parties regarding the "instantaneous" nature of the contested infringement appear to be without merit. In this regard, it should be clarified that, even in light of the latest jurisprudence, the agreement, in this case, has bound, and still binds, the parties435.</w:t>
      </w:r>
    </w:p>
    <w:p>
      <w:r>
        <w:t>13.10 The consistency of the agreement and the prejudice to intra-community trade</w:t>
      </w:r>
    </w:p>
    <w:p>
      <w:r>
        <w:t>350. It is represented, in any case, that the agreement in question has been capable of significantly distorting the competition in the relevant market having involved the main Italian banking groups, the Italian Banking Association, and as a result, the entire Italian banking system.</w:t>
      </w:r>
    </w:p>
    <w:p>
      <w:r>
        <w:t>351. With reference to the existence of prejudice to trade between Member States, it depends on a complex of factors that may not be decisive when considered individually and that, among other things, include: the nature of the agreements, the nature of the products or services, and the position of the companies involved436.</w:t>
      </w:r>
    </w:p>
    <w:p>
      <w:r>
        <w:t>352. Furthermore, according to the consistent orientation of community jurisprudence, an agreement that, based on a series of objective legal and factual elements, can exert a direct or indirect, actual or potential influence on the flows of trade between Member States, to an extent that could harm the achievement of the objectives of a single market, particularly isolating national markets or altering the structure of competition in the common market, is susceptible to prejudicing intra-community trade.</w:t>
      </w:r>
    </w:p>
    <w:p>
      <w:r>
        <w:t>353. In particular, in the context of the case at hand, it should be noted that the agreement has involved the entire Italian banking system as it consisted of the design of a remuneration system applied by all members of ABI. As seen, the agreement has also determined effects on intra-community trade, hindering the entry of foreign operators into the Italian market for payments with Sepa DD.</w:t>
      </w:r>
    </w:p>
    <w:p>
      <w:r>
        <w:t>354. The objection raised by one party regarding the non-applicability, in this case, of Article 101 TFEU, as there would be no identifiable prejudice to trade between Member States, appears to be without merit. In this regard, it should be preliminarily noted that the jurisprudence has repeatedly pointed out the lack of a real interest of the appellants in raising such a complaint, as "applying community regulations instead of national ones does not determine the illegitimacy of the contested measure, because any error (...) would not have in any way harmed the right of defense of the companies involved, having, on the contrary, the effect (...) of providing additional procedural guarantees for all the companies involved"437. In this specific case, moreover, the agreement concerns the entire Italian banking system in the phase of migration to a community payment system (SEPA) and records among its effects precisely the discrimination to the detriment of community banks. In this regard, the Court of Justice has repeatedly recalled that an agreement that extends to the entire territory of a Member State has, by its nature, the effect of consolidating the compartmentalization of markets at the national level, thus hindering the economic integration desired by the Treaty438.</w:t>
      </w:r>
    </w:p>
    <w:p>
      <w:r>
        <w:t>355. It must be emphasized once again that the contested behaviors fall within the scope of the transposition of the PSD and PSD2 Directives, in a context where "the creation of an integrated market for electronic payments in euros, without distinction between national and cross-border payments, is necessary for the proper functioning of the internal market. To this end, the project of the single euro payments area (SEPA) aims to develop common payment services throughout the Union439." In this perspective, the citation of the judgment of the Court of Justice of January 21, 1999, in joined cases C-215/96 and C-216/96 (Bagnasco), which denied the existence of prejudice to community trade in relation to an agreement on banking services established by ABI, does not seem pertinent, as it refers to behaviors carried out at a historical moment prior to the entry into force of the directives aimed at creating the single area of European payments, as well as to Regulation 1/2003.</w:t>
      </w:r>
    </w:p>
    <w:p>
      <w:r>
        <w:t>13.11 The non-severity of the agreement</w:t>
      </w:r>
    </w:p>
    <w:p>
      <w:r>
        <w:t>356. According to established community and national jurisprudence, to assess the severity of the infringement, a large number of factors must be taken into account, the nature and importance of which vary depending on the type of infringement and its particular circumstances. Among these factors, the nature of the conduct, the importance of the companies, and the context in which the behaviors were carried out are particularly relevant.</w:t>
      </w:r>
    </w:p>
    <w:p>
      <w:r>
        <w:t>357. Regarding the nature of the agreement in question, it must be considered that the contested behaviors constitute a horizontal agreement among the main operators active in the market for SEPA DD payment services and additional optional services (AOS) aimed at designing a remuneration system for SEDA suitable for allowing a generalized increase in service prices, compared to the previous and similar RID system, without incurring potential interference from the Authority regarding the remuneration methods of the system. The agreement also consisted of a concertation on the application methods of the "Advanced SEDA" fee to mandates acquired at the bank under the previous RID system.</w:t>
      </w:r>
    </w:p>
    <w:p>
      <w:r>
        <w:t>358. However, the behaviors carried out by the Parties must be framed in the context in which they took place, namely within the scope of the transposition of the SEPA system and, therefore, in a new regulatory and legislative context whose implementation methods had yet to be precisely defined and articulated. This context created the necessity, also hoped for by the Bank of Italy in light of the pressing requests from billing companies, to transpose Regulation 260/2012 while ensuring, at the same time, the adoption of an additional optional service (SEDA) in order to guarantee the maintenance of the previous service levels (RID).</w:t>
      </w:r>
    </w:p>
    <w:p>
      <w:r>
        <w:t>359. It should also be added that the agreement, while concerning a remuneration system for a service offered in circularity, is not secret as it has been notified to the Authority, at least in its essential features, and has been included in a public ABI circular.</w:t>
      </w:r>
    </w:p>
    <w:p>
      <w:r>
        <w:t>360. The aforementioned circumstances should also be further qualified in light of the fact that the definition of circular payment systems has, in the past, necessitated the definition of shared remuneration models at the interbank level. This fact may have led the parties to believe they were acting in line with antitrust rules, thereby mitigating the severity of their conduct.</w:t>
      </w:r>
    </w:p>
    <w:p>
      <w:r>
        <w:t>361. Furthermore, the parties have been willing from the outset to change the adopted system first through the instrument of commitments and, subsequently, through the presentation to the Authority of a new model based on a cost-oriented MIF440. This new model, if correctly implemented, will result in a significant reduction in the price of the service compared to the average prices in force based on the remuneration model subject to this proceeding, amounting to approximately 50%441. Moreover, a comparison is also possible between the MIFs provided for the new remuneration model and the MIFs previously applicable to the RID service442. As shown in Table 2 below, the new MIF proposed for SEDA appears similar, if not improved, compared to the previous interbank commission applicable to the RID service. In fact, with particular reference to the years 2017 and 2018, the two MIFs, calculated on an annual basis for each individual mandate, differ by 3 cents corresponding to approximately 5%. In particular, it is expected that in 2018, the MIF for SEDA will be lower than that applied to the previous RID service. Furthermore, since the model is based on the costs incurred for the provision of the SEDA service and calculated based on an average of an efficient sample of banks, further reductions will be possible due to future cost dynamics440.</w:t>
      </w:r>
    </w:p>
    <w:p>
      <w:r>
        <w:rPr>
          <w:b/>
        </w:rPr>
        <w:t>[Pages 91–93]</w:t>
      </w:r>
    </w:p>
    <w:p>
      <w:r>
        <w:t>BULLETIN NO. 19 OF MAY 22, 2017 93</w:t>
      </w:r>
    </w:p>
    <w:p>
      <w:r>
        <w:t>Tab. 2 – Comparison between MIF applicable to the SEDA service and to the RID (ordinary and fast)</w:t>
      </w:r>
    </w:p>
    <w:p>
      <w:r>
        <w:t>2015 2016 2017 (*) 2018 (*)</w:t>
      </w:r>
    </w:p>
    <w:p>
      <w:r>
        <w:t>average number of transactions per mandate 7.33 7.63 7.94 8.27</w:t>
      </w:r>
    </w:p>
    <w:p>
      <w:r>
        <w:t>MIF Ordinary RID (7 cents)+ 0.58 (***) 0.60 (***) 0.63 (***) 0.65 (***)</w:t>
      </w:r>
    </w:p>
    <w:p>
      <w:r>
        <w:t>MIF Fast RID (16 cents)</w:t>
      </w:r>
    </w:p>
    <w:p>
      <w:r>
        <w:t>MIF SEDA 0.66 0.66 0.66 0.62 (**)</w:t>
      </w:r>
    </w:p>
    <w:p>
      <w:r>
        <w:t>difference SEDA-RID in € 0.08 0.06 0.03 -0.03</w:t>
      </w:r>
    </w:p>
    <w:p>
      <w:r>
        <w:t>difference SEDA-RID in % 12% 9% 5% -5%</w:t>
      </w:r>
    </w:p>
    <w:p>
      <w:r>
        <w:t>(*) The number of transactions in 2017 and 2018 has been estimated assuming an annual growth rate equal to that recorded in 2015-2016</w:t>
      </w:r>
    </w:p>
    <w:p>
      <w:r>
        <w:t>(**) The MIF for SEDA is net of the cost for the amortization of investments</w:t>
      </w:r>
    </w:p>
    <w:p>
      <w:r>
        <w:t>(***) To calculate the overall MIF, it is necessary to weigh the MIF applicable to the ordinary and fast RID according to their respective weight relative to the total number of transactions. 90% of the transactions are of the ordinary RID type and 10% are fast RID.</w:t>
      </w:r>
    </w:p>
    <w:p>
      <w:r>
        <w:t>Source: AGCM elaborations</w:t>
      </w:r>
    </w:p>
    <w:p>
      <w:r>
        <w:t>362. In conclusion, it is believed that the new remuneration model, when correctly implemented, will be suitable to ensure the full circular operation of the SEDA service, improving the provision and distribution of the service and allowing, at the same time, to reserve a fair share of the profit derived from it for the users, while avoiding imposing on the interested companies restrictions that are not essential to achieve such objectives without eliminating competition in the SEDA market.</w:t>
      </w:r>
    </w:p>
    <w:p>
      <w:r>
        <w:t>363. In light of the overall circumstances that led to the development of the system and the context of uncertainty and evolution of the regulations, it must be considered that it cannot be attributed a character of seriousness to it and, therefore, no sanction will be imposed.</w:t>
      </w:r>
    </w:p>
    <w:p>
      <w:r>
        <w:t>14 CONCLUSIONS</w:t>
      </w:r>
    </w:p>
    <w:p>
      <w:r>
        <w:t>364. The behaviors described above constitute a restrictive agreement under Article 101 of the TFEU. The agreement has materialized in multiple behaviors, all connected by the same collusive aim of obtaining a remuneration system that would allow for increased profitability of the service.</w:t>
      </w:r>
    </w:p>
    <w:p>
      <w:r>
        <w:t>CONSIDERING that ABI - Italian Banking Association and the companies Unicredit S.p.A., Intesa SanPaolo S.p.A., ICCREA Banca S.p.A. - Central Institute of Cooperative Credit, Central Institute of Italian Popular Banks S.p.A., Cassa di Risparmio di Parma e Piacenza S.p.A., Banca Nazionale del Lavoro S.p.A., Banca Monte dei Paschi di Siena S.p.A., UBI Banca S.p.A., Credito Valtellinese S.C.P.A., Banca del Piemonte S.p.A., Banca Sella S.p.A have established a restrictive agreement, effective from July 17, 2012 (or, for some Parties as specified above, from July 25, 2012) and still ongoing, in violation of Article 101 of the Treaty on the Functioning of the European Union;</w:t>
      </w:r>
    </w:p>
    <w:p>
      <w:r>
        <w:t>94 BULLETIN NO. 19 OF MAY 22, 2017</w:t>
      </w:r>
    </w:p>
    <w:p>
      <w:r>
        <w:t>all of the above having been stated and considered;</w:t>
      </w:r>
    </w:p>
    <w:p>
      <w:r>
        <w:t>RESOLVES</w:t>
      </w:r>
    </w:p>
    <w:p>
      <w:r>
        <w:t>a) that ABI - Italian Banking Association and the companies Unicredit S.p.A., Intesa SanPaolo S.p.A., ICCREA Banca S.p.A. - Central Institute of Cooperative Credit, Central Institute of Italian Popular Banks S.p.A., Cassa di Risparmio di Parma e Piacenza S.p.A., Banca Nazionale del Lavoro S.p.A., Banca Monte dei Paschi di Siena S.p.A., UBI Banca S.p.A., Credito Valtellinese S.C.P.A., Banca del Piemonte S.p.A., Banca Sella S.p.A have established a restrictive agreement contrary to Article 101 of the Treaty on the Functioning of the European Union (TFEU), consisting of the coordination of commercial strategies during the determination of the remuneration model of the SEDA service;</w:t>
      </w:r>
    </w:p>
    <w:p>
      <w:r>
        <w:t>b) that ABI - Italian Banking Association and the companies Unicredit S.p.A., Intesa SanPaolo S.p.A., ICCREA Banca S.p.A. - Central Institute of Cooperative Credit, Central Institute of Italian Popular Banks S.p.A., Cassa di Risparmio di Parma e Piacenza S.p.A., Banca Nazionale del Lavoro S.p.A., Banca Monte dei Paschi di Siena S.p.A., UBI Banca S.p.A., Credito Valtellinese S.C.P.A., Banca del Piemonte S.p.A., Banca Sella S.p.A cease the ongoing behavior and submit a report detailing the measures taken to end the infringement by January 1, 2018;</w:t>
      </w:r>
    </w:p>
    <w:p>
      <w:r>
        <w:t>c) that ABI - Italian Banking Association and the companies Unicredit S.p.A., Intesa SanPaolo S.p.A., ICCREA Banca S.p.A. - Central Institute of Cooperative Credit, Central Institute of Italian Popular Banks S.p.A., Cassa di Risparmio di Parma e Piacenza S.p.A., Banca Nazionale del Lavoro S.p.A., Banca Monte dei Paschi di Siena S.p.A., UBI Banca S.p.A., Credito Valtellinese S.C.P.A., Banca del Piemonte S.p.A., Banca Sella S.p.A refrain in the future from engaging in behaviors similar to those subject to the established infringement referred to in point a);</w:t>
      </w:r>
    </w:p>
    <w:p>
      <w:r>
        <w:t>d) that, due to the non-seriousness of the infringement referred to in point a), also in light of the regulatory and economic context in which the conduct took place, no sanctions will be applied to ABI - Italian Banking Association and the companies Unicredit S.p.A., Intesa SanPaolo S.p.A., ICCREA Banca S.p.A. - Central Institute of Cooperative Credit, Central Institute of Italian Popular Banks S.p.A., Cassa di Risparmio di Parma e Piacenza S.p.A., Banca Nazionale del Lavoro S.p.A., Banca Monte dei Paschi di Siena S.p.A., UBI Banca S.p.A., Credito Valtellinese S.C.P.A., Banca del Piemonte S.p.A., Banca Sella S.p.A. This provision will be notified to the interested parties and published in the Bulletin of the Antitrust Authority.</w:t>
      </w:r>
    </w:p>
    <w:p>
      <w:r>
        <w:t>This provision will be notified to the interested parties and published in the Bulletin of the Antitrust Authority.</w:t>
      </w:r>
    </w:p>
    <w:p>
      <w:r>
        <w:t>Against this provision, an appeal may be submitted to the TAR of Lazio, pursuant to Article 135, paragraph 1, letter b), of the Code of Administrative Procedure (Legislative Decree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paragraph 2, of the Decree of the President of the Republic November 24, 1971, no. 1199, within one hundred and twenty days from the date of notification of the provision itself.</w:t>
      </w:r>
    </w:p>
    <w:p>
      <w:r>
        <w:t>THE SECRETARY GENERAL THE PRESIDENT</w:t>
      </w:r>
    </w:p>
    <w:p>
      <w:r>
        <w:t>Roberto Chieppa Giovanni Pitruzzella</w:t>
      </w:r>
    </w:p>
    <w:p>
      <w:r>
        <w:rPr>
          <w:b/>
        </w:rPr>
        <w:t>[Pages 94–96]</w:t>
      </w:r>
    </w:p>
    <w:p>
      <w:r>
        <w:t>96 BULLETIN NO. 19 OF MAY 22, 2017</w:t>
      </w:r>
    </w:p>
    <w:p>
      <w:r>
        <w:t>I803 - RESTRICTIVE CONDUCTS OF THE NOTARIAL COUNCIL OF MILAN</w:t>
      </w:r>
    </w:p>
    <w:p>
      <w:r>
        <w:t>Provision No. 26566</w:t>
      </w:r>
    </w:p>
    <w:p>
      <w:r>
        <w:t>THE ANTITRUST AUTHORITY</w:t>
      </w:r>
    </w:p>
    <w:p>
      <w:r>
        <w:t>IN ITS MEETING of April 28, 2017;</w:t>
      </w:r>
    </w:p>
    <w:p>
      <w:r>
        <w:t>HEARD the Rapporteur Professor Michele Ainis;</w:t>
      </w:r>
    </w:p>
    <w:p>
      <w:r>
        <w:t>HAVING REGARD to Law No. 287 of October 10, 1990;</w:t>
      </w:r>
    </w:p>
    <w:p>
      <w:r>
        <w:t>HAVING REGARD to D.P.R. No. 217 of April 30, 1998;</w:t>
      </w:r>
    </w:p>
    <w:p>
      <w:r>
        <w:t>HAVING REGARD to its resolution, adopted on January 11, 2017, with which an investigation was initiated against the Notarial Council of Milan pursuant to Article 14 of Law No. 287/90, to ascertain the existence of violations of competition pursuant to Article 2 of Law No. 287/90;</w:t>
      </w:r>
    </w:p>
    <w:p>
      <w:r>
        <w:t>HAVING REGARD to the acts of the proceeding;</w:t>
      </w:r>
    </w:p>
    <w:p>
      <w:r>
        <w:t>CONSIDERING it necessary to replace the person responsible for the proceeding due to subsequent organizational needs;</w:t>
      </w:r>
    </w:p>
    <w:p>
      <w:r>
        <w:t>RESOLVES</w:t>
      </w:r>
    </w:p>
    <w:p>
      <w:r>
        <w:t>to replace Dr. Matteo Pierangelo Negrinotti with Dr. Ester Arisi as the person responsible for the proceeding.</w:t>
      </w:r>
    </w:p>
    <w:p>
      <w:r>
        <w:t>This provision will be notified to the interested parties and published in the Bulletin of the Antitrust Authority.</w:t>
      </w:r>
    </w:p>
    <w:p>
      <w:r>
        <w:t>THE SECRETARY GENERAL THE PRESIDENT</w:t>
      </w:r>
    </w:p>
    <w:p>
      <w:r>
        <w:t>Roberto Chieppa Giovanni Pitruzzella</w:t>
      </w:r>
    </w:p>
    <w:p>
      <w:r>
        <w:t>BULLETIN NO. 19 OF MAY 22, 2017</w:t>
      </w:r>
    </w:p>
    <w:p>
      <w:r>
        <w:t>97 I793 - INCREASE IN CEMENT PRICES</w:t>
      </w:r>
    </w:p>
    <w:p>
      <w:r>
        <w:t>Provision No. 26601</w:t>
      </w:r>
    </w:p>
    <w:p>
      <w:r>
        <w:t>THE ANTITRUST AUTHORITY</w:t>
      </w:r>
    </w:p>
    <w:p>
      <w:r>
        <w:t>IN ITS MEETING of May 4, 2017;</w:t>
      </w:r>
    </w:p>
    <w:p>
      <w:r>
        <w:t>HEARD the Rapporteur Dr. Gabriella Muscolo;</w:t>
      </w:r>
    </w:p>
    <w:p>
      <w:r>
        <w:t>HAVING REGARD to Article 101 of the Treaty on the Functioning of the European Union (TFEU);</w:t>
      </w:r>
    </w:p>
    <w:p>
      <w:r>
        <w:t>HAVING REGARD to Law No. 287 of October 10, 1990;</w:t>
      </w:r>
    </w:p>
    <w:p>
      <w:r>
        <w:t>HAVING REGARD to Regulation No. 1/2003 of the Council of December 16, 2002, concerning the application of the competition rules set out in Articles 81 and 82 of the EC Treaty (now Articles 101 and 102 TFEU);</w:t>
      </w:r>
    </w:p>
    <w:p>
      <w:r>
        <w:t>HAVING REGARD to D.P.R. No. 217 of April 30, 1998;</w:t>
      </w:r>
    </w:p>
    <w:p>
      <w:r>
        <w:t>HAVING REGARD to its provision No. 25710 of November 18, 2015, with which an investigation was initiated pursuant to Article 14 of Law No. 287/90, against the companies Buzzi Unicem S.p.A. (hereinafter Buzzi), Cementir Italia S.p.A. (hereinafter Cementir), Industria Cementi Giovanni Rossi S.p.A. (hereinafter Cementirossi) and Holcim (Italia) S.p.A. (hereinafter Holcim) to ascertain the existence of violations of Article 101 of the TFEU concerning the coordination in the determination of the respective selling prices through simultaneous and equal increases thereof;</w:t>
      </w:r>
    </w:p>
    <w:p>
      <w:r>
        <w:t>HAVING REGARD to its provision No. 26145 of July 27, 2016, with which the investigation was extended:</w:t>
      </w:r>
    </w:p>
    <w:p>
      <w:r>
        <w:t>a) subjectively to the companies Italcementi Fabbriche Riunite Cemento S.p.A. Bergamo, Colacem S.p.A., Cementerie Aldo Barbetti S.p.A., CEMENTIZILLO S.p.A., Cementeria di Monselice S.p.A., W&amp;P Cementi S.p.A., Cementi Centro Sud S.p.A., Cementi Moccia S.p.A., Sacci – Società per Azioni Centrale Cementerie Italiane S.p.A., CAL.ME. - Calce Meridionale S.p.A., the Italian Technical Economic Association Cement and T.S.C. S.r.l. with registered office in Florence;</w:t>
      </w:r>
    </w:p>
    <w:p>
      <w:r>
        <w:t>b) objectively to the conducts related to the information exchange on volumes carried out within AITEC and the conducts aimed at maintaining the stability of market shares;</w:t>
      </w:r>
    </w:p>
    <w:p>
      <w:r>
        <w:t>HAVING REGARD to the Communication of Investigative Results, sent to the Parties on April 11, 2017;</w:t>
      </w:r>
    </w:p>
    <w:p>
      <w:r>
        <w:t>HAVING REGARD to the requests received on April 13, 2017, from the companies Cal.me – Calce Meridionale S.p.A. and Colacem S.p.A., on April 14, 2017, from the companies W&amp;P Cementi S.p.A., Cementizillo S.p.A., Cementeria di Monselice S.p.A. and Holcim (Italia) S.p.A.; on April 19, 2017, from the company Italcementi S.p.A.; on April 20, 2017, from the companies Buzzi Unicem S.p.A. and Cementir Italia S.p.A., for an extension of the procedural deadline for the closure of the investigative phase and, consequently, also of the deadline for the closure of the proceeding, in order to carry out a complete analysis of the Communication of Investigative Results, as well as the economic analyses carried out therein and thus fully exercise their right of defense;</w:t>
      </w:r>
    </w:p>
    <w:p>
      <w:r>
        <w:t>CONSIDERING the complexity of the case under analysis and the necessity to ensure the full exercise of the right to adversarial proceedings;</w:t>
      </w:r>
    </w:p>
    <w:p>
      <w:r>
        <w:t>CONSIDERING that the extension of the procedural deadline for the closure of the investigative phase also necessitates an extension of the deadline for the conclusion of the proceeding;</w:t>
      </w:r>
    </w:p>
    <w:p>
      <w:r>
        <w:t>CONSIDERING, therefore, it necessary to extend the deadline for the conclusion of the proceeding, currently set for May 31, 2017;</w:t>
      </w:r>
    </w:p>
    <w:p>
      <w:r>
        <w:t>98 BULLETIN NO. 19 OF MAY 22, 2017</w:t>
      </w:r>
    </w:p>
    <w:p>
      <w:r>
        <w:t>RESOLVES</w:t>
      </w:r>
    </w:p>
    <w:p>
      <w:r>
        <w:t>to extend the deadline for the conclusion of the proceeding to July 31, 2017.</w:t>
      </w:r>
    </w:p>
    <w:p>
      <w:r>
        <w:t>This provision will be notified to the interested parties and published in the Bulletin of the Antitrust Authority.</w:t>
      </w:r>
    </w:p>
    <w:p>
      <w:r>
        <w:t>THE SECRETARY GENERAL THE PRESIDENT</w:t>
      </w:r>
    </w:p>
    <w:p>
      <w:r>
        <w:t>Roberto Chieppa Giovanni Pitruzzella</w:t>
      </w:r>
    </w:p>
    <w:p>
      <w:r>
        <w:rPr>
          <w:b/>
        </w:rPr>
        <w:t>[Pages 97–99]</w:t>
      </w:r>
    </w:p>
    <w:p>
      <w:r>
        <w:t xml:space="preserve">BULLETIN NO. 19 OF MAY 22, 2017 99  </w:t>
        <w:br/>
        <w:t xml:space="preserve">I804 - ADMIRAL ENTERTAINMENT-LOTTOMATICA HOLDING/NEWCO  </w:t>
        <w:br/>
        <w:t xml:space="preserve">Decision No. 26602  </w:t>
        <w:br/>
        <w:t xml:space="preserve">THE AUTHORITY FOR THE GUARANTEE OF COMPETITION AND THE MARKET  </w:t>
        <w:br/>
        <w:t xml:space="preserve">IN ITS MEETING of May 4, 2017;  </w:t>
        <w:br/>
        <w:t xml:space="preserve">HEARD the Rapporteur Professor Michele Ainis;  </w:t>
        <w:br/>
        <w:t xml:space="preserve">HAVING REGARD TO Law No. 287 of October 10, 1990;  </w:t>
        <w:br/>
        <w:t xml:space="preserve">HAVING REGARD TO Article 101 of the Treaty on the Functioning of the European Union;  </w:t>
        <w:br/>
        <w:t xml:space="preserve">HAVING REGARD TO Council Regulation (EC) No. 1/2003 of December 16, 2002;  </w:t>
        <w:br/>
        <w:t xml:space="preserve">HAVING REGARD TO the Decree of the President of the Republic No. 217 of April 30, 1998;  </w:t>
        <w:br/>
        <w:t xml:space="preserve">HAVING REGARD TO the decision of the European Commission of September 5, 2016, C(2016) 5735 final, referring case M.8058 – Novomatic/Lottomatica/JV to Italy following a reasoned request pursuant to Article 4, paragraph 4 of Regulation (EC) No. 139/2004 and Article 57 of the Agreement on the European Economic Area;  </w:t>
        <w:br/>
        <w:t xml:space="preserve">HAVING REGARD TO the notification of the operation pursuant to Law No. 287/90, received from the companies Admiral Entertainment S.r.l. and Lottomatica Holding S.r.l. on September 22, 2016;  </w:t>
        <w:br/>
        <w:t xml:space="preserve">HAVING REGARD TO its request for information sent on October 14, 2016, with consequent interruption of the deadlines pursuant to Article 5, paragraph 3, of the Decree of the President of the Republic No. 217 of April 30, 1998;  </w:t>
        <w:br/>
        <w:t xml:space="preserve">HAVING REGARD TO the information received from the companies Lottomatica Holding S.r.l. and Admiral Entertainment S.r.l. on December 27, 2016;  </w:t>
        <w:br/>
        <w:t xml:space="preserve">HAVING REGARD TO its decision of January 25, 2017, whereby it was resolved not to take action regarding the concentration case of the operation communicated on September 22, 2016, and supplemented on December 27, 2016, concerning the acquisition of joint control by Lottomatica Holding S.r.l. and Admiral Entertainment S.r.l. of Big Admiral S.r.l.;  </w:t>
        <w:br/>
        <w:t xml:space="preserve">HAVING REGARD TO the decision, taken on January 25, 2017, whereby the Authority resolved to initiate an investigation, pursuant to Article 14 of Law No. 287/90, against the companies Lottomatica Holding S.r.l., Novomatic Italia S.p.A. and Admiral Entertainment S.r.l., aimed at ascertaining any violations of Article 101 of the TFEU, regarding the proposed acquisition of joint control by Lottomatica Holding S.r.l. and Admiral Entertainment S.r.l. of Big Admiral S.r.l. and the related shareholders' agreements for the management of Big Admiral S.r.l., to be stipulated following the operation;  </w:t>
        <w:br/>
        <w:t xml:space="preserve">HAVING REGARD TO the documentation on file;  </w:t>
        <w:br/>
        <w:t xml:space="preserve">HAVING REGARD TO the communications received from Lottomatica Holding S.r.l., Novomatic Italia S.p.A. and Admiral Entertainment S.r.l. on April 13, 2017, whereby the companies declared that they had decided to withdraw from the operation of acquiring joint control of Big Admiral S.r.l. and, consequently, to also withdraw from the stipulation of the related shareholders' agreements for the management of Big Admiral S.r.l.;  </w:t>
        <w:br/>
        <w:t>CONSIDERING that Lottomatica Holding S.r.l., Novomatic Italia S.p.A. and Admiral Entertainment S.r.l. also declared that there are no signed and binding documents for the realization of the operation and that no implementation of the operation has been carried out by the parties;</w:t>
      </w:r>
    </w:p>
    <w:p>
      <w:r>
        <w:t xml:space="preserve">100 BULLETIN NO. 19 OF MAY 22, 2017  </w:t>
        <w:br/>
        <w:t xml:space="preserve">CONSIDERING, therefore, that the communicated agreement, subject to evaluation in the context of the proceeding initiated pursuant to Article 14 of Law No. 287/90, has ceased to exist;  </w:t>
        <w:br/>
        <w:t xml:space="preserve">RESOLVES  </w:t>
        <w:br/>
        <w:t xml:space="preserve">that there is no need to take action.  </w:t>
        <w:br/>
        <w:t xml:space="preserve">The present decision will be notified to the interested parties and published in the Bulletin of the Authority for the Guarantee of Competition and the Market.  </w:t>
        <w:br/>
        <w:t xml:space="preserve">THE SECRETARY GENERAL THE PRESIDENT  </w:t>
        <w:br/>
        <w:t>Roberto Chieppa Giovanni Pitruzzella</w:t>
      </w:r>
    </w:p>
    <w:p>
      <w:r>
        <w:t xml:space="preserve">BULLETIN NO. 19 OF MAY 22, 2017 101  </w:t>
        <w:br/>
        <w:t xml:space="preserve">I812 – FIGC - REGULATION OF THE ACTIVITY OF SPORTS DIRECTOR - COLLABORATOR OF SPORTS MANAGEMENT - FOOTBALL SCOUT AND MATCH ANALYST  </w:t>
        <w:br/>
        <w:t xml:space="preserve">Decision No. 26603  </w:t>
        <w:br/>
        <w:t xml:space="preserve">THE AUTHORITY FOR THE GUARANTEE OF COMPETITION AND THE MARKET  </w:t>
        <w:br/>
        <w:t xml:space="preserve">IN ITS MEETING of May 4, 2017;  </w:t>
        <w:br/>
        <w:t xml:space="preserve">HEARD the Rapporteur Professor Michele Ainis;  </w:t>
        <w:br/>
        <w:t xml:space="preserve">HAVING REGARD TO Article 101 of the Treaty on the Functioning of the European Union (TFEU);  </w:t>
        <w:br/>
        <w:t xml:space="preserve">HAVING REGARD TO Law No. 287 of October 10, 1990;  </w:t>
        <w:br/>
        <w:t xml:space="preserve">HAVING REGARD TO Council Regulation No. 1/2003 of December 16, 2002;  </w:t>
        <w:br/>
        <w:t xml:space="preserve">HAVING REGARD TO the Decree of the President of the Republic No. 217 of April 30, 1998;  </w:t>
        <w:br/>
        <w:t xml:space="preserve">HAVING REGARD TO the documentation in its possession;  </w:t>
        <w:br/>
        <w:t xml:space="preserve">CONSIDERING the following:  </w:t>
        <w:br/>
        <w:t xml:space="preserve">I. PREMISE  </w:t>
        <w:br/>
        <w:t xml:space="preserve">1. On July 8, 2015, a report was received1 aimed at denouncing the alleged anti-competitive restrictiveness of certain provisions contained in the Regulation of the Special List of Sports Directors, Collaborators of Sports Management, Football Scouts, prepared by the Italian Football Federation, suitable for restricting the number of subjects who can access such activities and making the purchase of the related services by football clubs more burdensome.  </w:t>
        <w:br/>
        <w:t xml:space="preserve">II. THE PARTIES  </w:t>
        <w:br/>
        <w:t xml:space="preserve">2. The Italian Football Federation (hereinafter also Federation or FIGC) is an association recognized with legal personality under private law, federated to the Italian National Olympic Committee (CONI), with the aim of promoting and regulating the activity of football and related aspects.  </w:t>
        <w:br/>
        <w:t xml:space="preserve">It brings together clubs, sports associations, and other bodies, all active in various capacities in the football sector. The federal regulations govern the registration of athletes, coaches, match officials, managers, and other subjects of the federal system.  </w:t>
        <w:br/>
        <w:t xml:space="preserve">It is the only Italian sports federation recognized by CONI, the Union of European Football Associations (UEFA), and the Fédération Internationale de Football Association (FIFA), to which it is affiliated, for all aspects concerning football at the national and international level (Article 1, paragraphs 1 to 4, of the FIGC Statute2).  </w:t>
        <w:br/>
        <w:t xml:space="preserve">3. The reporting association is active in the field of professional services to businesses and individuals, particularly in the tax, legal, and labor sectors.  </w:t>
        <w:br/>
        <w:t xml:space="preserve">1 See doc. 1.  </w:t>
        <w:br/>
        <w:t>2 Statute contained in the Decree of the Commissioner ad acta of July 30, 2014, approved by the resolution of the President of CONI No. 112/52 of July 31, 2014.</w:t>
      </w:r>
    </w:p>
    <w:p>
      <w:r>
        <w:rPr>
          <w:b/>
        </w:rPr>
        <w:t>[Pages 100–102]</w:t>
      </w:r>
    </w:p>
    <w:p>
      <w:r>
        <w:t>BULLETIN NO. 19 OF MAY 22, 2017</w:t>
      </w:r>
    </w:p>
    <w:p>
      <w:r>
        <w:t>III. THE FACT</w:t>
      </w:r>
    </w:p>
    <w:p>
      <w:r>
        <w:t>4. The Federal Regulation of the Special List of Sports Directors, Collaborators of Sports Management, and Football Observers (hereinafter also referred to as the Regulation), subject of Official Communication No. 245/A of April 27, 2015, establishes the Special List of Sports Directors, including sections dedicated to Collaborators of Sports Management and Football Observers for professional clubs (Article 1, paragraph 1, of the Regulation). It also regulates the access requirements for such professional figures.</w:t>
      </w:r>
    </w:p>
    <w:p>
      <w:r>
        <w:t>5. This Regulation responds to the requests of the Association of Sports Directors (hereinafter also referred to as ADISE)3, represented in two federal bodies: two ADISE representatives sit on the Commission for Sports Managers and Collaborators provided for by Article 5 of the Regulation, which, pursuant to Article 11 quinquies of the Internal Organizational Rules of the FIGC (hereinafter also referred to as NOIF), is competent to adopt measures, including conciliatory ones, concerning the members of the Special List4.</w:t>
      </w:r>
    </w:p>
    <w:p>
      <w:r>
        <w:t>One of its representatives also sits on the Board of Directors of the Technical Sector of the FIGC, "the service body of the Federation"5; the latter is competent in international relations concerning the definition of the rules of the game and the training techniques for athletes and coaches, conducts research, training, and specialization in all aspects of the game of football and the social, cultural, scientific, and economic phenomena connected to it (Article 14, paragraphs 3 and 4, of the federal statute)6.</w:t>
      </w:r>
    </w:p>
    <w:p>
      <w:r>
        <w:t>Moreover, the Regulation recognizes specific prerogatives to ADISE, which is consulted to define the model of the announcement, the programs, and the methods of conducting the courses, both as a member of the FIGC Commission for Sports Managers and Collaborators regarding the Sports Director courses (Article 3, paragraphs 3 and 6), and as represented in the Technical Sector concerning the definition, together with the National Amateur League, of courses for Collaborators for Sports Management (Article 3, paragraph 5).</w:t>
      </w:r>
    </w:p>
    <w:p>
      <w:r>
        <w:t>6. In its concrete articulation, the Regulation establishes that Sports Directors and Collaborators of Sports Management primarily manage the activities of buying and selling players (transfer market), the former on behalf of clubs operating in the top tier, the latter for the benefit of the amateur sector and lower categories. Sports Observers are tasked with discovering new talents (Article 1, paragraphs 2 to 4)7.</w:t>
      </w:r>
    </w:p>
    <w:p>
      <w:r>
        <w:t>7. Only individuals registered in the "Special Lists" maintained by the FIGC may access the activities of Sports Director, Collaborator of Sports Management, and Sports Observer, with registration entailing the assumption of the status of FIGC member (Article 2). The only exception to the obligation of registration in the Special List is represented by the possibility recognized for Sports Clubs to have the activities of Sports Director carried out "by members of the statutory bodies who have the power to validly represent and bind the Club towards third parties" (Article 8, paragraph 2)8.</w:t>
      </w:r>
    </w:p>
    <w:p>
      <w:r>
        <w:t>8. Pursuant to Article 11 of the Regulation, registration in the aforementioned Special Lists is reserved for residents in Italy and is subject to the "issuance of the qualification diploma following the courses for Sports Directors announced and organized by the Technical Sector of the FIGC" (Article 3, paragraph 1), at the Rizzoli Federal Technical Center – Coverciano (where the Technical Sector is based), as indicated in the relevant announcements.</w:t>
      </w:r>
    </w:p>
    <w:p>
      <w:r>
        <w:t>9. Based on the announcements prepared usually on an annual basis, the courses provide for limited places and residency requirements. For example:</w:t>
        <w:br/>
        <w:t>i) the announcement for Sports Director No. 56/2010 admitted 40 students (point 6), having "Italian citizenship or residency for at least two years in Italy" (point 9); announcements No. 333/2010, 5/2014, and 7/2015 always provided for the participation of 40 students (point 6) and required "Italian citizenship or Italian residency" (point 10)9;</w:t>
        <w:br/>
        <w:t>ii) the announcement No. 8/2015 related to the course for Football Observers was limited to 45 places (point 6) and to students who had "Italian citizenship or Italian residency" (point 7)10;</w:t>
        <w:br/>
        <w:t>iii) the announcement No. 101/2015 related to the course for Collaborators of Sports Management – Rome, concerned 52 places, always reserved for those who had "Italian citizenship or Italian residency" (point 9)11.</w:t>
      </w:r>
    </w:p>
    <w:p>
      <w:r>
        <w:t>According to what was reported by the FIGC and provided in the analyzed announcements, which define the maximum number allowed, the Federation may reserve the possibility of admitting an additional number of individuals to the Course for Sports Directors, usually in a number less than 512.</w:t>
      </w:r>
    </w:p>
    <w:p>
      <w:r>
        <w:t>7 According to Article 1 of the Regulation, the Sports Director is the individual who carries out, on behalf of professional Sports Clubs, activities concerning the organizational and/or administrative structure of the Club, including expressly the management of relationships, including contractual ones, between clubs and players or coaches and the conduct of negotiations with other Sports Clubs concerning the transfer of players, the stipulation of contract transfers, and the registration of coaches, according to the rules set forth by the FIGC regulations (paragraph 2); the Collaborator of Sports Management is the individual who carries out, on behalf of Clubs and Sports Associations of the National Amateur League, activities concerning the organizational and/or administrative structure of the Club or Association, including the management of relationships concerning the registration and transfer of players, as well as the registration of coaches, in compliance with the rules set forth by the federal regulations (paragraph 3); the Football Observer is the individual who carries out, on behalf of professional sports clubs, activities concerning the observation, analysis, evaluation, archiving, and scouting of players and teams (paragraph 4).</w:t>
      </w:r>
    </w:p>
    <w:p>
      <w:r>
        <w:t>8 In the meeting of February 5, 2016, the FIGC clarified that this rule would therefore always safeguard the possibility for sports clubs, "even solely through a specific power of attorney, (to) delegate the aforementioned activities [of Sports Director and Collaborator for sports management, ed.] to any individual, regardless of their registration in the special list," cf. doc. No. 5.</w:t>
      </w:r>
    </w:p>
    <w:p>
      <w:r>
        <w:t>9 Cf., respectively, docs. Nos. 10, 11, 12, and 13.</w:t>
      </w:r>
    </w:p>
    <w:p>
      <w:r>
        <w:t>10 Cf. doc. No. 14.</w:t>
      </w:r>
    </w:p>
    <w:p>
      <w:r>
        <w:t>11 Cf. doc. No. 15, as well as the identical numerical and residency/citizenship requirements provided in announcements No. 129/2011 – Campania, No. 268/2012 – Reggio Calabria, No. 287/2012 – Puglia, No. 250/2014 - Catanzaro, respectively, docs. Nos. 16, 17, 18, and 19.</w:t>
      </w:r>
    </w:p>
    <w:p>
      <w:r>
        <w:t>12 Cf. doc. No. 5.</w:t>
      </w:r>
    </w:p>
    <w:p>
      <w:r>
        <w:t>The participation in such courses is for a fee and requires the payment of a monetary fee equal, in 2015, to €4,000 for the Course for Sports Directors and €1,500 for the courses for Collaborators of Sports Management on a local basis13.</w:t>
      </w:r>
    </w:p>
    <w:p>
      <w:r>
        <w:t>10. The Regulation lastly provides that the exercise of such activities by a member not registered in the Special List entails the sanctions provided by the Sports Justice Code14, while the unauthorized exercise of the same activities by non-registered individuals entails a prohibition from participating in the courses for a period ranging from 1 to 3 years, precluding such individuals from the possibility of registering in the Special List and thus carrying out their activities (Article 4, paragraphs 3 and 4, of the Regulation).</w:t>
      </w:r>
    </w:p>
    <w:p>
      <w:r>
        <w:t>The competitive issues represented to FIGC</w:t>
      </w:r>
    </w:p>
    <w:p>
      <w:r>
        <w:t>11. In the meeting with the FIGC on June 21, 2016, the Offices, on mandate from the Authority, represented the competitive issues present in the provisions of the Regulation, also reflected in the relevant admission announcements for the courses, particularly regarding their suitability to unjustifiably restrict access to such professional figures. To this end, the following issues were highlighted concerning:</w:t>
        <w:br/>
        <w:t>• the numerical limitation of access to the market for such professional figures (Article 11, paragraph 1, letter a);</w:t>
        <w:br/>
        <w:t>• the restrictions based on the residency of aspiring candidates for the activities of Sports Director, Collaborator of Sports Management, and Sports Observer;</w:t>
        <w:br/>
        <w:t>• the centralization of training activities for such professional figures by the Federation itself, at the central level with the Technical Sector for the courses of Sports Directors and Sports Observers of professional clubs and at the territorial level for the courses related to other professional figures (Articles 3 and 11, paragraphs 1 and 2, as well as the transitional provision for professional football observers).</w:t>
      </w:r>
    </w:p>
    <w:p>
      <w:r>
        <w:t>12. In this context, the Federation represented that it considers its actions in line with the powers attributed to it by Article 2 of Law No. 91/1981 on sports professionalism. More precisely, the Federation represented that the Sports Director "falls within the category of professional athletes referred to in Article 2 of that law15. This is a significant figure, given that his</w:t>
      </w:r>
    </w:p>
    <w:p>
      <w:r>
        <w:rPr>
          <w:b/>
        </w:rPr>
        <w:t>[Pages 103–105]</w:t>
      </w:r>
    </w:p>
    <w:p>
      <w:r>
        <w:t>BULLETIN NO. 19 OF MAY 22, 2017 105</w:t>
      </w:r>
    </w:p>
    <w:p>
      <w:r>
        <w:t>the role is to understand the world of football from a technical perspective as well as to draft contracts with players. The regulation on access to this profession aims to ensure the professionalism of this figure who performs crucial tasks in the sector”16.</w:t>
      </w:r>
    </w:p>
    <w:p>
      <w:r>
        <w:t>13. The FIGC then reported that the federal regulation of the three professional figures in question represents a unique case in the European landscape, both in relation to the existing regulations in other Member States and within FIFA and UEFA, which only require professional qualification to carry out the activity of coach17.</w:t>
      </w:r>
    </w:p>
    <w:p>
      <w:r>
        <w:t>The facts subsequently occurred</w:t>
      </w:r>
    </w:p>
    <w:p>
      <w:r>
        <w:t>14. In the meeting of September 15, 2016, the Federation provided its feedback on the aforementioned competitive criticalities and expressed its willingness to allow “in the future” the performance of activities by individuals not residing in Italy, reiterating, however, that its power to regulate access to the activities in question derives from the aforementioned Law No. 91/8118.</w:t>
      </w:r>
    </w:p>
    <w:p>
      <w:r>
        <w:t>15. Furthermore, with Official Communication No. 254/A of July 19, 2016, the FIGC amended the Regulation, removing any reference to the figure of Football Observer, whose regulation, based on what is provided in Official Communication No. 23/A of the same date, has been incorporated into the different Regulation of the Technical Sector (hereinafter also Regulation ST), in which the FIGC has also introduced the additional figure of Match Analyst.</w:t>
      </w:r>
    </w:p>
    <w:p>
      <w:r>
        <w:t>The Regulation ST now expressly provides that “The Technical Sector qualifies and frames” such subjects as “coaches” – a figure mentioned in Article 2 of Law No. 91/1981 – and specifies, respectively, their roles: the Football Observer carries out, on behalf of professional clubs, activities concerning the observation, analysis, and scouting of players and teams (Article 32-bis); the Match Analyst carries out technical-tactical analysis activities, digital archiving, and collection of statistical data on players and teams (Article 32-ter).</w:t>
      </w:r>
    </w:p>
    <w:p>
      <w:r>
        <w:t>The admission criteria for the central course organized by the federal Technical Sector for Football Observers and Match Analysts, as well as the duration, participation fee for the course and registration in the Register, and “the maximum number of participants to be admitted” will be defined by the Board of Directors of the Technical Sector (Articles 32-bis and 32-ter, paragraph 3).</w:t>
      </w:r>
    </w:p>
    <w:p>
      <w:r>
        <w:t>Registration in the register of Football Observers will be mandatory starting from July 1, 2017, or upon the conclusion of assignments with deadlines after that date (Article 32-bis, paragraph 4).</w:t>
      </w:r>
    </w:p>
    <w:p>
      <w:r>
        <w:t>16. In the calls promoted by the FIGC following the meeting of June 2016, all the previously indicated competitive criticalities have been maintained and reiterated by the Federation. This refers, in particular, to the following calls:</w:t>
        <w:br/>
        <w:t>i) call No. 32 of July 20, 2016, for admission to the course for Sports Director, with a technical focus;</w:t>
        <w:br/>
        <w:t>ii) call No. 147 of January 5, 2017, for the figure of Sports Director with an administrative focus;</w:t>
        <w:br/>
        <w:t>iii) call No. 93 of November 7, 2016, for admission to the course for Collaborators for Sports Management;</w:t>
        <w:br/>
        <w:t>iv) the call for Sports Observer, disseminated with Official Communication No. 228 - 2016/201719.</w:t>
      </w:r>
    </w:p>
    <w:p>
      <w:r>
        <w:t xml:space="preserve">16 See what was stated by FIGC in the meeting of June 21, 2016, doc. No. 6. </w:t>
        <w:br/>
        <w:t xml:space="preserve">17 See what was stated by FIGC in the meeting of February 5, 2016, doc. No. 5. </w:t>
        <w:br/>
        <w:t xml:space="preserve">18 See what was stated by FIGC in the meeting of September 15, 2016, doc. No. 7. </w:t>
        <w:br/>
        <w:t>19 See, respectively, docs. from 19 to 23.</w:t>
      </w:r>
    </w:p>
    <w:p>
      <w:r>
        <w:t>106 BULLETIN NO. 19 OF MAY 22, 2017</w:t>
      </w:r>
    </w:p>
    <w:p>
      <w:r>
        <w:t>IV. EVALUATIONS</w:t>
      </w:r>
    </w:p>
    <w:p>
      <w:r>
        <w:t>The relevant market</w:t>
      </w:r>
    </w:p>
    <w:p>
      <w:r>
        <w:t>17. In this case, since the federal provisions in question define the requirements and paths necessary to access the professions of Sports Director, Collaborators of Sports Management, Football Observers, and, lastly, Match Analyst, the relevant market can be identified as that of the services in question, offered in favor of football clubs20.</w:t>
      </w:r>
    </w:p>
    <w:p>
      <w:r>
        <w:t>18. From a geographical perspective, the market coincides with the national territory, as the FIGC exercises regulatory and coordinating powers over the access and exercise requirements for these professional figures according to uniform rules throughout the Italian territory.</w:t>
      </w:r>
    </w:p>
    <w:p>
      <w:r>
        <w:t>The qualification of FIGC and its regulations</w:t>
      </w:r>
    </w:p>
    <w:p>
      <w:r>
        <w:t>19. The FIGC constitutes, for antitrust purposes, an association of enterprises, as it brings together companies, sports associations, and other bodies, all active in various capacities in the sports sector. The FIGC performs representative, regulatory, and/or organizational activities for enterprises active in the football sector. It is also active in the direct management of economic activities. Therefore, the regulations of the FIGC can be classified, in light of competition law, as resolutions of associations of enterprises, pursuant to Article 101 TFEU.</w:t>
      </w:r>
    </w:p>
    <w:p>
      <w:r>
        <w:t>This Federation, also through the various bodies that compose it, represents the interests of different subjects: football clubs, players, coaches, referees, sports directors, etc. It indeed, depending on the circumstances, advocates for the requests coming from the different factions that compose it and that, in various capacities, sit on the decision-making bodies, which, as far as relevant here, adopt decisions that also affect the “peripheral” economic activities in relation to the sporting activities.</w:t>
      </w:r>
    </w:p>
    <w:p>
      <w:r>
        <w:t>20. For what is relevant for the present proceeding, the Federation operates through the Federal Council, which adopted the Regulation and in which sit representatives of the National Professional League Serie A, National Professional League Serie B, Lega Pro, National Amateur League, Italian Referees Association, Italian Players Association, Italian Coaches Association.</w:t>
      </w:r>
    </w:p>
    <w:p>
      <w:r>
        <w:t>It also operates through the Board of Directors of the Technical Sector, in which sits, among others, a representative of the Sports Directors Association. This federal body adopts the Regulation of the Technical Sector, in which the disciplines of Sports Observers and Match Analysts have recently been included and, according to the Regulation on Sports Directors, participates in defining the admission criteria and organizing the courses related to this profession.</w:t>
      </w:r>
    </w:p>
    <w:p>
      <w:r>
        <w:t>Furthermore, the Sports Managers and Collaborators Commission of the FIGC, in which two representatives of ADISE also sit, manages the Special Register of the professional figures in question.</w:t>
      </w:r>
    </w:p>
    <w:p>
      <w:r>
        <w:t>21. In this case, it is noted that, based on information provided by ADISE itself on its website, the federal regulation of the professional figures in question responds to the requests of this association21.</w:t>
      </w:r>
    </w:p>
    <w:p>
      <w:r>
        <w:t xml:space="preserve">20 See judgment of the Court of First Instance of January 26, 2005, case T-193/02, Piau v. Commission. </w:t>
        <w:br/>
        <w:t>21 See “The history of ADISE and football managers in Italy,” cited, in which it is stated that, after the regulatory recognition of the figure of Technical-Sports Director by the aforementioned Article 2 of Law No. 81/91, ADISE “committed itself to achieving the goal of a legal recognition of the category of Sports Directors also by the FIGC. A commitment that, in June 1991, after years of intense negotiations, resulted in the approval by the Federal Council of the Regulation of the Special Register of Sports Directors. This Regulation, which was then taken up and significantly modified in 2010, as well as in three subsequent occasions, introduced some principles that are still the foundation of the category, establishing “at the FIGC the Special Register of Sports Directors” and defining the</w:t>
      </w:r>
    </w:p>
    <w:p>
      <w:r>
        <w:t>BULLETIN NO. 19 OF MAY 22, 2017 107</w:t>
      </w:r>
    </w:p>
    <w:p>
      <w:r>
        <w:t>The restrictiveness of the conducts</w:t>
      </w:r>
    </w:p>
    <w:p>
      <w:r>
        <w:t>22. The regulatory provisions referred to and the federal calls for the various courses, which have concretely defined the requirements at least since 201022, with a tendency to be annual, appear suitable to restrict competition, to the extent that they limit the number of operators who can aspire to perform such activities for football clubs and institutional entities (for example, the Leagues) and preclude offering their services to individuals who do not reside in Italy or are not Italian citizens, do not follow the federal paths, and are not listed in the Register.</w:t>
      </w:r>
    </w:p>
    <w:p>
      <w:r>
        <w:t>23. Such restrictions on access to the professional figures in question do not appear necessary, nor proportionate to the proper functioning of football.</w:t>
      </w:r>
    </w:p>
    <w:p>
      <w:r>
        <w:t>Significant in this regard is what was stated by the FIGC itself, namely that the model it introduced (at the request of ADISE) constitutes a unique case in the European landscape, especially in relation to the rules enacted by UEFA and FIFA, which require a qualification path only for the activity of coach and not for any other supporting professional figure or otherwise connected to sporting activity.</w:t>
      </w:r>
    </w:p>
    <w:p>
      <w:r>
        <w:t>24. It is finally noted that, in light of competitive concerns arising from the establishment of the Register in question and the access requirements outlined by the FIGC, also in the related calls for admission to the courses, expressed by the Authority to the Federation, it did not consider making any modifications in the desired direction.</w:t>
      </w:r>
    </w:p>
    <w:p>
      <w:r>
        <w:t>The same possibility initially proposed by FIGC to overcome “in the future” the residency requirement has not been followed up, as this requirement has not only been maintained but has even been accompanied by the alternative provision of the citizenship requirement. Similarly, the provision of a maximum numerical quota for the number of operators admitted to the required training to carry out a free economic activity remains unchanged.</w:t>
      </w:r>
    </w:p>
    <w:p>
      <w:r>
        <w:t>Lastly, the amendment at the end of 2016 of the Regulation and the Regulation of the Technical Sector to “qualify and frame” the Sports Observer and the Match Analyst in the figure of the “coach” (Articles 32-bis and 32-ter) highlights the FIGC's attempt to bring the regulation of these activities back within the scope of Article 2 of Law No. 91/1981.</w:t>
      </w:r>
    </w:p>
    <w:p>
      <w:r>
        <w:t>25. It is, however, evident that the possession of the coaching qualification provided for by the aforementioned regulation as a sports professional cannot serve to attract into the relevant regulation all other possible qualifications that may subsequently be acquired by an individual.</w:t>
      </w:r>
    </w:p>
    <w:p>
      <w:r>
        <w:t>This provision, in fact, lists the figures that “perform sports activities,” in which any supporting activity, however connected to the sports performance, is not included.</w:t>
      </w:r>
    </w:p>
    <w:p>
      <w:r>
        <w:t>26. Therefore, the regulation by the FIGC of the activities of Sports Directors, Collaborators of Sports Management, Sports Observers, and, lastly, the Match Analyst does not appear to fall under the provisions of Article 2 of Law No. 91/1981.</w:t>
      </w:r>
    </w:p>
    <w:p>
      <w:r>
        <w:t>Harm to trade between Member States of the European Union</w:t>
      </w:r>
    </w:p>
    <w:p>
      <w:r>
        <w:t>27. The regulation subject to this proceeding concerns the entire Italian territory, which constitutes a substantial part of the common market, due to the unique role at the national level.</w:t>
      </w:r>
    </w:p>
    <w:p>
      <w:r>
        <w:rPr>
          <w:b/>
        </w:rPr>
        <w:t>[Pages 106–108]</w:t>
      </w:r>
    </w:p>
    <w:p>
      <w:r>
        <w:t>108 BULLETIN NO. 19 OF MAY 22, 2017</w:t>
      </w:r>
    </w:p>
    <w:p>
      <w:r>
        <w:t>of the FIGC and the uniform territorial effectiveness – coinciding with the national territory – of the regulatory power expressed in the Regulation and in the related admission notices for the courses23.</w:t>
      </w:r>
    </w:p>
    <w:p>
      <w:r>
        <w:t>The regulation in question also relies on citizenship requirements that, by their nature, appear suitable to exclude competition from economic operators coming from other Member States.</w:t>
      </w:r>
    </w:p>
    <w:p>
      <w:r>
        <w:t>Consequently, the behaviors subject to this proceeding, appearing capable of causing harm to trade between Member States, must be assessed pursuant to Article 101 of the TFEU.</w:t>
      </w:r>
    </w:p>
    <w:p>
      <w:r>
        <w:t>CONSIDERING, therefore, that the aforementioned behaviors of the FIGC, aimed at hindering access to the activities of Sports Director, Football Scout, Sports Management Collaborator, and Match Analyst as outlined above, are likely to constitute, at least since 2010, an agreement in violation of Article 101 of the TFEU;</w:t>
      </w:r>
    </w:p>
    <w:p>
      <w:r>
        <w:t xml:space="preserve">RESOLVES </w:t>
        <w:br/>
        <w:t xml:space="preserve">a) to initiate the investigation pursuant to Article 14 of Law No. 287/90, against the Italian Football Federation, to ascertain the existence of a violation of Article 101 of the TFEU; </w:t>
        <w:br/>
        <w:t xml:space="preserve">b) to set a deadline of sixty days, starting from the date of notification of this provision, for the exercise by the legal representatives of the parties, or by persons delegated by them, of the right to be heard, specifying that the request for a hearing must be received by the "Manufacturing and Services Directorate" of the Directorate General for Competition of this Authority at least fifteen days before the expiration of the aforementioned deadline; </w:t>
        <w:br/>
        <w:t xml:space="preserve">c) that the person responsible for the proceeding is Dr. Lucia Mazzarini; </w:t>
        <w:br/>
        <w:t xml:space="preserve">d) that the documents of the proceeding can be viewed at the Manufacturing and Services Directorate of the Directorate General for Competition of this Authority by the legal representatives of the parties, as well as by persons delegated by them; </w:t>
        <w:br/>
        <w:t>e) that the proceeding must be concluded by June 30, 2018.</w:t>
      </w:r>
    </w:p>
    <w:p>
      <w:r>
        <w:t>This provision will be notified to the interested parties and published in the Bulletin of the Antitrust Authority.</w:t>
      </w:r>
    </w:p>
    <w:p>
      <w:r>
        <w:t xml:space="preserve">THE SECRETARY GENERAL THE PRESIDENT </w:t>
        <w:br/>
        <w:t>Roberto Chieppa Giovanni Pitruzzella</w:t>
      </w:r>
    </w:p>
    <w:p>
      <w:r>
        <w:t>23 According to the Communication of the European Commission 2004/C 101/07 - Guidelines on the notion of harm to trade between Member States under Articles 81 and 82 of the Treaty, in OJ C 101/81 of April 27, 2004, as well as the judgment of the Court of Justice of February 19, 2002, C-309/99, Wouters, the concept of harm to intra-community trade must be interpreted taking into account the direct or indirect, actual or potential influence of the conduct on trade flows between Member States. In light of these principles, it is noted that it is recalled, therefore, what was stated by the Commission, namely that "agreements that extend throughout the territory of a Member State have, by their nature, the effect of consolidating the compartmentalization of markets at the national level, thus hindering the economic integration desired by the Treaty."</w:t>
      </w:r>
    </w:p>
    <w:p>
      <w:r>
        <w:t>BULLETIN NO. 19 OF MAY 22, 2017 109</w:t>
      </w:r>
    </w:p>
    <w:p>
      <w:r>
        <w:t>110 BULLETIN NO. 19 OF MAY 22, 2017</w:t>
      </w:r>
    </w:p>
    <w:p>
      <w:r>
        <w:t xml:space="preserve">CONCENTRATION OPERATIONS </w:t>
        <w:br/>
        <w:t xml:space="preserve">C12080 - FERROVIE DELLO STATO ITALIANE/METRO 5 </w:t>
        <w:br/>
        <w:t>Provision No. 26598</w:t>
      </w:r>
    </w:p>
    <w:p>
      <w:r>
        <w:t xml:space="preserve">THE ANTITRUST AUTHORITY </w:t>
        <w:br/>
        <w:t xml:space="preserve">IN ITS MEETING of May 4, 2017; </w:t>
        <w:br/>
        <w:t xml:space="preserve">HEARD the Rapporteur Dr. Gabriella Muscolo; </w:t>
        <w:br/>
        <w:t xml:space="preserve">HAVING REGARD to Law No. 287 of October 10, 1990; </w:t>
        <w:br/>
        <w:t xml:space="preserve">HAVING REGARD to the communication from the company Ferrovie dello Stato S.p.A., received on December 19, 2016; </w:t>
        <w:br/>
        <w:t xml:space="preserve">HAVING REGARD to the decision taken in the meeting of January 18, 2017, to send a request for information to Ferrovie dello Stato Italiane S.p.A., with consequent interruption of the deadlines pursuant to Article 5, paragraph 3, of the D.P.R. No. 217 of April 30, 1998; </w:t>
        <w:br/>
        <w:t>HAVING REGARD to the additional information from Ferrovie dello Stato Italiane S.p.A. acquired on March 17 and subsequently supplemented on April 6, 2017;</w:t>
      </w:r>
    </w:p>
    <w:p>
      <w:r>
        <w:t xml:space="preserve">IN ITS MEETING of May 4, 2017; </w:t>
        <w:br/>
        <w:t xml:space="preserve">HEARD the Rapporteur Dr. Gabriella Muscolo; </w:t>
        <w:br/>
        <w:t>CONSIDERED the following:</w:t>
      </w:r>
    </w:p>
    <w:p>
      <w:r>
        <w:t xml:space="preserve">I. THE PARTIES </w:t>
        <w:br/>
        <w:t>1. Ferrovie dello Stato Italiane S.p.A. (hereinafter FSI) is the holding company of the eponymous group, active in the sector of passenger and freight rail transport, in passenger transport by road, in the provision of logistics services, and in the construction and management of railway infrastructures. The share capital of FSI is wholly owned by the Ministry of Economy and Finance. FSI controls, among others, the companies Rete Ferroviaria Italiana S.p.A., concessionaire for the management of the national railway network, and the railway company Trenitalia S.p.A. In 2015, FSI generated revenue exceeding 8.5 billion euros.</w:t>
      </w:r>
    </w:p>
    <w:p>
      <w:r>
        <w:t>2. Metro 5 S.p.A. (hereinafter Metro 5) is a project company, established by the winning companies of the public tender of the Municipality of Milan for the concession of the design, construction, and management activities in project financing of Line 5 of the Milan metro1; the concession is expected to last until 2040. The transport service on Line 5 became operational in October 2015 and is managed by Azienda Trasporti Milanesi S.p.A. (ATM), based on a service contract signed on the same date, with a duration similar to that of the concession2. The share capital of Metro 5 is currently divided among 5 partners: Astaldi S.p.A. (which holds 38.7% of the share capital of Metro 5), Ansaldo STS S.p.A. (24.6%), ATM (20%), Alstom Ferroviaria S.p.A. (9.4%), Hitachi Rail Italy S.p.A. (7.3%). In 2015, Metro 5 generated revenue of nearly 70 million euros in Italy.</w:t>
      </w:r>
    </w:p>
    <w:p>
      <w:r>
        <w:t xml:space="preserve">1 Line 5 is 12.9 km long, has 19 stations, and is a light rail metro with full automation. </w:t>
        <w:br/>
        <w:t>2 The latter is controlled by the Municipality of Milan, which holds its entire share capital.</w:t>
      </w:r>
    </w:p>
    <w:p>
      <w:r>
        <w:rPr>
          <w:b/>
        </w:rPr>
        <w:t>[Pages 109–111]</w:t>
      </w:r>
    </w:p>
    <w:p>
      <w:r>
        <w:t>BULLETIN NO. 19 OF MAY 22, 2017</w:t>
      </w:r>
    </w:p>
    <w:p>
      <w:r>
        <w:t>II. DESCRIPTION OF THE OPERATION</w:t>
      </w:r>
    </w:p>
    <w:p>
      <w:r>
        <w:t>3. The communicated operation consists of the purchase by FSI of almost the entire stake (36.7%) held by Astaldi S.p.A. in Metro 5, which is currently under the joint control of the 5 partners, who govern the company according to the provisions of the Statute and the shareholders' agreements3. FSI will assume the rights and obligations of Astaldi S.p.A., adhering to the shareholders' agreements signed by the shareholders of Metro 5. As a result of the operation, there will be a change in the identity of the controlling shareholders, which will modify the structure of control and the incentives of the target company4.</w:t>
      </w:r>
    </w:p>
    <w:p>
      <w:r>
        <w:t>III. QUALIFICATION OF THE OPERATION</w:t>
      </w:r>
    </w:p>
    <w:p>
      <w:r>
        <w:t>4. The communicated operation, as it involves a change in the quality of control of a company, constitutes a concentration pursuant to Article 5, paragraph 1, letter b), of Law No. 287/90. It falls within the scope of application of Law No. 287/90 as the conditions set out in Article 1 of EC Regulation No. 139/04 do not apply, and it is subject to the obligation of prior notification provided for by Article 16, paragraph 1, of the same law as the total turnover achieved in the last financial year, at the national level, by the group of companies involved, exceeded 495 million euros and as the total turnover achieved in the last financial year, at the national level, by the target company, exceeded 50 million euros.</w:t>
      </w:r>
    </w:p>
    <w:p>
      <w:r>
        <w:t>IV. EVALUATION OF THE OPERATION</w:t>
      </w:r>
    </w:p>
    <w:p>
      <w:r>
        <w:t>The relevant markets</w:t>
      </w:r>
    </w:p>
    <w:p>
      <w:r>
        <w:t>5. The operation concerns the following markets:</w:t>
        <w:br/>
        <w:t>i) the market for local public transport services (TPL) related to Line 5. The extent of this market coincides at least with the perimeter of the services referred to in the concession contract awarded by the Municipality of Milan to Metro 5, or, at most, with the traffic basin of TPL services (buses, trolleybuses, trams, metro, railways), which can be considered substitutes for the services related to Line 5, potentially including the entire network of TPL services in Milan and its surroundings5. This is because the TPL sector is evolving towards integrated service delivery modes, of an intermodal or multimodal type, whereby every mobility need is met not by a single specific mode of transport (train, bus, metro, etc.) but by the best possible combination of transport modes, in terms of quality and price6. In any case, it is not necessary to ascertain the exact delimitation of the relevant market for the purposes of evaluating the effects of the operation;</w:t>
      </w:r>
    </w:p>
    <w:p>
      <w:r>
        <w:t>ii) the market for commercial services, related to the management of commercial (also through outsourcing) and advertising spaces, within which one can identify, alongside the segment of purely commercial services, also a segment of services preparatory to the offering of transport services, including intermodal ones. This market has a geographical extent linked to the nature of the services involved and, in any case, by way of first approximation, does not exceed the municipal or provincial scope.</w:t>
      </w:r>
    </w:p>
    <w:p>
      <w:r>
        <w:t>Effects of the operation</w:t>
      </w:r>
    </w:p>
    <w:p>
      <w:r>
        <w:t>6. Regarding the market for TPL services within the traffic basin served by Line 5, in its broadest sense that includes the network of TPL services in Milan and its surroundings, the main operators are currently: the company ATM, which operates, in addition to Line 5, TPL in the Municipality of Milan (buses, trams, and other metro lines) based on a service contract that expired on April 30, 2017, then extended for one year7; FSI, which, through Trenord S.r.l. (a company under the joint control of Trenitalia S.p.A. and FNM S.p.A.) operates regional rail transport services under the jurisdiction of the Lombardy Region and the so-called S lines, which are suburban railway lines connecting the centers of the metropolitan area and the city of Milan and provide a service with characteristics (e.g., scheduled times) similar to those of metro lines; the extra-urban TPL services under the jurisdiction of the Provinces of Milan and Monza and Brianza are instead managed by a number of companies that have won the tenders for the awarding of the related service contracts.</w:t>
      </w:r>
    </w:p>
    <w:p>
      <w:r>
        <w:t>As a result of the operation, there will therefore be a further strengthening of FSI's already significant presence in the traffic basin of TPL services in the Milan area and its surroundings. However, it should be noted that, under current regulations, TPL services are operated based on exclusive service contracts, awarded through public procurement procedures or, where the conditions set by the regulations are met, directly (or in-house). These service contracts define the quantities to be offered, the schedules, the quality levels, the amount of public compensation, as well as the fares and fare concessions. In this sense, the operation in question does not appear likely to produce appreciable effects on the aforementioned competitive variables.</w:t>
      </w:r>
    </w:p>
    <w:p>
      <w:r>
        <w:t>7. This operation also does not seem capable of affecting the proper functioning of competition "for" the market in the relevant traffic basin. In fact, although in May 2016 the pre-notice of the European tender was published regarding the tender for the awarding of the service contract for TPL services in the Milan area currently managed by ATM8, in February 2017 the Municipality of Milan resolved to extend the service contract for another year. This is due to the fact that the preparatory activities for the start of the tender were still in a preliminary state and that the operation of the Public Local Transport Agency, which is responsible for approving the methods of awarding services, was not yet complete9. In any case, Line 5 is managed by ATM based on a service contract expiring in 2040, so it would not fall within the scope of the services involved in the tender in question. Therefore, at this time, it is not possible to identify a certain date for the future tender, which in any case will not be imminent. Regarding the awarding of the service contract for TPL services in the Milan area now managed by ATM, the operation in question does not affect the possible participation in the tender, which may be announced in the future, by interested operators, including ATM and the companies of the FSI group. In this regard, it is worth noting that the likelihood of a pro-competitive outcome of the tenders for the awarding of TPL services decisively depends on the configuration of the tender design, which should be prepared in such a way as to ensure the widest possible participation, reducing barriers to participation in the tender by operators other than the incumbents and the possibilities of discrimination among potential participants10.</w:t>
      </w:r>
    </w:p>
    <w:p>
      <w:r>
        <w:t>8. Finally, with regard to the market for commercial services, related to the management of commercial (also through outsourcing) and advertising spaces that "insist" on Line 5, despite the already significant presence of the FSI group in the traffic basin of the Municipality of Milan11, the operation in question does not appear likely, at this time, to significantly alter the competitive conditions of this market. In fact, on the one hand, there seems to be a certain degree of substitutability between the advertising and commercial spaces available in the stations of Line 5 and those located, in Milan, in the areas adjacent to each of the aforementioned stations; on the other hand, the operation of Line 5 is very recent, so a good part of the spaces to be exploited for commercial and advertising purposes in the stations of the mentioned line is still free12. Also with regard to the segment related to services preparatory to the offering of transport services (e.g., ticket offices), no significant incremental benefits in favor of FSI can be identified as a result of the operation. In fact, the provision of such services must still be carried out in compliance with the informational obligations towards users, governed by the service contracts, as well as by current regulations13. Furthermore, within the Milan transport network, the FSI group is already present in strategically significant facilities for the development of intermodal transport services (such as the interchange nodes constituted by the surface stations of Milan Centrale and Milan Porta Garibaldi).</w:t>
      </w:r>
    </w:p>
    <w:p>
      <w:r>
        <w:t>9. In light of the evidence presented above, the concentration operation in question does not appear capable of causing substantial changes in the competitive conditions in the relevant markets.</w:t>
      </w:r>
    </w:p>
    <w:p>
      <w:r>
        <w:t>THEREFORE, it is deemed that the operation in question does not result, pursuant to Article 6, paragraph 1, of Law No. 287/90, in the establishment or strengthening of a dominant position in the relevant markets, such as to eliminate or substantially and durably reduce competition;</w:t>
      </w:r>
    </w:p>
    <w:p>
      <w:r>
        <w:t>10 See, among others, [the inquiry into competitive conditions in local public transport markets (IC47)] in Bull. 20/2016.</w:t>
      </w:r>
    </w:p>
    <w:p>
      <w:r>
        <w:t>11 FSI already manages, through its own companies (RFI S.p.A., Cento Stazioni S.p.A., Grandi Stazioni Rail S.p.A.) several facilities (stations and parking lots) located in the traffic basin of the Milan area, including the strategically significant stations of Milan Porta Garibaldi and Milan Centrale (where Grandi Stazioni Rail S.p.A. operates, which is responsible for managing the areas and premises designated for the ticket offices of railway companies as well as managing the parking lots).</w:t>
      </w:r>
    </w:p>
    <w:p>
      <w:r>
        <w:t>12 With regard to activities related to the exploitation of advertising spaces and the management of station sponsorships, Metro 5 published a notice in December 2016 to solicit any expressions of interest (Official Gazette 52 Special Series - Public Contracts No. 140 of December 2, 2016).</w:t>
      </w:r>
    </w:p>
    <w:p>
      <w:r>
        <w:t>13 In particular, there is a specific regulation in the case of railway transport services. See, among others, the resolution of the Transport Regulation Authority No. 70 of October 31, 2015 "Regulation of fair and non-discriminatory access to railway infrastructures."</w:t>
      </w:r>
    </w:p>
    <w:p>
      <w:r>
        <w:rPr>
          <w:b/>
        </w:rPr>
        <w:t>[Pages 112–114]</w:t>
      </w:r>
    </w:p>
    <w:p>
      <w:r>
        <w:t>114 BULLETIN NO. 19 OF MAY 22, 2017</w:t>
      </w:r>
    </w:p>
    <w:p>
      <w:r>
        <w:t>RESOLUTION</w:t>
      </w:r>
    </w:p>
    <w:p>
      <w:r>
        <w:t>not to initiate the investigation referred to in Article 16, paragraph 4, of Law No. 287/90. The above conclusions will be communicated, pursuant to Article 16, paragraph 4, of Law No. 287/90, to the interested companies and to the Minister of Economic Development. This provision will be published in the Bulletin of the Competition and Market Authority.</w:t>
      </w:r>
    </w:p>
    <w:p>
      <w:r>
        <w:t>THE SECRETARY GENERAL THE PRESIDENT</w:t>
        <w:br/>
        <w:t>Roberto Chieppa Giovanni Pitruzzella</w:t>
      </w:r>
    </w:p>
    <w:p>
      <w:r>
        <w:t>BULLETIN NO. 19 OF MAY 22, 2017</w:t>
      </w:r>
    </w:p>
    <w:p>
      <w:r>
        <w:t>115</w:t>
      </w:r>
    </w:p>
    <w:p>
      <w:r>
        <w:t>TELEVISION RIGHTS</w:t>
      </w:r>
    </w:p>
    <w:p>
      <w:r>
        <w:t>SR28B - SERIE A FOOTBALL LEAGUE - GUIDELINES FOR FOOTBALL CHAMPIONSHIPS 2018/2019 - 2019/2020 - 2020/2021</w:t>
      </w:r>
    </w:p>
    <w:p>
      <w:r>
        <w:t>Provision No. 26609</w:t>
      </w:r>
    </w:p>
    <w:p>
      <w:r>
        <w:t>THE COMPETITION AND MARKET AUTHORITY</w:t>
      </w:r>
    </w:p>
    <w:p>
      <w:r>
        <w:t>IN ITS MEETING of May 17, 2017;</w:t>
      </w:r>
    </w:p>
    <w:p>
      <w:r>
        <w:t>HEARD the Rapporteur Dr. Gabriella Muscolo;</w:t>
      </w:r>
    </w:p>
    <w:p>
      <w:r>
        <w:t>HAVING REGARD to Law No. 287 of October 10, 1990;</w:t>
      </w:r>
    </w:p>
    <w:p>
      <w:r>
        <w:t>HAVING REGARD to Legislative Decree No. 9 of January 9, 2008, concerning "Regulation of the ownership and commercialization of sports audiovisual rights and related distribution of resources";</w:t>
      </w:r>
    </w:p>
    <w:p>
      <w:r>
        <w:t>HAVING REGARD to Article 6, paragraph 1, of the aforementioned Legislative Decree, according to which the National Professional League is required to predetermine, for the football competitions under its jurisdiction, guidelines "for the commercialization of audiovisual rights containing rules regarding the offer and assignment of the audiovisual rights themselves, criteria regarding the formation of the related packages and the further rules" provided by the Decree in order to guarantee all participants in the competitive procedures "conditions of absolute fairness, transparency, and non-discrimination";</w:t>
      </w:r>
    </w:p>
    <w:p>
      <w:r>
        <w:t>HAVING REGARD to Article 6, paragraph 6, of the same Legislative Decree, which establishes that the Authority for Guarantees in Communications and the Competition and Market Authority shall verify, for their respective areas of competence, the compliance of the guidelines with the principles and provisions of Legislative Decree No. 9/2008 and approve them within sixty days of receipt;</w:t>
      </w:r>
    </w:p>
    <w:p>
      <w:r>
        <w:t>HAVING REGARD to the Authority's non-approval provision of January 25, 2017, No. 26351 of the Guidelines submitted on November 30, 2016, and subsequently integrated on January 23, 2017;</w:t>
      </w:r>
    </w:p>
    <w:p>
      <w:r>
        <w:t>HAVING REGARD to the Guidelines referred to in Legislative Decree No. 9/2008, transmitted by the National Professional League Serie A on April 3, 2017;</w:t>
      </w:r>
    </w:p>
    <w:p>
      <w:r>
        <w:t>HAVING REGARD to the contributions provided on April 13, 14, and 18, 2017, submitted by some telecommunications operators during the public consultation called by the Authority with resolution of April 5, 2017, subsequently extended on April 12, 2017, as well as the hearing of a telecommunications operator on April 28, 2017;</w:t>
      </w:r>
    </w:p>
    <w:p>
      <w:r>
        <w:t>HAVING REGARD to the information provided by the National Professional League Serie A on April 10, 2017;</w:t>
      </w:r>
    </w:p>
    <w:p>
      <w:r>
        <w:t>HAVING REGARD to the acts of the proceeding;</w:t>
      </w:r>
    </w:p>
    <w:p>
      <w:r>
        <w:t>CONSIDERED the following:</w:t>
      </w:r>
    </w:p>
    <w:p>
      <w:r>
        <w:t>I. THE NATIONAL PROFESSIONAL LEAGUE SERIE A</w:t>
      </w:r>
    </w:p>
    <w:p>
      <w:r>
        <w:t>1. The National Professional League Serie A ("Lega Serie A") privately associates the sports clubs affiliated with the Italian Football Federation ("FIGC") that participate in the Serie A Championship and that, for this purpose, utilize the services of professional football players. It organizes the following sports competitions: Serie A Championship, Coppa Italia, Supercoppa, Primavera Championship, Coppa Italia Primavera, and Supercoppa Primavera.</w:t>
      </w:r>
    </w:p>
    <w:p>
      <w:r>
        <w:t>116 BULLETIN NO. 19 OF MAY 22, 2017</w:t>
      </w:r>
    </w:p>
    <w:p>
      <w:r>
        <w:t>2. The Lega Serie A, as the organizer of the aforementioned competitions, pursuant to Legislative Decree No. 9 of January 9, 2008 (the so-called Melandri Decree), is co-holder, together with the sports clubs participating in the events, of the audiovisual rights related to the competitions it organizes. According to the provisions of the aforementioned decree and letter k) of Article 1, paragraph 3, of its Statute-Regulation, the Lega Serie A is the entity responsible for the commercialization of the audiovisual rights related to the competitions it organizes.</w:t>
      </w:r>
    </w:p>
    <w:p>
      <w:r>
        <w:t>3. By provision of January 25, 2017, No. 26351, the Authority deemed it appropriate not to approve the version of the guidelines for the commercialization of audiovisual rights related to the competitions organized by the Lega Serie A for the period 2018/2021, transmitted on November 30, 2016, and subsequently integrated on January 23, 2017 (hereinafter, "Previous Guidelines").</w:t>
      </w:r>
    </w:p>
    <w:p>
      <w:r>
        <w:t>4. In application of Article 6 of Legislative Decree No. 9 of January 9, 2008 (the "Decree" or also "Melandri Decree"), the Lega Serie A transmitted on April 3, 2017, a new version of the Guidelines for the centralized sale of audiovisual rights related to the sports seasons 2018/2019, 2019/2020, and 2020/2021 (hereinafter, "Guidelines"). The Guidelines were transmitted on April 3, 2017.</w:t>
      </w:r>
    </w:p>
    <w:p>
      <w:r>
        <w:t>II. THE CONTENT OF THE GUIDELINES</w:t>
      </w:r>
    </w:p>
    <w:p>
      <w:r>
        <w:t>5. The Guidelines concern the sports audiovisual rights related to the following national football competitions, organized by the Lega Serie A: Serie A Championship, Coppa Italia, Supercoppa, Primavera Championship, Coppa Italia Primavera, Supercoppa Primavera.</w:t>
      </w:r>
    </w:p>
    <w:p>
      <w:r>
        <w:t>6. For the mentioned competitions, the Lega Serie A will proceed with the centralized sale of primary audiovisual rights (first broadcast rights of the events) and secondary rights (rights to broadcast replays, summaries, and highlights of the events).</w:t>
      </w:r>
    </w:p>
    <w:p>
      <w:r>
        <w:t>7. The Lega Serie A will carry out distinct competitive procedures for centralized sales and will form multiple packages that differ from each other depending on the market to which they are destined and the exclusive or non-exclusive nature of their exploitation. The composition of each package and the rules governing its exploitation will be described in the corresponding invitation to submit offers and will follow the criteria indicated in the Guidelines described below.</w:t>
      </w:r>
    </w:p>
    <w:p>
      <w:r>
        <w:rPr>
          <w:b/>
        </w:rPr>
        <w:t>[Pages 115–117]</w:t>
      </w:r>
    </w:p>
    <w:p>
      <w:r>
        <w:t>BULLETIN NO. 19 OF MAY 22, 2017</w:t>
      </w:r>
    </w:p>
    <w:p>
      <w:r>
        <w:t>8. The Guidelines define the criteria for the formation concerning the following packages of rights: (i) exclusive packages intended for the national territory; (ii) non-exclusive packages intended for the national territory; (iii) packages to be offered to operators of emerging platforms; (iv) audio packages (for radio broadcasts); (v) packages intended for the international market.</w:t>
      </w:r>
    </w:p>
    <w:p>
      <w:r>
        <w:t>Criteria for the formation of exclusive packages</w:t>
      </w:r>
    </w:p>
    <w:p>
      <w:r>
        <w:t>9. The criteria regarding the formation of audiovisual rights packages exercisable on an exclusive basis in the national territory are governed in point 24 of the Guidelines and are distinguished into: a) criteria common to all forms of transmission for domestic users and for commercial establishments of events organized by the Lega Calcio Serie A; b) criteria relating solely to exclusive, real-time full transmissions for domestic users of images of events of the Serie A Championship (excluding interactions between fields for simultaneous viewing of events in a single context). The provisions of paragraph 4 of Article 9 of the Melandri Decree2 remain unchanged.</w:t>
      </w:r>
    </w:p>
    <w:p>
      <w:r>
        <w:t>a) Criteria common to all forms of transmission</w:t>
      </w:r>
    </w:p>
    <w:p>
      <w:r>
        <w:t>10. Regarding the criteria common to all forms of transmission, in the formation of individual packages, the Lega Serie A states that the packages are formed taking into account market conditions and therefore, for the exercise of audiovisual rights, for each platform (sale "by platform") or according to sales methods that put the different platforms in competition (sale "by product") or with both methods for one or more competitions or for specific events. Furthermore, the Lega Serie A intends to take into account the technological and economic development of the various platforms and the evolution of devices. It is specified that the preparation of targeted offers for the individual platform, however, must not replace the offer for historical and more widely distributed platforms. Additionally, the commercialization will allow the free-to-air transmission of highlights and related images, including interviews.</w:t>
      </w:r>
    </w:p>
    <w:p>
      <w:r>
        <w:t>11. For the commercialization of exclusive rights packages for events related to competitions other than Serie A (Coppa Italia, Supercoppa Italiana, and Primavera Competitions), the Lega Serie A will proceed in accordance with Article 7, paragraph 8, of the Melandri Decree3, which provides for the possibility of commercializing even a single package for live broadcasts. Regarding interviews with registered players, a regulation will be prepared that enhances the direct contributions of the protagonists of the events;</w:t>
      </w:r>
    </w:p>
    <w:p>
      <w:r>
        <w:t>12. The balance of the packages between the content of the offered audiovisual rights and the related minimum price is identified according to reasonableness, taking into account the need to form commercially interesting packages for communication operators, also in relation to user expectations and the technical methods of enjoying the events, provided that the packages may differ in content and economic value, all in order to promote competition among operators and to allow more operators to propose to the public the events of greatest interest. In the case of product packages, for example, the balance must be achieved considering the scope of exclusivity and the characteristics of the events –</w:t>
      </w:r>
    </w:p>
    <w:p>
      <w:r>
        <w:t>2 "It is prohibited for anyone to acquire exclusively all packages related to live broadcasts, without prejudice to the prohibitions provided for in relation to the formation of dominant positions."</w:t>
      </w:r>
    </w:p>
    <w:p>
      <w:r>
        <w:t>3 "The commercialization of audiovisual rights relating to competitions of professional football categories below the Serie A championship and other professional team sports covered by this decree, as well as those relating to national Cups and other events organized based on the outcome of competitions, is subject to the provisions of Sections I, II, and III of this chapter, excluding Articles 8, paragraphs 2 and 3, and 9, paragraph 4, as well as the provisions of Sections IV and V of this chapter except for Article 14, paragraph 4."</w:t>
      </w:r>
    </w:p>
    <w:p>
      <w:r>
        <w:t>118 BULLETIN NO. 19 OF MAY 22, 2017</w:t>
      </w:r>
    </w:p>
    <w:p>
      <w:r>
        <w:t>the degree of appeal of the same, defined, for example, in relation to the following of the clubs participating or the date and time of transmission and the simultaneous presence of other events.</w:t>
      </w:r>
    </w:p>
    <w:p>
      <w:r>
        <w:t>13. The Guidelines provide for a reserve in favor of sports clubs for the commercialization of rights in the event of a negative outcome of the centralized assignment. Furthermore, the invitations to offer will indicate whether the Lega Serie A will make the audiovisual signal of the events available to the assignees of the audiovisual rights or if and for which events the audiovisual production of the same signal will be the responsibility of the same assignees. A regulation will be prepared for the advertising exploitations granted to the assignees. The Lega Calcio Serie A and the sports clubs retain the right to independently proceed, in compliance with applicable regulations, to advertising exploitations not expressly granted to the assignees.</w:t>
      </w:r>
    </w:p>
    <w:p>
      <w:r>
        <w:t>14. In the general regulation concerning all forms of transmission for domestic users and for commercial establishments and, in particular, regarding the Serie A championship, there is no reference to the application of Article 9, paragraph 4, of the Decree which imposes "a prohibition for anyone to acquire exclusively all packages related to live broadcasts, without prejudice to the prohibitions provided for in relation to the formation of dominant positions."</w:t>
      </w:r>
    </w:p>
    <w:p>
      <w:r>
        <w:t>b) Criteria relating solely to exclusive full transmissions, in real-time and for domestic users of images of events of the Serie A Championship</w:t>
      </w:r>
    </w:p>
    <w:p>
      <w:r>
        <w:t>15. Regarding exclusive full transmissions, in real-time and for domestic users of images of events of the Serie A Championship, the Guidelines first provide that the initial offer to the market includes, regardless of the sales method, a minimum number of live broadcasts equal to 80% of the events.</w:t>
      </w:r>
    </w:p>
    <w:p>
      <w:r>
        <w:t>16. In application of the principle of balance between packages, the Lega Calcio Serie A specifies that the smallest package includes: a) at least one third of the matches of the largest package, regardless of the sales method. By way of example, if the largest package includes 132 matches, the smallest package must include at least 44, and, in any case; b) matches played in a single time window during the Championship, numbering at least 30.</w:t>
      </w:r>
    </w:p>
    <w:p>
      <w:r>
        <w:t>17. In the case of sales by platform or in the case of sales with both methods for platform and product (so-called mixed sale), the commercialization of the events includes a minimum of five and a maximum of twelve packages concerning the full transmission of the matches.</w:t>
      </w:r>
    </w:p>
    <w:p>
      <w:r>
        <w:t>18. For the sole purpose of setting the limits below regarding the number of matches per package, the platforms are divided into three tiers: the first tier, consisting of the satellite platform; the second tier, consisting of the digital terrestrial platform; and the third tier, which includes the remaining platforms (internet platform, wireless platform for mobile networks, etc.).</w:t>
      </w:r>
    </w:p>
    <w:p>
      <w:r>
        <w:t>19. Without prejudice to the prohibition for a single operator to acquire exclusively all transmission rights of live events on all platforms and in compliance with the prohibition of dominant positions referred to in the aforementioned Article 9, paragraph 4, of the Melandri Decree, no operator is allowed to: a) acquire exclusively a number of packages greater than the total number offered minus two, in the case that seven or more packages are prepared. By way of example, if the Lega Calcio Serie A offers eight exclusive packages of live broadcasts to the market, an operator may acquire a maximum of six. Similarly, if the Lega Calcio Serie A offers five exclusive packages to the market, an operator may acquire a maximum of four; b) with regard to the packages formed by platform, acquire packages that contain exclusively the same events on platforms belonging to all three tiers. By way of example, an operator cannot acquire more packages that allow them to broadcast exclusively the same events through the satellite platform (first tier) and the digital terrestrial platform (second tier) and the internet platform (third tier). In the case of sales by platform, the Lega Calcio Serie A is not obliged to prepare more packages for each platform.</w:t>
      </w:r>
    </w:p>
    <w:p>
      <w:r>
        <w:t>20. In the case of sales "by product," the commercialization of the events includes a minimum of three and a maximum of five packages concerning the exclusive full transmission of the matches, with a prohibition for a single operator to acquire exclusively all packages containing the live broadcasts, in compliance with the prohibition of dominant positions referred to in Article 9, paragraph 4, of Legislative Decree No. 9/2008.</w:t>
      </w:r>
    </w:p>
    <w:p>
      <w:r>
        <w:t>21. The Guidelines express the hope that the system configured above will encourage investments for the acquisition of rights, reducing the risk that some packages remain unsold, and increasing the number of users/consumers who can enjoy the viewing of events and meet the requests of consumers/users. The possibility for the League to proceed with a direct distribution of its audiovisual products in the event of non-assignment, even partial, of rights subject to exclusive packages remains unaffected.</w:t>
      </w:r>
    </w:p>
    <w:p>
      <w:r>
        <w:t>Criteria for the formation of non-exclusive packages</w:t>
      </w:r>
    </w:p>
    <w:p>
      <w:r>
        <w:t>22. Regarding the formation of non-exclusive packages intended for the national territory (point 25 of the Guidelines), the Lega Serie A affirms the principle that the exploitation of non-exclusive rights is permitted in forms that do not prejudice the exploitation of exclusive rights. Specifically, the commercialization of such rights will occur through a package of non-exclusive rights exercisable free-to-air throughout the national territory for the transmission of highlights in deferred time during the time slot starting no earlier than 11:00 PM and no later than midnight on the day of the match. Furthermore, a share of rights relating to highlights will be reserved in favor of local broadcasters.</w:t>
      </w:r>
    </w:p>
    <w:p>
      <w:r>
        <w:t>23. The Lega Serie A may convert non-assigned rights from non-exclusive to exclusive and vice versa or combine non-exclusive rights with exclusive packages provided that this does not cause any prejudice to operators who have already acquired exclusive rights as a result of competitive procedures.</w:t>
      </w:r>
    </w:p>
    <w:p>
      <w:r>
        <w:t>Criteria for the formation of other rights packages</w:t>
      </w:r>
    </w:p>
    <w:p>
      <w:r>
        <w:t>24. The audiovisual rights packages to be offered to emerging platforms, identified by the Authority for Communications Guarantees, are exercisable in the national territory and include the first deferred or the first transmission of highlights of events on a non-exclusive basis, in exchange for a fee to be determined as a percentage of the prices paid by users, subject to the respect of rights already assigned or the subject of invitations to submit offers already published. The Lega Serie A will form the packages with the aim of not prejudicing the exploitation of audiovisual rights reserved for other assignees and may also include Primavera Competitions, provided that the emerging platforms bear the costs related to the production and transmission of the signal.</w:t>
      </w:r>
    </w:p>
    <w:p>
      <w:r>
        <w:t>25. Regarding the packages relating to audio rights, a package of rights will be prepared with the live broadcasts of all events of the Serie A Championship to be exercised on an exclusive basis nationally. Additionally, non-exclusive national and local packages will also be prepared, which will include up to a maximum of four live audio extracts of events of the Serie A Championship. Such packages will be identified in such a way that their duration does not prejudice the exploitation of the packages of other assignees and preserves the exercise of the right of reporting.</w:t>
      </w:r>
    </w:p>
    <w:p>
      <w:r>
        <w:t>26. Regarding the packages intended for the international market, the Lega Serie A reserves the right to form one or more packages for each competition. In the event that there are multiple packages, the commercialization may be divided by geographical areas. In any case, in the event of</w:t>
      </w:r>
    </w:p>
    <w:p>
      <w:r>
        <w:rPr>
          <w:b/>
        </w:rPr>
        <w:t>[Pages 118–120]</w:t>
      </w:r>
    </w:p>
    <w:p>
      <w:r>
        <w:t>120 BULLETIN NO. 19 OF MAY 22, 2017</w:t>
      </w:r>
    </w:p>
    <w:p>
      <w:r>
        <w:t>license for territory, the limitations provided for the licensees will be in accordance with national and community law.</w:t>
      </w:r>
    </w:p>
    <w:p>
      <w:r>
        <w:t>The assignment procedures</w:t>
      </w:r>
    </w:p>
    <w:p>
      <w:r>
        <w:t>27. Point 29 of the Guidelines establishes that the marketing of audiovisual rights takes place according to the rules of private law, highlighting that at the time of carrying out competitive procedures and the assignment of audiovisual rights included in the packages, it operates in a position of private autonomy.</w:t>
      </w:r>
    </w:p>
    <w:p>
      <w:r>
        <w:t>Operators of communication and independent intermediaries may participate in the invitations to submit bids for the packages of audiovisual rights exercisable in the national territory, provided that, at the time of submitting the bid, they are undergoing bankruptcy proceedings or liquidation procedures.</w:t>
      </w:r>
    </w:p>
    <w:p>
      <w:r>
        <w:t>28. If provided for by current legislation, communication operators must possess the necessary authorization, even if acquired in another State of the European Economic Area, for broadcasting in the Italian territory through one of the platforms provided in the package of audiovisual rights or, in the case of sale for a single platform, must possess the necessary authorization, if required by law, for broadcasting in the Italian territory through the platform in question.</w:t>
      </w:r>
    </w:p>
    <w:p>
      <w:r>
        <w:t>29. To be admitted to participate in the assignment procedures:</w:t>
        <w:br/>
        <w:t>- they must be primary operators in the national and international sector, meaning operators capable of having a distribution capacity with adequate coverage of the national territory, the means and organization necessary to support the activities resulting from the assignment, adequate solvency guarantees and economic resources, either their own or guaranteed by partners, sufficient to ensure the exact fulfillment of the obligations contemplated by the assignment, according to criteria that will be indicated in the invitations to submit bids;</w:t>
        <w:br/>
        <w:t>- they must not be in a situation of control pursuant to paragraph 1 of Article 2359 of the Civil Code in relation to other communication operators or independent intermediaries participating in the procedure for the same packages. It is specified that, in the aforementioned cases, those who are in a control relationship as per the cited provision will be excluded from the procedure relating to the specific packages.</w:t>
      </w:r>
    </w:p>
    <w:p>
      <w:r>
        <w:t>30. Invitations to submit bids for the packages of audiovisual rights exercisable in the international territory may be joined by both communication operators and agencies and other intermediaries of any nationality. The subjects admitted to participate in the assignment procedures for the international territory must have proven capacity in the field of international distribution of audiovisual rights related to football, particularly based on their own management experienced in such international markets, with sufficient means and organization to support the activities resulting from the assignment, adequate solvency guarantees and economic resources, either their own or guaranteed by partners, sufficient to ensure the exact fulfillment of the obligations contemplated by the assignment according to criteria that will be indicated in the invitations to submit bids.</w:t>
      </w:r>
    </w:p>
    <w:p>
      <w:r>
        <w:t>31. According to point 31 of the Guidelines, the news of the start of competitive procedures relating to packages offered exclusively and the related deadlines for submitting bids is published on the official website of the Lega Calcio Serie A and disseminated through a specific press release on the same date and, limited to the news of the start of the procedure, published in at least two of the main national newspapers.</w:t>
      </w:r>
    </w:p>
    <w:p>
      <w:r>
        <w:t>32. The official website of the Lega Calcio Serie A will provide a detailed description of the contents of the packages offered to the market, along with the essential conditions of assignment.</w:t>
      </w:r>
    </w:p>
    <w:p>
      <w:r>
        <w:t>BULLETIN NO. 19 OF MAY 22, 2017 121</w:t>
      </w:r>
    </w:p>
    <w:p>
      <w:r>
        <w:t>The deadlines for submitting bids are set according to reasonable criteria and, in any case, taking into account the potential innovative nature of the configuration of the packages, are not less than 15 (fifteen) days from the date of publication of the invitation to submit bids, in order to ensure that all potentially interested parties have equal opportunities to submit their bids, with full knowledge of the essential conditions of assignment.</w:t>
      </w:r>
    </w:p>
    <w:p>
      <w:r>
        <w:t>33. Bids must be submitted in a sealed envelope at the registered office of the Lega Serie A. Each individual envelope must contain, under penalty of exclusion, a single bid for a single package. The Lega Serie A will evaluate the admissibility of the bids based on the criteria provided in the Guidelines and will admit to participate in the procedure only those subjects among the bidders who (i) possess the requirements and accept the limits and obligations provided in the Guidelines and in the relevant invitation to bid; (ii) offer guarantees of fulfillment that the Lega Serie A deems satisfactory at its discretion; (iii) have transmission capacity capable of reaching at least 50% of the Italian population in the national territory regarding the packages for the national market.</w:t>
      </w:r>
    </w:p>
    <w:p>
      <w:r>
        <w:t>34. The Guidelines also specify that the Lega Calcio Serie A, starting from the current marketing cycle, will consider as unacceptable any bids subject to any type of condition. Furthermore, if there is pending litigation against the bidder with the Lega Calcio Serie A for non-payment or delayed payment of fees provided in the licensing contracts concerning audiovisual rights assigned as a result of the competitive procedure immediately preceding the ongoing one, the bid will be admissible only if accompanied by a surety guarantee for the payment of any amount accrued and not yet paid.</w:t>
      </w:r>
    </w:p>
    <w:p>
      <w:r>
        <w:t>35. Of the bids that are admitted to participate in the procedure, the Lega Calcio Serie A prepares a ranking with a specific report based on the price contemplated by each bid and submits it for approval to the Assembly of the Lega Calcio Serie A, which will be specially convened and will meet within ten days from the deadline for submitting bids.</w:t>
      </w:r>
    </w:p>
    <w:p>
      <w:r>
        <w:t>36. The Assembly of the Lega Calcio Serie A proceeds to assign the rights to the subject who submitted the highest bid, provided it is above the minimum price, as long as all other conditions provided by these Guidelines and the invitations to submit bids are respected. A specific report of the assignments is drawn up, which is sent confidentially to the Authority for Guarantees in Communications and the Authority for Competition and the Market, and the list of licensees and the packages assigned to each of them is made public by publication on the official website of the Lega Calcio Serie A.</w:t>
      </w:r>
    </w:p>
    <w:p>
      <w:r>
        <w:t>37. The price of the audiovisual rights is determined or approved by the Lega Calcio Serie A from time to time according to reasonableness in light of market conditions so as to be adequate to the content of the package. Regardless of the sales procedure adopted for each package, the price of the rights determined by the Lega Calcio Serie A in relation to a package does not in any case grant the respective assignee the right to contest the price determined for the assignees of other packages.</w:t>
      </w:r>
    </w:p>
    <w:p>
      <w:r>
        <w:t>38. With reference to the packages of exclusive audiovisual rights related to the live broadcasts of a specific competition, the Lega Serie A reserves the right not to proceed with the assignment of any of the packages where the bids do not allow for the awarding of the entire system of exclusive audiovisual rights put up for sale.</w:t>
      </w:r>
    </w:p>
    <w:p>
      <w:r>
        <w:t>39. Therefore, if even one of the said exclusive packages put up for sale does not receive a bid equal to or greater than the minimum price, the Lega Serie A has the right to initiate a new competitive procedure for the exclusive packages related to the live broadcasts, modifying their composition and/or the minimum price. In the event of a negative outcome of this second competitive procedure as well, if no bid equal to or greater than the minimum price has been received for even one of the exclusive packages put up for sale, the Lega Serie A may initiate a third competitive procedure for the exclusive packages related to the live broadcasts, modifying the composition and/or the price, or may decide to proceed directly to private negotiation for the exclusive packages put up for sale, provided that it does not modify their composition. In this case, any phase of the private negotiation must still be based on the principles of competitive procedures, taking into account, in particular, the need to ensure participants in the procedure in question conditions of absolute fairness, transparency, and non-discrimination.</w:t>
      </w:r>
    </w:p>
    <w:p>
      <w:r>
        <w:t>40. The start of private negotiations will be announced on the official website of the Lega Serie A by publishing a specific invitation to participate. All subjects who have expressed their interest in responding to the invitation to participate will be admitted to the private negotiations.</w:t>
      </w:r>
    </w:p>
    <w:p>
      <w:r>
        <w:t>41. Any changes to the composition of the packages determined by the Lega Serie A during or as a result of the private negotiation, which involve forms of exploitation of the rights originally offered to the market that are substantially different or additional, or their substantial reductions, will be promptly and simultaneously communicated in writing to only those subjects who have expressed interest in the private negotiation and have been admitted to participate. In the same communication, the Lega Serie A will indicate the minimum prices of the packages, if provided, and the deadline for submitting bids.</w:t>
      </w:r>
    </w:p>
    <w:p>
      <w:r>
        <w:t>42. The negotiation phases may not last more than sixty days. If within the aforementioned sixty days the Lega Serie A has not received any bids or receives bids deemed insufficient, it may undertake new competitive procedures or continue the private negotiation for a maximum of an additional thirty days, also based on new compositions of the packages.</w:t>
      </w:r>
    </w:p>
    <w:p>
      <w:r>
        <w:t>43. In the case of packages returned to the availability of the Lega Serie A following the termination of a licensing contract or for any other reason, the organizing subject reserves the right to undertake new competitive procedures through invitations to bid or private negotiations (in case of urgency) and/or to use the audiovisual rights through its thematic channel or other distribution forms provided by the Guidelines.</w:t>
      </w:r>
    </w:p>
    <w:p>
      <w:r>
        <w:t>44. Regarding non-exclusive audiovisual rights, these will be determined by the Lega Serie A at the same time as the start of the competitive procedures related to the audiovisual rights offered exclusively. They, pending licensing contracts, may be modified only if the exclusive audiovisual rights for the Italian territory are not prejudiced.</w:t>
      </w:r>
    </w:p>
    <w:p>
      <w:r>
        <w:t>45. The assignment of non-exclusive packages will be finalized by the Lega with respect to all operators who, possessing the necessary requirements, accept the sales conditions by offering the requested price.</w:t>
      </w:r>
    </w:p>
    <w:p>
      <w:r>
        <w:t>46. If the Lega Serie A, pursuant to Article 7, paragraph 4, of the Melandri Decree, intends to proceed with the assignment of all audiovisual rights of a competition exercisable in the Italian territory to an independent intermediary, it will carry out a specific competitive procedure. The assignment of the rights takes place through a competitive procedure having the same criteria provided for the direct assignment of exclusive rights.</w:t>
      </w:r>
    </w:p>
    <w:p>
      <w:r>
        <w:rPr>
          <w:b/>
        </w:rPr>
        <w:t>[Pages 121–123]</w:t>
      </w:r>
    </w:p>
    <w:p>
      <w:r>
        <w:t>BULLETIN NO. 19 OF MAY 22, 2017 123</w:t>
      </w:r>
    </w:p>
    <w:p>
      <w:r>
        <w:t>Assigned and Unexercised Rights.</w:t>
      </w:r>
    </w:p>
    <w:p>
      <w:r>
        <w:t>47. Each assignee must undertake to exercise the audiovisual rights in compliance with these Guidelines and all the provisions of the invitation to tender related to the package awarded to it, the Audiovisual Production Regulation, the Editorial Guidelines, other regulations, and communications from the Lega Calcio Serie A, as well as national and international sports regulations as applicable and in compliance with the Media and Sports Code and all provisions aimed at repressing unsportsmanlike conduct related to the world of gaming and betting.</w:t>
      </w:r>
    </w:p>
    <w:p>
      <w:r>
        <w:t>48. Pursuant to Article 11, paragraph 6, of Legislative Decree No. 9/2008, it is prohibited for communication operators assigned to sublicense to third parties and in any case to allow them to exercise audiovisual rights.</w:t>
      </w:r>
    </w:p>
    <w:p>
      <w:r>
        <w:t>49. Pursuant to Article 11, paragraph 8, of Legislative Decree No. 9/2008, the independent intermediary assigned the audiovisual rights is required to sublicense the rights themselves without modifying the packages and in fair, transparent, and non-discriminatory ways, providing in the sublicense contracts entered into with the operators the discretionary right for the Lega Calcio Serie A to terminate, after a notice to comply, the assignment to the licensee and to step into the aforementioned contracts if the financial conditions of the independent intermediary (more than thirty days delay in the payment of one of the license fees) have become such as to put the achievement of the counter-performance in evident danger, unless the licensee complies promptly or provides, equally promptly, suitable guarantees.</w:t>
      </w:r>
    </w:p>
    <w:p>
      <w:r>
        <w:t>50. Furthermore, all assignees of the rights are obliged to impose on the end users of the audiovisual products (private users and commercial establishments) the prohibition of using audiovisual products for carrying out activities other than mere viewing of the images of the events independently or in combination with other rights, unless such activities are expressly provided for in invitations to tender.</w:t>
      </w:r>
    </w:p>
    <w:p>
      <w:r>
        <w:t>Rights Reserved for Sports Clubs</w:t>
      </w:r>
    </w:p>
    <w:p>
      <w:r>
        <w:t>51. The following rights related to the events organized by them are reserved for sports clubs, which may offer them on the market only after the start of the competitive procedure of the Lega Serie A: (i) the rights to broadcast the replay or summary of the event by a single local television broadcaster; (ii) the rights to live radio commentary of the entire event by a single local radio broadcaster.</w:t>
      </w:r>
    </w:p>
    <w:p>
      <w:r>
        <w:t>52. Such rights may be assigned only to local television and radio broadcasters that transmit on terrestrial platforms whose audience is included in the region where the sports club is based. Furthermore, audiovisual rights related to the transmission on the official thematic channels dedicated to their team of related images, as well as the replay, summary, and highlights of the events organized by them and the events in which they participate as a guest team, are reserved for sports clubs.</w:t>
      </w:r>
    </w:p>
    <w:p>
      <w:r>
        <w:t>53. The possible non-assignment of packages at the outcome of the centralized competitive procedures means that the related audiovisual rights may be marketed or exercised directly through their thematic channel also by the individual sports clubs.</w:t>
      </w:r>
    </w:p>
    <w:p>
      <w:r>
        <w:t>The Audiovisual Production of Events</w:t>
      </w:r>
    </w:p>
    <w:p>
      <w:r>
        <w:t>54. The Guidelines provide that the production of the television signal is the responsibility of the event organizer or the Lega Serie A, in the event that the sports clubs waive in favor of the latter. The Lega Serie A informs the operators by July 15 of each year whether the signal is produced by the Lega Serie A or by the individual sports clubs.</w:t>
      </w:r>
    </w:p>
    <w:p>
      <w:r>
        <w:t>124 BULLETIN NO. 19 OF MAY 22, 2017</w:t>
      </w:r>
    </w:p>
    <w:p>
      <w:r>
        <w:t>55. Furthermore, the Guidelines, which may be supplemented in this regard with implementing regulations and communications, establish in Point 44 the production standards in order to achieve the best performance of the product. The signal offered will be marked with the official logo of the competition, and the Lega reserves the right to include its official graphics. The events of the competitions are filmed with a different number and configurations of cameras depending on the competition, partly with operators and partly without operators and according to technological evolution. To these cameras are added the Goal Line Technology systems to assist referees in verifying the actual crossing of the goal line by the ball.</w:t>
      </w:r>
    </w:p>
    <w:p>
      <w:r>
        <w:t>56. Finally, regarding the signal, the fees—which cannot exceed those provided for in Annex 3 of the Guidelines—are due for each platform and type of exploitation (residential/commercial users) on which the assignee will assert the rights attributed. In this way, the licensees contribute to the payment of the total technical costs for the production and distribution of the signal pro-rata with respect to its use. The price for access to the signal paid by the assignees, net of the costs incurred by the Lega Calcio Serie A, is returned by the latter to the sports clubs entitled, and therefore also to the sports clubs that produce their own events. Any positive margins will be invested in technological improvements.</w:t>
      </w:r>
    </w:p>
    <w:p>
      <w:r>
        <w:t>III. CONTRIBUTIONS TO THE PUBLIC CONSULTATION</w:t>
      </w:r>
    </w:p>
    <w:p>
      <w:r>
        <w:t>57. On April 5, 2017, the public consultation concerning the Guidelines prepared by the Lega Serie A was initiated, transmitted on April 3, 2017. The deadline for the conclusion of the public consultation was subsequently extended to April 12, 2017.</w:t>
      </w:r>
    </w:p>
    <w:p>
      <w:r>
        <w:t>58. Contributions to the public consultation were received on April 13, 14, 18, and 19, 2017, from telecommunications operators. Below is a brief description of their content by thematic area.</w:t>
      </w:r>
    </w:p>
    <w:p>
      <w:r>
        <w:t>Criteria for Package Formation</w:t>
      </w:r>
    </w:p>
    <w:p>
      <w:r>
        <w:t>59. Regarding the criteria for package formation, in most of the contributions submitted by television operators as well as by entities active on the internet platform, it was emphasized that in the version of the Guidelines transmitted on April 3, 2017, critical issues remain regarding the exact identification of the object of the tender, similar to those noted in the Authority's non-approval decision. They attribute excessive discretion to the Lega Serie A in creating packages with repercussions on ensuring effective competition among operators present in the affected markets, in addition to creating undue obstacles to the entry of new entrants into the OTT platform.</w:t>
      </w:r>
    </w:p>
    <w:p>
      <w:r>
        <w:t>60. In a contribution received on April 18, 2017, it was particularly highlighted that Point 24 of the Guidelines leaves a wide and too varied range of possibilities for package creation that does not allow for a univocal assessment and leaves undefined the method of package creation by platform, by product, or mixed, not allowing the interested operators to carry out an adequate strategic assessment of their possible investments.</w:t>
      </w:r>
    </w:p>
    <w:p>
      <w:r>
        <w:t>61. Similar evaluations in terms of the absence of a univocal identification of the object of the packages were made for Point 22 of the Guidelines, paragraph 35, which recognizes the Lega Serie A the identification of new "surprise" time windows for events. In this regard, the absence of a precise definition of the criteria for their formation was noted, such as, for example, the ranking position of the teams, the greater appeal of spectators for certain matches (such as city derbies), and the greater interest for certain matches in certain phases of the championship. In addition to a more rigorous planning of the calendar, the assignee should be guaranteed a right of first choice, subsequent to the award and with priority over the assignees of other packages, with reference to at least one of the events that will be part of the package, but whose specific time/date and/or competing teams are not predetermined at the time of the auction.</w:t>
      </w:r>
    </w:p>
    <w:p>
      <w:r>
        <w:t>62. Beyond this limit underlying the current formulation of the no single buyer rule, several contributions highlighted that the potential for the development of new entrants in the OTT business would be prejudiced by the provision of a price for the purchase of such packages that is too high or in any case not proportionate to the state of immaturity characterizing such services and given the current objective constraints of commercialization. In fact, it is necessary to consider the lower diffusion of so-called OTT platforms and, therefore, the lower potential in terms of return on the commercial offer. On this point, it was noted in some contributions that, contrary to what was hoped in some passages of the closure decision of the Inquiry conducted by the Authority IC41 - Inquiry into the audiovisual sector, the Lega did not intend to remove the uncertainty regarding the minimum price of the packages, deferring the value indications to the moment of the publication of the packages.</w:t>
      </w:r>
    </w:p>
    <w:p>
      <w:r>
        <w:t>63. Regarding the need to ensure that the packages allow access for operators active on the OTT platform, contributions submitted by operators primarily active on the internet called for the preparation of packages for single platforms (stand alone), that is, without being ancillary to packages prepared for traditional platforms. Alternatively, the possibility of selling internet rights in a non-exclusive manner should be explored or resorting to OTT offering obligations through retransmission agreements or exemptions from the sublicense prohibition provided for by the Melandri Decree.</w:t>
      </w:r>
    </w:p>
    <w:p>
      <w:r>
        <w:t>64. In a subordinate manner, once the packages are assigned, while respecting the limits identified in Articles 11 and 19, paragraph 1, of Legislative Decree January 9, 2008, No. 9 (so-called Melandri Decree), the possibility of using the tool of sublicensing or another similar contractual figure should be explored in order to allow commercial use of the audiovisual rights to the widest possible circle of operators.</w:t>
      </w:r>
    </w:p>
    <w:p>
      <w:r>
        <w:t>65. In any case, in order to ensure greater attractiveness of the packages for internet platforms, such retransmission and sublicensing agreements should allow the use of additional functionalities peculiar to the internet platform, such as, for example, play/pause/rec.</w:t>
      </w:r>
    </w:p>
    <w:p>
      <w:r>
        <w:t>66. A company active in internet communications emphasized that the provision in Point 24, letter a), subparagraph b), ("in the formation of individual packages, the Lega Calcio Serie A takes into account the technological and economic development of the various platforms and the evolution of devices. The preparation of targeted offers for the single platform should not, however, exclude from the offer the historical and more widely disseminated platforms") presents the same formulation as the version of the Guidelines subject to criticism by the Authority in the non-approval decision of January 25, 2017. This provision would unjustifiably favor traditional platforms over non-traditional ones.</w:t>
      </w:r>
    </w:p>
    <w:p>
      <w:r>
        <w:rPr>
          <w:b/>
        </w:rPr>
        <w:t>[Pages 124–126]</w:t>
      </w:r>
    </w:p>
    <w:p>
      <w:r>
        <w:t>126 BULLETIN NO. 19 OF MAY 22, 2017</w:t>
      </w:r>
    </w:p>
    <w:p>
      <w:r>
        <w:t>67. In a contribution submitted by another television operator, it was emphasized that the criteria for forming the packages outlined in the Guidelines present significant critical issues, despite its different formulation compared to that contained in the Previous Guidelines.</w:t>
      </w:r>
    </w:p>
    <w:p>
      <w:r>
        <w:t>68. In particular, these criteria would not comply with the balancing standards between the offers required by Article 8 of the Melandri Decree, as they do not prevent the establishment of commercially disproportionate packages in qualitative and quantitative terms. In particular, a clear definition of a "commercially interesting" package is not provided, with the risk of undermining the objective of stimulating competitive comparison among market operators with benefits for users, considering the context of the pay-TV market characterized by the presence of a predominant incumbent operator. In this perspective, the need to form commercially balanced packages is crucial for the success of the offers from television operators. Therefore, the qualitative characteristics of the participating teams should be taken into account on one hand, and on the other hand, the total number of matches offered in each package.</w:t>
      </w:r>
    </w:p>
    <w:p>
      <w:r>
        <w:t>69. Furthermore, regarding platform sales, the formulation of the no single buyer rule in the Guidelines prohibits the acquisition of the same rights for all three groups of platforms (terrestrial digital, satellite, and internet) and effectively allows for the possibility that a single entity acquires the rights jointly for terrestrial digital and satellite platforms, thereby obtaining exclusivity for the more widely distributed platforms.</w:t>
      </w:r>
    </w:p>
    <w:p>
      <w:r>
        <w:t>70. The limits outlined in paragraph 24 on the maximum number of packages that can be purchased by a single operator should be integrated with reference to the packages of greater commercial value. The risk to avoid is that the same operator with significant spending capacity could win the commercially most relevant packages solely to occupy essential content to the detriment of competitors.</w:t>
      </w:r>
    </w:p>
    <w:p>
      <w:r>
        <w:t>71. Referring to some passages from the closure decision of the Inquiry conducted by the Authority IC41 - Inquiry into the audiovisual sector7, particularly regarding the low competitive pressure that can be exerted by the internet platform compared to the dominant pay-TV operator, it was noted in the same contribution that the formulation of the no single buyer rule does not take into account that operators active on the internet have previously operated solely in a complementary manner.</w:t>
      </w:r>
    </w:p>
    <w:p>
      <w:r>
        <w:t>72. In a contribution from an operator active on the internet, regarding the hypothesis of unsold packages, it was noted that the mere re-proposition of the regulations contained in the Melandri Decree is not sufficient where greater detail of the different regimes is necessary.</w:t>
      </w:r>
    </w:p>
    <w:p>
      <w:r>
        <w:t>Participants allowed to participate in the tender</w:t>
      </w:r>
    </w:p>
    <w:p>
      <w:r>
        <w:t>73. Regarding the identification of the subjects allowed to participate in the tender, a participant in the market test noted that the new version of the Guidelines presents a significant modification compared to the Previous Guidelines.</w:t>
      </w:r>
    </w:p>
    <w:p>
      <w:r>
        <w:t>74. If in the previous version it was provided that subjects, in order to be admitted to participate, should not be in a situation of control or connection, with an express reference to paragraphs 13, 14, and 15 of Article 43 of Legislative Decree No. 177 of July 31, 2005 (TUSMAR) concerning other communication operators or independent intermediaries participating in the procedure, establishing for such cases the exclusion from the tender, the new version has eliminated the reference to the aforementioned provisions of the TUSMAR, where there is also a reference to the relevance of de facto control, replacing it with a reference to Article 2359, paragraph 1, of the Civil Code which refers exclusively to cases of control. It is noted by the operators participating in the public consultation that this modification does not stem from the Authority's non-approval decision of January 25, 2017, and that it may lead to restrictive agreements of competition with evasion of the prohibitions of the no single buyer rule.</w:t>
      </w:r>
    </w:p>
    <w:p>
      <w:r>
        <w:t>75. Finally, in a contribution from an operator, the need to clarify the position of OTT operators who will submit an offer in light of the silence of point 29 of the Guidelines was raised, even in the face of some statements from AGCom that qualify such subjects as having editorial responsibility when they formulate an offer. On this point, it is recalled that such subjects have been considered outside the regime of editorial responsibility under the TUSMAR and instead subject to the exemption of liability provided for internet service providers under Legislative Decree No. 70/2003 regarding electronic commerce.</w:t>
      </w:r>
    </w:p>
    <w:p>
      <w:r>
        <w:t>International rights</w:t>
      </w:r>
    </w:p>
    <w:p>
      <w:r>
        <w:t>76. In some contributions, criticisms were raised regarding the choice of Lega Serie A to market the rights for the dissemination of audiovisual content abroad by dividing them only by geographical areas, without considering the possibility of marketing by platform that would allow the entry of new subjects, including via the internet. Furthermore, such marketing should be conducted through private negotiation to enhance the greater effectiveness of a platform where the sale of packages of exclusive international rights per Member State would be unattractive due to the excessively high price that such packages would reach.</w:t>
      </w:r>
    </w:p>
    <w:p>
      <w:r>
        <w:t>77. Additionally, the need to separate the packages intended for transmission in local languages, subject to particular economic exploitation, from the packages in Italian where the dissemination of events responds to purely institutional and not commercial needs was noted, inserting a specific list of the territories concerned similarly to what was done by Lega Serie A for the marketing of international audiovisual rights 2015/2018.</w:t>
      </w:r>
    </w:p>
    <w:p>
      <w:r>
        <w:t>Implementation of transmission services and signal pricing.</w:t>
      </w:r>
    </w:p>
    <w:p>
      <w:r>
        <w:t>78. A national television broadcaster noted that point 46 of the Guidelines regarding self-production and the prices of technical transmission services8 presents significant critical issues, forcing the assignee to use the technical services of the entity producing the event by paying the prices established in the tariff of Lega Serie A. It is noted that many football clubs, either internally or relying on other competing broadcasters, have effectively imposed on assignees of rights the use of different facilities for the realization of the signal. It would instead be desirable for the Guidelines to expressly provide that an assignee of rights who has internal production capacity for the generation of unilateral signals may freely and without additional costs independently produce the signal integration services.</w:t>
      </w:r>
    </w:p>
    <w:p>
      <w:r>
        <w:t>79. Furthermore, the tariff provided by Lega Serie A appears to foresee excessive prices where it should instead limit itself to establishing minimum and maximum value ranges, detailing the qualitative level and type of services required since some of them are requested without being explicitly included in the tariff of Lega Serie A.</w:t>
      </w:r>
    </w:p>
    <w:p>
      <w:r>
        <w:t>8 "Lega Calcio Serie A reserves the right to provide for certain exclusive packages the possibility for the respective assignees to integrate the multilateral signal using, within the scope of the exploitations provided for in the package and within the limits defined therein, the technical services made available by the entity producing the event based on the prices actually practiced by Lega Calcio Serie A, which cannot exceed the maximum specified for such integration services in the tariff referred to in Annex 3 of these Guidelines, without prejudice to future technological innovations not included in the current tariff, at the price established according to market rates."</w:t>
      </w:r>
    </w:p>
    <w:p>
      <w:r>
        <w:t>128 BULLETIN NO. 19 OF MAY 22, 2017</w:t>
      </w:r>
    </w:p>
    <w:p>
      <w:r>
        <w:t>IV. EVALUATIONS</w:t>
      </w:r>
    </w:p>
    <w:p>
      <w:r>
        <w:t>80. Pursuant to Article 6, paragraph 1, of the Decree, the Guidelines must provide rules regarding the offer and assignment of audiovisual rights, criteria for forming the related packages, and further rules to ensure that participants in competitive procedures have conditions of absolute fairness, transparency, and non-discrimination.</w:t>
      </w:r>
    </w:p>
    <w:p>
      <w:r>
        <w:t>81. In this context, the Authority is called to examine the Guidelines for approval, after verifying, for the relevant profiles, their compliance with the principles and provisions of the Decree itself (Article 6, paragraph 6, of the Decree).</w:t>
      </w:r>
    </w:p>
    <w:p>
      <w:r>
        <w:t>82. Regarding the evaluations, it is worth recalling that in the previous decision of January 25, 2017, No. 26351, some critical issues were identified in the Guidelines concerning the tender rules, the relationship between the League and the entity assigned the rights, and the formation of packages and the criteria for their articulation, such as not to allow their relative approval.</w:t>
      </w:r>
    </w:p>
    <w:p>
      <w:r>
        <w:t>83. Regarding the tender rules, it is observed that overall the Guidelines in the new formulation have removed the identified critical issues, although some provisions remain that need to be clarified in the formulation of the invitations to offer.</w:t>
      </w:r>
    </w:p>
    <w:p>
      <w:r>
        <w:t>84. As for the subjects allowed to participate, in point 29, fourth paragraph of the new version of the Guidelines, Lega Calcio has modified the provisions of the Previous Guidelines – deemed suitable to discriminate between subjects established within the European Economic Area – specifying the admission of such subjects to the sales procedures9. In accepting this modification, the Authority nonetheless considers it necessary that, in the invitation to offer, the widest participation of operators be allowed. In particular, considering the technological evolution and the absence of specific qualifying titles for transmission on certain platforms, participation in competitive procedures must be guaranteed to all operators possessing suitable means for the transmission and commercialization to the public, according to the modalities identified in the invitations to offer, of the audiovisual content subject to transfer.</w:t>
      </w:r>
    </w:p>
    <w:p>
      <w:r>
        <w:t>85. With reference to the possibility of proceeding with exclusion where there are control relationships concerning other communication operators or independent intermediaries participating in the procedure for the same packages, it is observed that the reference to the cases of connection referred to in Article 2359, paragraph 2, of the Civil Code and to paragraphs 13, 14, and 15 of paragraph 1 of Article 43 of Legislative Decree No. 177 of July 31, 2005 (TUSMAR) has been eliminated.</w:t>
      </w:r>
    </w:p>
    <w:p>
      <w:r>
        <w:t>86. In light of the specific sales modalities, with the award to the subject who has submitted the highest valid offer without the influence of the other offers presented in the award, it is deemed possible to admit only the criterion of control, although extended also to de facto control, as a reason for exclusion of the offer. However, it is considered necessary that the situations of connection such as to refer two offers to the same decision-making centers nonetheless matter for the admissibility of the offers to the tender procedure.</w:t>
      </w:r>
    </w:p>
    <w:p>
      <w:r>
        <w:t>87. Regarding the assignment procedure, the new Guidelines provide that at the opening of the envelopes a report is drawn up indicating the price contemplated by each offer to be submitted for approval by the Assembly of Lega Calcio Serie A, which will meet within 10 days from the opening of the envelopes. It is noted that, in order to achieve greater transparency</w:t>
      </w:r>
    </w:p>
    <w:p>
      <w:r>
        <w:t>9 Point 29 "If provided for by current legislation, communication operators must possess the qualifying title, even if acquired in another State of the European Economic Area [emphasis added], for transmission in the Italian territory through one of the platforms provided in the audiovisual rights package or, in the case of sale for a single platform, must possess the qualifying title, if provided for by the legislation, for transmission in the Italian territory through the platform in question."</w:t>
      </w:r>
    </w:p>
    <w:p>
      <w:r>
        <w:rPr>
          <w:b/>
        </w:rPr>
        <w:t>[Pages 127–129]</w:t>
      </w:r>
    </w:p>
    <w:p>
      <w:r>
        <w:t>BULLETIN NO. 19 OF MAY 22, 2017 129</w:t>
      </w:r>
    </w:p>
    <w:p>
      <w:r>
        <w:t>of the tender procedures, it would be necessary to specify that the Assembly of the Serie A Football League shall, within the indicated terms, assign the packages and not merely approve the minutes of the opening of the envelopes, clearly separating the two moments of the procedure. Furthermore, it seems necessary that the deadline for the assembly meeting of the Serie A Football League is short (tending to be less than five days) and that, in any case, the invitations to offer indicate in advance the date on which the Assembly that will proceed with the awarding is convened.</w:t>
      </w:r>
    </w:p>
    <w:p>
      <w:r>
        <w:t>88. Regarding the transparency of the competitive procedure, it is also deemed sufficient the publication on the official website of the Serie A Football League of the list of licensees and the packages assigned to each of them, without proceeding to further communications as instead provided by paragraph 34 of the Guidelines.</w:t>
      </w:r>
    </w:p>
    <w:p>
      <w:r>
        <w:t>89. As for the relationship between the Serie A League and the entity awarded the rights, it is positively noted that in the new formulation of point 40, third paragraph, in accordance with what is indicated in the Authority's provision of January 25, 2017, no. 26351, some provisions have been introduced aimed at limiting the right of the Serie A League to step into the sublicensing contracts concluded with the operators10.</w:t>
      </w:r>
    </w:p>
    <w:p>
      <w:r>
        <w:t>90. Finally, regarding the costs of access to the signal, it is noted that the regulation is entrusted to the Authority for Guarantees in Communications pursuant to Article 4, paragraph 7, of the Decree.</w:t>
      </w:r>
    </w:p>
    <w:p>
      <w:r>
        <w:t>91. Regarding the packages and their articulation, it is recalled that, in the provision of January 25, 2017, no. 26351, it was preliminarily emphasized that, in order to ensure the correct conduct of competitive procedures, the organizer of the competition is required to predetermine – in accordance with the principles and provisions of the Melandri Decree – guidelines that contain criteria regarding the formation of the related packages in order to guarantee participants in the competitive procedures provided for the assignment of rights conditions of fairness, transparency, and non-discrimination.</w:t>
      </w:r>
    </w:p>
    <w:p>
      <w:r>
        <w:t>92. In particular, with respect to the content of the Previous Guidelines, it was noted that the generality that characterized the criteria for preparing the offer did not allow verifying that the packages were balanced as required by Article 8 of the Melandri Decree11 and to verify that the actual preparation of the offers favored competitive comparison and the entry of new operators also through new broadcasting platforms. The Previous Guidelines, moreover, did not allow verifying that the packages thus defined prevented the creation of dominant positions, as provided for by Article 9, paragraph 4, of the Decree.</w:t>
      </w:r>
    </w:p>
    <w:p>
      <w:r>
        <w:t>93. That said, the new version of point 24 of the Guidelines subject to this evaluation presents a reformulation of the provisions aimed at providing some general indications regarding the composition of individual packages and the need for them to contain coinciding events, as well as the maximum number of packages that can be assigned to a single entity.</w:t>
      </w:r>
    </w:p>
    <w:p>
      <w:r>
        <w:t>94. More specifically, the criteria for the formation of the packages present in the Guidelines provide a general discipline concerning all packages (point 24, letter a, entitled "criteria common to all forms of transmission for domestic users and for commercial establishments of the events of the competitions organized by the Serie A Football League"), which reiterates what was already indicated in the previous version of the document regarding the criteria for package formation. However, the Serie A League has integrated further provisions for the "exclusive, real-time full transmissions for domestic users [emphasis added] of the images of the events of the Serie A Championship" (point 24, letter b).</w:t>
      </w:r>
    </w:p>
    <w:p>
      <w:r>
        <w:t>95. With reference to the criteria for the formation of the packages provided, letter b of point 24, applicable exclusively to full transmissions for domestic users of the Serie A Championship, introduces two criteria for determining the balance of the packages:</w:t>
        <w:br/>
        <w:t>a) Quantitative criterion: the smallest package includes at least one-third of the matches of the largest package, regardless of the mode of sale (33%-67%);</w:t>
        <w:br/>
        <w:t>b) Qualitative criterion: the smallest package of matches played in a single time window (not defined in the Guidelines) during the Championship, in a number of at least 30.</w:t>
      </w:r>
    </w:p>
    <w:p>
      <w:r>
        <w:t>96. Furthermore, in the case of platform sales or in the case of mixed sales, it is provided that the commercialization of the events includes a minimum of five and a maximum of twelve packages concerning the full transmission of the matches. The platforms are divided into three tiers (I. satellite; II. digital terrestrial; III. Internet and remaining platforms). In addition to the prohibition of a single buyer rule, there is a prohibition on acquiring exclusively a number of packages greater than the total number offered minus two, in the case of seven or more packages being prepared. Regarding the packages formed for the platform, there is a prohibition on acquiring packages that contain exclusively the same events from platforms belonging to all three tiers.</w:t>
      </w:r>
    </w:p>
    <w:p>
      <w:r>
        <w:t>97. In the case of "product" sales, it is provided that the commercialization of the events includes a minimum of three and a maximum of five packages concerning the exclusive full transmission of the matches, with a prohibition for a single operator to acquire exclusively all the packages containing the live broadcasts.</w:t>
      </w:r>
    </w:p>
    <w:p>
      <w:r>
        <w:t>98. It is believed that these criteria - although characterized by greater detail compared to the previous version - do not allow appreciating the actual balance that will be determined in the preparation of the packages and, therefore, to verify in concrete terms the compliance of the packages that will be defined in the invitation to offer with the aforementioned Article 8 of the Guidelines.</w:t>
      </w:r>
    </w:p>
    <w:p>
      <w:r>
        <w:t>99. It is noted that, regarding the degree of detail of the criteria for the formation of the packages, this must be evaluated in light of the need to provide a minimum number of information suitable to allow an assessment regarding compliance with the guiding principles of the Decree, as well as the limits set by it, with particular regard to the characteristics of the events – such as their degree of appeal – from which follows the possibility of proposing to the public the events of greater interest.</w:t>
      </w:r>
    </w:p>
    <w:p>
      <w:r>
        <w:t>100. In this regard, it is emphasized that subsequent to the publication of the invitations to offer, the eventual assessment of the compliance of the concrete declination of the packages remains unaffected, as well as the subsequent assignment of the rights, pursuant to national and community antitrust regulations and Article 8 of the Melandri Decree. The Authority, in fact, believes that national and community regulations on competition are sufficient to allow intervention where the Serie A League, in the concrete preparation of the packages and final assignment, does not adhere to the indications of the Authority and such behavior prejudices competition in the acquisition of specific rights and in the downstream markets, to the detriment of consumers.</w:t>
      </w:r>
    </w:p>
    <w:p>
      <w:r>
        <w:t>101. That said, regarding the criteria identified to preserve competitive balance, it is observed that these criteria must lead to the preparation of packages compliant with the principles of fairness, transparency, and non-discrimination, with specific reference to the actual balance between them, especially in qualitative terms and the appeal of the events. In particular, the packages related to exclusive rights should be prepared in a balanced manner to promote competition among operators, allowing them to propose to the public the events of greater interest.</w:t>
      </w:r>
    </w:p>
    <w:p>
      <w:r>
        <w:t>102. In this regard, as also noted in previous interventions12, the Authority prefers the preparation of packages "by platform," which appears likely to stimulate competition in downstream markets, particularly in pay-TV, allowing for the multiplication of platforms for the distribution of audiovisual products. It is worth highlighting, in fact, that the constraints provided by the Guidelines in the case of "product" sales are not suitable to avoid an imbalance of the packages, as they allow a single operator to acquire all packages except one. Conversely, platform sales are a mode that allows for effective competition, particularly regarding the consumer, who can choose among multiple competing offers without incurring additional costs arising from the need to subscribe to multiple subscriptions. Furthermore, such a mode of sale allows avoiding the recourse to subsequent sublicensing agreements which, in light of the prohibition set forth in Article 11 of the Decree, could present competitive issues.</w:t>
      </w:r>
    </w:p>
    <w:p>
      <w:r>
        <w:t>103. In this perspective, the process of preparing the packages "by platform" must take into account the needs for technological neutrality and ensure equal competitive comparison between traditional platforms and the internet platform. In this regard, the fact that transmission rights via the Internet platform are no longer considered "ancillary" to historical platforms is viewed favorably. To this end, it would be necessary to ensure, for the packages offered for sale on the different platforms, homogeneous conditions regarding the available functionalities, for example concerning the secondary rights of temporary recording, so that there is no discrimination between the rights granted to the different platforms concerning the same events.</w:t>
      </w:r>
    </w:p>
    <w:p>
      <w:r>
        <w:t>104. Furthermore, regarding the prohibition of acquiring audiovisual rights for all platforms, in the case where the packages for each platform differ in their composition, it is necessary to ensure that a single entity does not acquire a significant portion of the events for all platforms, considering that such events have not been offered for some platforms. In this sense, it is necessary to ensure that the invitations to offer indicate analytically the packages that cannot be acquired by the same entity for the three groups of platforms.</w:t>
      </w:r>
    </w:p>
    <w:p>
      <w:r>
        <w:t>105. With reference to the distinction between rights intended for domestic customers and commercial users, introduced for the first time in the Guidelines subject to this evaluation, it is noted that this is likely to operate a segmentation of the market by the Serie A League, considering it preferable that such a choice be left to the autonomous strategies of the assignees of the rights so as to allow the modes of enjoyment in the various market segments to be the result of a competitive mechanism among different operators.</w:t>
      </w:r>
    </w:p>
    <w:p>
      <w:r>
        <w:t>12 AGCM, provision no. 24879 of 9.4.2014 (Boll. 19/2014), paras. 56, 57.</w:t>
      </w:r>
    </w:p>
    <w:p>
      <w:r>
        <w:rPr>
          <w:b/>
        </w:rPr>
        <w:t>[Pages 130–132]</w:t>
      </w:r>
    </w:p>
    <w:p>
      <w:r>
        <w:t>132 BULLETIN NO. 19 OF MAY 22, 2017</w:t>
      </w:r>
    </w:p>
    <w:p>
      <w:r>
        <w:t>106. Nevertheless, should such differentiation be pursued, the Authority deems it necessary that the same guarantees apply to these last ones aimed at preventing the acquisition of all rights by a single entity (no single buyer rule) and the prohibition of the formation of dominant positions, in accordance with the Decree (specifically Articles 1, 6, 7, paragraph 8, and 9, paragraph 4 – the provisions of Article 24, letter a).</w:t>
      </w:r>
    </w:p>
    <w:p>
      <w:r>
        <w:t>107. Furthermore, it is necessary that, in the preparation of the packages, criteria similar to those for domestic customers are adopted, in order to avoid discrimination and ensuring that non-domestic customers can also benefit from effective competition among multiple platforms.</w:t>
      </w:r>
    </w:p>
    <w:p>
      <w:r>
        <w:t>108. In fact, even for the specific market segment of non-domestic users, a plurality of communication operators capable of preparing attractive and competing commercial offers must nonetheless be guaranteed. The assignment of all audiovisual rights, or a disproportionate part of them, related to non-domestic users to a single entity would result in harm to the consumer (non-domestic), as the outcome of the assignment would select, for the specific segment, a monopolist or in any case an operator capable of exercising its dominant position.</w:t>
      </w:r>
    </w:p>
    <w:p>
      <w:r>
        <w:t>109. With reference to the observations regarding the absence of a minimum price for the packages, indicated in the Inquiry into the audiovisual sector (IC41 - Inquiry into the audiovisual sector), it is noted that the present proceeding aims to verify the adequacy of the Guidelines to the principles and dictates of the Melandri Decree, which provides that the Guidelines indicate the criteria for the formation of packages and not more detailed information that is strictly related to the individual events included in each package. On this point, the importance of defining a minimum price appropriate to the content of each package must be emphasized, such as to minimize the possibility that the sale of one or more packages results in a negative outcome. Furthermore, the Lega Calcio must set the minimum prices for the packages in such a way as to prevent the provision of the option not to award any package in the absence of achieving the minimum price even for just one of them from artificially generating a minimum price for the overall offer that, as previously noted by the Authority, does not find support in the provisions of the Decree and would attribute to the Lega "excessive bargaining power and create a high degree of uncertainty for the participants in the procedures."13 In noting this, it is deemed necessary that the invitations to offer list in an analytical manner the relevant packages for the application of the provisions referred to in point 36 bis of the Guidelines regarding the non-awarding of any of the packages where the offers do not allow for the awarding of the entire system of exclusive audiovisual rights put up for sale. In particular, in order to have the least degree of uncertainty regarding the assignment procedures and to avoid that the tender rules are interpreted ex post with respect to the submission of offers, the invitations to offer must indicate all the packages that make up "the entire system of audiovisual rights," that is to say, the packages for which the Lega Calcio Serie A is entitled to call a new competitive procedure on all the rights put up for sale, if the minimum price is not reached.</w:t>
      </w:r>
    </w:p>
    <w:p>
      <w:r>
        <w:t>CONSIDERING that the Authority's power to assess the compliance of the invitations to offer and the procedure for the sale of the audiovisual rights subject to this proceeding with national and community antitrust regulations and Legislative Decree No. 9/2008 remains unaffected and to proceed with the verification of any violations of the aforementioned regulations in the event that Lega Serie A, in the concrete preparation of the packages and final assignment, does not comply with the indications of the Authority and such behavior harms competition in the acquisition of specific rights and in the downstream markets, to the detriment of consumers.</w:t>
      </w:r>
    </w:p>
    <w:p>
      <w:r>
        <w:t>CONSIDERING that the Guidelines under examination, on aspects related to the configuration of the packages, in order to be fully compliant with national and community antitrust regulations and the principles and provisions of Legislative Decree No. 9/2008, must take into account the indications formulated above;</w:t>
      </w:r>
    </w:p>
    <w:p>
      <w:r>
        <w:t>THEREFORE, it is deemed appropriate to approve, for the reasons and within the limits set out in the motivation, the Guidelines under examination pursuant to Article 6, paragraph 6, of Legislative Decree No. 9/2008;</w:t>
      </w:r>
    </w:p>
    <w:p>
      <w:r>
        <w:t>RESOLVES</w:t>
      </w:r>
    </w:p>
    <w:p>
      <w:r>
        <w:t>to approve, pursuant to Article 6, paragraph 6, of Legislative Decree No. 9/2008, for the reasons and within the limits set out in the motivation, the Guidelines of Lega Serie A submitted on April 3, 2017, concerning the commercialization of sports audiovisual rights related to the following national football competitions, organized by Lega Serie A for the seasons 2018/19, 2019/20, 2020/21: Serie A Championship, Coppa Italia, Supercoppa, Campionato Primavera, Coppa Italia Primavera, Supercoppa Primavera.</w:t>
      </w:r>
    </w:p>
    <w:p>
      <w:r>
        <w:t>This provision will be notified to the interested parties and will be published in the Authority's bulletin.</w:t>
      </w:r>
    </w:p>
    <w:p>
      <w:r>
        <w:t>THE SECRETARY GENERAL THE PRESIDENT</w:t>
      </w:r>
    </w:p>
    <w:p>
      <w:r>
        <w:t>Roberto Chieppa Giovanni Pitruzzella</w:t>
      </w:r>
    </w:p>
    <w:p>
      <w:r>
        <w:t>ACTIVITY OF REPORTING AND CONSULTATION</w:t>
      </w:r>
    </w:p>
    <w:p>
      <w:r>
        <w:t>AS1373 – CONSIP - PURCHASE SUPPLY OF BUSES AND RELATED AND OPTIONAL SERVICES</w:t>
      </w:r>
    </w:p>
    <w:p>
      <w:r>
        <w:t>Rome, December 12, 2016</w:t>
      </w:r>
    </w:p>
    <w:p>
      <w:r>
        <w:t>Ministry of Economy and Finance</w:t>
      </w:r>
    </w:p>
    <w:p>
      <w:r>
        <w:t>With reference to the request for an opinion, formulated pursuant to Article 22 of Law October 10, 1990, No. 287, by the Ministry of Economy and Finance, concerning the drafts of the tender notice and the related specifications for the purchase supply of buses and related and optional services – edition III, prepared by the Public IT Services Concessionaire – CONSIP S.p.A., it is communicated that the Antitrust Authority (hereinafter Authority), in its meeting of December 7, 2016, deemed that the provisions contained in these drafts are substantially compliant with the guidelines already expressed regarding tenders prepared by CONSIP S.p.A.</w:t>
      </w:r>
    </w:p>
    <w:p>
      <w:r>
        <w:t>In any case, the Authority reserves the right to evaluate the outcomes of the tender, should elements emerge during its conduct that could configure antitrust violations.</w:t>
      </w:r>
    </w:p>
    <w:p>
      <w:r>
        <w:t>THE SECRETARY GENERAL</w:t>
      </w:r>
    </w:p>
    <w:p>
      <w:r>
        <w:t>Roberto Chieppa</w:t>
      </w:r>
    </w:p>
    <w:p>
      <w:r>
        <w:rPr>
          <w:b/>
        </w:rPr>
        <w:t>[Pages 133–135]</w:t>
      </w:r>
    </w:p>
    <w:p>
      <w:r>
        <w:t xml:space="preserve">BULLETIN NO. 19 OF MAY 22, 2017 135  </w:t>
        <w:br/>
        <w:t xml:space="preserve">AS1374 - AUTONOMOUS PROVINCE OF TRENTO - AMENDMENTS TO THE PROVINCIAL LAW ON QUARRIES 2006 AND RELATED PROVINCIAL PROVISIONS  </w:t>
        <w:br/>
        <w:t xml:space="preserve">Rome, April 12, 2017  </w:t>
        <w:br/>
        <w:t xml:space="preserve">Presidency of the Council of Ministers  </w:t>
        <w:br/>
        <w:t xml:space="preserve">With reference to the request for an opinion formulated by your Department regarding the provisions of the Law of the Autonomous Province of Trento of February 10, 2017, no. 1, entitled "Amendments to the provincial law on quarries 2006 and related provincial provisions" (hereinafter also the Law), the Authority, in the meeting of March 22, 2017, intended to formulate the following observations pursuant to Article 22 of Law no. 287/90.  </w:t>
        <w:br/>
        <w:t xml:space="preserve">The Authority believes that some provisions of the aforementioned Provincial Law, which consists of 47 articles, divided into three Chapters, are to be considered in conflict with national and community principles regarding competition and, therefore, present profiles of unconstitutionality for violation of Article 117, paragraph 2, letter e), of the Constitution.  </w:t>
        <w:br/>
        <w:t xml:space="preserve">In particular, Article 1 bis (Protection of labor in quarries) provides that: “[..] this law protects labor in the activities of extraction and processing of quarry materials, through measures aimed at guaranteeing the rights of workers, health and safety in the workplace, and employment, such as, in particular:  </w:t>
        <w:br/>
        <w:t xml:space="preserve">a) the introduction of obligations for processing using one's own employees;  </w:t>
        <w:br/>
        <w:t xml:space="preserve">b) the introduction of communication obligations regarding the subjects that carry out secondary processing […]”.  </w:t>
        <w:br/>
        <w:t xml:space="preserve">More specifically, Article 11 bis “Object of the concession and contents of the specifications”, relating to the object of quarry activity, the essential content of the specifications, and its duration, in paragraph 4, provides: “For porphyry quarries, the concession specifications necessarily provide for:  </w:t>
        <w:br/>
        <w:t xml:space="preserve">a) the prohibition of transfer of ownership, in any form, of the tout-venant material, the obligation to process this material using one's own employees, and the prohibition of transferring ownership, in any form, of the waste material resulting from the sorting activity to subjects engaged in secondary processing of the material;  </w:t>
        <w:br/>
        <w:t xml:space="preserve">b) the prohibition of transfer of ownership, in any form, of the semi-finished material resulting from the first processing that requires a second processing phase for the production of products such as cubes, binders, and tiles, hereinafter referred to as raw material, and the obligation to carry out this second processing phase using one's own employees, without prejudice to what is provided for in letter c);  </w:t>
        <w:br/>
        <w:t xml:space="preserve">c) the possibility of transferring ownership, in any form, or processing without using one's own employees, of a percentage of raw material not exceeding 20 percent of the total, calculated on an annual basis;  </w:t>
        <w:br/>
        <w:t xml:space="preserve">d) the obligations and methods of communication of the concessionaire to the granting municipality regarding the extracted materials and the use of these materials;  </w:t>
        <w:br/>
        <w:t xml:space="preserve">e) when the concessionaire transfers ownership, in any form, of the raw material, according to what is provided for in letter c), the obligation and methods of communication to the granting municipality, prior to the transfer of the material, of the quantities of material whose ownership is being transferred and the name of the recipient of the material;  </w:t>
        <w:br/>
        <w:t xml:space="preserve">f) when the concessionaire processes the raw material without using one's own employees, according to what is provided for in letter c), the obligation and methods of communication to the granting municipality, prior to the start of processing, of the name of the person in charge of processing and the quantity of material entrusted for processing”.  </w:t>
        <w:br/>
        <w:t xml:space="preserve">Such provisions, insofar as they significantly limit the freedom of the concession holder to dispose of the extracted material (to the extent of 80% of the annual quantities of extracted material), while being allegedly justified by the protection of employment and the objective of promoting the development of the supply chain, represent restrictions on the marketing and circulation of the products in question, contrary to competition regulations.  </w:t>
        <w:br/>
        <w:t xml:space="preserve">In this regard, it is noted that in the balancing between the two opposing needs, the necessary proportionality of the measure taken must be guaranteed, and this does not appear to be the case here. In fact, the 80% of the extracted material, with respect to which the holder suffers the aforementioned restriction, undoubtedly represents the predominant part of the product available after extraction. Therefore, from a proportionality perspective, provincial employment could certainly be guaranteed in a less restrictive manner regarding competition.  </w:t>
        <w:br/>
        <w:t xml:space="preserve">To ensure compliance with the aforementioned provision, the law has also introduced specific sanctions, as per Article 291, and the forfeiture of the concession or its revocation, if the concession holder has violated this regulation three times.  </w:t>
        <w:br/>
        <w:t xml:space="preserve">The Authority therefore believes that for the reasons identified above, the aforementioned provisions of the law of the Province of Trento no. 1/17, within the limits outlined above, should be considered in conflict with national and community principles regarding competition and, therefore, present profiles of unconstitutionality for violation of Article 117, paragraph 2, letter e).  </w:t>
        <w:br/>
        <w:t xml:space="preserve">1 “from €1,500 to €9,000 for each violation among the following:  </w:t>
        <w:br/>
        <w:t xml:space="preserve">1) in the case of concession: transfer of ownership, in any form, or processing without using one's own employees of the tout-venant material or transfer of ownership, in any form, of the waste material resulting from the sorting activity to subjects engaged in secondary processing of the material;  </w:t>
        <w:br/>
        <w:t>2) in the case of concession: transfer of ownership, in any form, or processing without using one's own employees of a percentage of raw material exceeding the percentage provided for by this law, calculated on an annual basis”.</w:t>
      </w:r>
    </w:p>
    <w:p>
      <w:r>
        <w:t xml:space="preserve">BULLETIN NO. 19 OF MAY 22, 2017 137  </w:t>
        <w:br/>
        <w:t xml:space="preserve">This opinion will be published in the Bulletin referred to in Article 26 of Law no. 287/90, unless any reasons opposing publication are represented within 30 days from the receipt of this communication.  </w:t>
        <w:br/>
        <w:t xml:space="preserve">THE PRESIDENT  </w:t>
        <w:br/>
        <w:t>Giovanni Pitruzzella</w:t>
      </w:r>
    </w:p>
    <w:p>
      <w:r>
        <w:rPr>
          <w:b/>
        </w:rPr>
        <w:t>[Pages 136–138]</w:t>
      </w:r>
    </w:p>
    <w:p>
      <w:r>
        <w:t>138 BULLETIN NO. 19 OF MAY 22, 2017</w:t>
      </w:r>
    </w:p>
    <w:p>
      <w:r>
        <w:t>UNFAIR TRADE PRACTICES</w:t>
      </w:r>
    </w:p>
    <w:p>
      <w:r>
        <w:t>PS10212 - PROSERPINA FOUNDATION - UNRECOGNIZED ROMANIAN UNIVERSITY</w:t>
      </w:r>
    </w:p>
    <w:p>
      <w:r>
        <w:t>Provision No. 26440</w:t>
      </w:r>
    </w:p>
    <w:p>
      <w:r>
        <w:t>THE ANTITRUST AUTHORITY</w:t>
      </w:r>
    </w:p>
    <w:p>
      <w:r>
        <w:t>IN ITS MEETING of March 1, 2017;</w:t>
      </w:r>
    </w:p>
    <w:p>
      <w:r>
        <w:t>HEARD the Rapporteur Dr. Gabriella Muscolo;</w:t>
      </w:r>
    </w:p>
    <w:p>
      <w:r>
        <w:t>HAVING REGARD to Part II, Title III, of Legislative Decree No. 206 of September 6, 2005, containing the "Consumer Code" and subsequent amendments (hereinafter, Consumer Code);</w:t>
      </w:r>
    </w:p>
    <w:p>
      <w: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HAVING REGARD to its provisions of February 17, June 8, August 4, September 8, October 20, and December 21, 2016, by which, pursuant to Article 7, paragraph 3, of the Regulation, the Authority resolved to extend the deadline for the conclusion of the proceeding;</w:t>
      </w:r>
    </w:p>
    <w:p>
      <w:r>
        <w:t>HAVING REGARD to the acts of the proceeding;</w:t>
      </w:r>
    </w:p>
    <w:p>
      <w:r>
        <w:t>I. THE PARTIES</w:t>
      </w:r>
    </w:p>
    <w:p>
      <w:r>
        <w:t>1. Proserpina Foundation, which has become Fondo Proserpina S.r.l.1 (hereinafter also Fondo Proserpina), in its capacity as a professional, pursuant to Article 18, letter b), of the Consumer Code. Based on the balance sheet as of December 31, 2015, provided by the Party, the revenue of Fondo Proserpina S.r.l. amounts to approximately 197,000 euros.</w:t>
      </w:r>
    </w:p>
    <w:p>
      <w:r>
        <w:t>2. "Dunarea de Jos" University, in its capacity as a professional, pursuant to Article 18, letter b), of the Consumer Code.</w:t>
      </w:r>
    </w:p>
    <w:p>
      <w:r>
        <w:t>3. Ministry of Education, University and Research (hereinafter also MIUR), in its capacity as notifier.</w:t>
      </w:r>
    </w:p>
    <w:p>
      <w:r>
        <w:t>II. THE COMMERCIAL PRACTICES</w:t>
      </w:r>
    </w:p>
    <w:p>
      <w:r>
        <w:t>4. The proceeding concerns the behaviors carried out by Fondo Proserpina and "Dunarea de Jos" University consisting, respectively, of:</w:t>
      </w:r>
    </w:p>
    <w:p>
      <w:r>
        <w:t>a) dissemination, through the website www.fondazioneproserpina.it, and subsequently on the website www.fproserpina.it, of an advertising message promoting two degree courses in the medical-health field, suggesting the possibility of obtaining degrees that will be valid in all countries of the European Union. In particular, the professional, in providing on the aforementioned site a general information about two new degree courses in "Medicine and Surgery" and "Health Professions" to be held in Enna, starting from the academic year 2015/2016, suggests that the outcome will be the attainment of degrees having value in all EU countries without the need for further validations. Furthermore, the subject of the proceeding has been expanded regarding further statements disseminated also via the web on the site www.fproserpina.it concerning the contents of the order of the Court of Caltanissetta of June 22, 2016, which would have legitimized the continuation of educational activities related to the degree courses in question.</w:t>
      </w:r>
    </w:p>
    <w:p>
      <w:r>
        <w:t>b) dissemination of printed advertising material on the degree courses in question, during the festival of Unity held at the end of August 2016 at Villa Bellini – Catania, containing substantially similar content to that advertised on the Fondo Proserpina website.</w:t>
      </w:r>
    </w:p>
    <w:p>
      <w:r>
        <w:t>III. THE OUTCOMES OF THE PROCEEDING</w:t>
      </w:r>
    </w:p>
    <w:p>
      <w:r>
        <w:t>1) The course of the proceeding</w:t>
      </w:r>
    </w:p>
    <w:p>
      <w:r>
        <w:t>Preliminary activities</w:t>
      </w:r>
    </w:p>
    <w:p>
      <w:r>
        <w:t>5. Following a report received from the MIUR, the contents of the page "Faculty of Medicine and Pharmacy" of the website www.fondazioneproserpina.it were acquired on October 28, 2015, which, in providing a general overview of the degree courses in question, highlight that "the degree obtained at the end of the degree courses will be valid in all countries of the European Union without the need for further validations."</w:t>
      </w:r>
    </w:p>
    <w:p>
      <w:r>
        <w:t>Investigative activities</w:t>
      </w:r>
    </w:p>
    <w:p>
      <w:r>
        <w:t>6. In relation to the conduct described above, on November 11, 2015, the initiation of investigative proceeding No. PS10212 for possible violation of Articles 20, 21, and 22 of the Consumer Code was communicated to Proserpina Foundation. In this context, the misleading nature of the message disseminated via the internet was particularly hypothesized, which, in signaling the opening in Enna, by the Romanian University "Dunarea de Jos" of Galati, of a university extension of its Faculty of Medicine and Pharmacy and the start of two degree courses in the medical-health area, would assert without any reservation that the degree obtained at the end of the courses will be valid in all EU countries, without the need for further validations.</w:t>
      </w:r>
    </w:p>
    <w:p>
      <w:r>
        <w:t>7. Concurrently with the communication of the initiation of the proceeding, a request for information was made to the professional.</w:t>
      </w:r>
    </w:p>
    <w:p>
      <w:r>
        <w:t>8. On November 26, 2015, the Party responded to the request for information by producing a defensive memorandum.</w:t>
      </w:r>
    </w:p>
    <w:p>
      <w:r>
        <w:t>9. On January 25, 2016, the home page of the website www.fondazioneproserpina.it was acquired, which was found to be "under maintenance."</w:t>
      </w:r>
    </w:p>
    <w:p>
      <w:r>
        <w:t>10. On February 17, 2016, the Authority resolved, pursuant to Article 7, paragraph 3, of the Regulation, to extend the deadline for the conclusion of the proceeding to June 8, 2016, for specific investigative needs.</w:t>
      </w:r>
    </w:p>
    <w:p>
      <w:r>
        <w:t>11. On April 5, 2016, the Parties were informed of the conclusion date of the investigative phase pursuant to Article 16, paragraph 1, of the Regulation.</w:t>
      </w:r>
    </w:p>
    <w:p>
      <w:r>
        <w:t>12. On April 18, 2016, Fondo Proserpina submitted an additional memorandum and a simultaneous request for a hearing.</w:t>
      </w:r>
    </w:p>
    <w:p>
      <w:r>
        <w:t>13. On April 21, 2016, the professional was heard in a hearing.</w:t>
      </w:r>
    </w:p>
    <w:p>
      <w:r>
        <w:t>14. On May 20, 2016, the professional communicated that on May 13, 2016, a hearing was held at the Court of Caltanissetta regarding the appeal filed by the MIUR, reserving the right to produce the related order as soon as it was filed.</w:t>
      </w:r>
    </w:p>
    <w:p>
      <w:r>
        <w:t>15. On June 8, 2016, the Authority resolved to extend the deadline for the conclusion of the proceeding to August 7, 2016, in order to acquire the aforementioned order, a copy of which was requested from the Court of Caltanissetta.</w:t>
      </w:r>
    </w:p>
    <w:p>
      <w:r>
        <w:t>16. On July 20, 2016, the professional sent a copy of the decision adopted on June 22, 2016, by the Court of Caltanissetta, transmitting the following day the judgment of the Court of Justice of the European Union of November 13, 2003, related to the European School of Economics (sanctioned by the Authority with decision No. 19625 of 2009).</w:t>
      </w:r>
    </w:p>
    <w:p>
      <w:r>
        <w:t>17. On July 26, 2016, the Parties were informed of the new deadline for the conclusion of the investigative phase pursuant to Article 16, paragraph 1, of the Regulation.</w:t>
      </w:r>
    </w:p>
    <w:p>
      <w:r>
        <w:t>18. On August 1, 2016, the MIUR communicated that the Court of Caltanissetta, with the order of June 22, 2016, found the complaints of the Ministry to be well-founded regarding the profile of fumus boni iuris, stating that the initiative regarding the establishment of a medical faculty in Enna by the University "Dunarea de Jos" and the Proserpina Foundation is in contrast with national and community regulations.</w:t>
      </w:r>
    </w:p>
    <w:p>
      <w:r>
        <w:t>19. On August 5, 2016, the Authority resolved to extend the deadline for the conclusion of the proceeding to September 6, 2016, in order to ensure the Parties' right to defense regarding the content of the order of the Court of Caltanissetta of June 22, 2016.</w:t>
      </w:r>
    </w:p>
    <w:p>
      <w:r>
        <w:t>20. On September 6, 2016, the Authority resolved to extend the deadline for the conclusion of the proceeding to November 5, 2016, as it was deemed necessary to proceed with the objective extension of the proceeding, in relation to the statements published on the website www.fproserpina.it following the order issued by the Court of Caltanissetta on June 22, 2016. On the same date of September 6, 2016, the MIUR reported a video found on the website of "La Repubblica"2, from which it would emerge, based on statements made during an interview, the dissemination, during the festival of Unity held in Catania at the end of August 2016, of informational material that would misleadingly use the reference to the order of the Court of Caltanissetta in order to assert the validity of the academic degrees issued following attendance of the aforementioned courses of study.</w:t>
      </w:r>
    </w:p>
    <w:p>
      <w:r>
        <w:t>21. Consequently, on September 8, 2016, the extension of the proceeding was communicated to the parties.</w:t>
      </w:r>
    </w:p>
    <w:p>
      <w:r>
        <w:t>22. In a memorandum received on September 9, 2016, Fondo Proserpina stated that the aforementioned informational material, from the perspective of the correct attribution of any responsibilities, would be attributable to "Dunarea de Jos" University.</w:t>
      </w:r>
    </w:p>
    <w:p>
      <w:r>
        <w:t>23. On October 11, the extension of the proceeding against the Romanian University "Dunarea de Jos" was communicated.</w:t>
      </w:r>
    </w:p>
    <w:p>
      <w:r>
        <w:t>24. On October 19, 2016, the Authority resolved to extend the deadline for the conclusion of the proceeding to January 4, 2017, as particular investigative needs were deemed to exist, considering the necessity to carry out further acts consequent to the subjective extension against the Romanian University "Dunarea de Jos," ensuring the Parties a reasonable time to exercise their right to defense.</w:t>
      </w:r>
    </w:p>
    <w:p>
      <w:r>
        <w:t>2 The video was acquired in the file with progressive number 53 and contains an interview given by the legal representative of Fondo Proserpina, at a gazebo during the festival of Unity held in Catania at the end of August 2016, during which promotional activities for the aforementioned health courses would be carried out through the dissemination of informational material.</w:t>
      </w:r>
    </w:p>
    <w:p>
      <w:r>
        <w:rPr>
          <w:b/>
        </w:rPr>
        <w:t>[Pages 139–141]</w:t>
      </w:r>
    </w:p>
    <w:p>
      <w:r>
        <w:t>BULLETIN NO. 19 OF MAY 22, 2017 141</w:t>
      </w:r>
    </w:p>
    <w:p>
      <w:r>
        <w:t>25. In relation to the aforementioned subjective extension, the "Dunarea de Jos" University presented its defensive arguments with memoranda received on October 31, 20163 and November 2, 20164.</w:t>
      </w:r>
    </w:p>
    <w:p>
      <w:r>
        <w:t>26. On November 21, 2016, the parties were informed of the new date for the conclusion of the investigative phase5.</w:t>
      </w:r>
    </w:p>
    <w:p>
      <w:r>
        <w:t>27. On December 5, 2016, Fondo Proserpina submitted a brief memorandum in which it transmitted the documentation related to the transfer and enrollment in the 2nd Year of the Degree in Medicine and Surgery, subject to validation of the exams taken in the 1st year at the University of Siena, of a student who had attended the 1st year of the courses taught in Enna by the "Dunarea de Jos" University. A similar situation would have concerned four other students for whom it was requested that the Authority verify the truthfulness of what was highlighted. On December 6, 2016, Fondo Proserpina and the "Dunarea de Jos" University were heard in a hearing during which the professionals made a request for suspension of the deadline for the conclusion of the proceeding in relation to the asserted necessity not only to ascertain the veracity of the aforementioned student transfers but also to await the ruling on an appeal filed by Dunarea de Jos with the Lazio TAR against the MIUR for the alleged unlawful conduct of that ministry regarding the conduct of the Courses in Enna and regarding the alleged invalidity and non-"recognizability" of the degrees, as well as the decision on a complaint filed by Fondo Proserpina with the EU Commission to ascertain the responsibility of the Italian State regarding an alleged violation of community regulations.</w:t>
      </w:r>
    </w:p>
    <w:p>
      <w:r>
        <w:t>28. On December 21, 2016, the Authority resolved to extend the deadline for the conclusion of the proceeding to March 5, 2017, in order to allow the Parties to exercise their right of defense by producing any useful elements for the decision regarding the issues subject to the aforementioned request for suspension.</w:t>
      </w:r>
    </w:p>
    <w:p>
      <w:r>
        <w:t>29. On February 7, 2017, the professionals submitted a defensive note requesting an additional extension of the deadline for the conclusion of the proceeding to await the conclusion of the indicated procedures initiated by them before the Lazio TAR and the EU Commission.</w:t>
      </w:r>
    </w:p>
    <w:p>
      <w:r>
        <w:t>2) The evidence acquired</w:t>
      </w:r>
    </w:p>
    <w:p>
      <w:r>
        <w:t>a) Internet messages</w:t>
      </w:r>
    </w:p>
    <w:p>
      <w:r>
        <w:t>30. As evidenced by official surveys conducted on October 28, 2015, on the homepage of the website www.fondazioneproserpina.it, registered in the name of the same entity, accessing the page titled "Faculty of Medicine and Pharmacy," containing information about the degree courses in question, the following message appears: "The 'Dunarea de Jos' University of Galati, Romania, opens a university extension of its Faculty of Medicine and Pharmacy in Enna with degree courses in Medicine and Health Professions starting from this Academic Year 2015/2016. The degree obtained at the end of the degree courses will be valid in all countries of the European Union without the need for further validations (Legislative Decree 17/08/1999, no. 368 – Directives 97/50/EC – 98/21/EC - 98/63/EC - Dir.Com. 36/2005). The organization of the courses will be managed by the Proserpina Foundation of Enna. The degree courses opened at the Enna location will be as follows: 3 Cf. doc. 64 4 Cf. doc. 65 5 Communication of the conclusion of the investigative phase (Cf. Doc. 68)</w:t>
      </w:r>
    </w:p>
    <w:p>
      <w:r>
        <w:t>142 BULLETIN NO. 19 OF MAY 22, 2017</w:t>
      </w:r>
    </w:p>
    <w:p>
      <w:r>
        <w:t>- Medicine and Surgery (duration 6 years) - Health Professions (duration 4 years) A minimum of 60 students per degree course will be admitted, subject to passing the entrance test. Both degree courses will be held entirely in Romanian. In this regard, an intensive language course of ten weeks (360 hours) will be activated starting from October 12, 2015, at the end of which a language proficiency certificate will be issued upon passing the final exam... For access to the entrance test for the degree courses, it is necessary to pass the intensive Romanian language course with the following grades: - 7/10 for the degree course in Medicine and Surgery - 6/10 for the degree course in Health Professions. The annual fees for the two degree courses are as follows: - Medicine and Surgery: €9,400 - Health Professions: €4,800."</w:t>
      </w:r>
    </w:p>
    <w:p>
      <w:r>
        <w:t>31. By note dated August 1, 2016, the MIUR reported that on the website www.fproserpina.it it was erroneously advertised that the Court of Caltanissetta had legitimized the continuation of the educational activities related to the courses in medicine and surgery and health professions. From surveys conducted on August 2, 2016, the professional's site, transferred to the different address www.fproserpina.it, reproduces the same message reported above, also stating that: "Following the proceeding no. 2703/2015 (http://www.fproserpina.it/wp-content/uploads/2016/03/Procedimento-27032015.pdf) of the general civil litigation role promoted by the Ministry of Education, Universities and Research, aimed at closing the Faculty of Medicine and Pharmacy of the 'Dunarea de Jos' University of Galati at the branch office in Enna, the civil section of the Court of Caltanissetta rejected the appeal, thus legitimizing the continuation of educational activities. Subsequently, the Ministry of Education, Universities and Research, promoted a civil appeal against the first-instance ruling. On July 19, 2016, it was notified that the civil section of the Court of Caltanissetta rejected the appeal, reaffirming even in the second instance the defeat of the MIUR and the legitimacy of the courses."</w:t>
      </w:r>
    </w:p>
    <w:p>
      <w:r>
        <w:t>b) The informational material disseminated during the festival of Unity held in Catania at the end of August 2016</w:t>
      </w:r>
    </w:p>
    <w:p>
      <w:r>
        <w:t>32. By communication received on September 6, 2016, the MIUR reported that the dissemination of misleading information to consumers regarding the contents of the order of the Court of Caltanissetta also occurred through the distribution of informational material during the festival of Unity held at the end of August 2016 in Catania. By memorandum received on September 9, 2016, Fondo Proserpina transmitted the aforementioned informational material, consisting of a sheet titled "Faculty of Medicine and Pharmacy" (hereinafter "informational sheet"), a second sheet titled "You have another chance, seize it" (hereinafter "informational sheet2"), and an additional document bearing the heading "Universitas Galatiensis" (hereinafter "informational totem"). In particular, the "informational sheet" – reports, among other things, the following statements:</w:t>
      </w:r>
    </w:p>
    <w:p>
      <w:r>
        <w:t>BULLETIN NO. 19 OF MAY 22, 2017 143</w:t>
      </w:r>
    </w:p>
    <w:p>
      <w:r>
        <w:t>"The Dunarea de Jos University of Galati, Romania, has opened its branch in Enna since the Academic Year 2015/2016 of the Faculty of Medicine and Pharmacy [...] Subsequently, the Ministry of Education, Universities and Research promoted a civil appeal against the first-instance ruling. On July 19, 2016, it was notified that the civil section of the Court of Caltanissetta rejected the appeal, reaffirming even in the second instance the defeat of the MIUR and the legitimacy of the courses." The informational totem, on the other hand, – reports, among other things, the following statement: "The degree obtained at the end of the degree courses will be valid in all countries of the European Union without the need for further validations."</w:t>
      </w:r>
    </w:p>
    <w:p>
      <w:r>
        <w:t>33. In this regard, Fondo Proserpina, in the aforementioned memorandum, reported that the informational material in question, from the perspective of the correct attribution of any responsibilities, is attributable to the "Dunarea de Jos" University.</w:t>
      </w:r>
    </w:p>
    <w:p>
      <w:r>
        <w:t>c) The regulatory framework on the recognition of foreign degrees for professional purposes</w:t>
      </w:r>
    </w:p>
    <w:p>
      <w:r>
        <w:t>34. The recognition of foreign degrees in the national legal system, for the purpose of exercising professional activities, requires the prior completion of a specific procedure provided for by Legislative Decree No. 206 of November 9, 2007, regarding the recognition of professional qualifications, implementing Directive 2005/36/EC. In particular, for the purpose of recognition, an integrative measure may be required, such as an aptitude test or an adaptation internship. Pursuant to Article 170 of Royal Decree No. 1592 of 1993, in the absence of recognition, the foreign university degree has no autonomous legal value in Italy.</w:t>
      </w:r>
    </w:p>
    <w:p>
      <w:r>
        <w:t>d) The order of the Court of Caltanissetta of June 22, 2016</w:t>
      </w:r>
    </w:p>
    <w:p>
      <w:r>
        <w:t>35. By order of June 22, 2016, the Court of Caltanissetta – while rejecting the appeal filed by the MIUR, having deemed the profile of periculum in mora lacking – considered the existence of the presumption of fumus boni iuris, albeit with the limits proper to the assessment in the precautionary phase of the judgment, based on the following considerations: - there is an abuse of European Union law in relation to the activation at the Enna location of a degree course in medicine and health professions; - Article 49 of the TFEU imposes the obligation to observe the conditions defined by the host country towards its citizens; - it is not possible to carry out in the territory of a member state an activity exempt from the sector regulation of the host state and, conversely, regulated by the legal system of the country of origin; - pursuant to Article 54 of the TFEU, the freedom to access and carry out self-employed activities, establish and manage enterprises is guaranteed under the same conditions as those of the citizens and companies of the host country; - it does not seem possible to open a stable delocalized university branch with its own teachers – in this case Romanian and with lessons in Romanian, without the need for any authorization and outside the Italian university system; - foreign universities can carry out their activities in Italy within the limits set by Law 4/1999 and thus with the possibility of affiliation, but certainly not with the opening of a "delocalized" branch free from any form of authorization or recognition by the authorities of the host country. In this context, the thesis that the activity carried out in Italy...</w:t>
      </w:r>
    </w:p>
    <w:p>
      <w:r>
        <w:rPr>
          <w:b/>
        </w:rPr>
        <w:t>[Pages 142–144]</w:t>
      </w:r>
    </w:p>
    <w:p>
      <w:r>
        <w:t>144 BULLETIN NO. 19 OF MAY 22, 2017</w:t>
      </w:r>
    </w:p>
    <w:p>
      <w:r>
        <w:t xml:space="preserve">from the University Dunarea de Jos would be a form of delocalization of teaching courses represents a linguistic expedient; </w:t>
        <w:br/>
        <w:t xml:space="preserve">- the one opened at the Enna location must be considered a true university branch; </w:t>
        <w:br/>
        <w:t xml:space="preserve">- the activity carried out cannot be traced back to the free provision of services, as established by Article 56 of the TFEU, since it does not involve services provided by entities from Member States established in a Member State different from that of the recipient of the service; </w:t>
        <w:br/>
        <w:t xml:space="preserve">- in the case at hand, the educational activity and the university study course have a stable organization and execution in Italy, the country receiving the service; </w:t>
        <w:br/>
        <w:t xml:space="preserve">- even if one were to invoke the principle of free movement of services, in any case, pursuant to Article 56 of the TFEU, the execution should take place under the same conditions imposed by that State on its own citizens; </w:t>
        <w:br/>
        <w:t>- the opening of a university course branch constitutes a manifestation and expression of the right of establishment which, as such, can only occur in the forms, modalities, and within the limits set forth in Article 49 of the TFEU.</w:t>
      </w:r>
    </w:p>
    <w:p>
      <w:r>
        <w:t>3) The defensive arguments of Fondo Proserpina</w:t>
      </w:r>
    </w:p>
    <w:p>
      <w:r>
        <w:t xml:space="preserve">36. Fondo Proserpina has presented its defensive arguments through memoranda received on November 26, 2015, April 18, July 20 and 21, September 9, and December 5, 2016, and February 7, 2017. </w:t>
        <w:br/>
        <w:t xml:space="preserve">37. According to what was represented by the professional, the degree courses in question are conducted in Enna in full autonomy by the Romanian University "Dunarea de Jos" while Fondo Proserpina would only deal with logistical and organizational aspects. The Romanian University conducts its courses in Enna, following a positive evaluation by the Romanian evaluation agency A.R.A.C.I.S. and prior authorization under the decree of the Romanian Government of September 23, 2015, and, within the numerical limits of students allowed by the Romanian university system, will issue a Romanian degree, not an Italian one. The Romanian University - the professional further argues - would act based on Article 49 of the TFEU which recognizes the unconditional and non-contingent right of establishment and, regarding the degrees issued by it upon completion of said courses, their recognition, also for the exercise of the related health profession, in Italy and in all other EU Member States, would be automatic and provided for by Directive No. 36/2005/EC. In this specific case, therefore, according to the Party, Ministerial Decree No. 214/2004 would not apply as it does not implement community regulations, but rather the Lisbon Convention of 1997 and, therefore, would be superseded and devoid of content concerning the EU Member States for which the subsequent regulation would be that of the aforementioned Directive No. 36/2005/EC. </w:t>
        <w:br/>
        <w:t xml:space="preserve">38. In support of its reasons, Fondo Proserpina transmitted, on February 10, 2016, a copy of the Order issued on January 28, 2016, by the Judge of the Civil Court of Caltanissetta (seized with an application from the MIUR) which rejected, for lack of urgency requirements, the precautionary request regarding the illegitimacy of the Medicine and Surgery Courses in question. In this context, the Party points out that "the Judge, not only ruling on the alleged reasons for urgency but also assessing the merits of the application, acknowledges the legitimacy of the activities of the Medicine and Surgery Courses conducted in Enna by the Romanian University 'Dunarea de Jos'; legitimacy assessed - with all its consequences - both in relation to Italian national regulations and in relation to community regulations regarding freedom of establishment and recognition of the relevant degrees." </w:t>
        <w:br/>
        <w:t>39. On April 21, 2016, a hearing was held during which the Party substantially reiterated its reasons, already extensively presented in the defensive memoranda submitted and, in particular, that: 1) the legitimacy of the public notice in question is a direct expression of Article 49 TFEU which provides for the free and unconditional recognition of the right of establishment; 2) the automatic recognition of the degrees "degree in medicine and surgery" is provided for by Article 12 of Directive No. 36/2005 and does not require any authorization from any national authority; 3) Ministerial Decree No. 214 of 2004 has no relevance for the assessment of the specific case as it predates the 2005 Directive and does not constitute community law, either original or derived; said Decree is the implementation of the ratification law of the Lisbon Convention of 1997 concerning the recognition of degrees issued by universities of non-EU countries. In this context, the Party pointed out several judgments of the Court of Justice of the EU concerning requests for preliminary rulings regarding companies and the exercise of the right of establishment.6 On July 21, 2016, the professional produced the judgment of the Court of Justice of the European Union of November 13, 2003, regarding the European School of Economics, which the Party believes is comparable to the case at hand. On December 5, 2016, Fondo Proserpina produced an additional note reporting the transfer to other Italian universities - with enrollment in the second year of the Medicine and Surgery course, following validation of the exams taken - of five students who attended the first year of the courses taught in Enna by the University Dunarea de Jos (attached is a clearance for transfer from the University of Siena by a student). From this, the professional concludes that there is no misleading content or character in the messages in question, as the state universities have, on one hand, recognized the legitimacy and quality of the courses taught in Enna and, on the other hand, acknowledged that the same teachings legitimately lead to the attainment of a degree automatically recognizable, in Italy, for its legal value.</w:t>
      </w:r>
    </w:p>
    <w:p>
      <w:r>
        <w:t>4) The defensive arguments of the University "Dunarea de Jos"</w:t>
      </w:r>
    </w:p>
    <w:p>
      <w:r>
        <w:t>40. The University "Dunarea de Jos" has presented its defensive arguments through memoranda received on October 31, November 2 and 15, 2016, and lastly on February 7, 2017. In providing a series of statistical data regarding the influx of students from EU Member States attending courses at the University Dunarea de Jos7, the Party emphasized that "the competent Italian Authorities have never denied the recognition in Italy of the validity of the degree obtained in Romania (based on EU Directive No. 36/2005) for the exercise of the related profession" and that it cannot be seen what legitimate discriminating element could exist between students obtaining a degree in Romania and students obtaining the same degree issued by Romanian universities, based on the same teaching courses that, instead of being physically conducted in Romania, are physically conducted in any other place within the "territory" of the European Union, or how, in such a second hypothesis, it could conflict with Italian national regulations and/or affect the discipline of the so-called "numerus clausus" existing in Italy. Furthermore, with the memorandum of November 10, 20168, the University produced copies of certain documents, as they would be relevant regarding the applicability of the automatic recognition in Italy of the degree under EU Directive No. 36 of 2005. These include, in particular, the Decree of the Romanian Council of Ministers authorizing "Dunarea de Jos" to conduct Medicine and Surgery and Health Professions courses in Enna, and the Report of positive evaluation issued by the Romanian agency for the evaluation of teaching and research quality. Additionally, in presenting a copy of the appeal (No. 9844/2016) filed with the Regional Administrative Court of Lazio by the same University against the MIUR for the alleged illegitimate conduct regarding the conduct of the Courses in Enna and regarding the claim of invalidity and non-recognition of the degrees, the Party pointed out the necessity to await the prejudicial conclusion of the aforementioned administrative judgment, as well as the conclusion of the other ongoing procedure before the EU Commission, aimed at ascertaining the responsibility of the Italian State for violation of community regulations, before adopting any conclusive decision in the ongoing proceeding.</w:t>
      </w:r>
    </w:p>
    <w:p>
      <w:r>
        <w:t>5) The position of the MIUR regarding the courses in question</w:t>
      </w:r>
    </w:p>
    <w:p>
      <w:r>
        <w:t xml:space="preserve">41. The Ministry believes that the activation of teaching activities by the professional is not in compliance with the internal and international regulatory framework and that, therefore, the degrees that will be issued cannot have any value or possibility of recognition for academic or professional purposes. It also points out that foreign universities can operate on national territory according to two distinct modalities, in relation to the different purpose of their presence in Italy, namely with: </w:t>
        <w:br/>
        <w:t xml:space="preserve">a) University branch. This branch can establish study courses in Italy, enroll students in our country, and issue them an academic degree that is recognized in the same way as degrees issued by the university branch in the country of origin. </w:t>
        <w:br/>
        <w:t xml:space="preserve">b) Filial. The Filial allows for "decentralized study" in our country of certain subjects taught only to students who are enrolled at the university branch in the country of origin. </w:t>
        <w:br/>
        <w:t xml:space="preserve">42. For both modalities, it is necessary to activate the procedures provided in order to obtain prior ministerial authorization. In this case, the Romanian University "Dunarea de Jos" of Galati has operated in default, also because it has not initiated the prescribed authorization procedures with the aforementioned Ministry as required by Ministerial Decree of April 26, 2004, No. 214. </w:t>
        <w:br/>
        <w:t>43. In this regard, the MIUR emphasizes that the establishment of any new branch, Italian or foreign, has as its natural user base the students residing in Italian territory. Necessarily, therefore, a new medical course in Italian territory must comply with the regulations regarding access to university courses and in particular the regulations of Law No. 4/1999, taking into account the national programming of access to such courses. This programming is implemented, by ministerial decree, through a distribution of places among universities, taking into account the potential offer communicated by each university and the need for balanced activation of the educational offer on the territory (see Article 3, 1, b.). Furthermore, for accredited universities abroad, although no further accreditation is necessary.</w:t>
      </w:r>
    </w:p>
    <w:p>
      <w:r>
        <w:rPr>
          <w:b/>
        </w:rPr>
        <w:t>[Pages 145–147]</w:t>
      </w:r>
    </w:p>
    <w:p>
      <w:r>
        <w:t>BULLETIN NO. 19 OF MAY 22, 2017</w:t>
      </w:r>
    </w:p>
    <w:p>
      <w:r>
        <w:t>147</w:t>
        <w:br/>
        <w:t>of the institution in Italy, the requirement remains, in order to open a branch in Italy, to comply with the procedures set forth in the ministerial decree of April 26, 2004, no. 214.</w:t>
      </w:r>
    </w:p>
    <w:p>
      <w:r>
        <w:t>44. A similar outcome would also be reached if one were to consider that, in this case, we are not dealing with the establishment of a new university branch, but with a branch of a foreign university in Italy, pursuant to Law No. 4 of January 14, 1999, which aims to allow students enrolled in courses in their country of origin to study certain subjects in Italy. In fact, Article 2, paragraph 3, of that law establishes that in any case the activities of branches are authorized by ministerial decree.</w:t>
      </w:r>
    </w:p>
    <w:p>
      <w:r>
        <w:t>45. As for the establishment of a foreign university branch in Italy - a method that seems, according to the MIUR, to apply to the case at hand, contrary to what the professional claims, who instead considers it a sort of extension "in remote classroom" of the teaching activities of the Romanian University - the relevant directive can only be the services directive, to which the opinion issued by the Department of Community Policies on October 14, 2015, expressly refers. In this regard, as stated by that Department, to ensure the correct application of Article 49 of the TFEU, Directive 123/2006/EC, in setting minimum harmonization rules, establishes that Member States may regulate the access and exercise of a service activity on their territory, in compliance with the principles of non-discrimination, proportionality, and necessity. The legal framework within which the entire issue must be placed, and with respect to which it is therefore evident that any activity attributable to the case in question, carried out by subjects who have no title whatsoever because they have not activated the procedures provided for by the aforementioned DM no. 214/2004, is to be considered illegitimate as it does not comply with the regulations in force in Italy.</w:t>
      </w:r>
    </w:p>
    <w:p>
      <w:r>
        <w:t>46. In a communication received on August 1, 2016, it was reported that in the June 2016 order of the Court of Caltanissetta, "the complaints of the MIUR concerning the profile of fumus boni iuris were deemed well-founded," stating that the initiative regarding the establishment of a medical faculty in Enna by the Dunarea de Jos University of Galati and the Proserpina Foundation is in contrast with national and community law.</w:t>
      </w:r>
    </w:p>
    <w:p>
      <w:r>
        <w:t>IV. OPINION OF THE AUTHORITY FOR GUARANTEES IN COMMUNICATIONS</w:t>
      </w:r>
    </w:p>
    <w:p>
      <w:r>
        <w:t>47. Since the commercial practice subject to this provision was disseminated also via the internet, on April 26, 2016, the opinion was requested from the Authority for Guarantees in Communications, pursuant to Article 27, paragraph 6, of the Consumer Code.</w:t>
      </w:r>
    </w:p>
    <w:p>
      <w:r>
        <w:t>48. In an opinion received on May 26, 2016, the Authority for Guarantees in Communications deemed that, with reference to the case at hand, consumers/students, induced to directly consult the website to obtain information on the promotion of the new degree courses in "Medicine and Surgery" and "Health Professions," could then concretely benefit from the services of the professional and enroll in the aforementioned degree courses, thus developing in concrete terms the full promotional potential of online communication.</w:t>
      </w:r>
    </w:p>
    <w:p>
      <w:r>
        <w:t>49. Therefore, the Authority for Guarantees in Communications considered that, in this case, the internet is a suitable tool to significantly influence the realization of the commercial practice in question.</w:t>
      </w:r>
    </w:p>
    <w:p>
      <w:r>
        <w:t>V. CONCLUDING EVALUATIONS</w:t>
      </w:r>
    </w:p>
    <w:p>
      <w:r>
        <w:t>50. As a preliminary matter, it should be noted that the dissemination of internet messages first on the website www.fondazioneproserpina.it and subsequently on the website www.fproserpina.it - referred to in point II a) of this provision - is attributable to Fondo Proserpina S.r.l. (formerly Fondazione Proserpina), the entity that, in addition to organizing the courses in Italy, appears to have registered the aforementioned websites. The printed informational material, on the other hand, disseminated during the Unity Festival held in Catania at the end of August 2016 - referred to in point II b) of this provision - is attributable to the "Dunarea de Jos" University, as specified by Fondo Proserpina S.r.l. in the memorandum received on September 9, 2016, and not contested by the aforementioned University during the proceedings.</w:t>
      </w:r>
    </w:p>
    <w:p>
      <w:r>
        <w:t>- The internet message disseminated by Fondo Proserpina S.r.l.</w:t>
      </w:r>
    </w:p>
    <w:p>
      <w:r>
        <w:t>51. The practice described in point II a) of this provision consists of the dissemination, on the website www.fondazioneproserpina.it and subsequently on the website www.fproserpina.it, of an advertising message in which the professional, while announcing the opening in Enna of a university extension of the Faculty of Medicine and Pharmacy of the Romanian University "Dunarea de Jos" of Galati and the start of two new degree courses in "Medicine and Surgery" and "Health Professions," states that the degree obtained would be valid in all countries of the European Union without the need for further validations.</w:t>
      </w:r>
    </w:p>
    <w:p>
      <w:r>
        <w:t>52. In this regard, it should be noted that the possibility of attending the entire degree courses in Italy as well as the related admission tests, in order to obtain a degree "that will have value in all countries of the European Union without the need for further validations," is likely to influence the commercial choices of the target audience. This possibility is indeed of significant attractiveness for many Italian students, particularly for those residing in Sicily and more specifically in Enna.</w:t>
      </w:r>
    </w:p>
    <w:p>
      <w:r>
        <w:t>53. The competent Ministry of Education, University and Research believes that, according to current regulations, the conduct of these courses in Italy is illegal as it has not been authorized in advance. In this regard, regardless of the regime under which the activity is carried out in Italy by the Romanian University "Dunarea de Jos" of Galati (i.e., through a branch in Italy or through a branch of a foreign university in Italy), a ministerial authorization would always be required - in the opinion of the competent institution in this matter - in the absence of which the degrees awarded would have no value for either academic or professional purposes. This circumstance, according to the same Ministry, could render the message untruthful in its contents.</w:t>
      </w:r>
    </w:p>
    <w:p>
      <w:r>
        <w:t>54. In any case, the message in question is misleading, pursuant to Articles 21 and 22 of the Consumer Code, to the extent that it communicates a series of factually untrue elements and omits relevant information. The message, in fact, categorically and unreservedly states that the degree obtained would be valid in all countries of the European Union without the need for further validations, reasonably implying that it is entirely comparable to the equivalent degree awarded by an Italian university. According to sector regulations, however, the degree awarded by a foreign university, far from being valid in Italy as evoked by the message, is subject to an administrative procedure for its recognition at least for the exercise of a health profession in Italy (in this case, in fact, the competent Italian authority may condition recognition on an integrative measure such as an aptitude test or an adaptation internship). In conclusion, foreign academic degrees, even if validly awarded, may be admitted to the recognition procedure, which is not automatic but decided on a case-by-case basis, which remains necessary for the acquisition of autonomous validity in Italy and the usability of the degree itself within the Italian legal system (in this sense, Article 170 of Royal Decree 1592 of 1933 and the procedure provided for by the aforementioned Legislative Decree of November 9, 2007, no. 206 regarding the recognition of professional qualifications, implementing Directive 2005/36/EC).</w:t>
      </w:r>
    </w:p>
    <w:p>
      <w:r>
        <w:t>55. For the reasons stated above, it is believed that the message disseminated by Fondo Proserpina on its website, suggesting the attainment of degrees having value in all countries of the European Union without the need for further validations, is likely to mislead the recipients and is therefore misleading.</w:t>
      </w:r>
    </w:p>
    <w:p>
      <w:r>
        <w:t>56. This reconstruction is not contradicted by the content of the judgments of the Court of Justice of the EU cited by the Party, which, although dealing with cases in which the provisions of the EC Treaty on the exercise of the freedom of establishment apply, do not seem comparable to the case at hand. With particular reference to the judgment of the Court of Justice of the EU of November 13, 2003, in case C-153/02 concerning the European School of Economics, it is highlighted that it concerned a long-standing administrative practice, now definitively exhausted, aimed at denying any relevance in the national legal system to degrees awarded by a university of a Member State when the preparatory courses for such degrees had been held in Italy by a different educational institution in accordance with an agreement concluded between those two institutions. In the case at hand, however, the misleading methods with which the professional has advertised the educational services provided for their usability in Italy come into play. In this regard, it should also be noted that - precisely with reference to a provision of the Authority (PS/2141) which established the incorrectness of the methods by which the professional European School of Economics (ESE) advertised the validity in Italy of degrees obtained through a community university - the Council of State deemed that the advertising message should account for the circumstance that, in the absence of recognition, the university degree obtainable upon completion of the courses had no autonomous value in Italy and that for the exercise of the activity, such degrees required a prior recognition procedure in the national legal system.</w:t>
      </w:r>
    </w:p>
    <w:p>
      <w:r>
        <w:t>The circumstance that a specific administrative procedure is necessary in any case, at least for the usability of a foreign degree within the Italian legal system and the consequent misleading nature of a message that implies complete comparability to a degree awarded by an Italian university, is also likely to render irrelevant the fact, lastly represented by Fondo Proserpina, that some students would have obtained transfer to other Italian state universities with recognition of the exams taken at the Enna branch of the Dunarea de Jos University.</w:t>
      </w:r>
    </w:p>
    <w:p>
      <w:r>
        <w:t>Finally, regarding the request for an extension, made by the professionals on February 7, 2017, it should be noted that the decisions of the TAR and the European Commission are not in any way prejudicial to the assessment of the misleading nature of the message, to the extent that it, claiming the value of the degree in Italy without the need for further validations, misleads consumers, at least with reference to the absence of administrative procedures for the recognition of the degree for professional purposes.</w:t>
      </w:r>
    </w:p>
    <w:p>
      <w:r>
        <w:t>57. Finally, it should be noted, in light of the considerations made regarding the content of the June 2016 order of the Court of Caltanissetta, that the further aspect under evaluation, relating to what was stated on the website of Fondo Proserpina S.r.l. following the aforementioned order, must also be considered misleading for consumers.</w:t>
      </w:r>
    </w:p>
    <w:p>
      <w:r>
        <w:rPr>
          <w:b/>
        </w:rPr>
        <w:t>[Pages 148–150]</w:t>
      </w:r>
    </w:p>
    <w:p>
      <w:r>
        <w:t>150 BULLETIN NO. 19 OF MAY 22, 2017</w:t>
      </w:r>
    </w:p>
    <w:p>
      <w:r>
        <w:t>It is indeed misleading to merely highlight that "the civil section of the Court of Caltanissetta rejected the appeal, reaffirming also in the second instance the defeat of the MIUR and the legitimacy of the courses," as this does not reflect the actual significance of the order, which contains relevant elements of merit not mentioned by the professional. In fact, with the order in question, the Court of Caltanissetta – while rejecting the appeal filed by the MIUR, having deemed the profile of periculum in mora lacking – found the existence of the presumption of fumus bonis iuris, albeit with the limitations inherent in the precautionary phase, based on specific considerations already summarized in the preceding points.</w:t>
      </w:r>
    </w:p>
    <w:p>
      <w:r>
        <w:t>- The informational material disseminated by the University "Dunarea de Jos"</w:t>
      </w:r>
    </w:p>
    <w:p>
      <w:r>
        <w:t>58. Similar considerations to those made above regarding the dissemination of internet messages can be applied to the printed informational material distributed by the University "Dunarea de Jos" during the Unity Day celebration held at the end of August 2016 at Villa Bellini – Catania, as referred to in the above-mentioned point II b) of this provision.</w:t>
      </w:r>
    </w:p>
    <w:p>
      <w:r>
        <w:t>In the aforementioned informational material, there is indeed both the profile of misleadingness related to the alleged value of the degree in all countries of the European Union without the need for further validations ("The degree obtained at the end of the degree courses will be valid in all countries of the European Union without the need for further validations," cf. "informational totem"), as well as the profile of misleadingness related to the misleading interpretation of the contents of the order of the Court of Caltanissetta from June 2016 ("On 19/07/2016 it is notified that the civil section of the Court of Caltanissetta has rejected the appeal, reaffirming also in the second instance the defeat of the MIUR and the legitimacy of the courses," cf. "informational sheet").</w:t>
      </w:r>
    </w:p>
    <w:p>
      <w:r>
        <w:t>59. With reference to the authorization documents produced by the professional on October 31, 2016, it is noted that they cannot be relevant regarding the subject of this proceeding which – regardless of the qualifications issued by the Romanian authorities – is aimed at evaluating the methods by which the professional informed consumers about the educational services provided and their significance for academic and professional purposes.</w:t>
      </w:r>
    </w:p>
    <w:p>
      <w:r>
        <w:t>60. In conclusion, based on the observations made so far, the normal degree of professional diligence referred to in Article 20, paragraph 2, of the Consumer Code is not found in the above-described internet and printed messages, that is, that degree of specific competence and attention that can reasonably be expected given the role of professionals and the characteristics of the activity carried out regarding the promotion of training services.</w:t>
      </w:r>
    </w:p>
    <w:p>
      <w:r>
        <w:t>In this regard, it should indeed be emphasized that the professionals, by conveying misleading information regarding the legal value of the degrees issued as well as regarding the actual significance of the order of the Court of Caltanissetta from June 2016, did not meet that particular burden of clarity and immediate intelligibility of their communication necessary to safeguard the consumer's freedom of self-determination.</w:t>
      </w:r>
    </w:p>
    <w:p>
      <w:r>
        <w:t>61. For the reasons stated above, the commercial practices described in points II a) and II b) must be considered unfair pursuant to Articles 20, 21, and 22 of the Consumer Code as they are contrary to professional diligence and capable of appreciably distorting the economic behavior of the average consumer.</w:t>
      </w:r>
    </w:p>
    <w:p>
      <w:r>
        <w:t>BULLETIN NO. 19 OF MAY 22, 2017 151</w:t>
      </w:r>
    </w:p>
    <w:p>
      <w:r>
        <w:t>VI. QUANTIFICATION OF THE SANCTION</w:t>
      </w:r>
    </w:p>
    <w:p>
      <w:r>
        <w:t>62. Pursuant to Article 27, paragraph 9, of the Consumer Code, with the provision that prohibits the unfair commercial practice, the Authority orders the application of an administrative pecuniary sanction from €5,000 to €5,000,000, taking into account the seriousness and duration of the violation.</w:t>
      </w:r>
    </w:p>
    <w:p>
      <w:r>
        <w:t>63. Regarding the quantification of the sanction, account must be taken, as applicable, of the criteria identified by Article 11 of Law No. 689/81, by virtue of the reference provided in Article 27, paragraph 13, of the Consumer Code: in particular, the seriousness of the violation, the efforts made by the company to eliminate or mitigate the infringement, the personality of the agent, as well as the economic conditions of the company itself.</w:t>
      </w:r>
    </w:p>
    <w:p>
      <w:r>
        <w:t>64. Based on these elements, it is deemed appropriate to determine the amount of the applicable administrative pecuniary sanction against Fondo Proserpina S.r.l. and the University Dunarea de Jos, in the amount of €5,000 for each professional, equal to the minimum penalty.</w:t>
      </w:r>
    </w:p>
    <w:p>
      <w:r>
        <w:t>THEREFORE, based on the considerations outlined above, it is determined that the conduct under examination is unfair pursuant to Articles 20, 21, and 22 of the Consumer Code, as it is contrary to professional diligence and capable of misleading the consumer regarding the legal validity of the degrees issued at the end of the degree courses offered in the healthcare field, potentially appreciably distorting their economic behavior.</w:t>
      </w:r>
    </w:p>
    <w:p>
      <w:r>
        <w:t>RESOLVES</w:t>
      </w:r>
    </w:p>
    <w:p>
      <w:r>
        <w:t>a) that the commercial practice described in point II a) of this provision, carried out by the company Fondo Proserpina S.r.l. (formerly Fondazione Proserpina), constitutes, for the reasons and within the limits set forth in the motivation, an unfair commercial practice pursuant to Articles 20, 21, and 22 of the Consumer Code, and prohibits its dissemination or continuation;</w:t>
      </w:r>
    </w:p>
    <w:p>
      <w:r>
        <w:t>b) that the commercial practice described in point II b) of this provision, carried out by the University Dunarea de Jos, constitutes, for the reasons and within the limits set forth in the motivation, an unfair commercial practice pursuant to Articles 20, 21, and 22 of the Consumer Code;</w:t>
      </w:r>
    </w:p>
    <w:p>
      <w:r>
        <w:t>c) to impose on the company Fondo Proserpina S.r.l. an administrative pecuniary sanction of €5,000 (five thousand euros);</w:t>
      </w:r>
    </w:p>
    <w:p>
      <w:r>
        <w:t>d) to impose on the University Dunarea de Jos an administrative pecuniary sanction of €5,000 (five thousand euros);</w:t>
      </w:r>
    </w:p>
    <w:p>
      <w:r>
        <w:t>e) that Fondo Proserpina S.r.l. shall communicate to the Authority, within sixty days from the notification of this provision, the initiatives taken in compliance with the injunction referred to in point a).</w:t>
      </w:r>
    </w:p>
    <w:p>
      <w:r>
        <w:t>The administrative sanctions imposed must be paid within thirty days from the notification of this provision, using the tax codes indicated in the attached F24 model with identifying elements, pursuant to Legislative Decree No. 241/1997.</w:t>
      </w:r>
    </w:p>
    <w:p>
      <w:r>
        <w:t>Payment must be made electronically with a debit to one's bank or postal account, through the home banking and CBI services provided by banks or by Poste Italiane S.p.A., or by using the telematic services of the Revenue Agency, available on the website www.agenziaentrate.gov.it.</w:t>
      </w:r>
    </w:p>
    <w:p>
      <w:r>
        <w:t>152 BULLETIN NO. 19 OF MAY 22, 2017</w:t>
      </w:r>
    </w:p>
    <w:p>
      <w:r>
        <w:t>After the aforementioned deadline, for a delay period of less than six months, late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collection agent; in this case, the increase absorbs the late interest accrued during the same period.</w:t>
      </w:r>
    </w:p>
    <w:p>
      <w:r>
        <w:t>Immediate communication of the payment must be given to the Authority by sending the documentation certifying the payment made.</w:t>
      </w:r>
    </w:p>
    <w:p>
      <w:r>
        <w:t>This provision will be notified to the interested parties and published in the Bulletin of the Authority for Competition and the Market.</w:t>
      </w:r>
    </w:p>
    <w:p>
      <w:r>
        <w:t>Pursuant to Article 27, paragraph 12, of the Consumer Code, in case of non-compliance with the provision, the Authority applies an administrative pecuniary sanction from €10,000 to €5,000,000. In cases of repeated non-compliance, the Authority may order the suspension of business activity for a period not exceeding thirty days.</w:t>
      </w:r>
    </w:p>
    <w:p>
      <w:r>
        <w:t>Against this provision, an appeal may be filed with the TAR of Lazio, pursuant to Article 135, paragraph 1, letter b), of the Administrative Procedure Code (Legislative Decree No. 104 of July 2, 2010), within sixty days from the date of notification of the provision itself, without prejudice to the longer terms referred to in Article 41, paragraph 5, of the Administrative Procedure Code, or an extraordinary appeal may be proposed to the President of the Republic pursuant to Article 8 of the Decree of the President of the Republic No. 1199 of November 24, 1971 within one hundred and twenty days from the date of notification of the provision itself.</w:t>
      </w:r>
    </w:p>
    <w:p>
      <w:r>
        <w:t>THE SECRETARY GENERAL f.f. THE PRESIDENT</w:t>
      </w:r>
    </w:p>
    <w:p>
      <w:r>
        <w:t>Roberto Chieppa Gabriella Muscolo</w:t>
      </w:r>
    </w:p>
    <w:p>
      <w:r>
        <w:rPr>
          <w:b/>
        </w:rPr>
        <w:t>[Pages 151–153]</w:t>
      </w:r>
    </w:p>
    <w:p>
      <w:r>
        <w:t xml:space="preserve">BULLETIN NO. 19 OF MAY 22, 2017 153  </w:t>
        <w:br/>
        <w:t xml:space="preserve">IP255 - GREEN NETWORK - UNREQUESTED ACTIVATIONS  </w:t>
        <w:br/>
        <w:t xml:space="preserve">Provision No. 26542  </w:t>
        <w:br/>
        <w:t xml:space="preserve">THE ANTITRUST AUTHORITY  </w:t>
        <w:br/>
        <w:t xml:space="preserve">IN ITS MEETING of April 5, 2017;  </w:t>
        <w:br/>
        <w:t xml:space="preserve">HEARD the Rapporteur Dr. Gabriella Muscolo;  </w:t>
        <w:br/>
        <w:t xml:space="preserve">HAVING REGARD to Part II, Title III, and Part III, Title III, of Legislative Decree No. 206 of September 6, 2005, containing the "Consumer Code" and subsequent amendments (hereinafter, Consumer Code);  </w:t>
        <w:br/>
        <w:t xml:space="preserve">HAVING REGARD, in particular, to Article 27, paragraph 12, of the Consumer Code, according to which in case of non-compliance with urgent measures or those prohibiting or removing effects, the Authority applies an administrative pecuniary sanction from €10,000 to €5,000,000 and in cases of repeated non-compliance, the Authority may order the suspension of business activity for a period not exceeding thirty days;  </w:t>
        <w:br/>
        <w:t xml:space="preserve">HAVING REGARD to Law No. 689 of November 24, 1981;  </w:t>
        <w:br/>
        <w:t xml:space="preserve">HAVING REGARD to its resolution No. 25708 of November 11, 2015 (PS9834), with which the Authority established the unfairness of the commercial practices carried out by Green Network Luce &amp; Gas S.r.l. (hereinafter also, GNLG), consisting of: 1) the activation of unrequested electricity supply and 2) the activation of unrequested natural gas supply, both aimed at acquiring domestic customers and micro-enterprises in the free market; 3) having concluded, starting from June 13, 2014, distance contracts and contracts outside commercial premises, in violation of the rights attributed to the consumer by Legislative Decree 21/2014;  </w:t>
        <w:br/>
        <w:t xml:space="preserve">CONSIDERING that the company Green Network S.p.A. (hereinafter also, GN), as of December 1, 2015, following a merger deed, incorporated the company Green Network Luce &amp; Gas S.r.l., recipient of the aforementioned resolution of the Authority, succeeding in all active and passive, contractual and non-contractual relationships and in all civil and administrative rights pertaining to the incorporated company;  </w:t>
        <w:br/>
        <w:t xml:space="preserve">HAVING REGARD to its resolution No. 26065 of June 8, 2016, with which the Authority contested to Green Network S.p.A. the violation of Article 27, paragraph 12, of the Consumer Code, for failing to comply with the aforementioned resolution No. 25708 of November 11, 2015;  </w:t>
        <w:br/>
        <w:t xml:space="preserve">HAVING REGARD to its provisions of October 4 and November 23, 2016, and February 7, 2017, with which, pursuant to Article 7, paragraph 3, of the Regulation, the deadline for concluding the proceeding was extended by a total of 180 days, respectively: following a request made by the Party, for specific investigative needs and in order to evaluate, over a broader time frame, the effect of the measures implemented by the company;  </w:t>
        <w:br/>
        <w:t xml:space="preserve">HAVING REGARD to the acts of the proceeding;  </w:t>
        <w:br/>
        <w:t xml:space="preserve">CONSIDERING the following:  </w:t>
        <w:br/>
        <w:t xml:space="preserve">I. PREMISE  </w:t>
        <w:br/>
        <w:t xml:space="preserve">1. With provision No. 25708 of November 11, 2015, the Authority established that GNLG – through its agents – with reference to:  </w:t>
        <w:br/>
        <w:t xml:space="preserve">- the commercial practices referred to in points 1) and 2): (a) acquired supply contracts without the consumer's consent (in the absence of signature or expression of will in this sense or by virtue of allegedly false signatures); (b) communicated misleading information or omitted relevant information about the identity of the professional, the purpose of the visit or phone call, the obligations arising from the contract or the phone contact, in order to obtain an unknowing adherence to the contract proposal; (c) imposed obstacles to the exercise of the right of withdrawal and to the management of requests for denial, reconsideration, and dispute by consumers, also requiring payment of amounts not due;  </w:t>
        <w:br/>
        <w:t xml:space="preserve">- regarding the conduct referred to in point 3): did not comply with the formal requirements provided for by Article 51, paragraphs 6 and 7, of the Consumer Code, considering the consumer bound to the telephone offer, based solely on consent to the telephone recording, without having: (i) preliminarily informed the consumer about the methods of concluding the contract and, in particular, about the use of durable support and obtained the waiver of the written form for the exchange of confirming statements; (ii) made available to all consumers the durable support where the telephone recording containing the contract proposal and the waiver of the written form is stored, nor the durable support containing the confirmation of the recording of their acceptance, and (iii) allowed the consumer a clear identification of the starting date of the 14-day legal term for exercising the right of withdrawal referred to in Articles 52 and 54 of the Consumer Code, nor provided the form provided for by Article 49, letter h), of the same legal provision.  </w:t>
        <w:br/>
        <w:t xml:space="preserve">2. In light of the above, the Authority prohibited the further dissemination and continuation of the aforementioned conduct as contrary, with reference to the practices referred to in points 1) and 2), to Articles 20, paragraph 2, 24, 25, letter d), and 26, letter f), of the Consumer Code and, with reference to the conduct referred to in point 3), to Articles 49, paragraph 1, letter h), 51, paragraph 6, 52, paragraph 2, letter c) and 54, of the same Code.  </w:t>
        <w:br/>
        <w:t xml:space="preserve">3. According to what is prescribed by point g) of the aforementioned provision No. 25708 - which provided for the submission of a compliance report within 60 days from the notification of the provision, which took place on December 2, 2015 - on January 29, 2016 (prot. No. 0014951) the aforementioned Compliance Report was received from GN.  </w:t>
        <w:br/>
        <w:t xml:space="preserve">4. On March 11, 2016, the Authority sent the professional a request for information (prot. No. 23211) in order to acquire further knowledge elements necessary for the evaluation of the measures adopted, or to be implemented in the future, proposed during the proceeding and the related state of implementation. In response to this request, the professional replied with a note dated April 14, 2016 (prot. No. 29423), subsequently supplemented on May 6, 2016 (prot. No. 34081).  </w:t>
        <w:br/>
        <w:t>1 In the Compliance Report, GN indicated the measures and initiatives it claimed to have adopted to counter the phenomenon of unrequested activations, summarized as follows: i) revision of the text of the welcome letter (confirmation letter) sent to end customers, in which, among other things, the professional continues to identify the starting date for exercising the right of reconsideration as the date of sending the welcome letter; ii) census of the sales force database, in order to trace the identity of the agent/operator responsible for the contract that was acquired through improper means; iii) illustration of the new procedure for concluding contracts through the teleselling channel (first phone call, sending of contractual package, second phone call); iv) preparation of the reconsideration form to be attached to the contractual documentation; v) implementation of verification activities (check-call) by a third-party company specifically appointed, which concerns all customers for whom a supply proposal has been received by GN from the commercial network, in order to assess its quality in terms of commercial conduct. In the event that the customer denies the previous phases of contracting, the procedure is blocked and the activation is not followed up; vi) establishment of a new internal structure within the company (so-called Quality Control, for the analysis of voice recordings related to new contracts being activated, aimed at evaluating and controlling the commercial conduct of the network of operators in the field; vii) creation of an information area on the company's website where customers are informed that they can find the voice order related to the first and second phone calls, as well as the contractual documentation, in the customer area, with restricted access; viii) sending of information to procurement agencies with a summary of the main contents of the Consumer Code; ix) activation of the service called "report it to Green Network," to facilitate the reporting of any activation of unrequested contracts or the receipt of unwanted phone calls; x) signing of a memorandum of understanding with the consumer association "Konsumer" for the resolution of disputes with end customers.</w:t>
      </w:r>
    </w:p>
    <w:p>
      <w:r>
        <w:t xml:space="preserve">BULLETIN NO. 19 OF MAY 22, 2017 155  </w:t>
        <w:br/>
        <w:t xml:space="preserve">5. As of the expiration of the deadline for submitting the compliance report (February 1, 2016) to the aforementioned resolution No. 25708 of November 11, 2015, a significant number of reports (over 250) were received from consumers and their representative associations, qualified reporters, competitors, as well as from the Authority for Electricity, Gas and Water System (AEEGSI)2, reporting the recurrence of the conduct subject to the aforementioned provision and, in particular, i) unrequested and/or unknowing activation of electricity and/or natural gas supplies; ii) the request, in case of activation of the supply, for payment of amounts not due; iii) the imposition of obstacles to the exercise of the right of withdrawal.  </w:t>
        <w:br/>
        <w:t xml:space="preserve">6. In light of the above, based on the overall documentation acquired in the records, the Authority, with resolution No. 26065 of June 8, 2016, initiated a proceeding (IP255) contesting to the professional the violation of Article 27, paragraph 12, of the Consumer Code, for failing to comply with the Authority's resolution No. 25708 of November 11, 2015. This resolution was notified to GN on June 14, 2016, the date on which an inspection was conducted as decided during the same meeting of June 8, 2016.  </w:t>
        <w:br/>
        <w:t xml:space="preserve">7. The deadline for concluding the non-compliance proceeding IP255 was extended, for a total of 180 days, with resolutions of the Authority of October 4 and November 23, 2016, and February 7, 2017. During the proceeding, the professional submitted his defense writings, had access to the records multiple times, and was heard twice in hearings (on July 20 and November 7, 2016).  </w:t>
        <w:br/>
        <w:t xml:space="preserve">II. FINDINGS OF THE PROCEEDING – ACQUIRED EVIDENCE  </w:t>
        <w:br/>
        <w:t xml:space="preserve">1) On unfair commercial practices. Activation of unrequested and/or unknowing supplies of electricity and natural gas (practices referred to in points 1 and 2)  </w:t>
        <w:br/>
        <w:t xml:space="preserve">8. As reported in the Premise, the requests for intervention acquired in the records of the file before the initiation of the non-compliance proceeding (June 2016) indicated the recurrence of the unfairness profiles of the conduct subject to the aforementioned resolution No. 25708, namely the acquisition, mainly through the teleselling channel, of unrequested contracts or signed in the absence of informed consent, with the consequent activation of supplies - unrequested and/or unknowing - of electricity and/or natural gas in the free market. During the proceeding, reports continued to be received, although there was a significant decrease in requests for intervention from consumers, and a clearly decreasing trend was established, leading to a complete zeroing of reports in the last month (April 2017).  </w:t>
        <w:br/>
        <w:t xml:space="preserve">9. The overall trend, from the expiration of the deadline for submitting the compliance report (February 1, 2016) until the conclusion of the proceeding itself, represented in the following graph, highlights the strongly decreasing trend of the reports received, many of which, moreover, refer to contracts concluded in 2015.  </w:t>
        <w:br/>
        <w:t xml:space="preserve">Graph 1  </w:t>
        <w:br/>
        <w:t>2 See doc. prot. No. 0040887 of June 8, 2016.</w:t>
      </w:r>
    </w:p>
    <w:p>
      <w:r>
        <w:rPr>
          <w:b/>
        </w:rPr>
        <w:t>[Pages 154–156]</w:t>
      </w:r>
    </w:p>
    <w:p>
      <w:r>
        <w:t>156 BULLETIN NO. 19 OF MAY 22, 2017</w:t>
      </w:r>
    </w:p>
    <w:p>
      <w:r>
        <w:t>10. This trend is also reflected in the data regarding the disavowals acquired from the professional. While in the initial months the number of these - or complaints for unsolicited contracts present in the GN systems - was high3, in the following months the rate significantly decreased, dropping to levels below 2% in the autumn of 2016 and below 1% in the first quarter of 2017.</w:t>
      </w:r>
    </w:p>
    <w:p>
      <w:r>
        <w:t>11. These data indicate that the implementation of the new procedures adopted in compliance with the Authority's resolution did not immediately yield the expected results, mainly due to ineffective monitoring and intervention actions regarding the issues that inevitably arose in the application of such new procedures, as well as due to some defects found within them. Starting from April 2016, even before the launch, GN intervened on these issues and correspondingly corrected its procedures.</w:t>
      </w:r>
    </w:p>
    <w:p>
      <w:r>
        <w:t>12. Subsequently, after describing the procedures adopted since February 2016, the difficulties encountered by GN in implementing these procedures will be reported, along with the actions taken by the professional to overcome such difficulties and eliminate the shortcomings that had emerged in the meantime.</w:t>
      </w:r>
    </w:p>
    <w:p>
      <w:r>
        <w:t>The customer acquisition procedure implemented since February 2016</w:t>
      </w:r>
    </w:p>
    <w:p>
      <w:r>
        <w:t>13. From the documentation on file4, it emerged that the acquisition of new contracts took place, starting from February 1, 2016, through the following steps5:</w:t>
        <w:br/>
        <w:t>(a) First phone call: the broker provides the customer with the pre-contractual information necessary for concluding a new electricity and/or gas supply contract6, including information regarding the exercise of the right of withdrawal, and records, upon request to the consumer, the consent to conclude the new contract (vocal order) – more precisely, the consent to formulate a proposal to adhere to GN's offer; at the end of the vocal order, the broker asks for consent to provide confirmation of acceptance through a voice recording;</w:t>
      </w:r>
    </w:p>
    <w:p>
      <w:r>
        <w:t>(b) Sending of contractual documentation: the contractual package is sent to the customer - who is also notified via SMS - by email or regular mail, informing them of the possibility to consult the contractual documents in the dedicated customer area on the company's website and to listen to the recording of the consent expressed by phone;</w:t>
      </w:r>
    </w:p>
    <w:p>
      <w:r>
        <w:t>(c) Second phone call: the broker from the same agency then makes a second phone call to the final customer, which includes a request for the customer to confirm both the receipt of the contractual documentation and the confirmation of the intention to formulate the proposal to adhere to GN's offer expressed in the first phone call; this call has a blocking effect in case the intention to conclude the contract is not confirmed, or in case of no response7.</w:t>
      </w:r>
    </w:p>
    <w:p>
      <w:r>
        <w:t>(d) Confirmation of the conclusion of the contract: following the second phone call, only in the case of a positive outcome, GN sends the welcome letter, which expresses the acceptance of the proposal to adhere by the professional, with which the contract is perfected; GN starts the 14-day withdrawal period provided by the Consumer Code from the date of sending the welcome letter.</w:t>
      </w:r>
    </w:p>
    <w:p>
      <w:r>
        <w:t>14. The customer acquisition procedure outlined above is mainly delegated to external parties, the brokers; this circumstance places on the professional - in addition to a careful preliminary selection of them - the burden of establishing an effective monitoring system regarding the genuineness of the consumer's consent.</w:t>
      </w:r>
    </w:p>
    <w:p>
      <w:r>
        <w:t>15. Following the described procedure, GN has included an additional phase of monitoring and control, through the execution of a third phone call - so-called check call or control call - for each individual contract registered in the GN contract loading system, in order to assess the quality in terms of commercial conduct of the brokers and thus indirectly acquire further confirmation of the customer's consent to proceed with the activation (switch in supply). The check call is entrusted to a third party, different from the broker agencies.</w:t>
      </w:r>
    </w:p>
    <w:p>
      <w:r>
        <w:t>16. In February 2016, the Quality Control area was also created, a structure to which a different and further verification was entrusted on a sample of contracts being activated (equal to [5-10%]* of monthly production)8, consisting of an internal analysis of the voice recordings related to the new contracts being activated and an outbound activity on the new contracts with the aim of verifying, through direct phone contact with the customer (Quality call), whether the sale by the commercial network was conducted correctly. During this call, GN asks the customer if they received the contractual package, if they received the two phone calls provided for by the contracting procedure, and if they are aware of having concluded a contract with GN, replacing their current supplier. This last activity is therefore aimed at evaluating and controlling the commercial conduct of the network of operators in the field.</w:t>
      </w:r>
    </w:p>
    <w:p>
      <w:r>
        <w:t>17. The evidence acquired has also highlighted the adoption of a rigorous contractual discipline by GN towards the agencies operating on its behalf in cases of reports regarding incorrect commercial conduct, including on one hand, the provision of significant penalties ([100-200] euros) for each disavowal of the contract's authorship by the final customers9, and, on the other hand, the termination of the contract in case of violation of consumer protection regulations10.</w:t>
      </w:r>
    </w:p>
    <w:p>
      <w:r>
        <w:t>The critical issues that emerged and GN's interventions</w:t>
      </w:r>
    </w:p>
    <w:p>
      <w:r>
        <w:t>18. The documentation on file has highlighted, however, how, in an initial phase, the concrete application of this procedure did not produce the expected effects, namely the substantial reduction of unsolicited contracts and activations. This was due to insufficient application of monitoring systems and disincentives for incorrect and/or opportunistic behaviors by external brokers, as well as due to internal management issues.</w:t>
      </w:r>
    </w:p>
    <w:p>
      <w:r>
        <w:t>19. GN became aware of these application criticalities at least starting from April 2016, once it was established that, despite the implementation of the new procedure, there was no decrease in complaints for unsolicited activations. As a result, GN initiated further verification and control activities internally - also utilizing the aforementioned Quality Control area - reviewing both the composition of the areas belonging to the Commercial Sector and the organization of its internal offices, as well as the relationships with external agencies, which then led to the termination of all commercial relationships with many of them.</w:t>
      </w:r>
    </w:p>
    <w:p>
      <w:r>
        <w:t>20. This activity allowed for the verification that several agencies had not adapted to the new procedures introduced11, continuing, in the initial observation period, to load unsolicited contracts onto GN's internal systems (Web Order Entry). GN therefore progressively terminated, from April 2016 until the following August, the contractual relationships in place with over half of the agencies it relied on12 and with all the sub-agencies connected to them13, responsible for such conduct.</w:t>
      </w:r>
    </w:p>
    <w:p>
      <w:r>
        <w:t>21. The documentation on file showed that GN then strengthened control through the check call, mainly intervening on the outcomes to be considered "blocking" of the activation process, both on the methods of its execution, thereby acquiring awareness of the incorrect behaviors exhibited by the agents who were subsequently removed and by the third-party company tasked with making the call.</w:t>
      </w:r>
    </w:p>
    <w:p>
      <w:r>
        <w:t>22. Regarding the cases in which the check call has a "blocking" effect on the activation process, in addition to cases of disavowal of the contract (cataloged as "disavowal") and in cases where the number provided by the agency was found to be in use by a person other than the account holder ("number not belonging to the person"), GN has also attributed a blocking effect to states cataloged as "wrong number", "withdrawal", and "refusal to engage", thus configuring an effective control system of the commercial conduct of the brokers.</w:t>
      </w:r>
    </w:p>
    <w:p>
      <w:r>
        <w:t>9 Starting from February 2016 - GN stated that it had applied to the brokers, in cases of complaints for disavowal by the final customer and regardless of any verification of the validity of the complaint itself, penalties totaling approximately [5-10] million euros.</w:t>
      </w:r>
    </w:p>
    <w:p>
      <w:r>
        <w:t>10 See the memorandum filed by the professional on January 13, 2017, prot. n. 0012311, as well as Annex 3 to the clarification note filed on April 14, 2016 (prot. n. 0029423) and subsequent integration of May 6, 2016 (prot. n. 0034081).</w:t>
      </w:r>
    </w:p>
    <w:p>
      <w:r>
        <w:t>11 See Annex 4 to the clarification note filed on April 14, 2016 (prot. n. 0029423) and subsequent integration of May 6, 2016 (prot. n. 0034081).</w:t>
      </w:r>
    </w:p>
    <w:p>
      <w:r>
        <w:t>12 See the memorandum of the professional dated November 17, 2016, doc. prot. n. 0072714.</w:t>
      </w:r>
    </w:p>
    <w:p>
      <w:r>
        <w:t>13 See Annex 5 to the clarification note filed on April 14, 2016 (prot. n. 0029423) and subsequent integration of May 6, 2016 (prot. n. 0034081), in particular the table relating to the agencies removed and the penalties applied. As of July 6, 2016, half of the agencies previously operating with GN were no longer active; the contract with another [1-5] agencies was then terminated on August 8, 2016. Currently, only [5-10] agencies remain active, all Italian except for one operator of Albanian origin, who operate directly in relations with customers, without relying on sub-agencies.</w:t>
      </w:r>
    </w:p>
    <w:p>
      <w:r>
        <w:rPr>
          <w:b/>
        </w:rPr>
        <w:t>[Pages 157–159]</w:t>
      </w:r>
    </w:p>
    <w:p>
      <w:r>
        <w:t>BULLETIN NO. 19 OF MAY 22, 2017</w:t>
      </w:r>
    </w:p>
    <w:p>
      <w:r>
        <w:t>genuineness of the consent given: in the absence of an explicit confirmation of such genuineness, the activation process is blocked.</w:t>
      </w:r>
    </w:p>
    <w:p>
      <w:r>
        <w:t>23. Finally, GN has implemented the provisions of Article 66-quinquies of the Consumer Code (no request for payment of any consideration)14 starting from September 2016. In particular, the company stated that, in response to the customer's communication of their disavowal, GN proceeds to analyze, through the internal structure responsible for Quality control, the telephone recordings related to the acquisition of the same customer and where it finds that the prerequisites for the activation of the contract are not met, it cancels the issued invoices, returning all amounts that may have already been paid, in application of Article 66-quinquies of the Consumer Code15; in the event that the acquisition procedure is instead found to be complete and regular, the dispute is referred to a third judge to ascertain the possible existence of the unsolicited activation and, pending such judgment, applies the restoration procedure referred to in resolution no. 153/12 of the AEEGSI, demanding payment of the facilitated fees provided for by the aforementioned resolution and restoring, in any case, the complaining customer with the previous supplier.</w:t>
      </w:r>
    </w:p>
    <w:p>
      <w:r>
        <w:t>2) On the violation of consumer rights in contracts (conduct referred to in the previous no. 3)</w:t>
      </w:r>
    </w:p>
    <w:p>
      <w:r>
        <w:t>24. In relation to the reiteration of the conduct referred to in the previous no. 3), based on the evidence on file regarding the sales and acquisition procedures of the teleselling channel, it emerged that the scripts - produced by the professional - do not inform the consumer in the initial phase of the telephone registration of the need to confirm in writing or, if they consent, on a durable medium, the supply proposal just formulated, as provided for by Article 51, paragraph 6, of the Consumer Code16.</w:t>
      </w:r>
    </w:p>
    <w:p>
      <w:r>
        <w:t>25. In fact, GN only asks the consumer at the end of the call if they agree to confirm acceptance on a durable medium without mentioning the default alternative: "Do you agree to confirm your acceptance of this proposal on a durable medium, through a second telephone recording that will take place once you have confirmed that you have received the contractual package and understood the clauses contained therein?"17. The waiver of the written form thus appears to be formulated in terms that are not easily understandable and occurs not preliminarily but only at the end of the registration.</w:t>
      </w:r>
    </w:p>
    <w:p>
      <w:r>
        <w:t>26. Neither in the confirmation call (second call) does anything result from the professional's scripts which generically state: "Do you provide your consent to proceed with the confirmation recording?" and, subsequently, in case of an affirmative response, "With this recording, your adherence to the contract proposal of (agency name) on behalf of Green Network for the supply of electricity and/or natural gas, already expressed in the previous call of …..."18 is confirmed.</w:t>
      </w:r>
    </w:p>
    <w:p>
      <w:r>
        <w:t>27. Furthermore, still in relation to the violations of Legislative Decree no. 21/2014 (with which Directive 2011/83/EU, known as consumer rights, was implemented), it appears that GN, even though "the contract is concluded at the moment when the proposer becomes aware of the acceptance by the other party (Article 1326 of the Civil Code), persists in the ambiguous definition of the moment from which the right of consumers to reconsider begins, continuing to identify this moment as the date of sending the acceptance letter to the consumer (welcome letter), thus not allowing them a clear identification of the starting point from which to calculate the 14 days for exercising the right of withdrawal (legal deadlines provided for by Articles 52 and 54 of the Consumer Code).</w:t>
      </w:r>
    </w:p>
    <w:p>
      <w:r>
        <w:t>28. In fact, since the exact date on which the consumer will receive the welcome letter is not knowable, it may happen that the aforementioned deadline for exercising the withdrawal has already expired in all cases where the shipment takes longer or in cases where, also due to possible errors in the compilation of the sender's address, GN's communications do not arrive or arrive, as has actually happened, with extreme delay19.</w:t>
      </w:r>
    </w:p>
    <w:p>
      <w:r>
        <w:t>29. Moreover, from certain evidence on file, it appears that the professional was aware that the time left for customers to declare their "reconsideration" was extremely limited, given that the 14 calendar days provided, although formally respected, "[did not take] into account postal times and/or possible delays by the customer in responding negatively"20.</w:t>
      </w:r>
    </w:p>
    <w:p>
      <w:r>
        <w:t>30. Furthermore, if such reconsideration was expressed during the check call, GN invited the customer to send a written communication to the company, as provided for by the contractual documentation, in the absence of which the activation of the supply was nonetheless ordered21. This has led, in numerous cases, to the recourse to the restoration procedure (AEEGSI resolution 153/12/R/com)22.</w:t>
      </w:r>
    </w:p>
    <w:p>
      <w:r>
        <w:t>31. In connection with the above, it is also evident that there is an obvious obstacle to exercising the right of reconsideration, confirming that the professional, at least until November 201623, had not modified what was contested in the sanctioning provision regarding the starting date for exercising this right, continuing to identify this deadline, both for teleselling and door-to-door channels, as the date of sending the acceptance letter to the consumer (welcome letter), thus effectively compressing it and creating further obstacles to withdrawal.</w:t>
      </w:r>
    </w:p>
    <w:p>
      <w:r>
        <w:t>32. Various reports received during the proceedings indeed confirm this phenomenon24. GN, therefore, has denied in various circumstances the right of reconsideration with the justification of the passage of a period longer than that provided for such a right, or has not responded to consumers despite them having exercised it with registered letter within the deadlines prescribed by Articles 52 et seq. of the Consumer Code25.</w:t>
      </w:r>
    </w:p>
    <w:p>
      <w:r>
        <w:t>III. THE ARGUMENTS OF THE PARTY</w:t>
      </w:r>
    </w:p>
    <w:p>
      <w:r>
        <w:t>33. During the proceedings, GN submitted its defense writings (submissions received on September 16 and November 17, 2016, January 13, 24, and March 24, 2017)26, had access to the documents multiple times, and was heard twice in hearings (on July 20 and November 7, 2016)27.</w:t>
      </w:r>
    </w:p>
    <w:p>
      <w:r>
        <w:t>34. Below is a summary of what the professional argued in the submitted writings, as well as a summary of the measures, represented above, that GN adopted during the non-compliance proceedings in order to resolve the issues highlighted in the communication initiating this proceeding.</w:t>
      </w:r>
    </w:p>
    <w:p>
      <w:r>
        <w:t>The defenses of the professional</w:t>
      </w:r>
    </w:p>
    <w:p>
      <w:r>
        <w:t>35. GN considers the allegations made to be unfounded, asserting that it has complied with the prescriptions indicated in the aforementioned provision in order to combat the phenomenon of unsolicited activations, presenting a specific compliance report in which it indicated the measures adopted starting from February 1, 201628.</w:t>
      </w:r>
    </w:p>
    <w:p>
      <w:r>
        <w:t>36. Regarding the alleged unsolicited activations, following the sanctioning provision, GN immediately implemented radical interventions by preparing and implementing procedures for concluding contracts via teleselling fully compliant with the regulations and respecting all the prescriptions of the Authority.</w:t>
      </w:r>
    </w:p>
    <w:p>
      <w:r>
        <w:t>37. In particular, the company stated that, starting from February 1, 2016 - the deadline for the warning contained in the sanctioning provision - it adopted measures that were even further than those described in the compliance report, consisting of:</w:t>
      </w:r>
    </w:p>
    <w:p>
      <w:r>
        <w:rPr>
          <w:b/>
        </w:rPr>
        <w:t>[Pages 160–162]</w:t>
      </w:r>
    </w:p>
    <w:p>
      <w:r>
        <w:t>162 BULLETIN NO. 19 OF MAY 22, 2017</w:t>
      </w:r>
    </w:p>
    <w:p>
      <w:r>
        <w:t>i) in the preparation and implementation of new procedures for concluding contracts via teleselling that provide, in addition to the performance of a whole series of steps (see previous paragraphs no. 13 and 14), also an additional phase, so-called check call, that is, a phone call made to all new customers (after the sending of the welcome letter) to verify the conduct of the agents, with a "blocking effect" in cases of "disavowal" and "number not belonging to the person" (since February) and in cases of "wrong number," "reconsideration," and "refusal to engage" (starting from the months following February).</w:t>
      </w:r>
    </w:p>
    <w:p>
      <w:r>
        <w:t>ii) in the reorganization of the internal offices of the commercial sector, responsible for overseeing customer acquisition processes and relationships with agencies, as well as in the creation of the new area (so-called Quality Control), responsible for monitoring the actions of the agencies, for the purpose of possibly adopting sanctioning measures. At the same time, the company activated the service "report it to Green Network," to facilitate reporting regarding the activation of unsolicited contracts or the receipt of unwanted phone calls.</w:t>
      </w:r>
    </w:p>
    <w:p>
      <w:r>
        <w:t>iii) in redefining relationships with external agencies, interrupting all commercial relationships with a significant portion of the same agencies.</w:t>
      </w:r>
    </w:p>
    <w:p>
      <w:r>
        <w:t>38. With specific reference to the reports, the company stated that it has no evidence that the brokers operating on its behalf in the teleselling channel provide incorrect information about the identity of GN, as it cannot verify the content of the conversation between the operators and consumers at the beginning of the call, or before the recordings of the vocal orders; moreover, since no objective elements have been attached to the reports from the final customers that allow for the assertion that false or misleading information was actually provided, it cannot be claimed that there was non-compliance on the part of GN.</w:t>
      </w:r>
    </w:p>
    <w:p>
      <w:r>
        <w:t>39. Furthermore, the professional notes that almost half of the reports received by the Authority refer to contracts concluded in 2015 and therefore would not be relevant for the proceeding29 since, in fact, as of February 1, 2016, it applied the new customer acquisition procedure described above.</w:t>
      </w:r>
    </w:p>
    <w:p>
      <w:r>
        <w:t>40. In any case, with reference to the phenomenon of unsolicited activations, the company specified that it had already adopted a strict contractual discipline towards the agencies prior to the sanction in cases of reports regarding incorrect commercial conduct, applying substantial penalties to them amounting to approximately [5-10] million euros and providing for the immediate removal of the individual responsible for the fraudulent conclusion of a contract with a deceased person or against whom three reports of incorrect commercial conduct have been submitted in one month30.</w:t>
      </w:r>
    </w:p>
    <w:p>
      <w:r>
        <w:t>41. The professional then represented how some difficulties in implementing the new procedures can be traced back to the actions of the manager who held the position of Director of the commercial sector who, following internal checks carried out, was found not to be correctly applying the rules established by him in managing relationships with the agencies31. In order to resolve the highlighted issues, the company suspended the manager and implemented a profound reorganization of its internal offices, interrupting contractual relationships with almost all individual brokerage agencies32.</w:t>
      </w:r>
    </w:p>
    <w:p>
      <w:r>
        <w:t>42. The combined implementation of the measures described above – the new procedures, and the application of contractual sanctions against the agencies, along with the corporate reorganization carried out – has allowed in a few months to reduce the phenomenon of disavowal of contracts by final customers both in absolute value and in percentage value and has nonetheless brought it back within the limits that can certainly be considered "physiological" in the teleselling sector.</w:t>
      </w:r>
    </w:p>
    <w:p>
      <w:r>
        <w:t>43. The phenomenon of reports for unsolicited activations has therefore remained confined to an extremely limited period (February - June 2016) despite the procedures put in place by the company.</w:t>
      </w:r>
    </w:p>
    <w:p>
      <w:r>
        <w:t>44. Even in the limited period during which the reports occurred, GN ensured that no harm fell on the customer, canceling the contract acquisition procedure or applying the restoration procedure in response to any report, regardless of its validity.</w:t>
      </w:r>
    </w:p>
    <w:p>
      <w:r>
        <w:t>45. Regarding the execution of the check call – in relation to which GN wishes to clarify that it is performed after the confirmation of consent has already been acquired with the second phone call, for greater protection of the final customer33 – it appears from the evidence on record that no contract was activated concerning customers who communicated disavowal during the check call, that is, only in cases where it was found (as asserted by the customer) that there was a lack of will or objective prerequisites for activation. In all other cases, the contract was legitimately activated because there was a clear intention of the customer, expressed during the contract conclusion procedure (first and second recorded phone call) and not revoked in the forms provided by law.</w:t>
      </w:r>
    </w:p>
    <w:p>
      <w:r>
        <w:t>46. Regarding the alleged violation of Article 66-quinquies of the Consumer Code, GN stated that it has strictly adhered to the sector regulations adopted by the AEEGSI, and in particular to the provisions of resolution 153/2012 which provides for the restoration procedure to regulate the consequences of the acceptance by sellers of reports for unsolicited activations, allowing final customers to return to the previous seller, without suffering any interruption of supplies and applying to them, for the period during which the unsolicited supply was nonetheless carried out, reduced fees.</w:t>
      </w:r>
    </w:p>
    <w:p>
      <w:r>
        <w:t>47. While remaining convinced of the correctness of its approach, GN, in a spirit of maximum cooperation, has structured itself, starting from September 2016, to carry out a detailed analysis of reports for unsolicited activations from final customers and to apply Article 66-quinquies to cases of justified complaints34.</w:t>
      </w:r>
    </w:p>
    <w:p>
      <w:r>
        <w:t>48. Regarding the dispute concerning the acquisition of the waiver of written confirmation of the contract, the company highlights that the scripts it prepared, repeatedly adjusted and perfected during the proceeding, provide for the request for consent to the conclusion of the contract through a durable medium at the beginning of the recorded part of the two phone calls and the express indication of the "waiver of the right to written form"; they appear fully compliant with the regulatory provision of Article 51, paragraph 6, of the Consumer Code, which merely states that the confirmation of the offer by the professional and the confirmation of acceptance of the same by the consumer "may be made, if the consumer consents, also on a durable medium," as an alternative to the written form35.</w:t>
      </w:r>
    </w:p>
    <w:p>
      <w:r>
        <w:t>49. Regarding the definition of the starting point for the right of reconsideration, GN specified that it has amended the general contract conditions related to the contractual proposal, which in Article 4 specify that for this purpose reference must be made to the date of sending the welcome letter, which now expressly indicates both the date of conclusion of the contract and the indication of the consumer's right to exercise the right of reconsideration. On this point, the solution adopted by GN to start the legal term of 14 days from the sending of the welcome letter appears more favorable to the consumer, as under the law this term could start from the moment of conclusion of the contract, that is, from the second phone call, which contains the exchange of confirmations; while GN grants a longer term, as the welcome letter is sent after this phone call36. In any case, the company has extended the term for exercising the right of withdrawal from 14 to 24 days, starting from the sending of the welcome letter to the consumer, to account for possible delays in the delivery of correspondence, informing consumers of this.</w:t>
      </w:r>
    </w:p>
    <w:p>
      <w:r>
        <w:t>50. From all of the above, an overall behavior of GN emerges aimed at full compliance with the prescriptions of this Authority and an organizational and managerial adjustment of GN to the more correct application of legal norms; some defects in the conclusion of contracts via teleselling, due to incorrect behaviors of the agencies, have been promptly corrected by the company.</w:t>
      </w:r>
    </w:p>
    <w:p>
      <w:r>
        <w:t>51. The professional finally notes that the assessment regarding the prerequisites for the existence of non-compliant conduct must necessarily concern the medium to long term, especially in cases where compliance involves the implementation of complex and articulated operational interventions and when the conduct of the professional following the sanctioning measure presents "elements of discontinuity" compared to the sanctioned behaviors, thus not existing the prerequisites to configure the non-compliance of the company.</w:t>
      </w:r>
    </w:p>
    <w:p>
      <w:r>
        <w:t>52. In the case at hand, the conduct of GN is characterized by an undeniable "discontinuity" compared to the sanctioned behaviors as the company has immediately implemented radical interventions to ensure full compliance with the prescriptions of the same sanctioning measure.</w:t>
      </w:r>
    </w:p>
    <w:p>
      <w:r>
        <w:t>IV. EVALUATIONS</w:t>
      </w:r>
    </w:p>
    <w:p>
      <w:r>
        <w:t>53. Following resolution no. 25708 of November 11, 2015 (PS9834), the Authority found the incorrectness of the conduct carried out by the professional37 consisting of: 1) the activation of unsolicited supplies of electricity and 2) the activation of unsolicited supplies of natural gas, both aimed at acquiring domestic customers and micro-enterprises on the market.</w:t>
      </w:r>
    </w:p>
    <w:p>
      <w:r>
        <w:t>35 In the context of the first phone call, according to the relevant script, the following question is posed to the consumer: "Do you consent to confirm your acceptance of this proposal on a durable medium, through a second telephone recording that will take place once you have confirmed that you have received the contractual package and understood the clauses contained therein?" The request appears to be formulated in an easily understandable manner and reflects the regulatory data. Nor does it seem that it could constitute a sanctionable irregularity that it is posed only at the end of the call, as there is no provision in the law that imposes a different placement.</w:t>
      </w:r>
    </w:p>
    <w:p>
      <w:r>
        <w:t>36 GN has also stated that it has never hindered in any way the exercise of the right of reconsideration by final customers, always fully implementing the regulations.</w:t>
      </w:r>
    </w:p>
    <w:p>
      <w:r>
        <w:t>37 At the time Green Network Luce e Gas s.r.l., which was succeeded by Green Network S.p.A. following a merger, is the recipient of this resolution.</w:t>
      </w:r>
    </w:p>
    <w:p>
      <w:r>
        <w:rPr>
          <w:b/>
        </w:rPr>
        <w:t>[Pages 163–165]</w:t>
      </w:r>
    </w:p>
    <w:p>
      <w:r>
        <w:t>BULLETIN NO. 19 OF MAY 22, 2017</w:t>
      </w:r>
    </w:p>
    <w:p>
      <w:r>
        <w:t>165</w:t>
        <w:br/>
        <w:t>free market; 3) in having concluded, starting from June 13, 2014, distance contracts and contracts outside commercial premises, in violation of the rights attributed to the consumer by Legislative Decree 21/201438.</w:t>
      </w:r>
    </w:p>
    <w:p>
      <w:r>
        <w:t>54. Based on the significant number of intervention requests received since the deadline for submitting the compliance report to the aforementioned injunction (February 1, 2016), which reported the recurrence of the aforementioned behaviors by GN, particularly for teleselling activities, on June 8, 2016, proceeding IP255 was initiated to ascertain whether the professional had actually modified (or initiated modifications to) its procedures for obtaining consumer consent, thus completing the path undertaken - and valued in the quantification of the sanction of the main proceeding - to reclassify the unsolicited activations of electricity and natural gas supplies as mere misunderstandings and fortuitous accidents.</w:t>
      </w:r>
    </w:p>
    <w:p>
      <w:r>
        <w:t>55. With exclusive reference to the practices referred to in numbers 1) and 2), the aforementioned procedure - which integrates the entire customer acquisition phase through teleselling - largely responded to the deficiencies identified by the Authority in the main resolution (PS/9834), particularly regarding the peculiar choice context created by, on one hand, the informational gap, typical of this market, between the professional and the consumer, and on the other hand, the constraints that this sales channel imposes on the behavior of the consumer itself.</w:t>
      </w:r>
    </w:p>
    <w:p>
      <w:r>
        <w:t>56. The evidence collected showed that the professional, in the initial phase of the observation period (from February until mid-June 2016), faced the complexity and the time necessary to consolidate the effects of the new contract acquisition procedures, as well as having to deal with a series of internal issues precisely during the start-up phase of the new procedures.</w:t>
      </w:r>
    </w:p>
    <w:p>
      <w:r>
        <w:t>57. The gradual containment and thus the overcoming of such difficulties by the professional, with the effective deployment of the measures taken in compliance with the Authority's resolution and their subsequent integration, resulted in a significant improvement in the level of actual correctness of the acquisition procedure, which was reflected in the reduction of incoming reports and the rate of contract disavowals.</w:t>
      </w:r>
    </w:p>
    <w:p>
      <w:r>
        <w:t>58. In fact, starting from the second half of June 2016, the same evidence - derived from the constant monitoring of the Authority on the trend of incoming reports (many of which, as mentioned, refer to contracts concluded in 2015) - highlighted a clear decrease in their number; in particular, following the extension of February 7, 2017, the monitoring carried out to assess the effect of the measures implemented by the company, which covers a period of over a year (February 2016 – April 2017), indicates that in the last period, the number of reports has actually decreased compared to that recorded throughout the proceeding, down to its complete elimination in the last period.</w:t>
      </w:r>
    </w:p>
    <w:p>
      <w:r>
        <w:t>59. Similar and parallel considerations can be made regarding the equally clear decrease in the number and consistency of disavowals on new supply activations.</w:t>
      </w:r>
    </w:p>
    <w:p>
      <w:r>
        <w:t>38 The unfairness of the behaviors has been established, in particular, with reference to the following profiles: i) acquisition of supply contracts without the consumer's consent (in the absence of signature or expression of will in this sense or by virtue of allegedly false signatures); ii) communication of misleading information or omission of relevant information regarding the identity of the professional, the purpose of the visit or the phone call, the obligations arising from the contract or the phone contact, in order to obtain an unknowing adherence to the contract proposal; iii) request, in case of activation of the supply, for payment of undue amounts; iv) imposition of obstacles to the exercise of the right of withdrawal; v) failure to comply, for contracts concluded at a distance, with the formal requirements provided for by Articles 49 and following of the Consumer Code.</w:t>
      </w:r>
    </w:p>
    <w:p>
      <w:r>
        <w:t>166 BULLETIN NO. 19 OF MAY 22, 2017</w:t>
      </w:r>
    </w:p>
    <w:p>
      <w:r>
        <w:t>60. Such data demonstrate the concrete effectiveness not only of the new procedures implemented but also of the combined implementation of all the measures put in place by GN to ensure their effective implementation and integrate the procedures themselves, particularly concerning: i) the establishment of stringent controls on the correct application of customer acquisition processes through teleselling, which allowed intercepting unsolicited contracts before they were initiated; ii) the redefinition of relationships and the termination of all commercial relationships with a significant portion of external agencies guilty of illegal behaviors; iii) the blocking effect of the check call - in addition to cases of "disavowal," "number not belonging to the person," and "wrong number," also in cases of "reconsideration" and "refusal to engage"; iv) the reorganization of the internal corporate structure and the complete restructuring of the commercial sector.</w:t>
      </w:r>
    </w:p>
    <w:p>
      <w:r>
        <w:t>61. Additionally, the renunciation of obstacles to the application of Article 66 quinquies of the Consumer Code in cases where the actual existence of supply contracts is ascertained in the absence of the consumer's consent should also be noted.</w:t>
      </w:r>
    </w:p>
    <w:p>
      <w:r>
        <w:t>62. From the documentation acquired, it also emerges that GN, even before the initiation of the non-compliance proceeding, had become aware of the critical issues in implementing the measures and had voluntarily initiated the necessary checks, which led to the adoption of the aforementioned measures. During the proceeding, the professional then intervened on the processes already put in place to integrate them and remove the residual profiles of illegality contested.</w:t>
      </w:r>
    </w:p>
    <w:p>
      <w:r>
        <w:t>63. This spontaneous action regarding the various profiles of illegality contested, the effects of which are clearly identifiable in the described data, marked a clear discontinuity between the previously sanctioned behaviors and the conduct maintained by GN during 2016.</w:t>
      </w:r>
    </w:p>
    <w:p>
      <w:r>
        <w:t>64. It should also be noted that, considering the internal difficulties encountered by the company and the consequent reorganization, the timing of compliance was not dissimilar to that of other professionals operating in the same market and affected by similar proceedings.</w:t>
      </w:r>
    </w:p>
    <w:p>
      <w:r>
        <w:t>65. In light of the above considerations, it is believed that, with exclusive reference to the practices described in numbers 1) and 2), in the period following the warning from the Authority contained in resolution no. 25708 of November 11, 2015 (PS9834), no elements of continuity of GN's conduct can be found concerning the behaviors maintained in the period October 2014 - November 2015 for which the Authority had established the violation of Articles 20, paragraph 2, 24, 25, letter d), and 26, letter f), of the Consumer Code.</w:t>
      </w:r>
    </w:p>
    <w:p>
      <w:r>
        <w:t>66. With reference, instead, to the conduct described in the previous point 3), the present proceeding has highlighted the persistence of incomplete compliance with the supplementary formal requirements provided for in the case of distance contracts and, in particular, telephone contracts.</w:t>
      </w:r>
    </w:p>
    <w:p>
      <w:r>
        <w:t>67. In particular, from the scripts produced before the modification made by the professional during the proceeding, it specifically emerges that the acquisition during the vocal order (first phone call) of the express waiver of confirmation in written form, as per Article 51, paragraph 6 of the Consumer Code, appears to be formulated in terms not easily understandable and occurs not preliminarily but only at the end of the phone call, which amounts to the failure to explicitly acquire the consumer's consent to carry out the exchange of confirmations in a form other than paper.</w:t>
      </w:r>
    </w:p>
    <w:p>
      <w:r>
        <w:t>68. The evidence in the records has also confirmed, in fact, the existence of the same critical issues highlighted during the main proceeding, namely that GN, even though the Civil Code provision (Article 1326) establishes that the contract is concluded at the moment when the proposer is aware of the acceptance by others, identifies as the starting date the sending of the welcome letter to the consumer, rather than the receipt of the same by the consumer.</w:t>
      </w:r>
    </w:p>
    <w:p>
      <w:r>
        <w:t>BULLETIN NO. 19 OF MAY 22, 2017</w:t>
      </w:r>
    </w:p>
    <w:p>
      <w:r>
        <w:t>167</w:t>
        <w:br/>
        <w:t>69. It follows that, in evaluating the timeliness or otherwise of the customer's reconsideration and the consequent management, the actual moment of perfection of the contract, as possibly alleged by the consumer in their reconsideration request, is not as relevant as the different conventional moment established by GN.</w:t>
      </w:r>
    </w:p>
    <w:p>
      <w:r>
        <w:t>70. Moreover, still with reference to the starting date, the elements in the records have confirmed that the professional's choice to start the date from which to calculate the terms for exercising the right of reconsideration from the day of sending the welcome letter was suitable to create - at least until November 2016 (the month in which this term was extended to 24 days) - an obstacle to the right of withdrawal in all those cases where, due to the late receipt of the welcome letter by consumers, GN considered the terms for exercising the reconsideration already expired and sent the consumer the standard communication of "reconsideration beyond the terms"39.</w:t>
      </w:r>
    </w:p>
    <w:p>
      <w:r>
        <w:t>71. In light of the above, concerning this profile, the reiteration of the violation of Articles 51, paragraph 6, 52, paragraph 2, letter c), and 54 of the Consumer Code is therefore evident, as the waiver of confirmation in written form is formulated in terms not easily understandable and occurs not preliminarily but only at the end of the phone call, and the starting date for exercising the right of withdrawal is not correctly calculated.</w:t>
      </w:r>
    </w:p>
    <w:p>
      <w:r>
        <w:t>72. It is therefore believed that the behavior carried out by the professional, concerning this profile, constitutes non-compliance with resolution no. 25708 of November 11, 2015 (PS9834).</w:t>
      </w:r>
    </w:p>
    <w:p>
      <w:r>
        <w:t>V. QUANTIFICATION OF THE SANCTION</w:t>
      </w:r>
    </w:p>
    <w:p>
      <w:r>
        <w:t>73. Pursuant to Article 27, paragraph 12, of the Consumer Code, the Authority orders the application of an administrative pecuniary sanction from €10,000 to €5,000,000, taking into account the severity and duration of the violation.</w:t>
      </w:r>
    </w:p>
    <w:p>
      <w:r>
        <w:t>74. Regarding the quantification of the sanction, the criteria identified by Article 11 of Law no. 689/81 must be considered, as applicable, by virtue of the reference provided in Article 27, paragraph 13, of the Consumer Code: in particular, the severity of the violation, the efforts made by the company to eliminate or mitigate the infringement, as well as the economic conditions of the company itself.</w:t>
      </w:r>
    </w:p>
    <w:p>
      <w:r>
        <w:t>75. With reference to the violation referred to in number 3), regarding the assessment of the severity of the conduct, concerning the profiles indicated in the motivation - failure to acquire the waiver of written form for the conclusion of the contract through teleselling and identification of the starting date from which to start the right of withdrawal on the date of sending the welcome letter, not allowing the consumer, in various circumstances, a full exercise of that right, the fact that it affected a significant number of consumers is relevant.</w:t>
      </w:r>
    </w:p>
    <w:p>
      <w:r>
        <w:t>76. As for the duration, from the elements acquired in the records, it emerges that GN has reiterated the violation of the new regulations introduced in the Consumer Code by Legislative Decree 21/2014 implementing Directive 2011/83/EU from February 1, 2016, until November 2016.</w:t>
      </w:r>
    </w:p>
    <w:p>
      <w:r>
        <w:t>77. Considering the severity and duration of the conduct, in light of the above, it is deemed appropriate to impose an overall sanction of €100,000 (one hundred thousand euros), of which:</w:t>
        <w:br/>
        <w:t>a) €50,000 (fifty thousand euros) for the violation of Article 51, paragraph 6;</w:t>
        <w:br/>
        <w:t>b) €50,000 (fifty thousand euros) for the violation of Articles 52, paragraph 2, letter c), and 54 of the Consumer Code.</w:t>
      </w:r>
    </w:p>
    <w:p>
      <w:r>
        <w:t>39 See previous notes nos. 25, 26, and 27.</w:t>
      </w:r>
    </w:p>
    <w:p>
      <w:r>
        <w:rPr>
          <w:b/>
        </w:rPr>
        <w:t>[Pages 166–168]</w:t>
      </w:r>
    </w:p>
    <w:p>
      <w:r>
        <w:t>168 BULLETIN NO. 19 OF MAY 22, 2017</w:t>
      </w:r>
    </w:p>
    <w:p>
      <w:r>
        <w:t>78. Considering that, in relation to this conduct, the professional intervened during the present proceeding by modifying, as of November 2016, the scripts of the first and second phone calls by clearly stating at the beginning of the recordings the information to the consumer regarding their waiver of the written form, as well as changing the term for the right of withdrawal in the welcome letter from 14 to 24 days, thus making it consistent with the regulatory provisions, it is deemed appropriate to recognize a mitigating circumstance by readjusting the amount of the administrative pecuniary sanctions applicable to Green Network S.p.A. as follows:</w:t>
        <w:br/>
        <w:t>33,750 € (thirty-three thousand seven hundred fifty euros) for the profile referred to in the previous letter a);</w:t>
        <w:br/>
        <w:t>33,750 € (thirty-three thousand seven hundred fifty euros) for the profile referred to in the previous letter b).</w:t>
      </w:r>
    </w:p>
    <w:p>
      <w:r>
        <w:t>CONSIDERING, in light of the findings, that in relation to the commercial practices referred to in nos. 1) and 2), no elements of continuity of GN's conduct can be found compared to the behaviors exhibited during the period October 2014-November 2015 for which the Authority had established a violation pursuant to Articles 20, paragraph 2, 24, 25, letter d), and 26, letter f), of the Consumer Code and that, therefore, no recurrence of "similar behaviors" to those subject to warning has been found;</w:t>
      </w:r>
    </w:p>
    <w:p>
      <w:r>
        <w:t>CONSIDERING, based on the aforementioned considerations, that the conduct referred to in no. 3), consisting of having repeated the distinct violations of Articles 51, paragraph 6, 52, paragraph 2, letter c), and 54 of the Consumer Code, in relation, respectively, to the failure to obtain the expressed and informed consent of the consumer to waive the written form for the conclusion of the contract and for having identified as the starting date the one of sending the welcome letter to the consumer, preventing them from exercising the right of withdrawal due to the expiration of the terms in all cases where the shipment takes longer than the time allowed for exercising such right, constitutes non-compliance with the provisions of letter c) of resolution no. 25708 of November 11, 2015 (PS9834);</w:t>
      </w:r>
    </w:p>
    <w:p>
      <w:r>
        <w:t>All of the above having been stated and considered;</w:t>
      </w:r>
    </w:p>
    <w:p>
      <w:r>
        <w:t>RESOLVES</w:t>
      </w:r>
    </w:p>
    <w:p>
      <w:r>
        <w:t>a) that, in relation to the commercial practices referred to in nos. 1) and 2), the conditions for imposing a sanction pursuant to Article 27, paragraph 12, of the Consumer Code do not exist;</w:t>
      </w:r>
    </w:p>
    <w:p>
      <w:r>
        <w:t>b) to impose on Green Network S.p.A. an administrative pecuniary sanction of 67,500 € (sixty-seven thousand five hundred euros) for the repetition of the conduct referred to in no. 3.</w:t>
      </w:r>
    </w:p>
    <w:p>
      <w:r>
        <w:t>The imposed administrative sanction must be paid within thirty days from the notification of this provision, using the tax codes indicated in the attached F24 model with identifying elements, pursuant to Legislative Decree no. 241/1997.</w:t>
      </w:r>
    </w:p>
    <w:p>
      <w:r>
        <w:t>Payment must be made electronically by debiting the bank or postal current account, through the home banking and CBI services provided by banks or by Poste Italiane S.p.A., or by using the telematic services of the Revenue Agency, available on the website www.agenziaentrate.gov.it.</w:t>
      </w:r>
    </w:p>
    <w:p>
      <w:r>
        <w:t>After the aforementioned deadline, for the period of delay of less than six months, late payment interest must be paid at the legal rate starting from the day following the expiration of the payment deadline until the date of payment. In case of further delay in compliance, pursuant to Article 27, paragraph 6, of Law no. 689/81, the amount due for the imposed sanction is increased by one-tenth for each semester starting from the day following the expiration of the payment deadline until the date on which the role is transmitted to the collection agent; in this case, the increase absorbs the late payment interest accrued during the same period.</w:t>
      </w:r>
    </w:p>
    <w:p>
      <w:r>
        <w:t>Immediate communication of the payment must be given to the Authority by sending the documentation certifying the payment made.</w:t>
      </w:r>
    </w:p>
    <w:p>
      <w:r>
        <w:t>This provision will be notified to the interested parties and published in the Bulletin of the Antitrust Authority.</w:t>
      </w:r>
    </w:p>
    <w:p>
      <w:r>
        <w:t>Against this provision, an appeal may be submitted to the TAR of Lazio, pursuant to Article 135, paragraph 1, letter b), of the Code of Administrative Procedure (Legislative Decree of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of November 24, 1971, no. 1199, within one hundred twenty days from the date of notification of the provision itself.</w:t>
      </w:r>
    </w:p>
    <w:p>
      <w:r>
        <w:t>THE SECRETARY GENERAL f.f. THE PRESIDENT</w:t>
        <w:br/>
        <w:t>Roberto Chieppa Gabriella Muscolo</w:t>
      </w:r>
    </w:p>
    <w:p>
      <w:r>
        <w:t>170 BULLETIN NO. 19 OF MAY 22, 2017</w:t>
      </w:r>
    </w:p>
    <w:p>
      <w:r>
        <w:t>PS10608 - NEW MEDIA SERVICE</w:t>
      </w:r>
    </w:p>
    <w:p>
      <w:r>
        <w:t>Provision no. 26607</w:t>
      </w:r>
    </w:p>
    <w:p>
      <w:r>
        <w:t>THE ANTITRUST AUTHORITY</w:t>
      </w:r>
    </w:p>
    <w:p>
      <w:r>
        <w:t>IN ITS MEETING of May 4, 2017;</w:t>
      </w:r>
    </w:p>
    <w:p>
      <w:r>
        <w:t>HEARD the Rapporteur Professor Michele Ainis;</w:t>
      </w:r>
    </w:p>
    <w:p>
      <w:r>
        <w:t>VIEWED Part II, Title III, of Legislative Decree No. 206 of September 6, 2005, containing the "Consumer Code"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VIEWED the acts of the proceeding;</w:t>
      </w:r>
    </w:p>
    <w:p>
      <w:r>
        <w:t>I. THE PARTY</w:t>
      </w:r>
    </w:p>
    <w:p>
      <w:r>
        <w:t>1. New Media Service d.o.o., as a professional, pursuant to Article 18, letter b), of the Consumer Code. The company, based in Pula in the Republic of Croatia, manages the website http://www.mappa-della-citta24.it/ which hosts a database containing multiple information about Italian companies (including company name, address, telephone and fax contacts, website, any logo and "corporate video"). The professional did not provide its accounting data during the proceeding.</w:t>
      </w:r>
    </w:p>
    <w:p>
      <w:r>
        <w:t>II. THE COMMERCIAL PRACTICE</w:t>
      </w:r>
    </w:p>
    <w:p>
      <w:r>
        <w:t>2. The proceeding concerns the behaviors carried out by the professional, related to the methods of promotion and management of the advertising services offered by it, based on the insertion of company data in a private electronic register accessible at the website http://www.mappa-della-citta24.it/.</w:t>
      </w:r>
    </w:p>
    <w:p>
      <w:r>
        <w:t>3. Specifically, various micro-enterprises received, by mail, from New Media Service d.o.o. (hereinafter also New Media Service) a communication, in which they were invited to update the company data reported therein and then return it to the sender, with any corrections indicated in the box titled "Additions/changes".</w:t>
      </w:r>
    </w:p>
    <w:p>
      <w:r>
        <w:t>4. In particular, the heading of the letter contains a logo depicting Italy and a box with a text composed of the expression "City Map" and the name of the Municipality where the contacted company is based. In the communications of 2014, in very large characters, moreover emphasized in bold, it is then written: "Dear ladies and gentlemen, We kindly ask you to update your company data from 2014"1, while in the subsequent ones "Dear ladies and gentlemen, We kindly ask you to update your company data"2. Below this formula, on the right side of the page and in much smaller characters, it is written: "Registration request". The following 6 pre-filled fields are then present: 'offer/month' with the indication of the month and year in which the communication was sent; 'subject' always filled with 'City Map'; 'Registration' always filled with 'Premium'; 'Designation' always filled with 'advertising offer'; 'Price / Month' filled with '66 €uro'; 'Period' filled with the reference two-year period (2014-2016 or 2015-2017 and the indication 24 months).</w:t>
      </w:r>
    </w:p>
    <w:p>
      <w:r>
        <w:t>1 The error is in the original communication. See doc. prot. no. 0045167 of 2014.</w:t>
        <w:br/>
        <w:t>2 See for example doc. prot. no. 0052107 of 2016.</w:t>
      </w:r>
    </w:p>
    <w:p>
      <w:r>
        <w:rPr>
          <w:b/>
        </w:rPr>
        <w:t>[Pages 169–171]</w:t>
      </w:r>
    </w:p>
    <w:p>
      <w:r>
        <w:t>BULLETIN NO. 19 OF MAY 22, 2017</w:t>
      </w:r>
    </w:p>
    <w:p>
      <w:r>
        <w:t>5. In the central part of the letter, the pre-filled data relating to the company receiving the letter are indicated. The information provided includes: ‘Activity’; ‘Company Name’; ‘Street / No’; ‘Postal Code/Location’; ‘Phone’; ‘Fax’; Internet (URL); ‘E-Mail’; ‘Region’; ‘Other’. Next to it is the space where additions and modifications can be made, as well as that for any “logo/layout”.</w:t>
      </w:r>
    </w:p>
    <w:p>
      <w:r>
        <w:t>6. Below, in two boxes, with extremely small characters, the contractual conditions are indicated. In particular, it can be read: “The company assigns the order for the registration of its data in the city maps and in the local online map. The ordering of the insert occurs by returning the signed registration offer. The signatory with their signature confirms that they have the right to assign the order, that they have informed themselves about the service offered, and that they recognize the business conditions. The internet service is made available independently of the authorities and without public order. The registration of the basic data is calculated with a monthly contribution of €66 for a fixed contractual duration of 24 months. The insertions of videos and/or images are free of charge. The payment of the contribution must be made in advance after invoicing within 30 days. All mentioned registration prices are net of the currently applicable VAT. The order is extended respectively for another year if it is not canceled by registered mail at least three months before the expiration of the respective contractual duration. Changes to the entered data can be communicated at any time in writing. All changes are free of charge. The company has the right to delete its data at any time without extinguishing the payment obligation for the stipulated contractual duration. The client is responsible for the correctness, completeness, and remaining admissibility of the registration. In the case of an incorrect registration, the registration will be modified at the request of the client free of charge. On this basis, the right to a reduction and/or withdrawal is not justified. The order for the ongoing publication can always be canceled in writing (via fax) for any reason within 14 days from the date of the order (via fax). Competent forum / place of performance Pula (CRO)” (grammatical and syntactical errors in the original text).</w:t>
      </w:r>
    </w:p>
    <w:p>
      <w:r>
        <w:t>7. Finally, at the bottom of the page, in bold and with larger characters, there is a prompt for a quick response: “For faster processing, we kindly ask you to send us the document within 1 day via fax” and the indication of the fax number (091/7562604) to which the communication should be sent once the company stamp and the signature of the responsible person have been affixed.</w:t>
      </w:r>
    </w:p>
    <w:p>
      <w:r>
        <w:t>8. Therefore, it should be noted that nowhere in the letter sent is the name of the sender indicated, nor the existence of the site http://www.mappa-della-citta24.it/.</w:t>
      </w:r>
    </w:p>
    <w:p>
      <w:r>
        <w:t>9. Only after several months have passed since New Media Service received the letter signed by the companies, and thus after the deadlines for exercising the right of withdrawal (contractually provided) have expired, does New Media Service send the invoice requesting payment for the two-year subscription in advance and in full (€1,584)3.</w:t>
      </w:r>
    </w:p>
    <w:p>
      <w:r>
        <w:t>10. In particular, with the invoice, for the first time, the professional discloses their name providing a German address4, as well as the contacts (phone, fax, email), office hours. Furthermore, also for the first time, the contacted company becomes aware of the existence of the site www.mappa-</w:t>
      </w:r>
    </w:p>
    <w:p>
      <w:r>
        <w:t>3 See for example doc. prot. n. 0052107 of 2016.</w:t>
        <w:br/>
        <w:t>4 Although the company has its legal headquarters in the Republic of Croatia, in the invoices sent to micro-enterprises, the professional instead presents themselves as having headquarters in Germany. The reference address is in the city of Bremen, and, depending on the case, the addresses are Schlachte 12/13 28195 Bremen (see doc. prot. 0016442 of 2015), or Teerhof 59 28199 Bremen (see doc. prot. n. 0052107 of 2016).</w:t>
      </w:r>
    </w:p>
    <w:p>
      <w:r>
        <w:t>BULLETIN NO. 19 OF MAY 22, 2017</w:t>
      </w:r>
    </w:p>
    <w:p>
      <w:r>
        <w:t>della-citta24.it5, which is indicated in the ‘subject’ field of the box present at the top right and in the phrase “Your advertisement is online at www.mappa-della-citta24.it! We wish you to find numerous6 contacts and orders and we express our sincerest thanks for your trust” present before the heading ‘INVOICE’.</w:t>
      </w:r>
    </w:p>
    <w:p>
      <w:r>
        <w:t>11. Below the heading ‘INVOICE’ it is written: “Dear Sir/Madam, as agreed based on the contract (see attachment 1) we invoice you for the details listed below (for the registration contribution for the respective period of your company data registered with our company, for the layout and the corporate video on www.mappa-della-citta24.it). The service of the contract, as per agreements made in the context of the contract, has already been performed.” There is then a list of the services provided (Registration Contribution, Logo/Layout, Corporate Video). In particular, only the ‘Registration Contribution’ has a total net price indicated equal to €1,584, while the other services are offered free of charge. In fact, the VAT, although indicated at 25% and 13%, is always reported as €0.</w:t>
      </w:r>
    </w:p>
    <w:p>
      <w:r>
        <w:t>12. Regarding the payment terms, it is specified: “We kindly ask you to send the invoice amount via bank transfer to the bank account listed below. Please indicate the invoice number at the time of payment. To customers whose payment reaches us within 14 days from the date of the invoice, we grant a discount of 4% (30 days net).”</w:t>
      </w:r>
    </w:p>
    <w:p>
      <w:r>
        <w:t>13. Finally, before the bank details related to the bank account (with German IBAN) on which to make the payment and in extremely small characters, it is specified that “This letter has been produced electronically and therefore without any signature.”</w:t>
      </w:r>
    </w:p>
    <w:p>
      <w:r>
        <w:t>14. If the companies do not pay, they begin to receive periodic payment reminders. In particular, the first is a “Payment Reminder”7. The structure of the communication is similar to that of the invoice. The only elements that change concern the opening of the communication, in which it is stated: “Dear Sir/Madam, even with all due caution, a payment deadline can sometimes fall into oblivion. Therefore, we would like to briefly remind you that our invoice is still outstanding. Unfortunately, you have not yet paid the aforementioned invoice, as contractually agreed”; and the final part where it is written: “We kindly ask you to settle the payment and we look forward to receiving your payment. If your payment has crossed with our reminder, please consider this communication null. For further questions, please contact our Customer Service Center.”</w:t>
      </w:r>
    </w:p>
    <w:p>
      <w:r>
        <w:t>15. In the reminders, the tones become increasingly pressing. In the first8 it reads: “Dear Sir/Madam, our accounting services indicate that the amount mentioned above has not yet been settled. Therefore, we kindly remind you to settle the total amount of €1,584 and we ask you, at the same time, to let us know if there is any complaint regarding contractual services, so that we can address it”; in the second9: “Dear Sir/Madam, with reference to our invoice no…, payment reminder and our 1st Reminder, we must today note that your payment has not yet reached us. You have entered into a legally binding signed contract with us. The agreed services have been contractually fulfilled. In order to avoid high collection costs, as well as legal expenses, we kindly ask you to take this communication seriously. Please settle the outstanding invoice amount of €1,584.00 within 14 days.”; in the third10: “Dear Sir/Madam, with reference to our invoice no…, payment reminder and our 1st Reminder, as well as the 2nd, we must today note that your payment has not yet reached us. This implies a unilateral termination of the contract on your part. Under current legislation, we could already declare the existing credit in court. However, we still give you the last opportunity to fulfill your contractual obligations by immediately sending us the overdue amount of €1,584. Under current legislation, we are authorized to incur the competent litigation costs. All already due and still emerging costs (injunction costs, legal and court costs) are at your expense. Avoid us unnecessary inconveniences, as well as further expenses, and fulfill the contract entered into with us.”</w:t>
      </w:r>
    </w:p>
    <w:p>
      <w:r>
        <w:t>16. As in the first invoice, in all subsequent communications at the bottom of the page in extremely small characters it is specified that “This letter has been produced electronically and therefore without any signature.”</w:t>
      </w:r>
    </w:p>
    <w:p>
      <w:r>
        <w:t>III. THE OUTCOMES OF THE PROCEEDING</w:t>
      </w:r>
    </w:p>
    <w:p>
      <w:r>
        <w:t>1) The course of the proceeding</w:t>
      </w:r>
    </w:p>
    <w:p>
      <w:r>
        <w:t>17. In relation to the behaviors described above, on November 10, 2016, the initiation of the investigation procedure no. PS10608 for possible violation of Articles 20, 24, 25, paragraph 1, letters d) and e), as well as 26, paragraph 1, letter f), of the Consumer Code was communicated to the Party. In this context, the existence of an unfair commercial practice aimed at demanding payment for a paid advertising service that the micro-enterprise had not consciously requested was particularly hypothesized.</w:t>
      </w:r>
    </w:p>
    <w:p>
      <w:r>
        <w:t>18. Concurrently with the initiation communication11, in order to acquire useful knowledge elements for the evaluation of the message, the professional was requested, pursuant to Article 27, paragraphs 3 and 4, of the Consumer Code and Article 12, paragraph 1, of the Regulation, to provide information regarding: i) their corporate and organizational structure (administrative and technical); ii) the criteria by which the subjects to whom the promotional offer of the company was sent were selected; iii) the information sources used by New Media Service d.o.o. to obtain the commercial data concerning the contacted Italian companies; iv) the number, list, and economic sector of the Italian subscribers; v) the number, list, and economic sector of the Italian subscribers who paid for the service; vi) the turnover generated in each of the years for which New Media Service d.o.o. has exercised the activity of managing the site www.mappa-della-citta24.it.</w:t>
      </w:r>
    </w:p>
    <w:p>
      <w:r>
        <w:t>19. On March 9, 2017, the date of conclusion of the investigative phase was communicated to the Party pursuant to Article 16, paragraph 1, of the Regulation.</w:t>
      </w:r>
    </w:p>
    <w:p>
      <w:r>
        <w:t>2) The evidence acquired</w:t>
      </w:r>
    </w:p>
    <w:p>
      <w:r>
        <w:t>20. The commercial practice contested to the professional with the initiation communication has been implemented at least since September 201412, and it appears</w:t>
      </w:r>
    </w:p>
    <w:p>
      <w:r>
        <w:rPr>
          <w:b/>
        </w:rPr>
        <w:t>[Pages 172–174]</w:t>
      </w:r>
    </w:p>
    <w:p>
      <w:r>
        <w:t>174 BULLETIN NO. 19 OF MAY 22, 2017</w:t>
      </w:r>
    </w:p>
    <w:p>
      <w:r>
        <w:t>still ongoing13. Furthermore, as can be inferred from the residence of the various reporters, it appears that New Media Service disseminates the aforementioned communications by regular mail, addressing them to recipients throughout the national territory.</w:t>
      </w:r>
    </w:p>
    <w:p>
      <w:r>
        <w:t>21. During the investigation, it emerged that New Media Service carries out an activity of collecting and publishing data related to Italian companies, regardless of their size, and thus also including microenterprises, operating in various economic sectors.</w:t>
      </w:r>
    </w:p>
    <w:p>
      <w:r>
        <w:t>22. The collection activity, in particular, occurs without the microenterprises being previously informed about the processing that the professional intends to carry out on their data, both regarding the pre-registration in the telematic database, which is carried out without their knowledge, and concerning the use of the collected information for the purpose of sending unsolicited commercial communications.</w:t>
      </w:r>
    </w:p>
    <w:p>
      <w:r>
        <w:t>23. Moreover, as can be inferred from the reports on file, the initial data collection activity is also used by the professional for drafting the commercial communication sent to the microenterprises, as described in section II.</w:t>
      </w:r>
    </w:p>
    <w:p>
      <w:r>
        <w:t>3) The Defensive Arguments of the Party</w:t>
      </w:r>
    </w:p>
    <w:p>
      <w:r>
        <w:t>24. The professional did not submit any defensive memorandum during the proceedings.</w:t>
      </w:r>
    </w:p>
    <w:p>
      <w:r>
        <w:t>IV. CONCLUDING EVALUATIONS</w:t>
      </w:r>
    </w:p>
    <w:p>
      <w:r>
        <w:t>25. It should be noted preliminarily that the conduct under examination is likely to harm the economic behavior of medium and small-sized enterprises, including microenterprises, as the examination of the documentation on file shows that such commercial practice has also involved those enterprises that meet the characteristics referred to in Article 18, paragraph 1, letter d-bis), of the Consumer Code14.</w:t>
      </w:r>
    </w:p>
    <w:p>
      <w:r>
        <w:t>26. As for the merits of the practice under examination, it is articulated in a plurality of behaviors all aimed at inducing microenterprises, through undue conditioning of their decision-making process, to subscribe to a service of unsolicited advertising announcements.</w:t>
      </w:r>
    </w:p>
    <w:p>
      <w:r>
        <w:t>27. In fact, microenterprises receive, without having ever requested it, a communication inviting them to check a series of business information and possibly correct it, to then return it signed to a fax number.</w:t>
      </w:r>
    </w:p>
    <w:p>
      <w:r>
        <w:t>28. However, the graphic and content layout of the communication is such as to prevent the recipient from understanding its nature as a commercial proposal: on one hand, there are completely absent references to the identity of the professional, on the other hand, the indications regarding the nature, characteristics, and price of the service provided are presented in a confusing manner and, given the small size of the graphic characters used, in an almost illegible way.</w:t>
      </w:r>
    </w:p>
    <w:p>
      <w:r>
        <w:t>29. In particular, the communication disguises its nature as a commercial proposal and presents itself, instead, as a simple request to update its business data (with significant graphic prominence it is indicated: "We kindly ask you to update your business data"), leading to presume that this activity is aimed at the establishment of an advertising database promoted by the publisher.</w:t>
      </w:r>
    </w:p>
    <w:p>
      <w:r>
        <w:t>13 See doc. prot. n. 0081229 of 2016.</w:t>
      </w:r>
    </w:p>
    <w:p>
      <w:r>
        <w:t>14 Article 18, paragraph 1, letter d-bis), of the Consumer Code defines microenterprises as "entities, companies, or associations that, regardless of their legal form, carry out an economic activity, even on an individual or family basis, with fewer than ten people and achieving an annual turnover or a total annual balance not exceeding two million euros, pursuant to Article 3 of the annex to Recommendation No. 2003/361/EC of the Commission, of May 6, 2003."</w:t>
      </w:r>
    </w:p>
    <w:p>
      <w:r>
        <w:t>BULLETIN NO. 19 OF MAY 22, 2017 175</w:t>
      </w:r>
    </w:p>
    <w:p>
      <w:r>
        <w:t>30. Considering the actual nature of the commercial proposal, the communication is severely lacking in relation to the information concerning the real characteristics of the service offered by New Media Service, to the point that it does not even contain a reference to the website www.mappa-della-citta24.it that would host the paid database.</w:t>
      </w:r>
    </w:p>
    <w:p>
      <w:r>
        <w:t>31. In this case, New Media Service, precisely to favor the described confusing effect, presents the real nature of the service offered and the price to be paid in a completely marginal way, as well as in tiny and substantially illegible characters.</w:t>
      </w:r>
    </w:p>
    <w:p>
      <w:r>
        <w:t>32. Overall, therefore, several fundamental pieces of information are missing for the recipients to make an informed purchasing decision. Furthermore, the undue conditioning is reinforced by the request to send the completed form within one day of its receipt.</w:t>
      </w:r>
    </w:p>
    <w:p>
      <w:r>
        <w:t>33. The effects of such alteration of the choices of microenterprises are then extremely significant, as sending the signed form would, according to the professional, result in the subscription of a multi-year contract that is extremely burdensome for the microenterprises. Moreover, only once the right of withdrawal contractually granted has lapsed, does New Media Service disclose the existence of such a supposed contractual obligation and the consequent debt for the provision of the advertising service in the database.</w:t>
      </w:r>
    </w:p>
    <w:p>
      <w:r>
        <w:t>34. The professional then sends repeated notices and payment reminders, accompanied in some cases by the threat of legal action for the recovery of the sums allegedly owed. Such methods, through which New Media Service seeks to assert its claims, denote a clearly aggressive character, given the insistence and increasingly pressing nature of the reminders.</w:t>
      </w:r>
    </w:p>
    <w:p>
      <w:r>
        <w:t>35. The commercial practice carried out by the professional is characterized by extreme breadth and capillarity, having essentially involved the entire national territory, as well as a very long duration, as it is still ongoing and there are reports dating back to September 2014 on file.</w:t>
      </w:r>
    </w:p>
    <w:p>
      <w:r>
        <w:t>36. The conduct described above is contrary to professional diligence, as there is no evidence from the professional of the normal degree of attention that can reasonably be expected, given the characteristics of the activity carried out. The contrariness to professional diligence by New Media Service is particularly evident in the fact that both the unilateral creation of accounts attributable to microenterprises within the online database and the methods by which the commercial communication directed to them is carried out constitute mechanisms that the professional uses to unduly condition their decision-making process, forcing them to make a consumption choice that they would not otherwise have made.</w:t>
      </w:r>
    </w:p>
    <w:p>
      <w:r>
        <w:t>37. In conclusion, it is believed that the conduct of New Media Service violates the provisions of Articles 20, 24, 25, paragraph 1, letters d) and e), and 26, paragraph 1, letter f), of the Consumer Code.</w:t>
      </w:r>
    </w:p>
    <w:p>
      <w:r>
        <w:t>V. QUANTIFICATION OF THE SANCTION</w:t>
      </w:r>
    </w:p>
    <w:p>
      <w:r>
        <w:t>38. Pursuant to Article 27, paragraph 9, of the Consumer Code, with the provision that prohibits the unfair commercial practice, the Authority orders the application of an administrative pecuniary sanction from €5,000 to €5,000,000, taking into account the severity and duration of the violation.</w:t>
      </w:r>
    </w:p>
    <w:p>
      <w:r>
        <w:t>39. Regarding the quantification of the sanction, the criteria identified by Article 11 of Law No. 689/81 must be considered, as applicable,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 Regarding this last aspect, it should be noted that the professional did not provide its accounting data during the proceedings.</w:t>
      </w:r>
    </w:p>
    <w:p>
      <w:r>
        <w:t>40. With regard to the severity of the violation, consideration is given in the case under examination to the nationwide dissemination of the commercial practice, as it appears from the documents on file that the professional has registered, during its activity, the data of numerous Italian companies, including the presence of microenterprises, to which it subsequently sent a misleading unsolicited commercial communication. The significant economic harm is also relevant, considering the level of the price of the services offered by New Media Service, also due to the economic-financial dimensions of the microenterprises, as the professional requests the amount of €1,584 for the two-year subscription in full and in advance.</w:t>
      </w:r>
    </w:p>
    <w:p>
      <w:r>
        <w:t>41. As for the duration of the violation, from the elements available in the files, it appears that this commercial practice has been carried out by New Media Service at least since September 2014, and is still ongoing.</w:t>
      </w:r>
    </w:p>
    <w:p>
      <w:r>
        <w:t>42. Based on these elements, it is deemed appropriate to determine the amount of the administrative pecuniary sanction applicable to New Media Service d.o.o. at €500,000 (five hundred thousand euros).</w:t>
      </w:r>
    </w:p>
    <w:p>
      <w:r>
        <w:t>THEREFORE, CONSIDERING the above considerations, that the commercial practice under examination is deemed unfair pursuant to Articles 20, 24, 25, paragraph 1, letters d) and e), as well as 26, paragraph 1, letter f), of the Consumer Code as it is contrary to professional diligence and likely, through the undue conditioning of microenterprises regarding the decision to subscribe to an unsolicited paid advertising announcement service, to appreciably distort their economic behavior;</w:t>
      </w:r>
    </w:p>
    <w:p>
      <w:r>
        <w:t>RESOLVES</w:t>
      </w:r>
    </w:p>
    <w:p>
      <w:r>
        <w:t>a) that the commercial practice described in point II of this provision, carried out by New Media Service d.o.o., constitutes, for the reasons and within the limits set out in the motivation, an unfair commercial practice pursuant to Articles 20, 24, 25, paragraph 1, letters d) and e), as well as 26, paragraph 1, letter f), of the Consumer Code, and prohibits its dissemination or continuation;</w:t>
      </w:r>
    </w:p>
    <w:p>
      <w:r>
        <w:t>b) to impose on New Media Service d.o.o. an administrative pecuniary sanction of €500,000 (five hundred thousand euros).</w:t>
      </w:r>
    </w:p>
    <w:p>
      <w:r>
        <w:t>The imposed administrative sanction must be paid within thirty days from the notification of this provision, by bank transfer (in euros) to the Treasury, using the IBAN code IT04A0100003245348018359214 (BIC code: BITAITRRENT), which corresponds to the accounting number 18/3592/14.</w:t>
      </w:r>
    </w:p>
    <w:p>
      <w:r>
        <w:t>After the aforementioned deadline, for the period of delay of less than six months, late payment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w:t>
      </w:r>
    </w:p>
    <w:p>
      <w:r>
        <w:rPr>
          <w:b/>
        </w:rPr>
        <w:t>[Pages 175–177]</w:t>
      </w:r>
    </w:p>
    <w:p>
      <w:r>
        <w:t>BULLETIN NO. 19 OF MAY 22, 2017 177</w:t>
      </w:r>
    </w:p>
    <w:p>
      <w:r>
        <w:t>after the payment deadline and until the date of payment. In case of further delay in fulfillment, pursuant to Article 27, paragraph 6, of Law No. 689/81, the amount due for the imposed sanction is increased by one-tenth for each semester starting from the day following the expiration of the payment deadline and until the date on which the role is transmitted to the concessionaire for collection; in this case, the increase absorbs the late payment interest accrued during the same period.</w:t>
      </w:r>
    </w:p>
    <w:p>
      <w:r>
        <w:t>Immediate notification of the payment must be given to the Authority through the submission of documentation certifying the payment made.</w:t>
      </w:r>
    </w:p>
    <w:p>
      <w:r>
        <w:t>This provision will be notified to the interested parties and published in the Bulletin of the Competition and Market Authority.</w:t>
      </w:r>
    </w:p>
    <w:p>
      <w:r>
        <w:t>Pursuant to Article 27, paragraph 12, of the Consumer Code, in case of non-compliance with the provision, the Authority applies an administrative pecuniary sanction from €10,000 to €5,000,000. In cases of repeated non-compliance, the Authority may order the suspension of business activity for a period not exceeding thirty days.</w:t>
      </w:r>
    </w:p>
    <w:p>
      <w:r>
        <w:t>Against this provision, an appeal may be filed with the TAR of Lazio, pursuant to Article 135, paragraph 1, letter b), of the Code of Administrative Procedure (Legislative Decree No. 104 of July 2, 2010), within sixty days from the date of notification of the provision itself, without prejudice to the longer terms provided for in Article 41, paragraph 5, of the Code of Administrative Procedure, or an extraordinary appeal may be proposed to the President of the Republic pursuant to Article 8 of the Decree of the President of the Republic No. 1199 of November 24, 1971, within one hundred and twenty days from the date of notification of the provision itself.</w:t>
      </w:r>
    </w:p>
    <w:p>
      <w:r>
        <w:t xml:space="preserve">THE SECRETARY GENERAL THE PRESIDENT </w:t>
        <w:br/>
        <w:t>Roberto Chieppa Giovanni Pitruzzella</w:t>
      </w:r>
    </w:p>
    <w:p>
      <w:r>
        <w:t>178 BULLETIN NO. 19 OF MAY 22, 2017</w:t>
      </w:r>
    </w:p>
    <w:p>
      <w:r>
        <w:t xml:space="preserve">PS10609 - SEO MARKETING </w:t>
        <w:br/>
        <w:t xml:space="preserve">Notice of adoption of the closure of the proceeding </w:t>
        <w:br/>
        <w:t xml:space="preserve">THE COMPETITION AND MARKET AUTHORITY </w:t>
        <w:br/>
        <w:t>Notice of adoption of the closure of the proceeding, pursuant to Article 19, paragraph 2, of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in relation to proceeding PS10609 - SEO MARKETING.</w:t>
      </w:r>
    </w:p>
    <w:p>
      <w:r>
        <w:t>The publication of this notice in the weekly Bulletin of the Competition and Market Authority, followed by the provision for the closure of the proceeding which determined the unfairness of the commercial practice, is carried out pursuant to and for the effects of Article 19, paragraph 2 of the Regulation, given the failure to receive feedback on the attempt to transmit the communication of the initiation of the proceeding, made on November 10, 2016, prot. No. 0070930.</w:t>
      </w:r>
    </w:p>
    <w:p>
      <w:r>
        <w:t>For any communication addressed to the Authority regarding the case in question, please refer to Directorate C of the General Directorate for Consumer Protection and the reference PS10609.</w:t>
      </w:r>
    </w:p>
    <w:p>
      <w:r>
        <w:t>In the "payment of sanctions" section of the Authority's website (www.agcm.it), information regarding the methods of payment of sanctions is provided.</w:t>
      </w:r>
    </w:p>
    <w:p>
      <w:r>
        <w:t>BULLETIN NO. 19 OF MAY 22, 2017 179</w:t>
      </w:r>
    </w:p>
    <w:p>
      <w:r>
        <w:t xml:space="preserve">PS10609 - SEO MARKETING </w:t>
        <w:br/>
        <w:t xml:space="preserve">Provision No. 26608 </w:t>
        <w:br/>
        <w:t xml:space="preserve">THE COMPETITION AND MARKET AUTHORITY </w:t>
        <w:br/>
        <w:t xml:space="preserve">IN ITS MEETING of May 4, 2017; </w:t>
        <w:br/>
        <w:t xml:space="preserve">HEARD the Rapporteur Dr. Gabriella Muscolo; </w:t>
        <w:br/>
        <w:t xml:space="preserve">VIEWED Part II, Title III, of Legislative Decree No. 206 of September 6, 2005, containing the "Consumer Code" and subsequent amendments (hereinafter, Consumer Code); </w:t>
        <w:br/>
        <w:t xml:space="preserve">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w:t>
        <w:br/>
        <w:t>VIEWED the acts of the proceeding;</w:t>
      </w:r>
    </w:p>
    <w:p>
      <w:r>
        <w:t xml:space="preserve">I. THE PARTY </w:t>
        <w:br/>
        <w:t xml:space="preserve">1. SEO Marketing SL., as a professional, pursuant to Article 18, letter b), of the Consumer Code. The company, based in Spain, operates in the advertising and public relations sector. </w:t>
        <w:br/>
        <w:t>The professional did not provide its accounting data during the proceeding.</w:t>
      </w:r>
    </w:p>
    <w:p>
      <w:r>
        <w:t xml:space="preserve">II. THE COMMERCIAL PRACTICE </w:t>
        <w:br/>
        <w:t xml:space="preserve">2. The proceeding concerns the behaviors carried out by the professional, related to the methods of promotion and management of the advertising services offered by it, based on the insertion of business data in private electronic registers accessible to the websites www.eubusinessregister.com/, www.europeancompanynetwork.com and www.worldbusinesslist.net. </w:t>
        <w:br/>
        <w:t xml:space="preserve">3. Specifically, various micro-enterprises received, by ordinary mail, communications in English inviting them to fill out a form, indicating their data (the company name, address, a telephone contact, fax, email address, website address, a contact person) and, depending on the case, other information, such as: the sector of activity, the existence of branches distributed in the territory, the languages spoken by the staff, the continents in which the company operates. The completed form was to be returned to the indicated address for the purpose of entering the information into a database accessible on the internet. </w:t>
        <w:br/>
        <w:t xml:space="preserve">4. In particular, the forms are of three types. The most widespread is the one in which the heading, next to the wording "Company Data Control," features the trademark "EU BUSINESS REGISTER"1. The communication is not personalized and addresses the receiving company simply using the expression "Dear Company." The body of the text is very sparse and is as follows: "We are compiling information for the EU BUSINESS REGISTER. We wish to be able to inform other EU companies about your activities. In order to list your company on the Internet for EU Businesses, just fill in and return the form. Any additional material of your company that can make your profile up to date is very welcome."2 It concludes by thanking for the cooperation3. Next to it, </w:t>
        <w:br/>
        <w:t xml:space="preserve">1 See for example doc. prot. No. 0047355 of 2016. </w:t>
        <w:br/>
        <w:t xml:space="preserve">2 The bold is in the form. </w:t>
        <w:br/>
        <w:t>3 It is literally written "We thank you for your cooperation."</w:t>
      </w:r>
    </w:p>
    <w:p>
      <w:r>
        <w:rPr>
          <w:b/>
        </w:rPr>
        <w:t>[Pages 178–180]</w:t>
      </w:r>
    </w:p>
    <w:p>
      <w:r>
        <w:t>180 BULLETIN NO. 19 OF MAY 22, 2017</w:t>
      </w:r>
    </w:p>
    <w:p>
      <w:r>
        <w:t>the following text is then written: “To update your company profile, please print, complete and return this form. (Updating is free of charge). Only sign if you want to place an insertion.”4 It is then indicated in a box below the address, corresponding to a Dutch P.O. box, to which the form should be sent, namely: P.O.BOX 3079 - 3502 GB UTRECHT - THE NETHERLANDS.</w:t>
      </w:r>
    </w:p>
    <w:p>
      <w:r>
        <w:t>5. The central part of the page is occupied by two boxes. In the left box, 10 sectors of economic activity are indicated among which the company must specify its belonging. On the right, there is a box to fill in with its own data.</w:t>
      </w:r>
    </w:p>
    <w:p>
      <w:r>
        <w:t>6. In extremely small characters, in a single dense paragraph of words that occupies only 7% of the page, under the heading ORDER, the following information is provided: “THE SIGNING OF THIS DOCUMENT REPRESENTS THE ACCEPTANCE OF THE FOLLOWING CONDITIONS AND THE CONDITIONS STATED IN 'THE TERMS AND CONDITIONS FOR INSERTION' ON THE WEB PAGE WWW.EUBUSINESSREGISTER.COM. THE SIGNING IS LEGALLY BINDING AND GIVES YOU THE RIGHT OF AN INSERTION IN THE ONLINE DATABASE OF THE EU BUSINESS REGISTER, WHICH CAN BE ACCESSED VIA THE INTERNET, AND A CD-ROM WITH EUROPEAN BUSINESSES IS GRANTED, ALL IN ACCORDANCE WITH THE CONTRACT CONDITIONS STATED ON 'THE TERMS AND CONDITIONS FOR INSERTION' ON WEB PAGE WWW.EUBUSINESSREGISTER.COM. THE VALIDATION TIME OF THE CONTRACT IS THREE YEARS AND STARTS ON THE EIGHTH DAY AFTER SIGNING THE CONTRACT. THE INSERTION IS GRANTED AFTER SIGNING AND RECEIVING THIS DOCUMENT BY THE SERVICE PROVIDER. I HEREBY ORDER A SUBSCRIPTION WITH THE SERVICE PROVIDER EU BUSINESS SERVICES LTD. 'EU BUSINESS REGISTER'. I WILL HAVE AN INSERTION INTO ITS DATABASE FOR THREE YEARS. THE PRICE PER YEAR IS EURO 995. THE SUBSCRIPTION WILL BE AUTOMATICALLY EXTENDED EVERY YEAR FOR ANOTHER YEAR. UNLESS SPECIFIC WRITTEN NOTICE IS RECEIVED BY THE SERVICE PROVIDER OR THE SUBSCRIBER TWO MONTHS BEFORE THE EXPIRATION OF THE SUBSCRIPTION. YOUR DATA WILL BE RECORDED. THE PLACE OF JURISDICTION IN ANY DISPUTE ARISING IS THE SERVICE PROVIDER'S ADDRESS. THE AGREEMENT BETWEEN THE SERVICE PROVIDER AND THE SUBSCRIBER IS GOVERNED BY THE CONDITIONS STATED IN 'THE TERMS AND CONDITIONS FOR INSERTION' ON THE WEB PAGE: WWW.EUBUSINESSREGISTER.COM”.</w:t>
      </w:r>
    </w:p>
    <w:p>
      <w:r>
        <w:t>7. Therefore, it is only in this part of the communication that it is stated that this is a true commercial proposal from EU BUSINESS SERVICES LTD, and that by signing, one is effectively subscribing to a three-year subscription to a database at the price of €995 per year.</w:t>
      </w:r>
    </w:p>
    <w:p>
      <w:r>
        <w:t>8. Finally, at the bottom of the page, the address of the Dutch P.O. box is repeated along with a fax number from the same country: +31 20 52 48 107. Instead, vertically, on the left margin of the page, it is further added: “EU Business Services Limited and The EU Business Register are not related to any organization or institution of the European Union or Commission”.</w:t>
      </w:r>
    </w:p>
    <w:p>
      <w:r>
        <w:t>9. The second form indicated features the header logo “European Company Network” and next to it the wording “Company Data Control”5. The structure is very similar to that of the communication “EU BUSINESS REGISTER”. Without addressing the receiving company directly, the initial text is as follows: “We are compiling information for the EUROPEAN COMPANY NETWORK. We wish to be able to inform other companies about your activities and the languages spoken in your company. In order to list your company on the internet for European/world businesses, just fill in and return the form. Any additional material of your company that can make your profile up to date is very welcome. We thank you for your cooperation.”</w:t>
      </w:r>
    </w:p>
    <w:p>
      <w:r>
        <w:t>10. The central part of the page is occupied by two boxes. In the left box, below the indication “To update your company profile, please print, complete and return this form. UPDATING IS FREE OF CHARGE. Only sign if you want to place an insertion.”, there are fields related to the company data to be filled in. In the second box, below the wording “Please fill in the form completely and return to: EUROPEAN COMPANY NETWORK P.O. BOX 34 · 3700 AA · ZEIST · THE NETHERLANDS”, a series of languages are indicated among which to specify those spoken in the company. Below the two boxes, there is then space to indicate the sectors of activity6 of the company.</w:t>
      </w:r>
    </w:p>
    <w:p>
      <w:r>
        <w:t>11. Also in the “European Company Network” form, it is only at the bottom of the page that the necessary information is contained to understand that this is a commercial proposal, again from EU BUSINESS SERVICES LTD, and that the service offered is the registration in a database with a three-year contract at the price of €995 per year. In fact, the text is similar to that indicated in paragraph 6, and the only differences concern the replacement of the name “European Company Network” in place of “EU Business Register”7. Again, everything is contained in a single paragraph and the font used is extremely small.</w:t>
      </w:r>
    </w:p>
    <w:p>
      <w:r>
        <w:t>12. The third form has the same structure as the other two, except that in this case the header logo is “World Business List”8. Also in this case, the communication is indistinct and addresses the company with the formula “Dear Sirs”. Furthermore, the body of the letter generically presents the activity carried out stating: “We are gathering information about your field(s) of activity, language(s) spoken in your company and standard contact information with the purpose of facilitating contacts between you and potential customers and business partners. If you are interested9 in listing your company in our online directory, please fill in and return the form. Feel free to provide any additional material that would help identify, represent and individualize your company better such as supplemental contact information (and)(/or) brief company description (and)(/or) history. Updating is free of charge! Only sign if you want to place an insertion. We are looking forward to our potential cooperation and thank you for your time.”</w:t>
      </w:r>
    </w:p>
    <w:p>
      <w:r>
        <w:t>13. The central part of the page is still occupied by two boxes; the first contains the fields related to the contact company data to be filled in, while the second should be filled with information about branches and the languages spoken in the company.</w:t>
      </w:r>
    </w:p>
    <w:p>
      <w:r>
        <w:t>14. Also in the case of “World Business List”, it is only at the bottom of the page that the necessary information is contained to understand that this is a commercial proposal, again from EU BUSINESS SERVICES LTD, and that the service offered is the registration in a database with a three-year contract at the price of €995 per year. In fact, the text in terms of content and formatting is once again similar to that indicated in paragraph 6, and the only differences concern the replacement of the name “World Business List” in place of “EU Business Register”10. At the bottom of the page, the address to which the form should be returned is indicated, namely: World Business List P.O. Box 3079 · 3502 GB · Utrecht The Netherlands · Fax: +31 205 246 107.</w:t>
      </w:r>
    </w:p>
    <w:p>
      <w:r>
        <w:t>15. After several weeks have passed since the submission of the signed form, and thus after the 8-day period contractually set for exercising the right of withdrawal has widely expired, the companies receive the invoice for the payment of the first annual fee of the subscription. It is evident that for the forms related to EU BUSINESS REGISTER and European Company Network11, the beneficiary of the payments is the Spanish company SEO Marketing SL (hereinafter also 'SEO Marketing'). Such reminders are never signed by individuals. Furthermore, in email communications, at most the subjects demanding payments sign with a first name.</w:t>
      </w:r>
    </w:p>
    <w:p>
      <w:r>
        <w:t>16. If the companies do not pay, they begin to receive periodic payment reminders, in which, in addition to the initial amount, fees are added that further increase the debt (the “Late Payment Fee” of €99 and the “Administration Fee” of €35)12.</w:t>
      </w:r>
    </w:p>
    <w:p>
      <w:r>
        <w:t>17. In some cases, the credit is claimed by an alleged debt collection company, Waldberg &amp; Hirsh Global Collections Ltd, based in Amsterdam (Netherlands), which, in turn, sends payment reminders with the addition of the item “Legal fee” of €300. In any case, the credit does not appear to be effectively transferred, as, even if mediated by this company, the indicated beneficiary is always SEO Marketing13.</w:t>
      </w:r>
    </w:p>
    <w:p>
      <w:r>
        <w:t>III. THE RESULTS OF THE PROCEEDING</w:t>
      </w:r>
    </w:p>
    <w:p>
      <w:r>
        <w:t>1) The procedure process</w:t>
      </w:r>
    </w:p>
    <w:p>
      <w:r>
        <w:t>18. In relation to the behaviors described above, on November 10, 2016, the initiation of the investigative proceeding no. PS10609 for possible violation of Articles 20, 24, 25, paragraph 1, letters d) and e), as well as 26, paragraph 1, letter f), of the Consumer Code was communicated to the Party. In this context, the existence of an unfair commercial practice was particularly hypothesized, aimed at demanding payment for a paid advertising service that the micro-enterprise had not consciously requested.</w:t>
      </w:r>
    </w:p>
    <w:p>
      <w:r>
        <w:t>19. Concurrently with the initiation communication14, in order to acquire useful knowledge elements for the evaluation of the message, the professional was requested, pursuant to Article 27, paragraphs 3 and 4, of the Consumer Code and Article 12, paragraph 1, of the Regulation, to provide information regarding: i) its corporate and organizational structure (administrative and technical); ii) the criteria by which the subjects to whom the promotional offer of the company was sent were selected; iii) the information sources used by SEO Marketing SL to obtain the commercial data concerning the contacted Italian companies; iv) the number, list, and economic sector of the Italian subscribers; v) the number, list, and economic sector of the Italian subscribers who paid for the service; vi) the turnover generated in each of the years for which SEO Marketing SL has carried out the management of the databases related to the brands “EU Business Register”, “European Company Network” and “World Business List”.</w:t>
      </w:r>
    </w:p>
    <w:p>
      <w:r>
        <w:t>20. Given the lack of responses to the attempt to transmit the initiation communication, on February 6, 2017, it was published in the Bulletin.</w:t>
      </w:r>
    </w:p>
    <w:p>
      <w:r>
        <w:rPr>
          <w:b/>
        </w:rPr>
        <w:t>[Pages 181–183]</w:t>
      </w:r>
    </w:p>
    <w:p>
      <w:r>
        <w:t>BULLETIN NO. 19 OF MAY 22, 2017</w:t>
      </w:r>
    </w:p>
    <w:p>
      <w:r>
        <w:t>21. On March 13, 2017, the Party was notified of the conclusion date of the investigative phase pursuant to Article 16, paragraph 1, of the Regulation, also through publication in the weekly Bulletin of the Authority for Competition and Market, pursuant to Article 19, paragraph 2, of the Regulation.</w:t>
      </w:r>
    </w:p>
    <w:p>
      <w:r>
        <w:t>2) The evidence acquired</w:t>
      </w:r>
    </w:p>
    <w:p>
      <w:r>
        <w:t>22. The commercial practice contested to the professional with the initiation communication of the proceeding has been implemented at least since February 2015, and is still ongoing. Furthermore, as evidenced by the residence of the various reporters, it appears that SEO Marketing disseminates the aforementioned communications by ordinary mail, addressing them to recipients throughout the national territory.</w:t>
      </w:r>
    </w:p>
    <w:p>
      <w:r>
        <w:t>23. From the documentation on file, it emerges that:</w:t>
        <w:br/>
        <w:t>a) the publisher of the databases available on the sites http://www.eubusinessregister.com/ and http://www.worldbusinesslist.net/ would always be the company EU Business Services LTD, of which, however, there are no traces in the international registers of chambers of commerce;</w:t>
        <w:br/>
        <w:t>b) in the case of "EU Business Register" and "World Business List," the addresses to which to send the completed form are identical (P.O. Box 3079 3502 GB Utrecht The Netherlands), while in the case of "European Company Network," the address is different (P.O. BOX 34 · 3700 AA · ZEIST · THE NETHERLANDS").</w:t>
      </w:r>
    </w:p>
    <w:p>
      <w:r>
        <w:t>24. The involvement of SEO Marketing is determined by the fact that there is evidence that in the case of the forms related to "EU Business Register" and "European Company Network," it is the company indicated as the beneficiary of the payments. Although direct evidence is not available in the case of "World Business List," this circumstance can still be presumed, by virtue of the fact that the indicated publisher is still EU Business Services LTD and the address to send the form is the same as that of "EU Business Register."</w:t>
      </w:r>
    </w:p>
    <w:p>
      <w:r>
        <w:t>3) The defensive arguments of the Party</w:t>
      </w:r>
    </w:p>
    <w:p>
      <w:r>
        <w:t>25. The professional did not submit any defensive memorandum during the proceeding.</w:t>
      </w:r>
    </w:p>
    <w:p>
      <w:r>
        <w:t>IV. CONCLUDING EVALUATIONS</w:t>
      </w:r>
    </w:p>
    <w:p>
      <w:r>
        <w:t>26. It should be noted preliminarily that the conduct under examination is likely to harm the economic behavior of medium and small-sized enterprises, including micro-enterprises, as the examination of the documentation on file shows that this commercial practice has also involved those enterprises that meet the characteristics referred to in Article 18, paragraph 1, letter d-bis), of the Consumer Code.</w:t>
      </w:r>
    </w:p>
    <w:p>
      <w:r>
        <w:t>27. As for the merits of the case under examination, it is articulated in a plurality of conducts all aimed at inducing micro-enterprises, through undue conditioning of their decision-making process, to subscribe to a subscription for an unsolicited advertising service.</w:t>
      </w:r>
    </w:p>
    <w:p>
      <w:r>
        <w:t>28. In fact, micro-enterprises receive, without having ever requested it, a communication that consists of a form to be filled out with a series of business information and to be returned signed.</w:t>
      </w:r>
    </w:p>
    <w:p>
      <w:r>
        <w:t>29. However, the graphic and content layout of the communication is such as to prevent the recipient from understanding its nature as a commercial proposal: on one hand, there are completely absent references to the identity of the professional, on the other hand, the indications regarding the nature, characteristics, and price of the service provided are presented in a confusing manner and, given the small size of the graphic characters used, in an almost illegible way.</w:t>
      </w:r>
    </w:p>
    <w:p>
      <w:r>
        <w:t>30. Specifically considering the identity of the sender, not only does SEO Marketing not appear in any way in the communication, but the publisher of the databases indicated therein is the company EU Business Services LTD, of which, however, there are no traces in the international registers of chambers of commerce.</w:t>
      </w:r>
    </w:p>
    <w:p>
      <w:r>
        <w:t>31. Instead, the communication disguises its nature as a commercial proposal and presents itself as a simple request, in English, for updating its business data, leading to the presumption that this activity is aimed at the establishment of an advertising database promoted by the indicated publisher.</w:t>
      </w:r>
    </w:p>
    <w:p>
      <w:r>
        <w:t>32. In this sense, the communication is severely lacking in relation to the information regarding the actual characteristics of the service offered by SEO Marketing. In fact, precisely in order to favor the described confusing effect, the description of the service offered and the price to be paid are provided in a completely marginal manner, as well as in tiny and substantially illegible characters.</w:t>
      </w:r>
    </w:p>
    <w:p>
      <w:r>
        <w:t>33. Overall, therefore, several fundamental pieces of information are missing for the recipients to make an informed purchasing decision.</w:t>
      </w:r>
    </w:p>
    <w:p>
      <w:r>
        <w:t>34. The effects of such alteration of the choices of micro-enterprises are extremely significant, as sending the signed form would, according to the professional, result in the subscription of a multi-year contract that is extremely burdensome for micro-enterprises. Moreover, only once the right of withdrawal contractually granted has lapsed, does SEO Marketing disclose the existence of such a presumed contractual obligation and the resulting debt for the provision of the advertising service in the database.</w:t>
      </w:r>
    </w:p>
    <w:p>
      <w:r>
        <w:t>35. The professional then sends repeated notices and payment reminders, accompanied in some cases by the threat of legal action, for the coercive recovery of the amounts allegedly owed. Such methods, through which SEO Marketing seeks to assert its claims, denote a clearly aggressive character, given the insistence and increasingly pressing nature of the reminders.</w:t>
      </w:r>
    </w:p>
    <w:p>
      <w:r>
        <w:t>36. The commercial practice carried out by the professional is characterized by extreme breadth and capillarity, having essentially involved the entire national territory, as well as by a very long duration, as it is still ongoing and there are reports dating back to February 2015.</w:t>
      </w:r>
    </w:p>
    <w:p>
      <w:r>
        <w:t>37. The conduct described above is contrary to professional diligence, as there is no evidence from the professional of the normal degree of attention that can reasonably be expected, given the characteristics of the activity carried out. The contrariety to professional diligence on the part of SEO Marketing is particularly evident in the fact that both the unilateral creation of accounts attributable to micro-enterprises within the online databases and the methods by which the commercial communication directed to them is carried out constitute mechanisms that the professional uses to unduly condition their decision-making process, forcing them to make a consumption choice that they would not otherwise have made.</w:t>
      </w:r>
    </w:p>
    <w:p>
      <w:r>
        <w:t>38. In conclusion, it is believed that the conduct of New Media Service violates the provisions of Articles 20, 24, 25, paragraph 1, letters d) and e), and 26, paragraph 1, letter f), of the Consumer Code.</w:t>
      </w:r>
    </w:p>
    <w:p>
      <w:r>
        <w:t>V. QUANTIFICATION OF THE SANCTION</w:t>
      </w:r>
    </w:p>
    <w:p>
      <w:r>
        <w:t>39. Pursuant to Article 27, paragraph 9, of the Consumer Code, with the provision that prohibits the unfair commercial practice, the Authority orders the application of an administrative pecuniary sanction from €5,000 to €5,000,000, taking into account the severity and duration of the violation.</w:t>
      </w:r>
    </w:p>
    <w:p>
      <w:r>
        <w:t>40. Regarding the quantification of the sanction, the criteria identified by Article 11 of Law No. 689/81 must be taken into account, as applicable, by virtue of the reference provided for in Article 27, paragraph 13, of the Consumer Code: in particular, the severity of the violation, the efforts made by the company to eliminate or mitigate the infringement, the personality of the agent, as well as the economic conditions of the company itself. Regarding this last aspect, it should be noted that the professional did not provide its accounting data during the proceeding.</w:t>
      </w:r>
    </w:p>
    <w:p>
      <w:r>
        <w:t>41. Regarding the severity of the violation, consideration is given in the case under examination to the nationwide dissemination of the commercial practice, as it emerges from the documents on file that the Spanish professional has registered, during his activity, the data of numerous Italian companies, including the presence of micro-enterprises, to which he subsequently sent an unsolicited commercial communication. The significant economic harm is also relevant, considering the level of the price of the services offered by SEO Marketing, also due to the economic-financial dimensions of the micro-enterprises, as for each year of the three-year subscription the amount requested is €995.</w:t>
      </w:r>
    </w:p>
    <w:p>
      <w:r>
        <w:t>42. As for the duration of the violation, from the available elements on file, it appears that this commercial practice has been carried out by SEO Marketing at least since February 2015, and is still ongoing.</w:t>
      </w:r>
    </w:p>
    <w:p>
      <w:r>
        <w:t>43. Based on these elements, it is deemed appropriate to determine the amount of the administrative pecuniary sanction applicable to SEO Marketing SL at €500,000 (five hundred thousand euros).</w:t>
      </w:r>
    </w:p>
    <w:p>
      <w:r>
        <w:t>THEREFORE, based on the considerations set forth above, it is found that the commercial practice under examination is unfair pursuant to Articles 20, 24, 25, paragraph 1, letters d) and e), as well as 26, paragraph 1, letter f), of the Consumer Code as it is contrary to professional diligence and likely, through the undue conditioning of micro-enterprises regarding the decision to subscribe to an unsolicited paid advertising service, to appreciably distort their economic behavior;</w:t>
      </w:r>
    </w:p>
    <w:p>
      <w:r>
        <w:t>DECIDES</w:t>
      </w:r>
    </w:p>
    <w:p>
      <w:r>
        <w:t>a) that the commercial practice described in point II of this provision, carried out by the company SEO Marketing SL, constitutes, for the reasons and within the limits set forth in the motivation, an unfair commercial practice pursuant to Articles 20, 24, 25, paragraph 1, letters d) and e), as well as 26, paragraph 1, letter f), of the Consumer Code, and prohibits its dissemination or continuation;</w:t>
      </w:r>
    </w:p>
    <w:p>
      <w:r>
        <w:t>b) to impose on the company SEO Marketing SL an administrative pecuniary sanction of €500,000 (five hundred thousand euros).</w:t>
      </w:r>
    </w:p>
    <w:p>
      <w:r>
        <w:rPr>
          <w:b/>
        </w:rPr>
        <w:t>[Pages 184–186]</w:t>
      </w:r>
    </w:p>
    <w:p>
      <w:r>
        <w:t>186 BULLETIN NO. 19 OF MAY 22, 2017</w:t>
      </w:r>
    </w:p>
    <w:p>
      <w:r>
        <w:t>The administrative penalty imposed must be paid within thirty days from the notification of this provision, via bank transfer (in euros) to the Treasury, using the IBAN code IT04A0100003245348018359214 (BIC code: BITAITRRENT), which corresponds to the accounting number 18/3592/14.</w:t>
      </w:r>
    </w:p>
    <w:p>
      <w:r>
        <w:t>After the aforementioned deadline, for a delay period of less than six months, late interest must be paid at the legal rate starting from the day following the payment deadline until the date of payment. In case of further delay in compliance, pursuant to Article 27, paragraph 6, of Law No. 689/81, the amount due for the imposed penalty is increased by one-tenth for each semester starting from the day following the payment deadline until the role is transmitted to the collector for collection; in this case, the increase absorbs the late interest accrued during the same period.</w:t>
      </w:r>
    </w:p>
    <w:p>
      <w:r>
        <w:t>Immediate communication of the payment must be given to the Authority by sending the documentation certifying the payment made.</w:t>
      </w:r>
    </w:p>
    <w:p>
      <w:r>
        <w:t>This provision will be notified to the interested parties and published in the Bulletin of the Competition and Market Authority.</w:t>
      </w:r>
    </w:p>
    <w:p>
      <w:r>
        <w:t>Pursuant to Article 27, paragraph 12, of the Consumer Code, in case of non-compliance with the provision, the Authority applies an administrative pecuniary sanction from €10,000 to €5,000,000. In cases of repeated non-compliance, the Authority may order the suspension of business activity for a period not exceeding thirty days.</w:t>
      </w:r>
    </w:p>
    <w:p>
      <w:r>
        <w:t>Against this provision, an appeal may be filed with the TAR of Lazio, pursuant to Article 135, paragraph 1, letter b), of the Administrative Procedure Code (Legislative Decree No. 104 of July 2, 2010), within sixty days from the date of notification of the provision itself, without prejudice to the longer terms referred to in Article 41, paragraph 5, of the Administrative Procedure Code, or an extraordinary appeal may be proposed to the President of the Republic pursuant to Article 8 of the Decree of the President of the Republic No. 1199 of November 24, 1971, within one hundred and twenty days from the date of notification of the provision itself.</w:t>
      </w:r>
    </w:p>
    <w:p>
      <w:r>
        <w:t>THE SECRETARY GENERAL THE PRESIDENT</w:t>
        <w:br/>
        <w:t>Roberto Chieppa Giovanni Pitruzzella</w:t>
      </w:r>
    </w:p>
    <w:p>
      <w:r>
        <w:t>BULLETIN NO. 19 OF MAY 22, 2017 187</w:t>
      </w:r>
    </w:p>
    <w:p>
      <w:r>
        <w:t>PS9031B ADEMATHE’ – REGISTRATION IN MISE LIST</w:t>
      </w:r>
    </w:p>
    <w:p>
      <w:r>
        <w:t>Notice of communication of the conclusion of the investigative phase.</w:t>
      </w:r>
    </w:p>
    <w:p>
      <w:r>
        <w:t>THE COMPETITION AND MARKET AUTHORITY</w:t>
      </w:r>
    </w:p>
    <w:p>
      <w:r>
        <w:t>Information on the conclusion of the investigative phase, pursuant to Article 19, paragraph 2, of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in relation to proceeding PS9031b.</w:t>
      </w:r>
    </w:p>
    <w:p>
      <w:r>
        <w:t>I. NOTICE</w:t>
      </w:r>
    </w:p>
    <w:p>
      <w:r>
        <w:t>1. With this notice, ADeMaThé Italia - Association of Tasters and Masters of Tea, in its capacity as a professional, is informed that the deadline for the conclusion of the investigative phase is set for June 19, 2017.</w:t>
      </w:r>
    </w:p>
    <w:p>
      <w:r>
        <w:t>The publication of this notice in the weekly bulletin of the Competition and Market Authority is made pursuant to and for the effects of Article 19, paragraph 2 of the Regulation, since the transmission by registered mail of the communication of the initiation of the proceeding, carried out on March 10, 2017, prot. no. 0025422, addressed to the legal headquarters of the professional was returned to the sender due to complete retention.</w:t>
      </w:r>
    </w:p>
    <w:p>
      <w:r>
        <w:t>2. In light of the elements currently acquired in the context of the proceeding in question, this notice confirms and specifies the allegations already subject to the initiation communication, regarding the alleged unlawfulness of the conduct carried out by ADeMaThé Italia - Association of Tasters and Masters of Tea. This conduct, consisting of the advertising presentation of the training activity offered by the professional - through the website www.maestridelthe.it - has proven capable of misleading the average consumer into believing that such activity may allow, contrary to the truth, the acquisition of a qualification enabling the performance of regulated professions by law, in violation of Articles 20, 21, 22, and 23 letter d) of Legislative Decree No. 206 of September 6, 2005 and subsequent amendments, containing the "Consumer Code".</w:t>
      </w:r>
    </w:p>
    <w:p>
      <w:r>
        <w:t>3. In light of the information and elements acquired during the investigation, it has emerged that ADeMaThé Italia - Association of Tasters and Masters of Tea has proceeded to advertise on its website www.maestridelthe.it the training activity of certain "professions" related to the sale and tasting of tea.</w:t>
      </w:r>
    </w:p>
    <w:p>
      <w:r>
        <w:t>In particular, following official observations, it has emerged that on the aforementioned website, on the homepage "www.maestridelthe.it/Ademathe.html", in a central position on the page, some "initiatives" of the association in question are listed, consisting, among other things, of: "1. training and qualifying figures and professions related to the sector through training and specialization courses. 2. Managing the Italian register of Tasters and Masters of Tea." At the end of the same webpage, it is indicated: "Insights: [...] Training offer plan Italian Register of Tasters and Masters of Tea."</w:t>
      </w:r>
    </w:p>
    <w:p>
      <w:r>
        <w:t>Within the webpage "www.maestridelthe.it/Formazione.html", accessible via the link "Training Courses", the specialization courses and exams listed below are advertised:</w:t>
        <w:br/>
        <w:t>- "Course for Tea Trader* For operators in the commercial sector of Tea"</w:t>
        <w:br/>
        <w:t>- "Course for Tea Sommelier* For operators in the catering sector"</w:t>
        <w:br/>
        <w:t>- "Course for Tea Taster* For blending technicians"</w:t>
        <w:br/>
        <w:t>- "Course for Tea Brewer Expert* for infusion experts"</w:t>
        <w:br/>
        <w:t>- "Course for Tea Ceremonies Master* For ceremony masters"</w:t>
        <w:br/>
        <w:t>- "Course for Tea Plantation Expert* For tea cultivation technicians"</w:t>
        <w:br/>
        <w:t>- "Course for Tea Processing Expert* For transformation technicians"</w:t>
        <w:br/>
        <w:t>- "Qualification exam Tea Industry Expert* For operators in the industrial sector of Tea"</w:t>
        <w:br/>
        <w:t>- "Qualification exam for Tea Master* For Masters of Tea."</w:t>
      </w:r>
    </w:p>
    <w:p>
      <w:r>
        <w:t>4. From viewing the same webpage, it has emerged that, further down, there is an express statement regarding the alleged legal recognition of the professions just listed, particularly stating the following: "*Professions recognized pursuant to Law 4/13 thanks to ADeMaThé Italia."</w:t>
      </w:r>
    </w:p>
    <w:p>
      <w:r>
        <w:t>5. From reading other web pages contained in the cited website and acquired in the records, it also emerges that the professional provides other information that could be misleading for the average consumer, particularly regarding the existence of professions susceptible to legal recognition based on a qualification specifically obtained through passing exams.</w:t>
      </w:r>
    </w:p>
    <w:p>
      <w:r>
        <w:t>Indeed, on the website in question, the page "www.maestridelthe.it/Albo.html" is accessible where, in a central position, a "NATIONAL LIST FOR TEA OPERATORS" is advertised. In this regard, it is specified that the ADeMaThé national list is a register in which "those qualified to practice the new professions in the tea and infusions sector are registered." Following is the list of "professions in the tea and infusions sector" which includes the following "professions": "Tea Trader," "Tea Sommelier," "Tea Taster," "Tea Blender," "Tea Brewer Expert," "Tea Ceremonies Master," "Tea Plantation Expert," "Tea Processing Expert," "Tea Industry Expert," and "Tea Master."</w:t>
      </w:r>
    </w:p>
    <w:p>
      <w:r>
        <w:t>On the same webpage, some statements follow aimed at clarifying the methods of "Registration" in the aforementioned "National List." In this regard, it is specified, among other things, that "Candidates who wish to obtain a qualification among those provided and registration in the specific sector of the list must take a theoretical and practical Qualification Exam."</w:t>
      </w:r>
    </w:p>
    <w:p>
      <w:r>
        <w:t>6. In a left section of the same webpage, with specific reference to the figure of the "tea trader," the following promotional claim is also highlighted: "Do you want to start a business related to Tea? Do you already have a business and want to have a recognized qualification and certification? We can give you what you are looking for!"</w:t>
      </w:r>
    </w:p>
    <w:p>
      <w:r>
        <w:t>7. The practice described above appears to constitute a violation of Articles 20, 21, 22, and 23 letter d) of the Consumer Code, as it is contrary to professional diligence and capable of distorting the economic behavior of the average consumer regarding the characteristics of the training offer provided by the professional concerning the properties of the training courses, the professional figures subject to training, as well as, in particular, the qualifications obtainable as a result of said courses.</w:t>
      </w:r>
    </w:p>
    <w:p>
      <w:r>
        <w:t>8. The formulation of the aforementioned website, considered as a whole, as well as some statements contained therein, appear confusing and misleading, potentially integrating hypotheses</w:t>
      </w:r>
    </w:p>
    <w:p>
      <w:r>
        <w:rPr>
          <w:b/>
        </w:rPr>
        <w:t>[Pages 187–189]</w:t>
      </w:r>
    </w:p>
    <w:p>
      <w:r>
        <w:t>BULLETIN NO. 19 OF MAY 22, 2017 189</w:t>
      </w:r>
    </w:p>
    <w:p>
      <w:r>
        <w:t>of violation of the aforementioned regulatory provisions contained in the Consumer Code, as they are likely to deceive the average consumer to the extent that they lead him to believe that participation in the training activity proposed by the professional allows, contrary to the truth, the acquisition of a qualification enabling the performance of regulated professions ex lege.</w:t>
      </w:r>
    </w:p>
    <w:p>
      <w:r>
        <w:t>9. In this regard - taking into account what has been highlighted in the report of the Ministry of Economic Development, as well as based on the information acquired ex officio - various statements and numerous textual elements contained in the professional's website appear likely to appreciably distort the economic behavior of the average consumer. Indeed, a series of statements, such as: i) the list of "professions in the tea and infusions sector," ii) the statement "*Professions recognized pursuant to Law 4/13 thanks to ADeMathè Italia," the expression "Italian Register of Tasters and Tea Masters," and the express reference to a register in which "those qualified to practice the new professions in the tea and infusions sector are registered," could be misleading regarding both the nature and characteristics of the "professional" courses proposed by the professional, as well as the attainment of "professional qualification" titles suitable for allowing the performance of regulated professions ex lege.</w:t>
      </w:r>
    </w:p>
    <w:p>
      <w:r>
        <w:t>In particular, the express reference to a "register" and the attainment of a "recognized certification" appear, in fact, elements aimed at influencing the choices of the average consumer interested in obtaining for a fee a qualified certificate ex lege, whereas, on the contrary, the professional qualifications advertised in this case do not fall within those organized in "orders" or "colleges" as provided for by law.</w:t>
      </w:r>
    </w:p>
    <w:p>
      <w:r>
        <w:t>The express reference to law no. 2013/4 (e.g., "*Professions recognized pursuant to Law 4/13 thanks to ADeMathè Italia") appears misleading, as the provisions contained therein are not aimed at "officially recognizing" any specific profession, as expressly clarified by the Ministry of Economic Development itself.</w:t>
      </w:r>
    </w:p>
    <w:p>
      <w:r>
        <w:t>10. It should also be noted that ADeMaThé Italia - Association of Tasters and Tea Masters, while indirectly suggesting that it is a professional association, does not currently appear in the list of professional associations referred to in Article 2, paragraph 7 and Article 3 of the same law, the latter list published by the Ministry of Economic Development on its website and acquired in the records.</w:t>
      </w:r>
    </w:p>
    <w:p>
      <w:r>
        <w:t>11. Finally, based on the evidentiary elements described, it would appear that the aforementioned unfair commercial practice has been carried out by ADeMaThé Italia - Association of Tasters and Tea Masters since October 2015, according to what has been reported by the Ministry of Economic Development, and is still ongoing as of May 16, 2017.</w:t>
      </w:r>
    </w:p>
    <w:p>
      <w:r>
        <w:t>12. Therefore, it is hereby communicated that the deadline for concluding the investigative phase is set for June 19, 2017.</w:t>
      </w:r>
    </w:p>
    <w:p>
      <w:r>
        <w:t>13. It is also communicated, pursuant to the same article of the Regulation in question, that the Party may submit within 20 days from the receipt of this communication, concluding memoranda or documents that will be submitted to the College along with the other investigative acts for the adoption of the final measure.</w:t>
      </w:r>
    </w:p>
    <w:p>
      <w:r>
        <w:t>190 BULLETIN NO. 19 OF MAY 22, 2017</w:t>
      </w:r>
    </w:p>
    <w:p>
      <w:r>
        <w:t>14. It is also reminded that the Party may request access to the documents of the proceeding, as already highlighted in the communication initiating the proceeding itself. Access may be made directly by the Party or by a person delegated in writing.</w:t>
      </w:r>
    </w:p>
    <w:p>
      <w:r>
        <w:t>15. For any communication addressed to the Authority regarding the case in question, please cite Directorate C of the Directorate General for Consumer Protection and reference PS9031B.</w:t>
      </w:r>
    </w:p>
    <w:p>
      <w:r>
        <w:t>The Responsible for the Proceeding</w:t>
      </w:r>
    </w:p>
    <w:p>
      <w:r>
        <w:t>BULLETIN NO. 19 OF MAY 22, 2017 191</w:t>
      </w:r>
    </w:p>
    <w:p>
      <w:r>
        <w:t>UNFAIR CLAUSES</w:t>
      </w:r>
    </w:p>
    <w:p>
      <w:r>
        <w:t>CV149 - VODAFONE-CHANGES TO CONTRACTUAL CLAUSES</w:t>
      </w:r>
    </w:p>
    <w:p>
      <w:r>
        <w:t>Measure no. 26599</w:t>
      </w:r>
    </w:p>
    <w:p>
      <w:r>
        <w:t>THE ANTITRUST AUTHORITY</w:t>
      </w:r>
    </w:p>
    <w:p>
      <w:r>
        <w:t>IN ITS MEETING of May 4, 2017;</w:t>
      </w:r>
    </w:p>
    <w:p>
      <w:r>
        <w:t>HEARD the Rapporteur Professor Michele Ainis;</w:t>
      </w:r>
    </w:p>
    <w:p>
      <w:r>
        <w:t>VIEWED Part III, Title I of Legislative Decree No. 206 of September 6, 2005, containing the "Consumer Code" and subsequent amendments (hereinafter, Consumer Code, or "CdC");</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VIEWED the acts of the proceeding;</w:t>
      </w:r>
    </w:p>
    <w:p>
      <w:r>
        <w:t>CONSIDERED the following:</w:t>
      </w:r>
    </w:p>
    <w:p>
      <w:r>
        <w:t>I. THE PARTY</w:t>
      </w:r>
    </w:p>
    <w:p>
      <w:r>
        <w:t>Vodafone Italia S.p.A. (hereinafter Vodafone), as a professional, pursuant to Article 3 of the Consumer Code. The company primarily operates in the field of research, development, implementation, and management in Italy, in the Republic of San Marino, and in the Vatican City of GSM, UMTS services, and Internet services, as well as electronic communication systems.</w:t>
      </w:r>
    </w:p>
    <w:p>
      <w:r>
        <w:t>II. THE CONTRACTS SUBJECT TO EVALUATION</w:t>
      </w:r>
    </w:p>
    <w:p>
      <w:r>
        <w:t>1. The clause under evaluation concerns the contractual changes that the professional reserves the right to make unilaterally, during the execution of the contract, in compliance with the information rights and withdrawal rights of consumers, as provided for by Article 70, paragraph 4, of the Electronic Communications Code (Legislative Decree No. 259/2003, hereinafter also "CCE").</w:t>
      </w:r>
    </w:p>
    <w:p>
      <w:r>
        <w:t>2. This clause relating to the ius variandi is present in all contractual forms prepared by Vodafone for fixed and mobile telephony services since February 2016.</w:t>
      </w:r>
    </w:p>
    <w:p>
      <w:r>
        <w:t>3. The forms, subject to investigation, with the indication of the article that includes the clause in question, since February 2016 are:</w:t>
        <w:br/>
        <w:t>- for fixed telephony</w:t>
        <w:br/>
        <w:t>i. General conditions for the ADSL or fiber service and wireless connectivity (Article 17).</w:t>
        <w:br/>
        <w:t>ii. General contract conditions for the fixed voice telephony service provided via the mobile radio network (Article 17).</w:t>
        <w:br/>
        <w:t>iii. General contract conditions for the prepaid fixed voice telephony service provided via the mobile radio network (Article 14).</w:t>
        <w:br/>
        <w:t>- for mobile telephony</w:t>
        <w:br/>
        <w:t>iv. General contract conditions for the Prepaid Mobile Service and specific conditions for the RED Start offer in rechargeable version (Article 15).</w:t>
        <w:br/>
        <w:t>v. General contract conditions for the Vodafone mobile subscription service (Article 18).</w:t>
      </w:r>
    </w:p>
    <w:p>
      <w:r>
        <w:rPr>
          <w:b/>
        </w:rPr>
        <w:t>[Pages 190–192]</w:t>
      </w:r>
    </w:p>
    <w:p>
      <w:r>
        <w:t>192 BULLETIN NO. 19 OF MAY 22, 2017</w:t>
      </w:r>
    </w:p>
    <w:p>
      <w:r>
        <w:t>III. THE CLAUSES SUBJECT TO THE PROCEEDING</w:t>
      </w:r>
    </w:p>
    <w:p>
      <w:r>
        <w:t>4. For the aforementioned contractual forms, based on the documentation indicated on the professional's website and acquired for the records, the subject of this proceeding, limited to the contractual relationships between the company and consumer clients, is the clause relating to "Contract Modifications," also reported in the above-mentioned articles, the text of which is transcribed below:</w:t>
      </w:r>
    </w:p>
    <w:p>
      <w:r>
        <w:t>Notwithstanding the provisions of Article 2, during the same contractual relationship, Vodafone has the right to modify the General Conditions, the General Conditions of Services, and the Tariff Plans with effect after 30 days from the notification pursuant to Article 70, paragraph 4 of Legislative Decree No. 259 of August 1, 2003, and according to the methods provided for by resolution 519/15/CONS1, favoring forms of individual communication based on the use and type of service that undergoes changes, for the following reasons:</w:t>
        <w:br/>
        <w:t>(i) due to unforeseen technical, managerial, and economic needs of a general nature, such as, by way of example, technical modernization of the network and production or marketing structures;</w:t>
        <w:br/>
        <w:t>(ii) due to changes in regulatory or legislative provisions that affect the economic balance and/or technical and managerial aspects of the Service and/or unforeseeable changes in the structural conditions of the market;</w:t>
        <w:br/>
        <w:t>(iii) due to variations in the methods and terms of activation and deactivation of SIM Cards and for updates made necessary to ensure the correct use of the same and the Services in light of the evolution of traffic profiles contrary to the lawful and personal use of the services as regulated in relation to abusive and/or fraudulent phenomena.</w:t>
      </w:r>
    </w:p>
    <w:p>
      <w:r>
        <w:t>In all the aforementioned cases, the Customer has the right to withdraw or switch to another operator without any penalty according to the methods provided for by resolution 519/15/CONS2 and better specified through the various contact channels such as the website www.vodafone.it and Customer Service. After thirty days without the Customer having requested withdrawal, the contract will continue under the new conditions.</w:t>
      </w:r>
    </w:p>
    <w:p>
      <w:r>
        <w:t>The Customer can always request changes to their contract (for example, a plan change), subject to the limits and compatibilities of specific services.</w:t>
      </w:r>
    </w:p>
    <w:p>
      <w:r>
        <w:t>IV. THE INSTRUCTION RESULTS</w:t>
      </w:r>
    </w:p>
    <w:p>
      <w:r>
        <w:t>1) The procedure process</w:t>
      </w:r>
    </w:p>
    <w:p>
      <w:r>
        <w:t>5. On December 28, 2016, a proceeding was initiated against Vodafone regarding the potentially abusive nature of the contractual clause on the right to vary. This initiation followed a preliminary activity of moral suasion conducted towards the operator starting from August 8, 2016, which had not led to the elimination of all identified abusive profiles.</w:t>
      </w:r>
    </w:p>
    <w:p>
      <w:r>
        <w:t>6. In the initiation communication, it was represented to Vodafone that the clause described in point III appears to be abusive in itself pursuant to Article 33, paragraphs 1 and 2, letter m), of the Consumer Code, as it results in a significant imbalance of rights and obligations arising from the contract to the detriment of the consumer. The identified abusive profile seemed to persist based on the reading and interpretation of each clause in light of the overall context of the entire adhesion contract in which it is included.</w:t>
      </w:r>
    </w:p>
    <w:p>
      <w:r>
        <w:t>7. In the case of the contractual forms in use since February 2016, the clause in question failed to indicate:</w:t>
        <w:br/>
        <w:t>a) that any unilateral changes to the contractual conditions, including economic ones, may only be made on the basis of "a justified reason";</w:t>
        <w:br/>
        <w:t>b) that in the event of exercising the right to unilateral modification, the professional will inform the consumer of the reason justifying the modification, appropriately and in a timely manner concerning the exercise of the right of withdrawal.</w:t>
      </w:r>
    </w:p>
    <w:p>
      <w:r>
        <w:t>8. Concurrently with the initiation communication, a request for information was made to Vodafone to gather elements that would allow overcoming the identified presumption of abusiveness.</w:t>
      </w:r>
    </w:p>
    <w:p>
      <w:r>
        <w:t>9. On December 28, 2016, a notice for public consultation was published on the institutional website of the Authority pursuant to Article 37 bis, paragraph 1, of the Consumer Code and Article 23, paragraph 6, of the Regulation on procedural procedures.</w:t>
      </w:r>
    </w:p>
    <w:p>
      <w:r>
        <w:t>10. Six consumer associations participated in the public consultation, sending their written observations: on January 24, 2017, Movimento Consumatori and U.Di.Con, on January 26, 2017, Codacons, and on January 30, 2017, Altroconsumo, Adiconsum, and Cittadinanzattiva.</w:t>
      </w:r>
    </w:p>
    <w:p>
      <w:r>
        <w:t>11. Vodafone on February 13, 2017, made a request for access to the documents, which was carried out on February 17, 2017.</w:t>
      </w:r>
    </w:p>
    <w:p>
      <w:r>
        <w:t>12. The professional on January 18, February 6, and February 13, 2017, provided the requested information during the initiation communication and an integration to it, as well as a defensive memorandum.</w:t>
      </w:r>
    </w:p>
    <w:p>
      <w:r>
        <w:t>13. On March 30, 2017, the date of conclusion of the investigative phase was communicated to the Party pursuant to Article 16, paragraph 1, of the Regulation on procedural procedures.</w:t>
      </w:r>
    </w:p>
    <w:p>
      <w:r>
        <w:t>14. On April 19, 2017, the Company submitted final notes.</w:t>
      </w:r>
    </w:p>
    <w:p>
      <w:r>
        <w:t>2) The outcomes of the consultation on the Internet site</w:t>
      </w:r>
    </w:p>
    <w:p>
      <w:r>
        <w:t>15. As a result of the public consultation, the aforementioned 6 consumer associations submitted the following observations, based on which such clauses would be abusive:</w:t>
        <w:br/>
        <w:t>- regarding the communication methods indicated to inform the user of the individual contractual change, as the professional does not define them clearly. The indication, present in the clause, that the contractual modification will be communicated by Vodafone "according to the methods provided for by resolution 519/15/CONS, favoring forms of individual communication based on the use and type of service that undergoes changes" constitutes a formulation "broad that establishes nothing concrete and therefore does not ensure any form of protection for the consumer who thus finds themselves at the mercy of the discretionary evaluations of the company"3. Also through the subsequent expression of the clause stating that "the Customer has the right to withdraw or switch to another operator without any penalty according to the methods provided for by resolution 519/15/CONS and better specified through the various contact channels such as the website www.vodafone.it and Customer Service" would confirm the lack of clarity due to the presence of only the regulatory reference (resolution Agcom 519/15/CONS) without clearly expressing its content in the clause4, and for the mere referral to obtain details on the exercise of the right of withdrawal to the various contact channels (website and customer service of the professional). In both cases, according to U.Di.Con, it should not be the customer who "requests information about the modification, but it is the professional's obligation to justify it"5. The communication method is of great importance to promote full knowledge of information by the consumer;</w:t>
        <w:br/>
        <w:t>- for the generality of the justified reasons, as Vodafone reserves the right to modify the customer's contractual conditions resorting to extremely generic formulations such as "reasons," such as "technical, managerial, and economic needs of a general nature," "changes in regulatory or legislative provisions that affect the economic balance and/or technical and managerial aspects of the Service and/or unforeseeable changes in the structural conditions of the market," mostly indicated as "exemplary." Some of the mentioned reasons would be practiced at the total discretion of the professional.</w:t>
      </w:r>
    </w:p>
    <w:p>
      <w:r>
        <w:t>Altroconsumo, in particular, analyzes the clause, considering it in the context in which it must be applied. The Association highlights, in fact, the "proliferation [in recent years] of significant changes in increases in the monthly cost of tariff plans by various operators, including Vodafone... The frequency with which tariff adjustments have been made configures, in our opinion, the use of the right to vary as a commercial offer.... changes to a tariff plan, to be compliant with the regulatory provisions that protect users, must be made only in the occurrence of unforeseen circumstances that arose after the original contract was signed that render the tariff plan now outdated and no longer sustainable for the operator"6. According to Altroconsumo, therefore, the recourse to Article 70, paragraph 4, of the Electronic Communications Code by operators seems to constitute, in fact, a "ruse by which companies change prices and original contractual conditions based on unspecified needs that are difficult to relate to market dynamics"7. Regarding this issue, Adiconsum also represented that changes cannot be "in any way linked to the mere will of the Professional"8, while Cittadinanzattiva believes that the reasons indicated by Vodafone "would concern a macro area that should be better specified with the declination of individual cases and situations in which such an eventuality could occur"9.</w:t>
      </w:r>
    </w:p>
    <w:p>
      <w:r>
        <w:t>16. In conclusion, the consumer associations, first of all, believe that the provisions of Article 33, paragraphs 1 and 2, letter m), of the Consumer Code should also apply to the communications sector, as is the case in other sectoral areas (particularly in the financial sector with Article 118 of the Consolidated Banking Act), then arguing that the clause in question should be considered abusive both for the unclear indication of the methods of communication of contractual changes, but especially for the breadth and generality of the list of reasons reported, which would not circumscribe "with specific and precise references the unforeseen and uncontrollable circumstances (nor contestable) by the Professional," which would obligate them to make the contractual modification. Unilateral changes, to be compliant with the regulatory provisions, should only be made in the occurrence of "unforeseen circumstances."</w:t>
      </w:r>
    </w:p>
    <w:p>
      <w:r>
        <w:rPr>
          <w:b/>
        </w:rPr>
        <w:t>[Pages 193–195]</w:t>
      </w:r>
    </w:p>
    <w:p>
      <w:r>
        <w:t>BULLETIN NO. 19 OF MAY 22, 2017</w:t>
      </w:r>
    </w:p>
    <w:p>
      <w:r>
        <w:t>Therefore, the precise definition of the case law of reasons set forth in the contractual clause in question should meet this condition, thereby ensuring the consumer regarding the correct application of the ius variandi, not allowing the professional to misuse it to introduce new commercial offers or contractual conditions that, otherwise to be applied, would exclusively require the prior express consent of the consumer.</w:t>
      </w:r>
    </w:p>
    <w:p>
      <w:r>
        <w:t>3) Vodafone's Arguments</w:t>
      </w:r>
    </w:p>
    <w:p>
      <w:r>
        <w:t>17. In relation to the unfoundedness of the criticisms formulated by the Authority, the professional highlighted the following. The specificity of Article 70, paragraph 4, CCE and the consequent inapplicability of the regulations on unfair clauses to the communications sector. The Company contests the Authority's application of the regulations on unfair clauses as per the Consumer Code in the communications sector, as this sector would be governed by "a set of imperative regulations of direct community derivation that already adequately takes into account the protection needs of customers of electronic communication services and that, with a character of specificity, even in derogation from the regulations of the Consumer Code, imposes on companies in the sector to comply with certain precise rules of conduct in relations with users [...]". This would refer to Article 70, paragraph 4 of the CCE, which derives from Article 20, paragraph 4 of Directive 2002/22/EC, according to which the contractor who does not accept changes to the contractual conditions has the right to withdraw from the contract without penalties or deactivation costs. The inapplicability of the regulations on unfair clauses would be recognized whenever the contractual provisions "reproduce legislative provisions or imperative regulations" (Article 1, paragraph 2 of Directive 93/13/EC). The correct interpretation of the relevant consumer protection regulations, also supported by the ruling of the Lazio TAR No. 12421/2016, according to which Article 33, paragraph 2, letter m), CdC would not apply to clauses such as the one under examination, as community legislation (Directive 93/13/CEE, point 2 of the annex) preserves the ius variandi clauses in contracts of indefinite duration, provided that the professional is obliged to inform the consumer of the unilateral contractual modification with reasonable notice and to guarantee them the right of withdrawal from the contract. The professional thus argues that according to the same community regulation, reasonable notice and the right of withdrawal represent alternative and not cumulative consumer protection techniques concerning the indication of justified reasons. There would be no cumulative application of the aforementioned mechanisms by the national legislator in any legal provision of the electronic communications sector. The Party argues in the alternative that Article 33, paragraph 2, letter m) CdC would apply only to so-called normative contractual changes, while price changes should refer to Article 33, paragraph 2, letter o), CdC.</w:t>
      </w:r>
    </w:p>
    <w:p>
      <w:r>
        <w:t>The consistency at the community level of the proposed representation. The professional supports its position in the name of an application of the regulations on unfair clauses and those on ius variandi, which in the communications sector at the community level provides that the balance between ius variandi and consumer protection is ensured by the mere provision of a right of withdrawal from the contract in the event of a modification of the contractual conditions.</w:t>
      </w:r>
    </w:p>
    <w:p>
      <w:r>
        <w:t>V. CONCLUDING ASSESSMENTS</w:t>
      </w:r>
    </w:p>
    <w:p>
      <w:r>
        <w:t>1) Preliminary Assessments</w:t>
      </w:r>
    </w:p>
    <w:p>
      <w:r>
        <w:t>On the applicability of Article 33, paragraph 2, letter m), of the Consumer Code to the communications sector.</w:t>
      </w:r>
    </w:p>
    <w:p>
      <w:r>
        <w:t>18. As a preliminary matter, it should be clarified that, contrary to what the Professional claims, there is no conflict between the provisions of Article 70, paragraph 4 CCE and those of Article 33, paragraph 2, letter m), CdC, as these two articles regulate two different aspects that govern the correct exercise of ius variandi by the Professional and that are equally relevant to the consumer: the legitimacy of the exercise of ius variandi by the Professional through the inclusion of justified reasons in the contract (Article 33, paragraph 2, letter m), CdC) and adequate protection through the recognition of the right of withdrawal from the contract without penalties (Article 70, paragraph 4 CCE).</w:t>
      </w:r>
    </w:p>
    <w:p>
      <w:r>
        <w:t>19. The complementarity of the two norms is confirmed by the safeguard clause (paragraph 4) included in Article 1 "Subject and scope of application" of Directive 2002/22/EC (community regulation from which Article 70, paragraph 4, CCE derives), as amended by Directive 2009/136/EC, which specifies that "The provisions of this directive relating to the rights of end users apply without prejudice to community rules on consumer protection, in particular Directives 93/13/CEE [directive on unfair clauses in contracts] and 97/7/CE, and national rules in accordance with community law." In this way, the application of unfair clauses to all aspects of the communications sector concerning relationships with customers addressed in Directive 2002/22/EC has been confirmed and extended, and thus also to the case of ius variandi. From the above, it follows that at the European level, the regulations concerning unfair clauses are applicable to contracts in the communications sector regarding unilateral contractual modifications.</w:t>
      </w:r>
    </w:p>
    <w:p>
      <w:r>
        <w:t>20. Regarding the specific application of Article 33, paragraph 2, letter m), CdC also to clauses such as those under examination, and its applicability also to economic variations, explicit reference is made to the interpretation of letter j) point 1 of the annex of Directive 93/13/CEE, referred to by Article 3, paragraph 3. This interpretation was provided by the first chamber of the Court of Justice of the European Union in the judgment of March 21, 2013 (case C-92/11).</w:t>
      </w:r>
    </w:p>
    <w:p>
      <w:r>
        <w:t>21. With the aforementioned ruling, the Court of Justice provided an interpretative clarification, starting from a specific case related to the gas supply sector, regarding the scope of the European rules that have general relevance. The applicability to the case under examination of the regulations on unfair clauses is therefore indisputable.</w:t>
      </w:r>
    </w:p>
    <w:p>
      <w:r>
        <w:t>22. In particular, in point 49 of the mentioned ruling, it is indicated that "As for the assessment of a clause that allows the professional to unilaterally modify the costs of the service to be provided, the Court has already stated that from Articles 3 and 5 as well as from points 1, letters j) and l), and 2, letters b) and d), of the annex to Directive 93/13 it follows that, for this purpose, the essential issue is whether the contract transparently exposes the reason and the methods of variation of the costs related to the service to be provided, so that the consumer can foresee, based on clear and understandable criteria, any changes to such costs, and whether consumers have the right to terminate the contractual relationship in the event that such costs are actually modified (see, in this sense, Invitel ruling, cited, points 24, 26, and 28)."</w:t>
      </w:r>
    </w:p>
    <w:p>
      <w:r>
        <w:t>23. Point 49 of the ruling thus clarifies unequivocally:</w:t>
        <w:br/>
        <w:t>- the application of letter m) of Article 33, paragraph 2, CdC (corresponding to letter j) point 1 of the annex of Directive 93/13/CEE) also to "the costs of the service to be provided," i.e., prices;</w:t>
        <w:br/>
        <w:t>- and in this case, the "essential relevance" of both the presence of justified reasons and the methods of variation in the contract and the recognition to the consumer of the right of withdrawal without penalties.</w:t>
      </w:r>
    </w:p>
    <w:p>
      <w:r>
        <w:t>24. In point 51 of the same ruling, it is also reiterated that the information provided with reasonable notice by the professional to the consumer, from time to time, in the case of ius variandi, and the related right of withdrawal cannot compensate for the absence of information in the contract regarding unilateral contractual modifications. The two protective instruments, in other words, are not alternative but complementary.</w:t>
      </w:r>
    </w:p>
    <w:p>
      <w:r>
        <w:t>25. According to the Court (see point 53), such strict requirements regarding the information that the professional must provide to the consumer both at the conclusion of a contract and during its execution respond to a necessary balancing of interests between the contracting parties.</w:t>
      </w:r>
    </w:p>
    <w:p>
      <w:r>
        <w:t>26. In the ruling of TAR No. 12421/2016, there is no reference to the interpretation of the norm in question, as provided by the Court of Justice of the European Union, according to which, for the assessment of a clause that allows the Professional to unilaterally modify the costs of the service, both the transparent exposure of the justified reason in the contract and the right of withdrawal from it are of essential relevance for the consumer, thus making explicit the complementarity of the two forms of protection for the consumer.</w:t>
      </w:r>
    </w:p>
    <w:p>
      <w:r>
        <w:t>27. Conversely, the Lazio TAR in its ruling, while recognizing that with the safeguard clause, expressed by Article 1, paragraph 4 of Directive 2002/22/CE, as amended by the 18 Ibidem, 53 “Such rigorous prescriptions concerning the information due to the consumer, both at the conclusion of a supply contract and during its execution, regarding the right of the professional to unilaterally modify its conditions, respond to a balancing of the interests of the two contracting parties. The legitimate interest of the professional to protect against a change in circumstances corresponds to the equally legitimate interest of the consumer, on the one hand, to know and thus to be able to foresee the consequences that such a change may entail for him in the future and, on the other hand, to have, in a case of this type, the data that allow him to react to his new situation in the most appropriate way.”</w:t>
      </w:r>
    </w:p>
    <w:p>
      <w:r>
        <w:rPr>
          <w:b/>
        </w:rPr>
        <w:t>[Pages 196–198]</w:t>
      </w:r>
    </w:p>
    <w:p>
      <w:r>
        <w:t>198 BULLETIN NO. 19 OF MAY 22, 2017</w:t>
      </w:r>
    </w:p>
    <w:p>
      <w:r>
        <w:t>Directive 2009/136/EC, even in the communications sector, reaffirms the validity of the application of directives 93/13/EEC and 97/7/EC, as well as national rules compliant with community law; however, it has supported the alternative nature of the two forms of protection, specifically referring to point 2.b of Annex 19 of Directive 93/13/EEC. This decision, however, does not take into account both what emerged from the judgment of the Court of Justice of the European Union and the very nature of Directive 93/13/EEC. In fact, Directive 93/13/EEC is a directive of minimum harmonization, as indicated in Recital 17, that is, "... for the purposes of this directive, the list of clauses in the annex is merely indicative and, given its minimum nature, Member States may supplement it or formulate it in a more restrictive manner within their national legislation, particularly regarding the scope of such clauses." Given the nature of the directive of minimum harmonization, in the transposition phase, the choice made by the Italian legislator was not to transpose at the national level a formulation less favorable to the consumer. Specifically, point 2.b of the annex of Directive 93/13/EEC concerning unilateral contractual changes, to which the TAR Lazio and the Professional refer to support the alternative nature of the two forms of protection provided for the consumer. Also in light of this consideration, it follows that reasonable notice and the right of withdrawal should not be considered alternative to the indication of justified reasons in the contract.</w:t>
      </w:r>
    </w:p>
    <w:p>
      <w:r>
        <w:t>28. Therefore, Article 33, paragraph 2, letter m), of the Consumer Code applies legitimately to clauses that provide for reasonable notice regarding contractual changes and the right of withdrawal for the consumer, and to cases of merely economic variations.</w:t>
      </w:r>
    </w:p>
    <w:p>
      <w:r>
        <w:t>2) Merit Assessments</w:t>
      </w:r>
    </w:p>
    <w:p>
      <w:r>
        <w:t>29. As reiterated by the Court of Justice of the European Union in recent rulings, the consumer protection system regarding abusive/excessive clauses established by Directive 93/13/EEC – the transposition of which is currently contained in Articles 33 and following of the Consumer Code – is based on the assumption that "the consumer finds himself in a situation of inferiority compared to the professional regarding both bargaining power and the level of information, a situation that leads him to adhere to the pre-established conditions without being able to influence their content."</w:t>
      </w:r>
    </w:p>
    <w:p>
      <w:r>
        <w:t>30. Article 33, paragraph 2, letter m), establishes that "clauses that have as their object or effect: ... m) allow the professional to unilaterally modify the clauses of the contract, or the characteristics of the product or service to be provided, without a justified reason indicated in the contract itself are presumed to be excessive until proven otherwise."</w:t>
      </w:r>
    </w:p>
    <w:p>
      <w:r>
        <w:t>31. In the formulation of the clause adopted by Vodafone, the times for communicating the unilateral contractual change are indicated, and the consumer is granted the right to refuse such potential change, being able to withdraw by the effective date of the variation without incurring penalties, or to accept it tacitly. An adequate specification regarding the methods by which such communication will be made is not provided, but merely refers to the provisions of AGCOM resolution 519/15/CONS and the fact that individual communication forms will be prioritized.</w:t>
      </w:r>
    </w:p>
    <w:p>
      <w:r>
        <w:t>32. In consideration of this, the clause in question, present in the contractual forms since February 2016, including those currently in use, is therefore deemed excessive pursuant to Article 33, paragraphs 1 and 2, letter m), as the Professional has failed to indicate:</w:t>
        <w:br/>
        <w:t>- that all potential unilateral changes to the contractual conditions, including economic ones, may only be made in the presence of "a justified reason";</w:t>
        <w:br/>
        <w:t>- that, in the event of exercising the right to unilaterally modify, the Professional will inform the consumer of the reason justifying the change, appropriately and in a timely manner regarding the exercise of the right of withdrawal, as established by community jurisprudence.</w:t>
      </w:r>
    </w:p>
    <w:p>
      <w:r>
        <w:t>33. In the clauses under examination, therefore, the absence of a reference to the justified reason in the contract constitutes a violation of Article 33, paragraph 2, letter m).</w:t>
      </w:r>
    </w:p>
    <w:p>
      <w:r>
        <w:t>34. Furthermore, according to what is also provided by the AGCOM Regulation containing provisions for the protection of users regarding contracts for the provision of electronic communications services (AGCOM resolution 519/15/CONS) in Annex 1, as also specified in the judgment of TAR Lazio, section III, No. 12421 of December 16, 2016, such "justified reasons" must be communicated to the consumer by operators intending to modify economic or contractual conditions with adequate notice of no less than thirty days, along with the content of the changes, the date of their entry into force, and complete information on the right to withdraw from the contract without penalties. The rationale of the rule provided by Article 33, paragraphs 1 and 2, letter m), detailed by the AGCOM Regulation, regarding the informational aspects of unilateral contractual changes, is, in fact, to allow the consumer, upon becoming aware of all elements of such changes, including the justified reason, to appropriately evaluate the operation carried out by the professional and consequently decide, in a fully informed manner, whether to accept or reject it, withdrawing from the contract.</w:t>
      </w:r>
    </w:p>
    <w:p>
      <w:r>
        <w:t>35. The actual knowledge of such reasons, reported from time to time in the communication to the consumer, as also supported in the aforementioned judgment of TAR Lazio, constitutes an essential prerequisite for the exercise of the ius variandi in respect of consumer rights, that is, to allow him, upon timely knowledge of the contractual change and the underlying reasons, to adequately assess the maneuver itself and in relation to his specific interests, as well as possibly to resort to the protection tool of withdrawal without penalties.</w:t>
      </w:r>
    </w:p>
    <w:p>
      <w:r>
        <w:t>36. Therefore, the aspects related to communication cannot be left to the discretion and good faith of the Professional during execution, but must rather be defined already in the contract, as a guarantee for the consumer, who, knowing in advance the form and methods, will be placed in a position to identify the communication from the Professional regarding any contractual variation. Thus, the indication of both the reason that validly justifies the change and the form and methods by which the consumer must be informed from time to time by the Professional constitute essential conditions for a correct and balanced application of the ius variandi.</w:t>
      </w:r>
    </w:p>
    <w:p>
      <w:r>
        <w:t>37. In fact, to ensure that there is no imbalance to the detriment of the consumer between rights and obligations arising from the contract pursuant to Article 33, paragraph 1, of the Consumer Code, the Professional must explicitly indicate, for the protection of the consumer, the form and manner in which he will communicate the unilateral contractual change, as a mere regulatory reference (AGCOM resolution 519/15/CONS) is not sufficient.</w:t>
      </w:r>
    </w:p>
    <w:p>
      <w:r>
        <w:t>38. Finally, regarding the alleged homogeneous application of the regulations on excessive clauses and those on ius variandi in the communications sector at the community level, which would not provide for the obligation to indicate "justified reasons," reference must be made to what is provided in Directive 93/13/EEC.</w:t>
      </w:r>
    </w:p>
    <w:p>
      <w:r>
        <w:t>39. Directive 93/13/EEC on excessive clauses, as a directive of minimum harmonization, as already extensively argued previously, has not been uniformly transposed by the various Member States of the European Union, as it had to be integrated with the pre-existing civil law regulations. In fact, the annex of the Directive, which contains a blacklist of excessive clauses identified by the Commission, has not been adopted or fully transposed by all European countries. A comparison in this sense is therefore unfeasible and meaningless, as it was the same community legislator who provided for a diversified application among the various European countries to allow them a coherent integration with their civil law. Italy is among the countries that have fully adopted the text of the blacklist, but as a grey list, meaning that the clauses are deemed excessive until proven otherwise, consequently introducing the provision that requires a "justified reason" in cases of unilateral contractual changes, but not the exception of point 2.b of the annex of the aforementioned Directive 93/13/EEC.</w:t>
      </w:r>
    </w:p>
    <w:p>
      <w:r>
        <w:t>40. In conclusion, based on the preceding considerations, the clause in question, detailed in point 4, is deemed excessive as it lacks:</w:t>
        <w:br/>
        <w:t>- the indication that unilateral changes to the contractual conditions, including economic ones, may only be made in the presence of a "justified reason";</w:t>
        <w:br/>
        <w:t>- the definition of the methods and form by which the consumer will be informed of the change from time to time.</w:t>
      </w:r>
    </w:p>
    <w:p>
      <w:r>
        <w:t>IT IS THEREFORE CONSIDERED that for the clause subject to the initiation of the procedure, there is a legal presumption of excessiveness pursuant to Article 33, paragraph 2, of the Consumer Code and that the Party has not provided fully sufficient elements to overcome this presumption;</w:t>
      </w:r>
    </w:p>
    <w:p>
      <w:r>
        <w:t>IT IS FURTHER CONSIDERED, based on the aforementioned considerations, that the clause described in point III.4 of this provision in use since February 2016 is excessive pursuant to Article 33, paragraphs 1 and 2, letter m), of the Consumer Code;</w:t>
      </w:r>
    </w:p>
    <w:p>
      <w:r>
        <w:t>IT IS FINALLY CONSIDERED that the publication of an excerpt of this provision is due to fully inform consumers of the excessiveness of the clauses subject to this assessment on the website of the Authority and Vodafone pursuant to Article 37 bis, paragraph 2, of the Consumer Code and Article 23, paragraph 8, of the Regulation; it seems appropriate that the aforementioned publication on the Vodafone website lasts for twenty consecutive days;</w:t>
      </w:r>
    </w:p>
    <w:p>
      <w:r>
        <w:t>DECIDES that the clause referred to in point III.4 of this provision constitutes a case of excessive clause pursuant to Article 33, paragraphs 1 and 2, letter m), of the Consumer Code, for the reasons and within the limits stated in the motivation.</w:t>
      </w:r>
    </w:p>
    <w:p>
      <w:r>
        <w:rPr>
          <w:b/>
        </w:rPr>
        <w:t>[Pages 199–201]</w:t>
      </w:r>
    </w:p>
    <w:p>
      <w:r>
        <w:t>BULLETIN NO. 19 OF MAY 22, 2017</w:t>
      </w:r>
    </w:p>
    <w:p>
      <w:r>
        <w:t>ORDERS</w:t>
      </w:r>
    </w:p>
    <w:p>
      <w:r>
        <w:t>a) that the company Vodafone publish, at its own care and expense, an excerpt of the provision pursuant to Article 37 bis of the Consumer Code and Article 23, paragraph 8, of the Regulation, according to the following modalities:</w:t>
        <w:br/>
        <w:t>1) the text of the excerpt of the provision is that reported in the annex to this provision;</w:t>
        <w:br/>
        <w:t>2) the text of the excerpt of the provision must be published for twenty consecutive days on the home page of the website http://www.vodafone.it/, with adequate graphic prominence and in a position on the web page that does not require the consumer to scroll, within twenty days from the communication of the adoption of this provision;</w:t>
      </w:r>
    </w:p>
    <w:p>
      <w:r>
        <w:t>b) that the publication of the text of the excerpt of the provision must be preceded by communication to the Authority of the date on which it will take place and must be followed, within three days, by sending to the Authority a copy of the aforementioned excerpt as published on the home page of the website http://www.vodafone.it/;</w:t>
      </w:r>
    </w:p>
    <w:p>
      <w:r>
        <w:t>c) that the publication must fully reflect the setting, structure, and appearance of the excerpt attached to this provision; the methods of writing and dissemination must not be such as to nullify the effects of the publication; in particular, on the page of the website publishing the excerpt, as well as on the remaining pages, there must not be messages that conflict with the content of the excerpt or that tend to diminish its scope and meaning.</w:t>
      </w:r>
    </w:p>
    <w:p>
      <w:r>
        <w:t>Pursuant to Article 37 bis, paragraph 2, of the Consumer Code, in case of non-compliance, the Authority applies an administrative pecuniary sanction from 5,000 euros to 50,000 euros.</w:t>
      </w:r>
    </w:p>
    <w:p>
      <w:r>
        <w:t>Against this provision, an appeal may be submitted to the TAR of Lazio, pursuant to Article 37 bis, paragraph 4, and Article 135, paragraph 1, letter b), of the Code of Administrative Procedure (Legislative Decree July 2, 2010, no. 104), within sixty days from the date of communication of the same, without prejudice to the longer terms referred to in Article 41, paragraph 5, of the Code of Administrative Procedure, or an extraordinary appeal may be proposed to the President of the Republic pursuant to Article 8 of the Decree of the President of the Republic November 24, 1971, no. 1199, within the term of one hundred and twenty days from the date of communication of the opinion itself.</w:t>
      </w:r>
    </w:p>
    <w:p>
      <w:r>
        <w:t>This provision will be communicated to the interested parties and published in the Bulletin of the Authority for the Protection of Competition and the Market.</w:t>
      </w:r>
    </w:p>
    <w:p>
      <w:r>
        <w:t>The excerpt of the provision is also published, within twenty days from the communication of its adoption, in a dedicated section of the institutional website of the Authority.</w:t>
      </w:r>
    </w:p>
    <w:p>
      <w:r>
        <w:t>THE SECRETARY GENERAL THE PRESIDENT</w:t>
        <w:br/>
        <w:t>Roberto Chieppa Giovanni Pitruzzella</w:t>
      </w:r>
    </w:p>
    <w:p>
      <w:r>
        <w:t>CV149–VODAFONE – MODIFICATIONS TO CONTRACTUAL CLAUSES</w:t>
        <w:br/>
        <w:t>Annex to provision no. 26599</w:t>
      </w:r>
    </w:p>
    <w:p>
      <w:r>
        <w:t>Annex to the provision of the Authority for the Protection of Competition and the Market of May 4, 2017, regarding administrative protection against unfair clauses pursuant to Article 37 bis of the Consumer Code.</w:t>
      </w:r>
    </w:p>
    <w:p>
      <w:r>
        <w:t>On December 28, 2016, the proceeding CV149 – Vodafone – Modifications to contractual clauses was initiated against Vodafone Italia S.p.A. regarding the aspects of unfairness of the contractual clause on the ius variandi.</w:t>
      </w:r>
    </w:p>
    <w:p>
      <w:r>
        <w:t>[OMISSIS]</w:t>
      </w:r>
    </w:p>
    <w:p>
      <w:r>
        <w:t>3. The modules, subject to investigation, indicating the article that includes the clause in question, starting from February 2016, are:</w:t>
        <w:br/>
        <w:t>- for fixed telephony</w:t>
        <w:br/>
        <w:t>i. General conditions for the ADSL or fiber service and wireless connectivity (Article 17).</w:t>
        <w:br/>
        <w:t>ii. General contract conditions for the fixed voice telephony service provided through the mobile radio network (Article 17).</w:t>
        <w:br/>
        <w:t>iii. General contract conditions for the prepaid fixed voice telephony service provided through the mobile radio network (Article 14).</w:t>
        <w:br/>
        <w:t>- for mobile telephony</w:t>
        <w:br/>
        <w:t>iv. General contract conditions for the Prepaid Mobile Service and specific conditions for the RED Start offer in rechargeable version (Article 15).</w:t>
        <w:br/>
        <w:t>v. General contract conditions for the Vodafone mobile subscription service (Article 18).</w:t>
      </w:r>
    </w:p>
    <w:p>
      <w:r>
        <w:t>[OMISSIS]</w:t>
      </w:r>
    </w:p>
    <w:p>
      <w:r>
        <w:t>4. For the aforementioned contractual modules, based on the documentation indicated on the professional's website and acquired in the records, the subject of this proceeding, limited to the contractual relationships between the company and consumer clients, is the clause relating to "Modifications of the contract," also reported in the aforementioned articles, the text of which is transcribed below:</w:t>
      </w:r>
    </w:p>
    <w:p>
      <w:r>
        <w:t>Notwithstanding the provisions of Article 2, during the same contractual relationship Vodafone has the right to modify the General Conditions, the General Conditions of the Services, and the Telephone Plans with effect after 30 days from the communication pursuant to Article 70, paragraph 4 of Legislative Decree August 1, 2003, no. 259 and according to the methods provided by resolution 519/15/CONS1, favoring forms of individual communication based on the use and type of service that undergoes changes, for the following reasons:</w:t>
        <w:br/>
        <w:t>(i) for unforeseen technical, managerial, and economic needs of a general nature, such as, by way of example, technical modernization of the network and production or marketing structures;</w:t>
        <w:br/>
        <w:t>(ii) for changes in regulatory or legislative provisions that affect the economic balance and/or technical and managerial aspects of the Service and/or unforeseeable changes in the structural conditions of the market;</w:t>
      </w:r>
    </w:p>
    <w:p>
      <w:r>
        <w:t>1 In the clause "Modifications of the contract" present in the contractual modules during the period February-April 2016, the reference to resolution 645/14/CONS of Agcom is reported; in those subsequent to that date and currently in use, the reference has been modified, as the new resolution 519/15/CONS of Agcom is indicated.</w:t>
      </w:r>
    </w:p>
    <w:p>
      <w:r>
        <w:t>BULLETIN NO. 19 OF MAY 22, 2017</w:t>
      </w:r>
    </w:p>
    <w:p>
      <w:r>
        <w:t>(iii) for changes in the methods and terms of activation and deactivation of SIM Cards and for updates made necessary to ensure the correct use of the same and the Services in light of the evolution of traffic profiles contrary to the lawful and personal use of the services as regulated in relation to abusive and/or fraudulent phenomena.</w:t>
      </w:r>
    </w:p>
    <w:p>
      <w:r>
        <w:t>In all the aforementioned cases, the Customer has the right to withdraw or switch to another operator without any penalty according to the methods provided by resolution 519/15/CONS2 and better specified through the various contact channels such as the website www.vodafone.it and Customer Service. After thirty days without the Customer having requested withdrawal, the contract will continue under the new conditions.</w:t>
      </w:r>
    </w:p>
    <w:p>
      <w:r>
        <w:t>The Customer can always request changes to their contract (for example, plan change), subject to the limits and compatibilities of specific services.</w:t>
      </w:r>
    </w:p>
    <w:p>
      <w:r>
        <w:t>[OMISSIS]</w:t>
      </w:r>
    </w:p>
    <w:p>
      <w:r>
        <w:t>34. In consideration of this, the clause in question, present in the contractual modules since February 2016, including those currently in use, is therefore deemed unfair pursuant to Article 33, paragraphs 1 and 2, letter m), as the Professional has failed to indicate:</w:t>
        <w:br/>
        <w:t>- that all unilateral changes to the contractual conditions, including economic ones, may only be made in the presence of "justified reason";</w:t>
        <w:br/>
        <w:t>- that, in the event of exercising the right to unilaterally modify, the Professional will inform the consumer of the reason justifying the modification, appropriately and in a timely manner with respect to the exercise of the right of withdrawal, as established by community jurisprudence.</w:t>
      </w:r>
    </w:p>
    <w:p>
      <w:r>
        <w:t>[OMISSIS]</w:t>
      </w:r>
    </w:p>
    <w:p>
      <w:r>
        <w:t>CONSIDERED in particular, based on the above considerations, that the clause described in point III.4 of this provision in use since February 2016, is unfair pursuant to Article 33, paragraphs 1 and 2, letter m), of the Consumer Code;</w:t>
      </w:r>
    </w:p>
    <w:p>
      <w:r>
        <w:t>[OMISSIS]</w:t>
      </w:r>
    </w:p>
    <w:p>
      <w:r>
        <w:t>RESOLVES</w:t>
      </w:r>
    </w:p>
    <w:p>
      <w:r>
        <w:t>that the clause referred to in point III.4 of this provision constitutes a case of unfair clause pursuant to Article 33, paragraphs 1 and 2, letter m), of the Consumer Code, for the reasons and within the limits set out in the motivation;</w:t>
      </w:r>
    </w:p>
    <w:p>
      <w:r>
        <w:t>[OMISSIS]</w:t>
      </w:r>
    </w:p>
    <w:p>
      <w:r>
        <w:t>2 Idem.</w:t>
      </w:r>
    </w:p>
    <w:p>
      <w:r>
        <w:rPr>
          <w:b/>
        </w:rPr>
        <w:t>[Pages 202–204]</w:t>
      </w:r>
    </w:p>
    <w:p>
      <w:r>
        <w:t xml:space="preserve">204 BULLETIN NO. 19 OF MAY 22, 2017  </w:t>
        <w:br/>
        <w:t xml:space="preserve">CV151 - FASTWEB-CHANGES TO CONTRACTUAL CLAUSES  </w:t>
        <w:br/>
        <w:t xml:space="preserve">Decision No. 26600  </w:t>
        <w:br/>
        <w:t xml:space="preserve">THE ANTITRUST AUTHORITY  </w:t>
        <w:br/>
        <w:t xml:space="preserve">IN ITS MEETING of May 4, 2017;  </w:t>
        <w:br/>
        <w:t xml:space="preserve">HEARD the Rapporteur Dr. Gabriella Muscolo;  </w:t>
        <w:br/>
        <w:t xml:space="preserve">HAVING REGARD to Part III, Title I of Legislative Decree No. 206 of September 6, 2005, containing the "Consumer Code" and subsequent amendments (hereinafter, Consumer Code or "CdC");  </w:t>
        <w:br/>
        <w:t xml:space="preserve">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w:t>
        <w:br/>
        <w:t xml:space="preserve">HAVING REGARD to the documents of the proceeding;  </w:t>
        <w:br/>
        <w:t xml:space="preserve">CONSIDERED the following:  </w:t>
        <w:br/>
        <w:t xml:space="preserve">I. THE PARTY  </w:t>
        <w:br/>
        <w:t xml:space="preserve">Fastweb S.p.A. (hereinafter Fastweb), as a professional, pursuant to Article 3 of the Consumer Code. The company operates in the field of development, implementation, and management of telecommunications and telephony systems of all kinds and types, in particular, broadband telecommunications systems, data and video transmission, and national and international telephony, including e-commerce and media activities.  </w:t>
        <w:br/>
        <w:t xml:space="preserve">II. THE CONTRACTS SUBJECT TO EVALUATION  </w:t>
        <w:br/>
        <w:t xml:space="preserve">1. The clause under evaluation concerns the contractual changes that the professional reserves the right to make unilaterally during the execution of the contract, in compliance with the information and withdrawal rights of consumers, as provided for by Article 70, paragraph 4 of the Electronic Communications Code (Legislative Decree No. 259/2003, hereinafter also CCE).  </w:t>
        <w:br/>
        <w:t xml:space="preserve">2. This clause relating to the right to vary is present in all contractual forms prepared by Fastweb for the supply of goods and services, both in the versions in use until September 2016 and in those used subsequently until March 6, 2017, as reported on the professional's website.  </w:t>
        <w:br/>
        <w:t xml:space="preserve">3. The aforementioned forms, subject to investigation, with the indication of the article that includes the clause in question, are:  </w:t>
        <w:br/>
        <w:t xml:space="preserve">Regarding the forms in use until September 2016  </w:t>
        <w:br/>
        <w:t xml:space="preserve">i. General terms and conditions of fixed offer contract (Article 15)  </w:t>
        <w:br/>
        <w:t xml:space="preserve">ii. General terms and conditions of mobile contract (Article 14)  </w:t>
        <w:br/>
        <w:t xml:space="preserve">Regarding the forms used from September 2016 to March 6, 2017  </w:t>
        <w:br/>
        <w:t xml:space="preserve">iii. General terms and conditions of fixed offer contract (Article 15)  </w:t>
        <w:br/>
        <w:t>iv. General terms and conditions of mobile contract (Article 14)</w:t>
      </w:r>
    </w:p>
    <w:p>
      <w:r>
        <w:t xml:space="preserve">BULLETIN NO. 19 OF MAY 22, 2017 205  </w:t>
        <w:br/>
        <w:t xml:space="preserve">III. THE CLAUSES SUBJECT TO THE PROCEEDING  </w:t>
        <w:br/>
        <w:t xml:space="preserve">4. For the contractual forms in use until September 2016, based on the documentation indicated on the professional's website and acquired in the records, the following constitute the subject of this proceeding, limited to the contractual relationships between the company and consumer clients:  </w:t>
        <w:br/>
        <w:t xml:space="preserve">a. the clause relating to "Contractual Changes" reported in Article 15 of the general conditions for fixed telephony contracts, the text of which is transcribed below:  </w:t>
        <w:br/>
        <w:t xml:space="preserve">15.1 FASTWEB may change the Contract for unforeseen technical, economic, and managerial needs, as well as update the fees for the Services. FASTWEB may also modify the Contract for changes in laws and/or regulations.  </w:t>
        <w:br/>
        <w:t xml:space="preserve">15.2 The changes referred to in the previous point not imposed by law or regulations that result in an improvement and/or deterioration of the Customer's contractual position will only take effect after a period of 30 (thirty) days from the date of their communication to the Customer. Within the same period, the Customer may withdraw from the Contract and/or from the Services subject to the change without incurring penalties and/or deactivation costs.  </w:t>
        <w:br/>
        <w:t xml:space="preserve">15.3 FASTWEB may change the telephone number assigned to the Customer for technical reasons, giving at least 60 (sixty) days' notice. In this case, FASTWEB will adopt, at the Customer's request and where technically possible, an automatic information service, free for the caller and for the Customer, regarding the change of the telephone number. This service will be provided for a period of 60 (sixty) days from the change of the number.  </w:t>
        <w:br/>
        <w:t xml:space="preserve">15.4 The Customer may request FASTWEB to change the telephone number assigned to them; this request will be fulfilled by FASTWEB as far as technically possible, with charges as may be provided for in the applicable economic conditions.  </w:t>
        <w:br/>
        <w:t xml:space="preserve">b. the clause relating to "Contract Changes" reported in Article 14 of the general conditions for mobile contracts, the text of which is transcribed below:  </w:t>
        <w:br/>
        <w:t xml:space="preserve">14.1 FASTWEB may change the Contract for unforeseen technical, economic, and managerial needs, as well as update the fees for the Services. FASTWEB may also modify the Contract for changes in laws and/or regulations.  </w:t>
        <w:br/>
        <w:t xml:space="preserve">14.2 The changes referred to in the previous point not imposed by law or regulations that result in an improvement and/or deterioration of the Customer's contractual position will only take effect after a period of 30 (thirty) days from the date of their communication to the Customer. Within the same period, the Customer may withdraw from the Contract and/or from the Services subject to the change without incurring any costs.  </w:t>
        <w:br/>
        <w:t xml:space="preserve">5. For the new contractual forms in use from September 2016 until March 5, 2017, based on the documentation indicated on the professional's website and acquired in the records, the following constitute the subject of this proceeding, limited to the contractual relationships between the company and consumer clients:  </w:t>
        <w:br/>
        <w:t>a. the clause relating to "Contractual Changes" reported in Article 15 of the general conditions for fixed telephony contracts, the text of which is transcribed below:</w:t>
      </w:r>
    </w:p>
    <w:p>
      <w:r>
        <w:t xml:space="preserve">206 BULLETIN NO. 19 OF MAY 22, 2017  </w:t>
        <w:br/>
        <w:t xml:space="preserve">15.1 Fastweb may change the Contract, as well as update the fees for the Services, for unforeseen technical, economic, and managerial needs. Fastweb may also modify the Contract and update the fees for changes in laws and/or regulations. Any modification will be communicated, with an indication of the reasons underlying the contractual variation, according to the terms and methods established by Agcom Resolution 519/15/CONS and the remaining applicable regulations.  </w:t>
        <w:br/>
        <w:t xml:space="preserve">15.2 The changes referred to in the previous point not imposed by law or regulations that result in an improvement and/or deterioration of the Customer's contractual position will only take effect after a period of 30 (thirty) days from the date of their communication to the Customer. Within the same period, the Customer may withdraw from the Contract and/or from the Services subject to the change without incurring penalties and/or deactivation costs.  </w:t>
        <w:br/>
        <w:t xml:space="preserve">15.3 Fastweb may change the telephone number assigned to the Customer for technical reasons, giving at least 60 (sixty) days' notice. In this case, Fastweb will adopt, at the Customer's request and where technically possible, an automatic information service, free for the caller and for the Customer, regarding the change of the telephone number. This service will be provided for a period of 60 (sixty) days from the change of the number.  </w:t>
        <w:br/>
        <w:t xml:space="preserve">15.4 The Customer may request Fastweb to change the telephone number assigned to them; this request will be fulfilled by Fastweb as far as technically possible, with charges as may be provided for in the applicable economic conditions.  </w:t>
        <w:br/>
        <w:t xml:space="preserve">b. the clause relating to "Contractual Changes" reported in Article 14 of the general conditions for mobile contracts, the text of which is transcribed below:  </w:t>
        <w:br/>
        <w:t xml:space="preserve">14.1 Fastweb may change the Contract, as well as update the fees for the Services, for unforeseen technical, economic, and managerial needs. Fastweb may also modify the Contract and update the fees for changes in laws and/or regulations. Any modification will be communicated, with an indication of the reasons underlying the contractual variation, according to the terms and methods established by Agcom Resolution 519/15/CONS and the remaining applicable regulations.  </w:t>
        <w:br/>
        <w:t xml:space="preserve">14.2 The changes referred to in the previous point not imposed by law or regulations that result in an improvement and/or deterioration of the Customer's contractual position will only take effect after a period of 30 (thirty) days from the date of their communication to the Customer. Within the same period, the Customer may withdraw from the Contract and/or from the Services subject to the change without incurring penalties and/or deactivation costs.  </w:t>
        <w:br/>
        <w:t xml:space="preserve">IV. THE INVESTIGATIVE FINDINGS  </w:t>
        <w:br/>
        <w:t xml:space="preserve">1) The procedure process  </w:t>
        <w:br/>
        <w:t xml:space="preserve">6. On December 28, 2016, a proceeding was initiated against Fastweb regarding the unfairness profiles of the contractual clause on the right to vary. This initiation followed a preliminary activity of moral suasion, conducted towards the operator starting from August 8, 2016, which had not led to the elimination of the identified unfairness profiles.  </w:t>
        <w:br/>
        <w:t>7. In the initiation communication, it was represented to Fastweb that the clauses described in point III appear in themselves to be unfair pursuant to Article 33, paragraphs 1 and 2 letter m) of the Code.</w:t>
      </w:r>
    </w:p>
    <w:p>
      <w:r>
        <w:rPr>
          <w:b/>
        </w:rPr>
        <w:t>[Pages 205–207]</w:t>
      </w:r>
    </w:p>
    <w:p>
      <w:r>
        <w:t>BULLETIN NO. 19 OF MAY 22, 2017</w:t>
      </w:r>
    </w:p>
    <w:p>
      <w:r>
        <w:t>207</w:t>
        <w:br/>
        <w:t>of the Consumer Code as they result in creating a significant imbalance of rights and obligations arising from the contract for the consumer. The identified aspect of abusiveness seemed to persist based on the reading and interpretation of each clause in light of the overall context of the entire adhesion contract in which it is included.</w:t>
      </w:r>
    </w:p>
    <w:p>
      <w:r>
        <w:t>8. In the case of the contractual forms in use until September 2016, the Professional, in the clause in question, failed to inform the consumer:</w:t>
        <w:br/>
        <w:t>- that any unilateral changes to the contractual conditions could only be made based on "a justified reason," and any "justified reason" that might lead the professional to unilaterally modify the economic conditions;</w:t>
        <w:br/>
        <w:t>- that in the event of exercising the right to unilaterally modify the contract, the professional would inform the consumer of the reason justifying the modification, appropriately and in a timely manner regarding the exercise of the right of withdrawal.</w:t>
      </w:r>
    </w:p>
    <w:p>
      <w:r>
        <w:t>9. In the case of the new forms in use from September 2016 to March 5, 2017, the professional, in the clause in question, failed to inform the consumer:</w:t>
        <w:br/>
        <w:t>- that any unilateral changes to the contractual conditions, including economic ones, could only be made based on "a justified reason";</w:t>
        <w:br/>
        <w:t>- that in the event of exercising the right to unilaterally modify the contract, the professional would inform the consumer of the reason justifying the modification, appropriately and in a timely manner, regarding the exercise of the right of withdrawal.</w:t>
      </w:r>
    </w:p>
    <w:p>
      <w:r>
        <w:t>10. Concurrently with the communication initiating the proceeding, a request for information was made to Fastweb to gather elements that would allow overcoming the identified presumption of abusiveness.</w:t>
      </w:r>
    </w:p>
    <w:p>
      <w:r>
        <w:t>11. On December 28, 2016, a notice for public consultation was published on the Authority's official website pursuant to Article 37 bis paragraph 1 of the Consumer Code and Article 23 paragraph 6 of the Regulation on investigative procedures.</w:t>
      </w:r>
    </w:p>
    <w:p>
      <w:r>
        <w:t>12. Six consumer associations participated in the public consultation, sending their written observations: on January 24, 2017, the Consumers' Movement and U.Di.Con, on January 26, 2017, Codacons, and on January 30, 2017, Altroconsumo, Adiconsum, and Cittadinanzattiva.</w:t>
      </w:r>
    </w:p>
    <w:p>
      <w:r>
        <w:t>13. Fastweb, on February 20, 2017, submitted a request for access to documents. This access was granted on March 1, 2017.</w:t>
      </w:r>
    </w:p>
    <w:p>
      <w:r>
        <w:t>14. The professional, on February 6 and 17, 2017, submitted defensive memoranda, along with the information requested during the communication initiating the proceeding. With a subsequent communication on March 7, 2017, sent to supplement the memorandum of February 17, 2017, the Professional provided the latest version of the General Conditions of contract for fixed and mobile services with a new formulation of the clauses related to the right to vary.</w:t>
      </w:r>
    </w:p>
    <w:p>
      <w:r>
        <w:t>15. On March 30, 2017, the Party was informed of the conclusion date of the investigative phase pursuant to Article 16 paragraph 1 of the Regulation on investigative procedures.</w:t>
      </w:r>
    </w:p>
    <w:p>
      <w:r>
        <w:t>16. At the request of Fastweb made on April 3, 2017, a hearing was held with the representatives of the professional on April 12, 2017.</w:t>
      </w:r>
    </w:p>
    <w:p>
      <w:r>
        <w:t>17. On April 19, 2017, the Company submitted concluding notes.</w:t>
      </w:r>
    </w:p>
    <w:p>
      <w:r>
        <w:t>2) The outcomes of the consultation on the website</w:t>
      </w:r>
    </w:p>
    <w:p>
      <w:r>
        <w:t>18. Following the public consultation, the aforementioned consumer associations submitted the following observations, based on which such clauses would be abusive:</w:t>
        <w:br/>
        <w:t>- regarding the methods of communication indicated to inform the user of the individual contractual change, as the professional in the clause included in the contractual forms used until September 2016 does not provide any indication in this regard, while in the clause included in the contractual forms in use after September 2016 until March 6, 2017, it does not define them clearly. In fact, the clause in question only refers to the "terms and [the] methods provided by Resolution Agcom 519/15/CONS and the remaining applicable regulations." This expression constitutes only a "generic reference to the general regulatory provision, as the average user is not in a position to know the regulations in such specific and attentive detail, and therefore greater clarity and specification in this regard would be necessary." The method of communication is of great relevance to facilitate the full awareness of information by the consumer.</w:t>
        <w:br/>
        <w:t>- for the generality and indeterminacy of the justified reasons, as Fastweb reserves the right to modify the "contract, as well as update the fees for the Services" of the customer for "emerging technical, economic, and managerial needs" and "for changes in laws and/or regulations." According to Adiconsum, "In the clause in question, circumstances are indicated that are so generic as to put the professional in a position to abuse their 'contractual power' and to make changes to the contract conditions, the cost of services, and the customer's fixed telephone number not for real technical needs that have changed the costs of providing the service, but in the presence of generic motivations related, among other things, to strictly economic and business strategies." According to U.Di.Con, moreover, "The clause lacks any reference regarding the justified reason required by current regulations. It is useful [in fact] to note that it is always the professional's obligation to justify any unilaterally made modification."</w:t>
      </w:r>
    </w:p>
    <w:p>
      <w:r>
        <w:t>19. Altroconsumo, in particular, analyzes the clause, considering it in the context in which it would be applied. The Association highlights, in fact, the "proliferation [in recent years] of significant increases in the monthly cost of tariff plans by various operators, often implemented without adequate information to customers... The frequency with which tariff adjustments have been made configures, in our opinion, the use of the right to vary as a commercial offer... changes to a tariff plan, to comply with the regulatory provisions that protect users, must only be made in the occurrence of unforeseen circumstances that arose after the original contract was signed, such that the tariff plan is now outdated and no longer sustainable for the operator." According to Altroconsumo, therefore, the recourse to Article 70 paragraph 4 of the CCE by operators seems to constitute, in fact, a "ruse by which companies change prices and original contractual conditions based on unspecified needs that are difficult to relate to market dynamics." Regarding this issue, Adiconsum also stated that changes cannot be "in any way linked to the mere will of the Professional," while Cittadinanzattiva believes that the reasons indicated by Fastweb "would concern a macro area that should be better specified with the declination of individual cases and situations in which such an eventuality could occur."</w:t>
      </w:r>
    </w:p>
    <w:p>
      <w:r>
        <w:t>20. In conclusion, the consumer associations, first of all, believe that the provisions of Article 33 paragraphs 1 and 2 letter m) of the Consumer Code should also apply to the communications sector, as is the case in other sectoral areas (particularly in the financial sector with Article 118 of the TUB), arguing that the clause in question should be considered abusive both for the unclear indication of the methods of communication of contractual changes, but especially for the breadth and generality of the reported reasons, which would not circumscribe "with specific and precise references the unforeseen and uncontrollable circumstances (nor contestable) by the Professional" that would obligate them to make the contractual modification. Unilateral changes, to comply with the regulatory provisions, should only be made in the occurrence of "unforeseen circumstances." Therefore, the precise definition of the reported reasons in the contractual clause in question should meet this condition, thus ensuring the correct application of the right to vary, not allowing the professional to misuse it to introduce new commercial offers or contractual conditions that, otherwise, would require the prior express consent of the consumer.</w:t>
      </w:r>
    </w:p>
    <w:p>
      <w:r>
        <w:t>3) The arguments of Fastweb</w:t>
      </w:r>
    </w:p>
    <w:p>
      <w:r>
        <w:t>21. In relation to the substantive criticisms formulated by the Authority, the professional highlighted the following.</w:t>
        <w:br/>
        <w:t>a. The infringement of Fastweb's reliance</w:t>
        <w:br/>
        <w:t>According to Fastweb, the Authority in its previous decisions has never contested the right of operators to change the contractual conditions applied to users, in terms of the abusiveness of the related clause. The criticisms directed at the operator would therefore be unfounded as they infringe upon Fastweb's legitimate reliance, which, like other operators in the sector, has always believed it could freely exercise the right to vary with the only limits imposed by Article 70 paragraph 4 of the CCE.</w:t>
      </w:r>
    </w:p>
    <w:p>
      <w:r>
        <w:t>b. The specificity of Article 70 paragraph 4 of the CCE and the consequent inapplicability of Article 33 paragraph 2 letter m) of the Consumer Code to the communications sector</w:t>
        <w:br/>
        <w:t>The Company contests the Authority's interpretation, appealing to the principle of specificity according to which in the event of a conflict between the provisions contained in the Consumer Code and a provision of an act of the European Union that regulates specific sectors, the latter and the related national implementing rules prevail and apply to the specific sectors. In the communications sector, according to the Company's interpretation, only the Electronic Communications Code would apply, not the Consumer Code with the only exception of unfair commercial practices (Article 27 paragraph 1 bis of the Consumer Code). The inapplicability of the regulations on abusive clauses would be recognized whenever the contractual provisions "reproduce legal provisions or are reproducing provisions or implementing principles contained.</w:t>
      </w:r>
    </w:p>
    <w:p>
      <w:r>
        <w:rPr>
          <w:b/>
        </w:rPr>
        <w:t>[Pages 208–210]</w:t>
      </w:r>
    </w:p>
    <w:p>
      <w:r>
        <w:t>210 BULLETIN NO. 19 OF MAY 22, 2017</w:t>
      </w:r>
    </w:p>
    <w:p>
      <w:r>
        <w:t>in international agreements to which all member states of the European Union or the European Union itself are contracting parties” (Article 34, paragraph 3, CdC)11.</w:t>
      </w:r>
    </w:p>
    <w:p>
      <w:r>
        <w:t>c. Its correct interpretation of the relevant consumer protection regulations, also supported by the rulings of the Lazio TAR No. 12421/2016 and No. 947/2017, according to which “community rules do not provide for any limitation on the exercise of the ius variandi for telecommunications operators” and Article 33, paragraph 2, letter m) CdC would not apply to clauses such as the one under examination, provided that the professional is obliged to inform the consumer of the unilateral contractual modification with reasonable notice and to guarantee the right of withdrawal from the contract, as clearly stated in Article 20, paragraph 2, of Directive 2002/22/EC and in recital No. 27 of Directive 2009/136/EC. The professional therefore argues that according to the same community regulation, reasonable notice and the right of withdrawal represent alternative and not cumulative consumer protection techniques with respect to the indication of justified reasons. There would be no cumulative application of the aforementioned mechanisms by the national legislator in any legal provision in the electronic communications sector12. The party further argues that Article 33, paragraph 2, letter m) CdC would only apply to so-called normative contractual modifications, while price changes should refer to Article 33, paragraph 2, letter o) CdC13.</w:t>
      </w:r>
    </w:p>
    <w:p>
      <w:r>
        <w:t>d. The consistency at the community level of the proposed representation</w:t>
      </w:r>
    </w:p>
    <w:p>
      <w:r>
        <w:t>The professional supports its position in the name of an application of the regulations on unfair clauses and those on ius variandi, which at the community level in the telecommunications sector would generally not provide for the obligation to indicate “justified reasons”14.</w:t>
      </w:r>
    </w:p>
    <w:p>
      <w:r>
        <w:t>e. The nature of the services that are the subject of the contract excludes under Article 34 CdC, in the opinion of the Professional, that “specific justified reasons for the contractual modification can be precisely indicated in the contract, as they are always reasons that are difficult to foresee, or foreseeable – and susceptible of being indicated in the contract – only in a purely exemplary manner”15.</w:t>
      </w:r>
    </w:p>
    <w:p>
      <w:r>
        <w:t>f. The form or method of communications regarding the contractual variation</w:t>
      </w:r>
    </w:p>
    <w:p>
      <w:r>
        <w:t>Fastweb argues that in the text of the clauses on ius variandi in use since September 2016, there was a reference to Agcom Resolution 519/15/CONS which regulates the methods by which operators are required to communicate unilateral contractual changes to their customers and that, in any case, “in order to meet the request of this Esteemed Authority,” the clauses had subsequently been integrated specifying such methods, as communicated to the Authority in the memorandum of November 21, 201616.</w:t>
      </w:r>
    </w:p>
    <w:p>
      <w:r>
        <w:t>4) The latest version of the clauses proposed by Fastweb</w:t>
      </w:r>
    </w:p>
    <w:p>
      <w:r>
        <w:t>22. On March 7, 2017, Fastweb produced a new version of the contested clauses, transcribed below:</w:t>
      </w:r>
    </w:p>
    <w:p>
      <w:r>
        <w:t xml:space="preserve">11 Ibidem, pp. 12-14, 20.  </w:t>
        <w:br/>
        <w:t xml:space="preserve">12 Ibidem, pp. 12-14, 18-19  </w:t>
        <w:br/>
        <w:t xml:space="preserve">13 Ibidem, pp. 20-22  </w:t>
        <w:br/>
        <w:t xml:space="preserve">14 Ibidem, p.19. Only 5 member countries of the European Union (Bulgaria, Estonia, Finland, Spain, Hungary) according to the professional among the other 27 EU member countries, excluding Italy, have introduced the obligation of “justified reasons” in primary legislation, particularly in the legislation implementing community directives.  </w:t>
        <w:br/>
        <w:t xml:space="preserve">15 Ibidem, pp. 8-9  </w:t>
        <w:br/>
        <w:t>16 Ibidem, pp. 9-11</w:t>
      </w:r>
    </w:p>
    <w:p>
      <w:r>
        <w:t>BULLETIN NO. 19 OF MAY 22, 2017 211</w:t>
      </w:r>
    </w:p>
    <w:p>
      <w:r>
        <w:t>Fixed Offer</w:t>
      </w:r>
    </w:p>
    <w:p>
      <w:r>
        <w:t>“Article 15 – Modifications to the Contract</w:t>
      </w:r>
    </w:p>
    <w:p>
      <w:r>
        <w:t>15.1 Fastweb may vary the Contract, as well as update the fees for the Services, for the following justified reasons: in the event of development or change of the network and/or the characteristics of the services, variation of the technical and commercial costs incurred for the provision of the Service and/or change of the competitive context that impacts the commercial offer, as well as for unforeseen technical or managerial needs, the details of which will be communicated at the time of any modification. Fastweb may also modify the Contract and update the fees for changes in laws and/or regulations.</w:t>
      </w:r>
    </w:p>
    <w:p>
      <w:r>
        <w:t>Any modification will be communicated, with an indication of the reasons underlying the contractual variation, according to the terms and methods established by Agcom Resolution 519/15/CONS and the remaining applicable regulations in the matter, namely through a communication in the invoice, the publication of a specific notice at sales points and on its website.</w:t>
      </w:r>
    </w:p>
    <w:p>
      <w:r>
        <w:t>15.2 The modifications referred to in the previous point not imposed by law or regulations that result in an improvement and/or deterioration of the contractual position of the Customer will only be effective after the expiration of 30 (thirty) days from the date of their communication to the Customer. Within the same period, the Customer may withdraw from the Contract and/or from the Services subject to the modification without incurring penalties and/or deactivation costs.</w:t>
      </w:r>
    </w:p>
    <w:p>
      <w:r>
        <w:t>15.3 Fastweb may modify for technical reasons the telephone number assigned to the Customer, giving at least 60 (sixty) days' notice. In this case, Fastweb will adopt, at the Customer's request and where technically possible, a free automatic information service for the caller and for the Customer regarding the change of the telephone number. This service will be provided for a period of 60 (sixty) days from the change of the number.</w:t>
      </w:r>
    </w:p>
    <w:p>
      <w:r>
        <w:t>15.4 The Customer may request Fastweb to change the telephone number assigned to them; such request will be fulfilled by Fastweb as far as technically feasible, with a charge as may be provided for in the applicable economic conditions.”</w:t>
      </w:r>
    </w:p>
    <w:p>
      <w:r>
        <w:t>Mobile Offer</w:t>
      </w:r>
    </w:p>
    <w:p>
      <w:r>
        <w:t>“Article 14 – Modifications to the Contract</w:t>
      </w:r>
    </w:p>
    <w:p>
      <w:r>
        <w:t>14.1 Fastweb may vary the Contract, as well as update the fees for the Services, for unforeseen technical, economic, and managerial needs for the following justified reasons: in the event of development or change of the network and/or the characteristics of the services, variation of the technical and commercial costs incurred for the provision of the Service and/or change of the competitive context that impacts the commercial offer, as well as for unforeseen technical or managerial needs, the details of which will be communicated at the time of any modification. Fastweb may also modify the Contract and update the fees for changes in laws and/or regulations.</w:t>
      </w:r>
    </w:p>
    <w:p>
      <w:r>
        <w:t>Any modification will be communicated, with an indication of the reasons underlying the contractual variation, according to the terms and methods established by Agcom Resolution 519/15/CONS and the remaining applicable regulations in the matter, namely through a communication in the invoice, the publication of a specific notice at sales points and on its website, as well as through the sending of an informative SMS.</w:t>
      </w:r>
    </w:p>
    <w:p>
      <w:r>
        <w:t>14.2 The modifications referred to in the previous point not imposed by law or regulations that result in an improvement and/or deterioration of the contractual position of the Customer will only be effective after the expiration of 30 (thirty) days from the date of their communication to the Customer. Within the same period, the Customer may withdraw from the Contract and/or from the Services subject to the modification without incurring penalties and/or deactivation costs.”</w:t>
      </w:r>
    </w:p>
    <w:p>
      <w:r>
        <w:t>23. The new formulation of the clauses is operational for new contracts from March 6, 2017, while it has been communicated to all current customers starting from March 1, 2017, as a new contractual condition applicable to ongoing contracts.</w:t>
      </w:r>
    </w:p>
    <w:p>
      <w:r>
        <w:t>V. CONCLUDING EVALUATIONS</w:t>
      </w:r>
    </w:p>
    <w:p>
      <w:r>
        <w:t>1) Preliminary evaluations</w:t>
      </w:r>
    </w:p>
    <w:p>
      <w:r>
        <w:t>a) On the violation of legitimate expectations</w:t>
      </w:r>
    </w:p>
    <w:p>
      <w:r>
        <w:t>24. As a preliminary matter, the criticism raised by Fastweb regarding the alleged violation by the Authority of the principle of legitimate expectations must be addressed. In this regard, it is noted that the competence regarding unfair clauses was attributed to the Authority only in 2012. Furthermore, the precedents cited by the Professional concerned different cases of unfair commercial practices. In no case has the clause on contractual modifications been the subject of verification and therefore, no reliance can have been generated among telecommunications operators, considering that no presumption of legitimacy of the clause in question can derive from the silence of the Authority regarding its possible unfairness in the cited precedents.</w:t>
      </w:r>
    </w:p>
    <w:p>
      <w:r>
        <w:t>b) On the applicability of Article 33, paragraph 2, letter m), of the Consumer Code to the Communications sector</w:t>
      </w:r>
    </w:p>
    <w:p>
      <w:r>
        <w:t>25. As a preliminary matter, it should be clarified that, contrary to what the Professional claims, there is no conflict between the provisions of Article 70, paragraph 4, CCE and those of Article 33, paragraph 2, letter m) CdC, as these two articles regulate two different aspects that govern the correct exercise of ius variandi by the Professional and that are equally relevant for the consumer: the legitimacy of the exercise of ius variandi by the Professional through the inclusion of justified reasons in the contract (Article 33, paragraph 2, letter m) CdC) and adequate protection through the recognition of the right of withdrawal from the contract without penalties (Article 70, paragraph 4, CCE).</w:t>
      </w:r>
    </w:p>
    <w:p>
      <w:r>
        <w:t>26. The complementarity of the two norms is confirmed by the safeguard clause (paragraph 4) included in Article 1 “Subject and scope of application” of Directive 2002/22/EC (community regulation from which Article 70, paragraph 4, CCE derives), as amended by Directive 2009/136/EC, through which it is specified that “The provisions of this directive relating to the rights of end users apply without prejudice to community rules on consumer protection, in particular Directives 93/13/EEC [directive on unfair terms in contracts] and 97/7/EC, and national rules in accordance with community law.” In this way, the application of unfair clauses has been confirmed and extended to all aspects of the telecommunications sector concerning relationships with customers addressed in Directive 2002/22/EC17 and, therefore, also to the case of ius variandi. From the above, it follows that at the European level, the regulations concerning unfair clauses are applicable to contracts in the telecommunications sector regarding unilateral contractual modifications.</w:t>
      </w:r>
    </w:p>
    <w:p>
      <w:r>
        <w:t>27. Regarding the specific application of Article 33, paragraph 2, letter m) CdC also to clauses such as those under examination, and its applicability to economic variations, express reference is made to the interpretation of letter j) point 1 of the annex of the Directive.</w:t>
      </w:r>
    </w:p>
    <w:p>
      <w:r>
        <w:t>17 In the 2002 text, the safeguard clause was indeed limited to the part on contracts with users (Article 20).</w:t>
      </w:r>
    </w:p>
    <w:p>
      <w:r>
        <w:rPr>
          <w:b/>
        </w:rPr>
        <w:t>[Pages 211–213]</w:t>
      </w:r>
    </w:p>
    <w:p>
      <w:r>
        <w:t>BULLETIN NO. 19 OF MAY 22, 2017</w:t>
      </w:r>
    </w:p>
    <w:p>
      <w:r>
        <w:t>93/13/EEC, referred to by Article 3, paragraph 318. This interpretation was provided by the first chamber of the Court of Justice of the European Union, in the judgment of March 21, 2013 (case C-92/11).</w:t>
      </w:r>
    </w:p>
    <w:p>
      <w:r>
        <w:t>28. With the aforementioned judgment, the Court of Justice provided an interpretative clarification, starting from a specific case related to the gas supply sector, regarding the scope of the European rules that have general applicability. The relevance to the case at hand of the regulations on unfair terms is therefore indisputable.</w:t>
      </w:r>
    </w:p>
    <w:p>
      <w:r>
        <w:t>29. In particular, in point 49 of the judgment, it is indicated that "As regards the assessment of a clause allowing the professional to unilaterally modify the costs of the service to be provided, the Court has already stated that from Articles 3 and 5 as well as from points 1, letters j) and l), and 2, letters b) and d), of the annex to Directive 93/13, it follows that, for this purpose, the essential issue is, on the one hand, whether the contract transparently exposes the reason and the methods of variation of the expenses related to the service to be provided, so that the consumer can foresee, based on clear and understandable criteria, any changes to such expenses, and, on the other hand, whether consumers have the right to terminate the contractual relationship in the event that such expenses are actually modified (see, in this sense, Invitel judgment, cited, points 24, 26, and 28)."</w:t>
      </w:r>
    </w:p>
    <w:p>
      <w:r>
        <w:t>30. Point 49 of the judgment thus clarifies unequivocally:</w:t>
        <w:br/>
        <w:t>- the application of letter m) of Article 33, paragraph 2 of the Consumer Code (corresponding to letter j) point 1 of the annex to Directive 93/13/EEC) also to the "costs of the service to be provided," that is, to prices;</w:t>
        <w:br/>
        <w:t>- and in this case, the "essential relevance" of both the presence of justified reasons and the methods of variation in the contract and the recognition to the consumer of the right of withdrawal without penalties.</w:t>
      </w:r>
    </w:p>
    <w:p>
      <w:r>
        <w:t>31. In point 5119 of the same judgment, it is reiterated that the information provided with reasonable notice by the professional to the consumer, from time to time, in the case of ius variandi, and the related right of withdrawal cannot compensate for the absence of information in the contract regarding unilateral contractual modifications. The two protective instruments, in other words, are not alternative but rather complementary.</w:t>
      </w:r>
    </w:p>
    <w:p>
      <w:r>
        <w:t>32. According to the Court (see point 5320), such strict requirements regarding the information that the professional must provide to the consumer both at the conclusion of a contract and during its execution respond to a necessary balancing of interests between the contracting parties.</w:t>
      </w:r>
    </w:p>
    <w:p>
      <w:r>
        <w:t>33. In the judgments of the TAR No. 12421/2016 and No. 947/2017, there is no reference to the interpretation of the norm in question, as provided by the Court of Justice of the European Union, according to which, for the assessment of a clause allowing the Professional to unilaterally modify the costs of the service, both the transparent exposure of the justified reason in the contract and the right of withdrawal from it are essential for the consumer, thus making explicit the complementarity of the two forms of protection for the consumer.</w:t>
      </w:r>
    </w:p>
    <w:p>
      <w:r>
        <w:t>34. Conversely, the TAR Lazio in judgment No. 12421/2016, while recognizing that with the safeguard clause, expressed by Article 1 paragraph 4 of Directive 2002/22/EC, as amended by Directive 2009/136/EC, the validity of the application of Directives 93/13/EEC and 97/7/EC, as well as national rules compliant with Community law, is reaffirmed in the communications sector, has, however, supported the alternative nature of the two forms of protection, specifically referring to point 2.b of the annex21 of Directive 93/13/EEC. This decision, however, does not take into account both what emerged from the judgment of the European Court of Justice and the very nature of Directive 93/13/EEC. In fact, Directive 93/13/EEC is a minimum harmonization directive, as indicated in Recital 17, that is "... for the purposes of this directive, the list of clauses in the annex is merely indicative and, given its minimum nature, Member States may supplement or formulate it more restrictively within their national legislation, particularly regarding the scope of such clauses." Given the nature of a minimum harmonization directive, at the time of transposition, the choice made by the Italian legislator was not to transpose a formulation less favorable to the consumer at the national level. Specifically, point 2.b of the annex of Directive 93/13/EEC concerning unilateral contractual modifications, to which the TAR Lazio and the Professional refer, to support the alternative nature of the two forms of protection provided for the consumer. Also in light of this consideration, it follows that reasonable notice and the right of withdrawal should not be considered alternative to the indication of justified reasons in the contract.</w:t>
      </w:r>
    </w:p>
    <w:p>
      <w:r>
        <w:t>35. In conclusion, Article 33, paragraph 2, letter m), of the Consumer Code is correctly applied to clauses that provide for information with reasonable notice regarding contractual modifications and the right of withdrawal for the consumer, as well as to cases of merely economic variations.</w:t>
      </w:r>
    </w:p>
    <w:p>
      <w:r>
        <w:t>2) Merits Assessments</w:t>
      </w:r>
    </w:p>
    <w:p>
      <w:r>
        <w:t>36. As reiterated by the Court of Justice of the European Union in recent rulings22, the consumer protection system regarding abusive/unfair clauses established by Directive 93/13/EEC – the transposition of which is currently contained in Articles 33 and following of the Consumer Code – is based on the assumption that "the consumer finds himself in a situation of inferiority compared to the professional regarding both bargaining power and the level of information, a situation that leads him to adhere to the pre-established conditions without being able to influence their content."</w:t>
      </w:r>
    </w:p>
    <w:p>
      <w:r>
        <w:t>37. Article 33, paragraph 2 letter m), establishes that "clauses that have as their object, or effect, to [...] m) allow the professional to unilaterally modify the clauses of the contract, or the characteristics of the product or service to be provided, without a justified reason indicated in the contract itself, are presumed to be unfair until proven otherwise."</w:t>
      </w:r>
    </w:p>
    <w:p>
      <w:r>
        <w:t>38. In the various formulations of the clause in question adopted by Fastweb, the times and methods of communication of the unilateral contractual modification are generally indicated, as well as the recognition to the consumer of the right to refuse such possible modification, being able to withdraw by the effective date of the variation without incurring penalties, or to accept it tacitly. However, the conditions that guarantee the legitimacy of the variations of the economic conditions are absent or not clearly defined.</w:t>
      </w:r>
    </w:p>
    <w:p>
      <w:r>
        <w:t>39. In consideration of this, the various formulations of the clause in question are therefore unfair pursuant to Article 33, paragraphs 1 and 2 letter m), of the Consumer Code, as the Professional has failed to indicate:</w:t>
        <w:br/>
        <w:t>- that all possible unilateral variations of the contractual conditions, including economic ones, can only be made in the presence of "a justified reason";</w:t>
        <w:br/>
        <w:t>- any "justified reason" that could lead the professional to unilaterally modify the economic contractual conditions;</w:t>
        <w:br/>
        <w:t>- that, in the event of exercising the right of unilateral modification, the Professional will inform the consumer of the reason justifying the modification, appropriately and in a timely manner regarding the exercise of the right of withdrawal, as established by community jurisprudence.</w:t>
      </w:r>
    </w:p>
    <w:p>
      <w:r>
        <w:t>40. In particular, the various formulations of the clause, reported in point 4 and relating to contracts in use until September 2016, are deemed unfair, as the Professional has failed to indicate:</w:t>
        <w:br/>
        <w:t>a) that any unilateral variations of the contractual conditions, including economic ones, can only be made on the basis of a "justified reason";</w:t>
        <w:br/>
        <w:t>b) any "justified reason" that could lead the Professional to unilaterally modify the economic conditions;</w:t>
        <w:br/>
        <w:t>c) that, in the event of exercising the right of unilateral modification, the Professional will inform the consumer of the reason justifying the modification, appropriately and in a timely manner regarding the exercise of the right of withdrawal.</w:t>
      </w:r>
    </w:p>
    <w:p>
      <w:r>
        <w:t>41. The formulations of the clause reported in point 5 and relating to the new forms in use from September 2016 to March 5, 2017, are deemed unfair, as the Professional has failed to indicate to the consumer:</w:t>
        <w:br/>
        <w:t>a) that any unilateral variations of the contractual conditions, including economic ones, can only be made on the basis of a "justified reason";</w:t>
        <w:br/>
        <w:t>b) that, in the event of exercising the right of unilateral modification, the Professional will inform the consumer of the reason justifying the modification, appropriately and in a timely manner regarding the exercise of the right of withdrawal. It should be noted that there are no objective findings regarding the alleged integration of the communication methods, which would have been carried out by Fastweb even before the start of the proceeding and communicated to the Authority in the memorandum of November 21, 2016. In fact, as of December 27, 2016, the contractual conditions available on the Professional's website did not present the integration announced by Fastweb23, nor was the version in which such modification would have been included produced through the response to the request for information contained in the initiation of the proceeding24.</w:t>
      </w:r>
    </w:p>
    <w:p>
      <w:r>
        <w:t>42. In the clauses in question, therefore, a violation of Article 33, paragraph 2 letter m) consists not only in the absence of a reference to the justified reason in the contract but also in the failure to</w:t>
      </w:r>
    </w:p>
    <w:p>
      <w:r>
        <w:rPr>
          <w:b/>
        </w:rPr>
        <w:t>[Pages 214–216]</w:t>
      </w:r>
    </w:p>
    <w:p>
      <w:r>
        <w:t>216 BULLETIN NO. 19 OF MAY 22, 2017</w:t>
      </w:r>
    </w:p>
    <w:p>
      <w:r>
        <w:t>indication, in it, of the possible reasons on the basis of which the Professional may exercise it. Irrelevant, in this regard, is the justification put forward by the Professional, consisting of the difficulty of detailing precisely in the contract the justified reasons. As already noted, in fact, no derogation is provided for the applicability of Article 33, paragraph 2, letter m) of the Consumer Code to the communications sector. Therefore, neither the absence, in the clause of the ius variandi, of the justified reasons for unilateral contractual changes nor their failure to be defined in any case in the clearest possible manner can be justified.</w:t>
      </w:r>
    </w:p>
    <w:p>
      <w:r>
        <w:t>43. Furthermore, according to what is also provided by the AGCOM Regulation containing provisions for the protection of users regarding contracts related to the provision of electronic communications services (AGCOM resolution 519/15/CONS) in Annex 1, as also specified in the judgment of the Lazio TAR, section III, No. 12421 of December 16, 2016, related to it, such "justified reasons" must be communicated to the consumer by operators intending to modify the economic or contractual conditions with adequate notice of no less than thirty days, along with the content of the changes, the date of their entry into force, and complete information on the right to withdraw from the contract without penalties. The rationale of the provision set forth in Article 33, paragraphs 1 and 2, letter m), detailed by the AGCOM Regulation, regarding the informational aspects of unilateral contractual changes, is, in fact, to allow the consumer, by becoming aware of all the elements of such changes, including the justified reason, to appropriately evaluate the operation carried out by the professional and consequently decide, in a fully informed manner, whether to accept or reject it, withdrawing from the contract.</w:t>
      </w:r>
    </w:p>
    <w:p>
      <w:r>
        <w:t>44. The actual knowledge of such reasons, reported from time to time in the communication to the consumer, as also argued in the aforementioned judgment of the Lazio TAR, constitutes an essential prerequisite for the exercise of the ius variandi in compliance with the rights of the consumer, that is, to allow him, by becoming aware, in a timely manner, of the contractual change and the underlying reasons, to adequately evaluate the maneuver in itself and in relation to his specific interests, as well as possibly to resort to the protection tool of withdrawal without penalties.</w:t>
      </w:r>
    </w:p>
    <w:p>
      <w:r>
        <w:t>45. Therefore, the aspects related to communication cannot be left to the discretion and good faith of the Professional during execution, but must rather be defined already in the contract, as a guarantee for the consumer, who, knowing in advance the form and methods, will be placed in a position to identify the communication from the Professional regarding any contractual variation. Thus, the indication of both the reason that validly justifies the change and the form and methods by which the consumer must be informed from time to time by the Professional constitute essential conditions for a correct and balanced application of the ius variandi.</w:t>
      </w:r>
    </w:p>
    <w:p>
      <w:r>
        <w:t>46. In fact, to ensure that an imbalance does not occur to the detriment of the consumer between rights and obligations arising from the contract pursuant to Article 33, paragraph 1 of the Consumer Code, the Professional must indicate, for the protection of the consumer, the form and methods by which he will communicate the unilateral contractual change, as a mere regulatory reference (AGCOM resolution 519/15/CONS) is not sufficient.</w:t>
      </w:r>
    </w:p>
    <w:p>
      <w:r>
        <w:t>47. Finally, regarding the alleged homogeneous application of the regulations on unfair clauses and those on ius variandi in the communications sector at the community level, which would not provide for the obligation to indicate the "justified reasons" (only 5 out of the other 27 EU member countries), reference must be made to what is provided in Directive 93/13/EEC.</w:t>
      </w:r>
    </w:p>
    <w:p>
      <w:r>
        <w:t>48. Directive 93/13/EEC on unfair clauses, as a minimum harmonization directive, as already extensively argued previously, has not been uniformly implemented by the various member countries of the European Union, as it had to be integrated with the pre-existing national civil law. In fact, the annex of the Directive, which contains a blacklist of unfair clauses identified by the Commission, has not been adopted or fully implemented by all European countries. A comparison in this sense is therefore impractical and meaningless, as it was the same community legislator who provided for a diversified application among the various European countries to allow them a coherent integration with their civil law. Italy is among the countries that have fully adopted the text of the blacklist, but as a grey list, meaning that the clauses are deemed unfair until proven otherwise, thus also introducing the provision that provides for the "justified reason" in cases of unilateral contractual changes, but not the exception of point 2.b of the annex of the aforementioned Directive 93/13/EEC.</w:t>
      </w:r>
    </w:p>
    <w:p>
      <w:r>
        <w:t>49. In conclusion, based on the considerations set forth above, the clauses in question, detailed in point 4, are deemed unfair as they lack:</w:t>
        <w:br/>
        <w:t>- the indication that unilateral changes to the contractual conditions, including economic ones, can only be made in the presence of a "justified reason";</w:t>
        <w:br/>
        <w:t>- the definition of the methods and form by which the modification will be communicated to the consumer from time to time;</w:t>
        <w:br/>
        <w:t>- all the justified reasons that could legitimize the contractual changes to the economic conditions by the Professional.</w:t>
      </w:r>
    </w:p>
    <w:p>
      <w:r>
        <w:t>50. The clauses, detailed in point 5, are also deemed unfair, as they lack:</w:t>
        <w:br/>
        <w:t>- the indication that unilateral changes to the contractual conditions, including economic ones, can only be made in the presence of a "justified reason";</w:t>
        <w:br/>
        <w:t>- the definition of the methods and form by which the modification will be communicated to the consumer from time to time.</w:t>
      </w:r>
    </w:p>
    <w:p>
      <w:r>
        <w:t>51. Regarding the latest version of Fastweb's contractual conditions, which came into effect on March 6, 2017, it is noted that the clauses related to the ius variandi, as modified, are not deemed unfair as the Professional has specified that unilateral changes to the contractual conditions, including economic ones, can only be made in the presence of a "justified reason" and has explicitly indicated the methods and forms through which the modification will be communicated to the consumer from time to time.</w:t>
      </w:r>
    </w:p>
    <w:p>
      <w:r>
        <w:t>CONSIDERING that for the clauses subject to the initiation of the procedure there is a legal presumption of unfairness pursuant to Article 33, paragraph 2, of the Consumer Code and that the Party has not provided fully sufficient elements to overcome this presumption;</w:t>
      </w:r>
    </w:p>
    <w:p>
      <w:r>
        <w:t>CONSIDERING in particular, based on the aforementioned considerations, that the clauses described in point III.4 of this provision, in use until September 2016, are unfair pursuant to Article 33, paragraphs 1 and 2, letter m) of the Consumer Code;</w:t>
      </w:r>
    </w:p>
    <w:p>
      <w:r>
        <w:t>CONSIDERING that the clauses applied from September 2016 and in force until March 5, 2017, described in point III.5 are also deemed unfair pursuant to Article 33, paragraphs 1 and 2, letter m) of the Consumer Code;</w:t>
      </w:r>
    </w:p>
    <w:p>
      <w:r>
        <w:t>CONSIDERING that the new clauses, according to the version produced in the records, as well as already used since March 6, 2017, are not deemed unfair pursuant to Article 33, paragraphs 1 and 2, letter m), of the Consumer Code;</w:t>
      </w:r>
    </w:p>
    <w:p>
      <w:r>
        <w:t>CONSIDERING that the publication of an excerpt of this provision is due to fully inform consumers of the unfairness of the clauses subject to this evaluation on the website of the Authority and Fastweb pursuant to Article 37 bis, paragraph 2, of the Consumer Code and Article 23, paragraph 8, of the Regulation; that it seems appropriate that the aforementioned publication on Fastweb's website lasts for twenty consecutive days.</w:t>
      </w:r>
    </w:p>
    <w:p>
      <w:r>
        <w:t>RESOLVES</w:t>
        <w:br/>
        <w:t>a) that the clauses referred to in point III.4 of this provision constitute a case of unfair clause pursuant to Article 33, paragraphs 1 and 2, letter m) of the Consumer Code, for the reasons and within the limits set forth in the motivation;</w:t>
        <w:br/>
        <w:t>b) that the clauses referred to in point III.5 of this provision are deemed unfair pursuant to Article 33, paragraphs 1 and 2, letter m) of the Consumer Code, for the reasons and within the limits set forth in the motivation;</w:t>
        <w:br/>
        <w:t>c) that the new formulation of the clauses referred to in Article 15 (Changes to the contract) of the general conditions for fixed telephony contracts and in Article 14 (Changes to the contract) of the general conditions for mobile telephony contracts of Fastweb S.p.A., in the version produced in the records and entered into force on March 6, 2017, is not deemed unfair pursuant to Article 33, paragraphs 1 and 2, letter m), for the reasons and within the limits set forth in the motivation.</w:t>
      </w:r>
    </w:p>
    <w:p>
      <w:r>
        <w:t>ORDERS</w:t>
        <w:br/>
        <w:t>a) that Fastweb publish, at its own expense, an excerpt of the provision pursuant to Article 37 bis of the Consumer Code and Article 23, paragraph 8, of the Regulation, according to the following methods:</w:t>
        <w:br/>
        <w:t>1) the text of the excerpt of the provision is that reported in the annex to this provision;</w:t>
        <w:br/>
        <w:t>2) the text of the excerpt of the provision must be published for 20 consecutive days on the homepage of the website https://www.fastweb.it/, with adequate graphic prominence and in a position on the webpage that does not require the consumer to scroll, within twenty days from the communication of the adoption of this provision;</w:t>
        <w:br/>
        <w:t>b) that the publication of the text of the excerpt of the provision must be preceded by communication to the Authority of the date on which it will take place and must be followed, within three days, by sending to the Authority a copy of the aforementioned excerpt as published on the homepage of the website https://www.fastweb.it/;</w:t>
        <w:br/>
        <w:t>c) that the publication must fully reflect the setting, structure, and appearance of the excerpt attached to this provision; the writing and dissemination methods must not be such as to nullify the effects of the publication; in particular, on the webpage of the publication of the excerpt, as well as on the remaining pages, there must not be messages that conflict with the content of the excerpt or that tend to diminish its impact and meaning.</w:t>
      </w:r>
    </w:p>
    <w:p>
      <w:r>
        <w:rPr>
          <w:b/>
        </w:rPr>
        <w:t>[Pages 217–219]</w:t>
      </w:r>
    </w:p>
    <w:p>
      <w:r>
        <w:t>BULLETIN NO. 19 OF MAY 22, 2017 219</w:t>
      </w:r>
    </w:p>
    <w:p>
      <w:r>
        <w:t>Pursuant to Article 37 bis, paragraph 2, of the Consumer Code, in the event of non-compliance, the Authority applies an administrative pecuniary sanction from €5,000 to €50,000.</w:t>
      </w:r>
    </w:p>
    <w:p>
      <w:r>
        <w:t>Against this provision, an appeal may be filed with the TAR of Lazio, pursuant to Article 37 bis, paragraph 4, and Article 135, paragraph 1, letter b), of the Administrative Procedure Code (Legislative Decree No. 104 of July 2, 2010), within sixty days from the date of communication of the same, without prejudice to the longer terms provided for in Article 41, paragraph 5, of the Administrative Procedure Code, or an extraordinary appeal may be proposed to the President of the Republic pursuant to Article 8 of the Decree of the President of the Republic No. 1199 of November 24, 1971, within the term of one hundred and twenty days from the date of communication of the opinion itself.</w:t>
      </w:r>
    </w:p>
    <w:p>
      <w:r>
        <w:t>This provision will be communicated to the interested parties and published in the Bulletin of the Authority for the Guarantee of Competition and the Market.</w:t>
      </w:r>
    </w:p>
    <w:p>
      <w:r>
        <w:t>The extract of the provision will also be published, within twenty days from the communication of its adoption, in a specific section of the institutional website of the Authority.</w:t>
      </w:r>
    </w:p>
    <w:p>
      <w:r>
        <w:t xml:space="preserve">THE SECRETARY GENERAL THE PRESIDENT </w:t>
        <w:br/>
        <w:t>Roberto Chieppa Giovanni Pitruzzella</w:t>
      </w:r>
    </w:p>
    <w:p>
      <w:r>
        <w:t>220 BULLETIN NO. 19 OF MAY 22, 2017</w:t>
      </w:r>
    </w:p>
    <w:p>
      <w:r>
        <w:t>CV151 – FASTWEB – MODIFICATIONS TO CONTRACTUAL CLAUSES</w:t>
      </w:r>
    </w:p>
    <w:p>
      <w:r>
        <w:t>Annex to provision No. 26600</w:t>
      </w:r>
    </w:p>
    <w:p>
      <w:r>
        <w:t>Annex to the provision of the Authority for the Guarantee of Competition and the Market of May 4, 2017, regarding administrative protection against unfair clauses pursuant to Article 37 bis of the Consumer Code.</w:t>
      </w:r>
    </w:p>
    <w:p>
      <w:r>
        <w:t>On December 28, 2016, the procedure CV151 – Fastweb – Modifications to contractual clauses was initiated against Fastweb S.p.A. regarding the profiles of unfairness of the contractual clause on the ius variandi.</w:t>
      </w:r>
    </w:p>
    <w:p>
      <w:r>
        <w:t>[OMISSIS]</w:t>
      </w:r>
    </w:p>
    <w:p>
      <w:r>
        <w:t>3. The aforementioned forms, subject to investigation, with the indication of the article that includes the clause in question, are:</w:t>
      </w:r>
    </w:p>
    <w:p>
      <w:r>
        <w:t xml:space="preserve">Regarding the forms in use until September 2016 </w:t>
        <w:br/>
        <w:t xml:space="preserve">i. General terms and conditions of fixed offer contract (Article 15) </w:t>
        <w:br/>
        <w:t>ii. General terms and conditions of mobile contract (Article 14)</w:t>
      </w:r>
    </w:p>
    <w:p>
      <w:r>
        <w:t xml:space="preserve">Regarding the forms used from September 2016 to March 6, 2017 </w:t>
        <w:br/>
        <w:t xml:space="preserve">iii. General terms and conditions of fixed offer contract (Article 15) </w:t>
        <w:br/>
        <w:t>iv. General terms and conditions of mobile contract (Article 14)</w:t>
      </w:r>
    </w:p>
    <w:p>
      <w:r>
        <w:t>[OMISSIS]</w:t>
      </w:r>
    </w:p>
    <w:p>
      <w:r>
        <w:t xml:space="preserve">4. For the contractual forms in use until September 2016, based on the documentation indicated on the professional's website and acquired in the records, the following constitute the subject of this proceeding, limited to the contractual relationships between the company and consumer clients: </w:t>
        <w:br/>
        <w:t xml:space="preserve">a. the clause regarding "Contractual Modifications" reported in Article 15 of the general terms for fixed telephony contracts, the text of which is transcribed below: </w:t>
        <w:br/>
        <w:t xml:space="preserve">15.1 FASTWEB may vary the Contract for unforeseen technical, economic, and managerial needs, as well as update the fees for the Services. FASTWEB may also modify the Contract for changes in laws and/or regulations. </w:t>
        <w:br/>
        <w:t xml:space="preserve">15.2 The modifications referred to in the previous point not imposed by law or regulations that result in an improvement and/or deterioration of the contractual position of the Customer will only be effective after the expiration of 30 (thirty) days from the date of their communication to the Customer. Within the same period, the Customer may withdraw from the Contract and/or from the Services subject to the modification without incurring penalties and/or deactivation costs. </w:t>
        <w:br/>
        <w:t xml:space="preserve">15.3 FASTWEB may modify for technical reasons the telephone number assigned to the Customer, giving at least 60 (sixty) days' notice. In this case, FASTWEB will adopt, at the Customer's request and where technically possible, an automatic information service, free for the caller and for the Customer, regarding the change of the telephone number. This service will be provided for a period of 60 (sixty) days from the change of the number. </w:t>
        <w:br/>
        <w:t>15.4 The Customer may request FASTWEB to change the telephone number assigned to them; such request will be fulfilled by FASTWEB as far as technically feasible, with the charge of any fees provided for by the applicable economic conditions.</w:t>
      </w:r>
    </w:p>
    <w:p>
      <w:r>
        <w:t xml:space="preserve">b. the clause regarding "Contract Modifications" reported in Article 14 of the general terms for mobile telephony contracts, the text of which is transcribed below: </w:t>
        <w:br/>
        <w:t xml:space="preserve">14.1 FASTWEB may vary the Contract for unforeseen technical, economic, and managerial needs, as well as update the fees for the Services. FASTWEB may also modify the Contract for changes in laws and/or regulations. </w:t>
        <w:br/>
        <w:t>14.2 The modifications referred to in the previous point not imposed by law or regulations that result in an improvement and/or deterioration of the contractual position of the Customer will only be effective after the expiration of 30 (thirty) days from the date of their communication to the Customer. Within the same period, the Customer may withdraw from the Contract and/or from the Services subject to the modification without incurring any costs.</w:t>
      </w:r>
    </w:p>
    <w:p>
      <w:r>
        <w:t xml:space="preserve">5. For the new contractual forms in use from September 2016 until March 5, 2017, based on the documentation indicated on the professional's website and acquired in the records, the following constitute the subject of this proceeding, limited to the contractual relationships between the company and consumer clients: </w:t>
        <w:br/>
        <w:t xml:space="preserve">a. the clause regarding "Contractual Modifications" reported in Article 15 of the general terms for fixed telephony contracts, the text of which is transcribed below: </w:t>
        <w:br/>
        <w:t xml:space="preserve">15.1 Fastweb may vary the Contract, as well as update the fees for the Services, for unforeseen technical, economic, and managerial needs. Fastweb may also modify the Contract and update the fees for changes in laws and/or regulations. The possible modification will be communicated, with the indication of the reasons underlying the contractual variation, according to the terms and methods established by Resolution Agcom 519/15/CONS and the remaining applicable regulations in the matter. </w:t>
        <w:br/>
        <w:t xml:space="preserve">15.2 The modifications referred to in the previous point not imposed by law or regulations that result in an improvement and/or deterioration of the contractual position of the Customer will only be effective after the expiration of 30 (thirty) days from the date of their communication to the Customer. Within the same period, the Customer may withdraw from the Contract and/or from the Services subject to the modification without incurring penalties and/or deactivation costs. </w:t>
        <w:br/>
        <w:t xml:space="preserve">15.3 Fastweb may modify for technical reasons the telephone number assigned to the Customer, giving at least 60 (sixty) days' notice. In this case, Fastweb will adopt, at the Customer's request and where technically possible, an automatic information service, free for the caller and for the Customer, regarding the change of the telephone number. This service will be provided for a period of 60 (sixty) days from the change of the number. </w:t>
        <w:br/>
        <w:t>15.4 The Customer may request Fastweb to change the telephone number assigned to them; such request will be fulfilled by Fastweb as far as technically feasible, with the charge of any fees provided for by the applicable economic conditions.</w:t>
      </w:r>
    </w:p>
    <w:p>
      <w:r>
        <w:rPr>
          <w:b/>
        </w:rPr>
        <w:t>[Pages 220–222]</w:t>
      </w:r>
    </w:p>
    <w:p>
      <w:r>
        <w:t>222 BULLETIN NO. 19 OF MAY 22, 2017</w:t>
      </w:r>
    </w:p>
    <w:p>
      <w:r>
        <w:t xml:space="preserve">technical resources available, with the charge of any amounts provided for by the applicable economic conditions.  </w:t>
        <w:br/>
        <w:t xml:space="preserve">b. the clause regarding "Contractual Modifications" set forth in Article 14 of the general conditions for mobile telephony contracts, the text of which is transcribed below:  </w:t>
        <w:br/>
        <w:t xml:space="preserve">14.1 Fastweb may vary the Contract, as well as update the fees for the Services, due to unforeseen technical, economic, and managerial needs. Fastweb may also modify the Contract and update the fees due to changes in laws and/or regulations.  </w:t>
        <w:br/>
        <w:t xml:space="preserve">Any modification will be communicated, with an indication of the reasons underlying the contractual variation, according to the terms and methods established by Agcom Resolution 519/15/CONS and the remaining applicable regulations in the matter.  </w:t>
        <w:br/>
        <w:t xml:space="preserve">14.2 The modifications referred to in the previous point that are not imposed by law or regulations that result in an improvement and/or deterioration of the Customer's contractual position will be effective only after the expiration of a period of 30 (thirty) days from the date of their communication to the Customer. Within the same period, the Customer may withdraw from the Contract and/or from the Services subject to the modification without incurring penalties and/or deactivation costs.  </w:t>
        <w:br/>
        <w:t xml:space="preserve">[OMISSIS]  </w:t>
        <w:br/>
        <w:t xml:space="preserve">23. On March 7, 2017, Fastweb produced a new version of the contested clauses,  </w:t>
        <w:br/>
        <w:t xml:space="preserve">[OMISSIS]  </w:t>
        <w:br/>
        <w:t xml:space="preserve">24. The new formulation of the clauses is operational for new contracts from March 6, 2017, while it was communicated to all current customers starting from March 1, 2017, as a new contractual condition applicable to ongoing contracts.  </w:t>
        <w:br/>
        <w:t xml:space="preserve">[OMISSIS]  </w:t>
        <w:br/>
        <w:t xml:space="preserve">41. In particular, the various formulations of the clause, reported in point 4 and related to contracts in use until September 2016, are deemed unfair, as the Professional has failed to indicate:  </w:t>
        <w:br/>
        <w:t xml:space="preserve">a- that any unilateral changes to the contractual conditions, including economic ones, may only be made on the basis of a "justified reason";  </w:t>
        <w:br/>
        <w:t xml:space="preserve">b- any "justified reason" that could lead the Professional to unilaterally modify the economic conditions;  </w:t>
        <w:br/>
        <w:t xml:space="preserve">c- that, in the event of exercising the right to unilaterally modify, the Professional will inform the consumer of the reason justifying the modification, in an appropriate manner and in a timely manner with respect to the exercise of the right of withdrawal.  </w:t>
        <w:br/>
        <w:t>42. The formulations of the clause reported in point 5 and related to the new forms in use from September 2016 to March 5, 2017, are deemed unfair, as the Professional has failed to indicate to the consumer:</w:t>
      </w:r>
    </w:p>
    <w:p>
      <w:r>
        <w:t xml:space="preserve">BULLETIN NO. 19 OF MAY 22, 2017 223  </w:t>
        <w:br/>
        <w:t xml:space="preserve">a- that any unilateral changes to the contractual conditions, including economic ones, may only be made on the basis of a "justified reason";  </w:t>
        <w:br/>
        <w:t xml:space="preserve">b- that, in the event of exercising the right to unilaterally modify, the Professional will inform the consumer of the reason justifying the modification, in an appropriate manner and in a timely manner with respect to the exercise of the right of withdrawal.  </w:t>
        <w:br/>
        <w:t xml:space="preserve">[OMISSIS]  </w:t>
        <w:br/>
        <w:t xml:space="preserve">52. Regarding the latest version of Fastweb's contractual conditions, which came into effect on March 6, 2017, the clauses related to the right to vary, as modified, are not deemed unfair as the Professional has specified that unilateral changes to the contractual conditions, including economic ones, may only be made in the presence of a "justified reason" and has explicitly indicated the methods and forms through which, from time to time, the modification will be communicated to the consumer.  </w:t>
        <w:br/>
        <w:t xml:space="preserve">[OMISSIS]  </w:t>
        <w:br/>
        <w:t xml:space="preserve">CONSIDERED in particular, based on the above considerations, that the clauses described in point III.4 of this provision in use until September 2016 are unfair pursuant to Article 33, paragraphs 1 and 2 letter m) of the Consumer Code;  </w:t>
        <w:br/>
        <w:t xml:space="preserve">CONSIDERED that the clauses applied from September 2016 and in force until March 5, 2017, described in point III.5 are also deemed unfair pursuant to Article 33, paragraphs 1 and 2 letter m) of the Consumer Code;  </w:t>
        <w:br/>
        <w:t xml:space="preserve">CONSIDERED that the new clauses, according to the version produced in the records, as well as already used since March 6, 2017, are not deemed unfair pursuant to Article 33, paragraphs 1 and 2, letter m) of the Consumer Code;  </w:t>
        <w:br/>
        <w:t xml:space="preserve">[OMISSIS]  </w:t>
        <w:br/>
        <w:t xml:space="preserve">RESOLVES  </w:t>
        <w:br/>
        <w:t xml:space="preserve">a) that the clauses referred to in point III.4 of this provision constitute a case of unfair clause pursuant to Article 33, paragraphs 1 and 2, letter m) of the Consumer Code for the reasons and within the limits stated in the motivation;  </w:t>
        <w:br/>
        <w:t xml:space="preserve">b) that the new formulations of the clauses referred to in point III.5 of this provision are deemed unfair pursuant to Article 33, paragraphs 1 and 2 letter m) of the Consumer Code for the reasons and within the limits stated in the motivation.  </w:t>
        <w:br/>
        <w:t>c) that the new formulation of the clauses referred to in Article 15 (Modifications to the contract) of the general conditions for fixed telephony contracts and Article 14 (Modifications to the contract) of the general conditions for mobile telephony contracts of Fastweb S.p.A., in the version produced in the records and effective from March 6, 2017, is not deemed unfair pursuant to Article 33, paragraphs 1 and 2, letter m), for the reasons and within the limits stated in the motivation.</w:t>
      </w:r>
    </w:p>
    <w:p>
      <w:r>
        <w:t xml:space="preserve">224 BULLETIN NO. 19 OF MAY 22, 2017  </w:t>
        <w:br/>
        <w:t>[OMISSIS]</w:t>
      </w:r>
    </w:p>
    <w:p>
      <w:r>
        <w:rPr>
          <w:b/>
        </w:rPr>
        <w:t>[Pages 223–223]</w:t>
      </w:r>
    </w:p>
    <w:p>
      <w:r>
        <w:t>Antitrust Authority Weekly Bulletin</w:t>
        <w:br/>
        <w:t>of Competition and Market Year XXVII - No. 19 - 2017</w:t>
        <w:br/>
        <w:t>Editorial Coordination Giulia Antenucci</w:t>
        <w:br/>
        <w:t>Editorial Staff Sandro Cini, Valerio Ruocco, Simonetta Schettini,</w:t>
        <w:br/>
        <w:t>Manuela Villani</w:t>
        <w:br/>
        <w:t>Antitrust Authority</w:t>
        <w:br/>
        <w:t>Office of Statistics and IT Applications</w:t>
        <w:br/>
        <w:t>Piazza Giuseppe Verdi, 6/a - 00198 Rome</w:t>
        <w:br/>
        <w:t>Tel.: 06-858211 Fax: 06-85821256</w:t>
        <w:br/>
        <w:t>Web: http://www.agcm.it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