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https://www.agcm.it/dotcmsdoc/bollettini/2019/19-19.pdf</w:t>
      </w:r>
    </w:p>
    <w:p>
      <w:r>
        <w:t>Pages translated : 215</w:t>
      </w:r>
    </w:p>
    <w:p/>
    <w:p>
      <w:r>
        <w:rPr>
          <w:b/>
        </w:rPr>
        <w:t>[Pages 1–3]</w:t>
      </w:r>
    </w:p>
    <w:p>
      <w:r>
        <w:t>Bulletin</w:t>
        <w:br/>
        <w:t>Weekly</w:t>
        <w:br/>
        <w:t>Year XXIX - No. 19</w:t>
        <w:br/>
        <w:t>Published on the website www.agcm.it</w:t>
        <w:br/>
        <w:t>May 13, 2019</w:t>
      </w:r>
    </w:p>
    <w:p>
      <w:r>
        <w:t>SUMMARY</w:t>
        <w:br/>
        <w:t>AGREEMENTS AND ABUSE OF DOMINANT POSITION 5</w:t>
        <w:br/>
        <w:t>I808 - CONSIP FM4 TENDER - AGREEMENTS AMONG THE MAIN OPERATORS OF FACILITY MANAGEMENT</w:t>
        <w:br/>
        <w:t>Decision No. 27646 5</w:t>
        <w:br/>
        <w:t>I792C - OXYGEN THERAPY AND VENTILATION TENDER - NON-COMPLIANCE</w:t>
        <w:br/>
        <w:t>Decision No. 27653 167</w:t>
        <w:br/>
        <w:t>I821 - VARIOUS AWARDS FOR PRIVATE SECURITY SERVICES</w:t>
        <w:br/>
        <w:t>Decision No. 27657 175</w:t>
        <w:br/>
        <w:t>A531 - RECYCLING OF PRIMARY PACKAGING/ABUSIVE CONDUCT COREPLA</w:t>
        <w:br/>
        <w:t>Decision No. 27662 177</w:t>
        <w:br/>
        <w:t>ACTIVITIES OF REPORTING AND CONSULTATION 195</w:t>
        <w:br/>
        <w:t>AS1582 - SICILY REGION - DETERMINATION OF SPENDING AGGREGATES FOR PRIVATE SPECIALIST ASSISTANCE - BIENNIUM 2018-2019 195</w:t>
        <w:br/>
        <w:t>UNFAIR COMMERCIAL PRACTICES 200</w:t>
        <w:br/>
        <w:t>PS11264 - MEVOSTORE CLICCATISSIMO - ONLINE SALES</w:t>
        <w:br/>
        <w:t>Notice of adoption of closure of the procedure 200</w:t>
        <w:br/>
        <w:t>PS11264 - MEVOSTORE CLICCATISSIMO - ONLINE SALES</w:t>
        <w:br/>
        <w:t>Decision No. 27650 201</w:t>
        <w:br/>
        <w:t>PS11279 - MY CAR NO COST</w:t>
        <w:br/>
        <w:t>Notice of initiation of investigative procedure 215</w:t>
      </w:r>
    </w:p>
    <w:p>
      <w:r>
        <w:t>BULLETIN NO. 19 OF MAY 13, 2019 5</w:t>
        <w:br/>
        <w:t>AGREEMENTS AND ABUSE OF DOMINANT POSITION</w:t>
        <w:br/>
        <w:t>I808 - CONSIP FM4 TENDER - AGREEMENTS AMONG THE MAIN OPERATORS OF FACILITY MANAGEMENT</w:t>
        <w:br/>
        <w:t>Decision No. 27646</w:t>
        <w:br/>
        <w:t>THE ANTITRUST AUTHORITY</w:t>
        <w:br/>
        <w:t>IN ITS MEETING of April 17, 2019;</w:t>
        <w:br/>
        <w:t>HEARD the Rapporteur Professor Michele Ainis;</w:t>
        <w:br/>
        <w:t>HAVING REGARD to Article 101 of the Treaty on the Functioning of the European Union (TFEU);</w:t>
        <w:br/>
        <w:t>HAVING REGARD to Council Regulation (EC) No. 1/2003 of December 16, 2002, concerning the application of the competition rules laid down in Articles 101 and 102 TFEU;</w:t>
        <w:br/>
        <w:t>HAVING REGARD to Law No. 287 of October 10, 1990;</w:t>
        <w:br/>
        <w:t>HAVING REGARD to Presidential Decree No. 217 of April 30, 1998;</w:t>
        <w:br/>
        <w:t>HAVING REGARD to its resolution adopted on March 21, 2017, with which an investigation was initiated, pursuant to Article 14 of Law No. 287/90, against the companies CNS - National Services Consortium Cooperative, Dussmann Service S.r.l., Engie Servizi S.p.A. (formerly Cofely Italia S.p.A.), Manitalidea S.p.A., Rekeep S.p.A. (formerly Manutencoop Facility Management S.p.A.), Romeo Gestioni S.p.A. and STI S.p.A., to ascertain the existence of a restrictive agreement of competition in violation of Article 101 TFEU, aimed at the anti-competitive conditioning of the public procedure announced by Consip on March 19, 2014 “for the awarding of integrated, managerial and operational services, to be carried out in properties, primarily used for office purposes, in use for any title by Public Administrations, as well as in properties in use for any title by Public Universities and Research Entities and Institutes - ID1299” (FM4 tender);</w:t>
        <w:br/>
        <w:t>HAVING REGARD to its resolution adopted on November 22, 2017, with which the investigation was objectively extended to conduct aimed at conditioning the outcome or execution of public procedures beyond the FM4 tender, including the contract announced by Consip on May 18, 2012 “for the awarding of the integrated energy service for public administrations (edition 3)” (SIE3 tender) and the contract announced by Consip on August 1, 2014 “for the awarding of an integrated technological multiservice with energy supply for buildings, in use for any title, by public health administrations (edition 2)” (MIES2 tender);</w:t>
        <w:br/>
        <w:t>HAVING REGARD to the same resolution of November 22, 2017, with which the investigation was subjectively extended to the companies Exitone S.p.A., Manital Società Consortile per i Servizi Integrati per Azioni Consorzio Stabile - Manital S.c.p.A., Gestione Integrata S.r.l., Siram S.p.A., Kuadra S.r.l. in liquidation, Esperia S.p.A., Dussmann Service Holding GMBH, Engie Energy Services International SA, Veolia Energie International SA, Romeo Partecipazioni S.p.A. and Finanziaria Bigotti S.p.A.;</w:t>
      </w:r>
    </w:p>
    <w:p>
      <w:r>
        <w:rPr>
          <w:b/>
        </w:rPr>
        <w:t>[Pages 4–6]</w:t>
      </w:r>
    </w:p>
    <w:p>
      <w:r>
        <w:t>6 BULLETIN NO. 19 OF MAY 13, 2019</w:t>
      </w:r>
    </w:p>
    <w:p>
      <w:r>
        <w:t>HAVING REGARD to its resolution adopted on April 18, 2018, with which the investigation was further extended subjectively to the company Consorzio Stabile Energie Locali S.c. a r.l.;</w:t>
      </w:r>
    </w:p>
    <w:p>
      <w:r>
        <w:t>HAVING REGARD to its resolution adopted on September 20, 2018, with which the deadline for the conclusion of the Procedure was extended to February 15, 2019;</w:t>
      </w:r>
    </w:p>
    <w:p>
      <w:r>
        <w:t>HAVING REGARD to the Communication of Investigative Results (CRI), sent to the Parties on December 12, 2018;</w:t>
      </w:r>
    </w:p>
    <w:p>
      <w:r>
        <w:t>HAVING REGARD to its resolution adopted on December 19, 2018, with which the deadline for the conclusion of the Procedure was extended to March 31, 2019;</w:t>
      </w:r>
    </w:p>
    <w:p>
      <w:r>
        <w:t>HAVING REGARD to its resolution adopted on February 6, 2019, with which the deadline for the conclusion of the Procedure was extended to April 20, 2019;</w:t>
      </w:r>
    </w:p>
    <w:p>
      <w:r>
        <w:t>HAVING REGARD to the final submissions of the Parties in the Procedure, received on March 5, 6, 7, and 8, 2019;</w:t>
      </w:r>
    </w:p>
    <w:p>
      <w:r>
        <w:t>HEARD in final hearing, on March 12, 2019, the representatives of the Parties who had requested it;</w:t>
      </w:r>
    </w:p>
    <w:p>
      <w:r>
        <w:t>HAVING REGARD to the documentation on file;</w:t>
      </w:r>
    </w:p>
    <w:p>
      <w:r>
        <w:t>CONSIDERING the following:</w:t>
      </w:r>
    </w:p>
    <w:p>
      <w:r>
        <w:t>I. THE PARTIES</w:t>
      </w:r>
    </w:p>
    <w:p>
      <w:r>
        <w:t>1. The investigative procedure involved the major national operators in the so-called facility management sector and the companies, including foreign entities, that control these operators with total (or nearly total) percentages. In particular, the Parties to the Procedure are the following nineteen companies, described hereafter: CNS - Consorzio Nazionale Servizi Società Cooperativa (hereinafter CNS); Consorzio Stabile Energie Locali S.c. a r.l. (hereinafter CSEL); Dussmann Service S.r.l. (hereinafter Dussmann); Dussmann Service Holding Gmbh (hereinafter Dussmann Holding); Engie Servizi S.p.a. (formerly Cofely Italia S.p.a., hereinafter Cofely); Engie Energy Services International Sa (hereinafter Engie International); Exitone S.p.a. (hereinafter Exitone); Gestione Integrata S.r.l. (hereinafter Gestione Integrata); STI S.p.a. (hereinafter STI, parent company of the homonymous group); Finanziaria Bigotti S.p.a. (hereinafter Finanziaria Bigotti); Kuadra S.r.l. in liquidation (hereinafter Kuadra); Esperia S.p.a. (hereinafter Esperia); Manitalidea S.p.a. (hereinafter Manital); Manital Società Consortile per i Servizi Integrati per Azioni Consorzio Stabile - Manital S.c.p.a. (hereinafter Manital Consorzio); Rekeep S.p.a. (formerly Manutencoop Facility Management S.p.a., hereinafter MFM); Romeo Gestioni S.p.a. (hereinafter Romeo); Romeo Partecipazioni S.p.a. (hereinafter Romeo Partecipazioni); Siram S.p.a. (hereinafter Siram) and Veolia Energie International Sa (hereinafter Veolia International).</w:t>
      </w:r>
    </w:p>
    <w:p>
      <w:r>
        <w:t>2. CNS is a cooperative consortium company with non-profit purposes active in facility management and in various other commodity sectors (specifically waste, catering, cleaning, transport and logistics, energy, museum services, reception and guarding services, health services). The consortium's activity consists of acquiring contracts and work orders, entering into the relevant contracts with clients (public and private) and ensuring the correct execution of contractual performances through the structure, equipment, and personnel of the member companies, to which it entrusts the work; moreover, CNS provides support to the member companies for improving the quality levels of services and corporate organization. To date, CNS has about 190 member companies located throughout the national territory (at the time of the facts subject to investigation, more than 200 companies were members of CNS, also located throughout the national territory). CNS does not hold controlling interests in other companies.</w:t>
      </w:r>
    </w:p>
    <w:p>
      <w:r>
        <w:t>3. CSEL is a consortium, established in 2009, that mainly carries out design, construction, maintenance, and management activities, including integrated management, of technological systems (mainly electrical, lighting, and traffic light systems); the consortium has in its core business some services that fall within facility management such as the maintenance of systems and related construction works.</w:t>
      </w:r>
    </w:p>
    <w:p>
      <w:r>
        <w:t>4. Dussmann is an Italian company, part of the multinational Dussmann group, active in Italy in providing integrated services for properties (cleaning, concierge, switchboard, catering, internal logistics) in various fields (hospital, school, etc.). The share capital of Dussmann is entirely held by Dussmann Holding (see infra); for its part, Dussmann controls the company Dussmann Solution S.r.l. which also operates in the facility management sector (specifically through the lease of a business branch from Dussmann) and two other companies active in other sectors (Steritalia S.p.a. and Securducale Vigilanza S.r.l.).</w:t>
      </w:r>
    </w:p>
    <w:p>
      <w:r>
        <w:t>5. Dussmann Holding is a German company operating in seventeen countries located in Europe, the Middle East, and Asia. In each of these, Dussmann Holding fully controls a local company that operates exclusively in its own country (Dussmann in the case of Italy, see supra) and provides services to public and private clients (Dussmann Holding, in fact, does not directly engage in operational activities and does not directly offer services).</w:t>
      </w:r>
    </w:p>
    <w:p>
      <w:r>
        <w:t>6. Cofely is an Italian company, part of the French multinational group Engie – Gaz de France Suez, active in the energy sector (generation and sale of energy on a large scale in the gas and electricity markets, management and maintenance of renewable energy systems and energy efficiency) and integrated facility management for Public Administration and private enterprises. The share capital of Cofely is entirely held by Engie International (see infra); for its part, Cofely controls the company Engie Program S.r.l. which also operates in the facility management sector (with reference to private clients only).</w:t>
      </w:r>
    </w:p>
    <w:p>
      <w:r>
        <w:t>7. Engie International is a Belgian company whose main corporate purpose consists of the production, transmission, and distribution of energy (particularly electricity and gas) and the acquisition of interests in companies operating in the technical facilities and local services sectors, as well as conducting financial operations aimed at financing the operations of group companies.</w:t>
      </w:r>
    </w:p>
    <w:p>
      <w:r>
        <w:t>8. Exitone is an engineering company that provides multidisciplinary and integrated support services for the management of territory and public and private real estate assets; in particular, Exitone directly provides engineering services for industrial partners and public and private entities that also carry out facility management activities. The share capital of Exitone is entirely held by STI.</w:t>
      </w:r>
    </w:p>
    <w:p>
      <w:r>
        <w:t>9. Gestione Integrata is a company that operates in the field of services for the built environment and territory, directly providing in particular property management services (integrated services for managing the legal, tax, and accounting aspects of real estate portfolios), facility management services (integrated services for properties aimed at improving their usability and increasing their value) and technological multi-service (management of the entire cycle from energy purchase to plant management). The share capital of Gestione Integrata is divided between STI (90.17%) and Siram (the remaining 9.83%).</w:t>
      </w:r>
    </w:p>
    <w:p>
      <w:r>
        <w:t>10. STI is the industrial holding company of the homonymous STI group and is a company that at the time of the facts subject to investigation did not directly provide technical-operational services, in facility management as in other areas. Until 2017, STI held control of both operating companies of the group (Exitone and Gestione Integrata); as of November 17, 2017, G.I. Partecipazioni S.r.l. was established, a company controlled by Finanziaria Bigotti (see infra) which, effective from the following November 27, holds STI's stake in Gestione Integrata (thus, at present, STI holds control of only Exitone).</w:t>
      </w:r>
    </w:p>
    <w:p>
      <w:r>
        <w:t>11. Finanziaria Bigotti is a company that exclusively carries out financial activities, specifically the acquisition of interests in established or to-be-established companies and entities. In particular, Finanziaria Bigotti holds 90% of the share capital of STI (with the remaining 10% represented by treasury shares), over which it has exercised management and coordination activities since 2009 (according to chamber data).</w:t>
      </w:r>
    </w:p>
    <w:p>
      <w:r>
        <w:t>12. Kuadra is a company currently undergoing dissolution and liquidation procedures that is not currently carrying out any activities; until the date of its liquidation, Kuadra operated in the provision of cleaning and sanitization services and various other services (porterage, green maintenance, unarmed guarding and security, concierge and reception, street sweeping, wardrobe, storage and handling of goods, etc.). Kuadra is 100% owned by Esperia, which had transferred all its contracts to it in 2010, including the one related to the Consip FM2 agreement (see infra). The liquidation procedure for Kuadra was initiated in April 2017, one month after the signing of a business branch lease contract (including the activities subject to investigation) in favor of the parent company Esperia for a duration of seven years (until March 31, 2024), with an express manifestation of interest in purchasing the branch already expressed by the lessee in the contractual context.</w:t>
      </w:r>
    </w:p>
    <w:p>
      <w:r>
        <w:rPr>
          <w:b/>
        </w:rPr>
        <w:t>[Pages 7–9]</w:t>
      </w:r>
    </w:p>
    <w:p>
      <w:r>
        <w:t>BULLETIN NO. 19 OF MAY 13, 2019 9</w:t>
      </w:r>
    </w:p>
    <w:p>
      <w:r>
        <w:t>13. Esperia is a company active in the provision of cleaning and sanitization services and various other services (porterage, green maintenance, unarmed guarding and security, concierge and reception, street sweeping, wardrobe, storage and handling of goods, etc.). By deed dated December 21, 2010, there was a transfer of business in favor of Kuadra, by virtue of which the latter took over all contracts of Esperia, including the supply contract related to the award of lot 3 of the Consip FM2 tender (the second edition of the facility management tender). Subsequently, effective April 1, 2017, Esperia, as mentioned, took over the contracts awarded to Kuadra by virtue of the branch lease agreement signed with the latter and registered on March 21, 2017.</w:t>
      </w:r>
    </w:p>
    <w:p>
      <w:r>
        <w:t>14. Manital is the holding company of the Manital group, active in the provision of facility management services of both hard type (maintenance of systems such as energy, air conditioning, integrated electrical, plumbing, elevators, fire prevention, intrusion prevention) and soft type (cleaning, management of green areas, concierge and reception, porterage, guarding and surveillance, warehouse management) for public and private clients; the group is also active in providing engineering consulting services for real estate.</w:t>
      </w:r>
    </w:p>
    <w:p>
      <w:r>
        <w:t>15. Manital holds 96.85% of the shares of Manital Consorzio (see infra), a network of companies operating in the field of facility management, serving as Managing Partner. Manital represents for Manital Consorzio a coordination center and the only interface with the client, as well as the supervising entity of the contracts from a design, organizational, and managerial perspective; in particular, between Manital and Manital Consorzio, there has been a joint venture agreement since 2003 for the contracts, under which the former is responsible for coordination, management, and design activities, while the latter carries out the execution of operational activities through its member companies.</w:t>
      </w:r>
    </w:p>
    <w:p>
      <w:r>
        <w:t>Regarding the areas of activity, Manital mainly handles private contracts while Manital Consorzio is the entity that participates in public tenders (as in the case of FM4), subsequently distributing the work, in case of award, to the indicated member companies, including Manital itself. In particular, from this perspective, Manital is generally reserved a percentage different from its predominant share of participation in the Consortium (97%), as space is generally given to the other indicated member companies by assigning to Manital the portion of the contract for which they lack the requirements.</w:t>
      </w:r>
    </w:p>
    <w:p>
      <w:r>
        <w:t>In general, however, Manital plays a "decisive role" within Manital Consorzio in participating in public tenders such as FM41.</w:t>
      </w:r>
    </w:p>
    <w:p>
      <w:r>
        <w:t>16. Manital, in addition to holding 96% of the shares of Manital Consorzio, controls three companies (Mgc S.r.l., Olicar Gestione S.r.l., and Manital Engineering S.r.l., the latter merged by incorporation into Manital itself).</w:t>
      </w:r>
    </w:p>
    <w:p>
      <w:r>
        <w:t>1 "In general, both in the preparation of the public tender (such as the FM4 tender), and in the eventual award and execution of the related contracts, a decisive role is played by Manital, which directs operations among the member companies due to the specific technical-administrative skills possessed" (as stated in the hearing, doc. XXII.2467, and subsequently reiterated by both Manital Consorzio, doc. XXIV.2715, and Manital, doc. XXIV.2716). The design and definition of tender strategies are developed by Manital, as these elements are covered by confidentiality towards member companies other than Manital itself (doc. XXII.2467).</w:t>
      </w:r>
    </w:p>
    <w:p>
      <w:r>
        <w:t>10 BULLETIN NO. 19 OF MAY 13, 2019</w:t>
      </w:r>
    </w:p>
    <w:p>
      <w:r>
        <w:t>17. Manital Consorzio, as seen, aggregates a group of small and medium-sized enterprises operating in the field of facility management integrating maintenance services, cleaning services, and general services (also operating for its member companies as a purchasing center).</w:t>
      </w:r>
    </w:p>
    <w:p>
      <w:r>
        <w:t>18. MFM is a company active in the management and provision of integrated services aimed at properties and urban infrastructures, with particular reference to technical-maintenance services (operation and maintenance of thermal, electrical, plumbing, air conditioning systems, etc.), cleaning and sanitization services, and auxiliary services (such as green care, access control, concierge and reception), as well as property management services related to the ownership of a property. MFM controls two companies (Yougenio S.r.l. and H2H S.r.l., the latter active in facility management aimed at private clients), and is the private industrial partner of the mixed public-private company Roma Multiservizi S.p.a.</w:t>
      </w:r>
    </w:p>
    <w:p>
      <w:r>
        <w:t>19. Romeo is the company of the eponymous group specialized in services related to the management and enhancement of real estate and urban assets (mainly facility management and property management) for public and private clients, as well as in the provision of additional services (asset management and real estate enhancements, integrated management of services to the territory, energy management and public lighting, engineering and project management). Romeo is controlled by Romeo Partecipazioni (see infra), the financial holding of the group that holds 90% of the capital (with the remaining 10% held by the individual to whom the Romeo group belongs) and has exercised management and coordination activities since 2004 (according to chamber data)2. Among other companies, Romeo Partecipazioni also controls two consortia (Consorzio Romeo Facility Services and Consorzio Stabile Romeo Facility Services 20103, the latter participating in ATI with Romeo in the FM44 tender), which include small-sized companies that, under the project and management coordination of Romeo, are responsible solely for the operational execution phase of the facility management activities proposed and developed by Romeo5, particularly participating in the same ATI in which Romeo plays the role of contractor and the consortia that of principal6. The indicated members chosen as executors are selected centrally by Romeo, from time to time based on the qualifications possessed and the requirements requested by the tender7.</w:t>
      </w:r>
    </w:p>
    <w:p>
      <w:r>
        <w:t>20. Romeo Partecipazioni is the holding company of the Romeo group which holds, directly or indirectly, controlling interests in Romeo, the aforementioned two consortia, and three additional companies (Romeo Immobiliare S.p.a., Romeo Alberghi S.r.l., and Romeo London Ltd).</w:t>
      </w:r>
    </w:p>
    <w:p>
      <w:r>
        <w:t>21. Siram is an Italian company at the head of the eponymous group mainly active in the integrated management of energy in complex public and private buildings (through the development and implementation of solutions for energy efficiency, for the reduction of consumption and pollutant emissions, for energy optimization through the development of renewable energies); Siram is also active in the provision of facility management services. The share capital of Siram is entirely held by Veolia International (see infra); the Veolia group, to which Siram belongs, is active globally in the optimized management of resources (water, energy, and waste).</w:t>
      </w:r>
    </w:p>
    <w:p>
      <w:r>
        <w:t>22. Veolia International, under French law, is a financial holding company that is part of the Veolia group, which is active worldwide in providing environmental services aimed particularly at managing resources such as water, waste, and energy for municipalities and industrial operators (in particular, water management represents the most significant part of the group's activities; waste management covers the entire life cycle of waste, from collection to final disposal; energy management includes among others the production and distribution of electricity); to a lesser extent, the Veolia group also engages in activities related to real estate management. As a financial holding company, Veolia International is active solely in managing the interests held in the controlled companies (including Siram), and does not directly engage in economic-commercial activities.</w:t>
      </w:r>
    </w:p>
    <w:p>
      <w:r>
        <w:t>II. THE INQUIRY PROCEDURE</w:t>
      </w:r>
    </w:p>
    <w:p>
      <w:r>
        <w:t>23. The Procedure was initiated by the Authority with a resolution dated March 21, 2017, when inspections were also ordered against the initial seven Parties as well as various other subjects. The Procedure was then extended subjectively to an additional eleven Parties on November 22, 2017, and finally to one last Party on April 18, 2018; in both cases, new inspections were also ordered.</w:t>
      </w:r>
    </w:p>
    <w:p>
      <w:r>
        <w:t>6 Among the criteria followed by Romeo in participating in tenders is that of forming ATI exclusively with its own consortia, in the case of FM4 the Consorzio Stabile Romeo Facility Services 2010, defined as a consortium "of its exclusive reference [..] its exclusive operational support arm, through the chosen member companies as executors for the execution of services not provided directly [..] established on October 18, 2010, as an instrumental vehicle to support the partial provision of services in the contracts promoted by Romeo (in particular to ensure an articulated operational service response in the territory to which it competes) [that] operates exclusively as a contractor for Romeo in the Consip contracts for which a specific ATI has been established" (doc. XXIV.2708).</w:t>
      </w:r>
    </w:p>
    <w:p>
      <w:r>
        <w:t>7 Doc. XXIII.2654.</w:t>
      </w:r>
    </w:p>
    <w:p>
      <w:r>
        <w:rPr>
          <w:b/>
        </w:rPr>
        <w:t>[Pages 10–12]</w:t>
      </w:r>
    </w:p>
    <w:p>
      <w:r>
        <w:t>12 BULLETIN NO. 19 OF MAY 13, 2019</w:t>
        <w:br/>
        <w:t>On the same date of April 18, 2018, the deadline for the Procedure was extended to December 31, 2018; subsequently, on the dates of September 20, 2018, December 19, 2018, and February 6, 2019, the deadline for the Procedure was extended, respectively, to February 15, March 31, and April 20, 2019.</w:t>
      </w:r>
    </w:p>
    <w:p>
      <w:r>
        <w:t>24. In particular, the Parties involved in the Procedure are schematically grouped below according to the time of their inclusion in the Procedure:</w:t>
        <w:br/>
        <w:t>- CNS, Dussmann, Cofely, Manital, MFM, Romeo, and STI: Parties against whom the Procedure was initiated on March 21, 2017;</w:t>
        <w:br/>
        <w:t>- Dussmann Holding, Engie International, Esperia, Exitone, Finanziaria Bigotti, Gestione Integrata, Kuadra, Manital Consorzio, Romeo Partecipazioni, Siram, and Veolia International: Parties against whom the Procedure was subjectively extended on November 22, 2017;</w:t>
        <w:br/>
        <w:t>- CSEL: Party against whom the Procedure was subjectively extended on April 18, 2018.</w:t>
      </w:r>
    </w:p>
    <w:p>
      <w:r>
        <w:t>25. Within the Procedure, the documentation in the records of the Public Prosecutor's Office of Rome was reviewed in relation to the criminal case opened for alleged offenses concerning the conduct carried out also in relation to the Consip FM48 tender. Part of this documentation, with specific approvals from the Prosecutor9, was acquired into the records of the Procedure and used in the investigation.</w:t>
      </w:r>
    </w:p>
    <w:p>
      <w:r>
        <w:t>26. A leniency application was also submitted by CNS pursuant to Article 15 of Law No. 287/90, with a request for a marker on June 8, 2017; the leniency application of CNS was perfected and supplemented on June 22, 2017 (doc. L.3), July 13, 2017 (doc. L.4), August 7, 2017 (doc. L.7), September 29, 2017 (doc. L.8), and January 23, 2018 (doc. L.9), providing oral statements and producing documentation in support of the facts subject to the application. The application was accepted by the Authority on July 20, 2017, subject to compliance with the conditions for granting the benefit referred to in paragraph 7 of the "Communication on the non-imposition and reduction of sanctions pursuant to Article 15 of Law No. 287 of October 10, 1990." On July 5, 2018, a hearing of the applicant took place at the Authority's Offices as part of the leniency program (doc. L.24).</w:t>
      </w:r>
    </w:p>
    <w:p>
      <w:r>
        <w:t>27. Three interveners were admitted to participate in the Procedure, in acceptance of the relevant request, including the contracting authority Consip S.p.a. (hereinafter Consip)10.</w:t>
      </w:r>
    </w:p>
    <w:p>
      <w:r>
        <w:t>28. During the Procedure, some Parties submitted requests for dismissal and/or closure of the Procedure itself. Such requests were rejected by the Authority (on April 20, 2018, for the case of Dussmann and Dussmann Holding, on June 22, 2018, for the case of Romeo and Romeo Partecipazioni, on July 17, 2018, for the case of Veolia International, and on October 17, 2018, again for the case of Romeo) due to, among other things, the fact that, being a case of agreement, the assessment of collusive conduct can only be conducted collectively and simultaneously for all the Parties involved.</w:t>
      </w:r>
    </w:p>
    <w:p>
      <w:r>
        <w:t>8 This is procedure No. 53430/17 (formerly No. 57668/16). Considering the criminal nature of the conduct subject to this procedure, the Public Prosecutor's Office of Rome has indeed initiated its own parallel lines of investigation.</w:t>
      </w:r>
    </w:p>
    <w:p>
      <w:r>
        <w:t>9 Doc. XXII.2450 and doc. XXIV.2816.</w:t>
      </w:r>
    </w:p>
    <w:p>
      <w:r>
        <w:t>10 The other two interveners are the associations ANIP - National Association of Cleaning Companies and Legacoop Servizi - National Association of Service Cooperatives.</w:t>
      </w:r>
    </w:p>
    <w:p>
      <w:r>
        <w:t>BULLETIN NO. 19 OF MAY 13, 2019 13</w:t>
        <w:br/>
        <w:t>Romeo also submitted, on March 27, 2019, and thus after the deadline for closing the evidence acquisition phase (set for March 12, 2019), a third request for dismissal of his position (with, in the alternative, a request for supplementary investigation, which was also referenced in two subsequent communications on April 8 and 12, 2019, in the last of which - also signed by Romeo Partecipazioni - the recent developments of the criminal procedure concerning representatives of Romeo are illustrated).</w:t>
      </w:r>
    </w:p>
    <w:p>
      <w:r>
        <w:t>29. In relation to the investigative activity, in order to acquire a greater understanding of the facts subject to verification, the Offices prepared several sets of information requests that were formulated to the Parties both during the pre-procedural hearings and through specific written communications.</w:t>
      </w:r>
    </w:p>
    <w:p>
      <w:r>
        <w:t>30. Throughout the course of the investigative Procedure, the exercise of the right of defense of the Parties was guaranteed on various occasions, particularly through: multiple requests, and related approvals, for access to all documents gradually acquired in the investigative file11, including access to documentation originally not accessible granted following specific requests from the Parties12; summons for hearings of representatives of all the Parties13; submission of documents and various defensive memoranda by the Parties themselves; and the conduct of the final hearing before the College on March 12, 2019, with the Parties that requested it14.</w:t>
      </w:r>
    </w:p>
    <w:p>
      <w:r>
        <w:t>31. Siram and CNS, respectively on October 5, 2018, and November 9, 2018, communicated that they had adopted an antitrust compliance program, depositing the relevant documentation15. The assessment of the relevance, for sanctioning purposes, of the program adopted by CNS is reported in the section of this Provision relating to the determination of the amount of fines.</w:t>
      </w:r>
    </w:p>
    <w:p>
      <w:r>
        <w:t>III. THE SECTOR CONCERNED</w:t>
        <w:br/>
        <w:t>32. The agreement under examination focuses, as mentioned, on the Consip FM4 tender, that is, on the fourth edition of the public tender announced by the contracting authority Consip for the procurement of so-called facility management services for properties used by Public Administrations16.</w:t>
      </w:r>
    </w:p>
    <w:p>
      <w:r>
        <w:t>33. Facility management services are, in essence, integrated services - requested by both public entities and private subjects - that involve activities related to the management of buildings, along with their systems and related services. Schematic, therefore, the integrated services to be provided within facility management pertain to the macro-areas of maintenance services for the systems of a property (heating, air conditioning, electrical, sanitary, etc.), cleaning and environmental hygiene services for the spaces of a property (cleaning, sanitization, pest control, green areas, etc.), and other services related to the management of a large property (concierge, reception, porterage, internal logistics, surveillance, etc.). Facility management is therefore aimed at the integrated management of support services for the operation, enjoyment, and enhancement of real estate and urban assets17.</w:t>
      </w:r>
    </w:p>
    <w:p>
      <w:r>
        <w:t>12 Particularly received from Romeo and CSEL.</w:t>
      </w:r>
    </w:p>
    <w:p>
      <w:r>
        <w:t>13 The hearings particularly took place: for Manital on February 19, 2018; for Manital Consorzio on February 19, 2018; for Dussmann on February 23, 2018; for Cofely on March 27, 2018; for MFM on April 24, 2018; for Romeo on May 11, 2018; for Romeo Partecipazioni on May 11, 2018; for Siram on June 1, 2018; for Veolia International on June 1, 2018; for STI on July 11, 2018; for Exitone on July 11, 2018; for Gestione Integrata on July 11, 2018; for Finanziaria Bigotti on July 11, 2018; for CNS on July 5, 2018; for CSEL on July 18, 2018. The following Parties waived their right to be heard in a hearing before the Offices: Dussmann Holding; Engie International; Esperia. Kuadra, although summoned for a hearing like all other Parties, did not appear at the hearing itself. The third intervener Anip was heard in a hearing on June 4, 2018.</w:t>
      </w:r>
    </w:p>
    <w:p>
      <w:r>
        <w:t>14 CNS, Cofely, CSEL, Dussmann, Dussmann Holding, Engie International, Manital, Manital Consorzio, MFM, Romeo, Romeo Partecipazioni, Siram, Veolia International, STI, Exitone, Gestione Integrata, and Finanziaria Bigotti, as well as the intervener Consip.</w:t>
      </w:r>
    </w:p>
    <w:p>
      <w:r>
        <w:t>15 Doc. XXIV.2813 (Siram) and doc. XXIV.2835 (CNS).</w:t>
      </w:r>
    </w:p>
    <w:p>
      <w:r>
        <w:t>16 Tender for the assignment of integrated, managerial, and operational services to be carried out in properties primarily used for office purposes by Public Administrations, as well as in properties used for any purpose by Public Universities and Research Institutions.</w:t>
      </w:r>
    </w:p>
    <w:p>
      <w:r>
        <w:t>17 Facility management activities thus refer to the set of all those services that ensure the integrated management of a plurality of services, processes, and activities aimed at buildings, their spaces, and the people who frequent them. In facility services, the composition of which is previously agreed upon between the parties, therefore includes by way of example services to the building (building maintenance, maintenance of electrical systems, air conditioning, and of</w:t>
      </w:r>
    </w:p>
    <w:p>
      <w:r>
        <w:rPr>
          <w:b/>
        </w:rPr>
        <w:t>[Pages 13–15]</w:t>
      </w:r>
    </w:p>
    <w:p>
      <w:r>
        <w:t>BULLETIN NO. 19 OF MAY 13, 2019 15</w:t>
      </w:r>
    </w:p>
    <w:p>
      <w:r>
        <w:t>34. The market for the provision of individual (non-integrated) services related to facility management is quite fragmented: in the case of the FM4 tender, approximately 280 companies were involved. This high number is due to the fact that, in order to encourage the presence of new entities and an expansion of participation, participation in the tender was not limited to companies with specific revenue related to the provision of services in an integrated form, such as those of facility management. As an alternative to revenue from integrated services, the possibility was given to demonstrate compliance with the economic requirement through revenue from maintenance service contracts along with revenue from cleaning and environmental hygiene service contracts. Numerous companies, in order to meet the required criteria, organized themselves into Temporary Associations of Enterprises (ATI) to participate in the tender.</w:t>
      </w:r>
    </w:p>
    <w:p>
      <w:r>
        <w:t>35. The number of competitors who, overall, considering all eighteen lots, participated in the FM4 tender for the provision of integrated services was therefore significantly lower, specifically amounting to 23, and the main mode of participation was through temporary associations and consortia. An even smaller number of entities, essentially coinciding with the Parties to the Proceedings, can be defined as major operators in the sector, having also won previous editions of the tender.</w:t>
      </w:r>
    </w:p>
    <w:p>
      <w:r>
        <w:t>36. Considering the previous edition of the Consip contract for facility management in Italy (the third edition FM3), the following entities were awarded the various lots put to tender18: Manital and Manital Consorzio (lot 1, lot 9, and lot 12); Romeo and his aforementioned Consorzio Stabile Romeo Facility Services 2010 (lot 2, lot 8, lot 10, and lot 11); the ATI led by Cofely (lot 3); the ATI led by MFM (lot 5); the ATI led by CNS, including Siram, Exitone of the STI group, and a third company (lot 7). In summary, with reference to the FM3 tender, ten of the twelve lots put to tender were awarded to the Parties (or their ATI). Moreover, the remaining two lots were awarded, one (lot 4) to an ATI led by a consortium member of CNS (Coopservice Soc. Coop. p.a.) which also included other consortium members of CNS (CPL Concordia Soc. Coop., Cristoforetti servizi energia, Euro &amp; Promos, Gesta S.p.a.), and the other (lot 6) to an ATI including another CNS consortium member (Copma Soc. Coop. a r.l.).</w:t>
      </w:r>
    </w:p>
    <w:p>
      <w:r>
        <w:t>37. Even more evidently, with reference to the previous edition of the Consip tender for facility management (the second edition FM2), all twelve lots put to tender were awarded to Parties to the Proceedings (or their ATI), specifically: three lots to Manital and Manital Consorzio (lot 1, lot 9, and lot 12); three lots to Romeo and his aforementioned Consorzio Romeo Facility Services (lot 8, lot 10, and lot 11); three lots to the ATI with Siram as the leading entity and CNS and Exitone among the members (lot 2, lot 4, and lot 7); two lots to the ATI in which Cofely participated (lot 5 and lot 6); one lot to the ATI in which Kuadra/Esperia participated (lot 3).</w:t>
      </w:r>
    </w:p>
    <w:p>
      <w:r>
        <w:t>38. Going even further back in time and considering the first edition of the tender in 2005 (FM1), out of a total of twelve lots put to tender, seven were awarded to Parties (or their ATI).</w:t>
      </w:r>
    </w:p>
    <w:p>
      <w:r>
        <w:t>39. In summary, and even without considering the awards to the aforementioned CNS consortium members, the overall ceiling of all previous editions of the Consip tender for facility management was awarded approximately 81% to the Parties (or their ATI)19.</w:t>
      </w:r>
    </w:p>
    <w:p>
      <w:r>
        <w:t>40. The Parties to the Proceedings thus represent the major players present on a national scale for the provision of facility management services in Italy.</w:t>
      </w:r>
    </w:p>
    <w:p>
      <w:r>
        <w:t>41. Further evidence of this is provided by the market analysis prepared by the contracting authority Consip for the FM4 tender, which in fact reports the Parties to the Proceedings as the major operators in the sector (those with both a "high" level of scope and a "high" level of diversification of the offer)20.</w:t>
      </w:r>
    </w:p>
    <w:p>
      <w:r>
        <w:t>IV. THE INSTRUCTIONAL FINDINGS</w:t>
      </w:r>
    </w:p>
    <w:p>
      <w:r>
        <w:t>Premise</w:t>
      </w:r>
    </w:p>
    <w:p>
      <w:r>
        <w:t>42. The following describes the extensive factual and documentary evidence that has been acquired in the course of the Proceedings and that testifies to the coordination activity carried out by the Parties in relation to the FM4 tender. This documentation is indicative of a wide-ranging collusive framework aimed at circumventing the risks of competition in the reciprocal relations between the Parties, identifying an agreement concerning the division of the lots put to tender.</w:t>
      </w:r>
    </w:p>
    <w:p>
      <w:r>
        <w:t>43. The ascertainment, which originated from the observation of evident anomalies in the tender participation methods, is based on a body of evidence that consists of: the extensive documentation collected during the inspections conducted; the analysis of the tender outcomes that would have occurred as a result of the concertation; the information gleaned from previous editions of Consip tenders for facility management; the statements of the leniency applicant (CNS); the evidence on file in the criminal proceedings initiated at the Public Prosecutor's Office of Rome; as well as the unfounded nature of the 'alternative' explanations provided by the Parties during the hearings, in the memoranda submitted, and in the responses to the requests for information made by the Offices.</w:t>
      </w:r>
    </w:p>
    <w:p>
      <w:r>
        <w:t>44. The concerted framework that will be presented sees, under the subjective perimeter, the division of the tender lots among CNS (in ATI with Exitone of the STI group and with Kuadra), MFM, Manital Consorzio, and Romeo, through a symptomatic participation in the tender in a 'checkerboard' manner, so as to avoid competitive overlaps.</w:t>
      </w:r>
    </w:p>
    <w:p>
      <w:r>
        <w:t>45. More specifically, the agreed participation methods among the Parties would have led these four groups to rank first in each of the four lots of respective interest, moreover in the best possible combination (three ordinary lots and only one accessory lot). This with one single exception, as the coordination, as the documentation on file has allowed to reconstruct, also involved a fifth group in the tender, the ATI Cofely-CSEL. This ATI, also thanks to the ties with the STI group, was designated within the cartel as the awardee of part of the overall contract, including in particular one of the four lots allocated in the 'checkerboard' to Romeo (lot 10), unbeknownst to him. As emerges from the interceptions acquired from the criminal proceedings, Romeo, precisely when he understood the existing ties between the STI group and the ATI Cofely-CSEL, lost confidence in obtaining that lot. The ATI Cofely-CSEL would then have won the lot of the lowest amount overall (lot 8), in the only overlap with the CNS ATI – in both ATIs the STI group is in fact present – and with reference to a lot that the latter would have had to withdraw anyway, having already reached the maximum limit of lots that could be awarded21.</w:t>
      </w:r>
    </w:p>
    <w:p>
      <w:r>
        <w:t>46. The following will therefore account for the relevant endogenous and exogenous evidence that proves the existence of the aforementioned agreement.</w:t>
      </w:r>
    </w:p>
    <w:p>
      <w:r>
        <w:t>47. Regarding the Parties Dussmann and Siram, it is anticipated that, despite the presence of elements attesting to the relationships with other Parties, the documentary elements on file are not sufficient to conclude that these companies participated in the agreement established here.</w:t>
      </w:r>
    </w:p>
    <w:p>
      <w:r>
        <w:t>The FM4 Tender</w:t>
      </w:r>
    </w:p>
    <w:p>
      <w:r>
        <w:t>48. The Proceedings focus on the concerted conduct carried out by the Parties in relation to the public community tender announced by Consip for the provision, throughout the national territory, of facility management (FM) services at public offices and properties of university and research entities. The fourth edition of the tender under examination (hence the acronym FM4), announced on March 19, 2014, with a final deadline for the submission of offers set for July 7, 2014, has an estimated value of approximately 2.7 billion euros and is not currently awarded.</w:t>
      </w:r>
    </w:p>
    <w:p>
      <w:r>
        <w:t>49. The FM4 tender is divided into eighteen geographical lots (fourteen ordinary and four accessory, the latter activated in case of exhaustion of the maximum limits of the individual ordinary lots or expiration of their award Convention), with a division on a provincial basis (so that it may occur that some Regions are present in multiple lots depending on the provinces involved), except for the case of the city of Rome (to which two specific lots are dedicated, distinguishing between Central Rome and non-central areas). Each competitor can win a maximum number of lots equal to four, of which a maximum of three ordinary; there is no sub-limit, however, for the accessory lots.</w:t>
      </w:r>
    </w:p>
    <w:p>
      <w:r>
        <w:t>50. The participation requirements provided, in addition to the conditions of personal situation such as registration in the Business Register and the absence of exclusion grounds, make...</w:t>
      </w:r>
    </w:p>
    <w:p>
      <w:r>
        <w:rPr>
          <w:b/>
        </w:rPr>
        <w:t>[Pages 16–18]</w:t>
      </w:r>
    </w:p>
    <w:p>
      <w:r>
        <w:t>18 BULLETIN NO. 19 OF MAY 13, 2019</w:t>
      </w:r>
    </w:p>
    <w:p>
      <w:r>
        <w:t>reference to economic-financial capacity (economic or turnover requirements)22 and to technical capacity (technical requirements)23.</w:t>
      </w:r>
    </w:p>
    <w:p>
      <w:r>
        <w:t>51. The duration of the Agreement that Consip will enter into with the successful bidders of the various lots is two years for the ordinary lots and one year (with a possible extension of an additional year) for the accessory lots; in return, the duration of the individual implementing contracts that the interested Public Administrations will sign24 is six or four years (respectively in the case of the full service package and in the case of the so-called light package)25.</w:t>
      </w:r>
    </w:p>
    <w:p>
      <w:r>
        <w:t>52. The tender provides for the criterion of awarding the economically most advantageous offer. In this regard, the total score of a maximum of 100 points derives from the sum of the technical score (equal to a maximum of 60 points, awarded by the Consip Tender Commission as a result of the assessment of the technical offer of the competitors in relation to n. 43 evaluation criteria) and the economic score (equal to a maximum of 40 points, calculated based on the percentage discounts offered by the competitors in relation to n. 32 offer items and based on the franchises offered by the competitors in relation to n. 7 maintenance services: the competitiveness of the offer increases with the increase in the percentage discount and the increase in the franchises).</w:t>
      </w:r>
    </w:p>
    <w:p>
      <w:r>
        <w:t>53. The main dates that have involved the FM4 tender procedure are schematically summarized in the table below, also as an aid and guide to the interpretation of the preparatory documents. The table also includes the dates related to some procedural steps that have involved the Parties, such as in particular the withdrawal from the tender (by not confirming the previously submitted offers) decided by the new management of CNS in relation to its ATI and the exclusion from the tender of Manital Consorzio (decided by the contracting authority for issues related to tax declarations and then confirmed in judicial proceedings)26.</w:t>
      </w:r>
    </w:p>
    <w:p>
      <w:r>
        <w:t>22 In particular, having achieved, overall, in the last two approved financial years as of the date of publication of the Notice: (i) a specific turnover for the provision of integrated services and/or for the provision of multi-services and/or for the provision of facility management activities, not less than that indicated, for the individual Lots, in Column B of the table attached to the Notice; or, alternatively, (ii) a specific turnover for maintenance services of the systems as well as a specific turnover for cleaning and environmental hygiene services whose sum is not less than the sum of the values indicated, for each Lot, in Columns C and D of the same table, while respecting the individual minimum amounts indicated in the same Columns.</w:t>
      </w:r>
    </w:p>
    <w:p>
      <w:r>
        <w:t>23 In particular, the technical participation requirements concern: a) the possession of valid qualification issued by a SOA regularly authorized pursuant to and for the purposes of D.P.R. no. 207/2010 for category OG 11, Class II; b) the possession of the qualifications required by D.Lgs. no. 37/2008 for all the systems indicated in Article 1 of the same decree; c) the possession of registration in the Business Register or in the Register of Craft Enterprises pursuant to law no. 82/1994 and D.M. no. 274/97 in the "F" band.</w:t>
      </w:r>
    </w:p>
    <w:p>
      <w:r>
        <w:t>24 Only the central state entities are obliged to adhere, while for the peripheral Administrations adherence is optional.</w:t>
      </w:r>
    </w:p>
    <w:p>
      <w:r>
        <w:t>25 The option called light is mainly characterized by the target properties (small properties with an area of less than 5,000 square meters), by the reduced duration (as mentioned, equal to four years instead of six), by the fact that it provides for the payment of spare parts by the interested Public Administrations and by the reduced amount of services that can be activated by the Public Administrations themselves (minimum three services of which at least one maintenance instead of a minimum of six services of which at least two maintenance).</w:t>
      </w:r>
    </w:p>
    <w:p>
      <w:r>
        <w:t>26 Currently, Romeo is subject to an exclusion order from the tender for various reasons.</w:t>
      </w:r>
    </w:p>
    <w:p>
      <w:r>
        <w:t>BULLETIN NO. 19 OF MAY 13, 2019 19</w:t>
      </w:r>
    </w:p>
    <w:p>
      <w:r>
        <w:t>TABLE n. 1</w:t>
      </w:r>
    </w:p>
    <w:p>
      <w:r>
        <w:t>EVENT DATE</w:t>
        <w:br/>
        <w:t>March 19, 2014 Tender announced by Consip (March 21 and 22, 2014) (published respectively in Guri and Guue)</w:t>
        <w:br/>
        <w:t>July 7, 2014 (extended on June 13) Deadline for submission of offers</w:t>
        <w:br/>
        <w:t>June 19, 2014 (extended on April 29) and previous deadlines of this deadline</w:t>
        <w:br/>
        <w:t>May 19, 2014 (original) (extensions)</w:t>
        <w:br/>
        <w:t>March 12, 2015 Opening of technical offers - envelopes B</w:t>
        <w:br/>
        <w:t>July 16, 2015 Change of management of CNS</w:t>
        <w:br/>
        <w:t>March 23, 2016 Exclusion from the tender of Manital Consorzio</w:t>
        <w:br/>
        <w:t>CNS's declaration to Consip of non-confirmation of its ATI offers</w:t>
        <w:br/>
        <w:t>March 29, 2016 (April 14, 2016) (official acknowledgment by Consip)</w:t>
        <w:br/>
        <w:t>Deadline for evaluation of technical offers and recalibration of technical scores</w:t>
        <w:br/>
        <w:t>April 14, 2016</w:t>
        <w:br/>
        <w:t>April 19, 2016 Opening of economic offers - envelopes C</w:t>
        <w:br/>
        <w:t>August 3, 2016 Judgment of the TAR reinstating Manital Consorzio (September 12-15, 2016) (official reinstatement by Consip)</w:t>
        <w:br/>
        <w:t>January 25, 2017 Last known minutes of the Consip Tender Commission</w:t>
        <w:br/>
        <w:t>Judgment of the CdS that definitively excludes Manital Consorzio</w:t>
        <w:br/>
        <w:t>February 2, 2017</w:t>
      </w:r>
    </w:p>
    <w:p>
      <w:r>
        <w:t>54. The Parties participated in the tender in the following ways:</w:t>
        <w:br/>
        <w:t>- CNS (lead) in ATI with Kuadra and Exitone of the STI group27;</w:t>
        <w:br/>
        <w:t>- MFM individually;</w:t>
        <w:br/>
        <w:t>- Manital Consorzio also individually, indicating Manital as the executing consortium member (together with other consortium members);</w:t>
        <w:br/>
        <w:t>- Romeo (lead in ATI with the aforementioned Consorzio Stabile Romeo Facility Services 2010)28;</w:t>
        <w:br/>
        <w:t>- Cofely (lead) in ATI with CSEL and four cleaning companies29;</w:t>
        <w:br/>
        <w:t>- Dussmann (lead) in ATI with Siram30.</w:t>
        <w:br/>
        <w:t>Thus, there are six participations (in single or associated form) compared to a total of 23.</w:t>
      </w:r>
    </w:p>
    <w:p>
      <w:r>
        <w:t>55. Regarding the ATI led by CNS, it should be noted that, according to what was represented by the consortium itself, "CNS had all the requirements - turnover and special - to submit an offer individually for the above-mentioned lots [those for which an offer was actually submitted]. The turnover and special requirements provided by the mandatories Kuadra and Exitone within the RTI (respectively, the specific turnover related to cleaning and environmental hygiene services and the specific turnover related to governance services) were therefore not necessary for the purpose of submitting the offer"31. Similarly, regarding the ATI Cofely-CSEL, according to the statements of the lead, "Cofely could participate in the FM4 tender for the maintenance part without the need to resort to CSEL, as Cofely alone possessed the participation requirements and had the capacity to perform the service"32.</w:t>
      </w:r>
    </w:p>
    <w:p>
      <w:r>
        <w:t>The outcome of the FM4 tender</w:t>
      </w:r>
    </w:p>
    <w:p>
      <w:r>
        <w:t>56. In relation to the concertation between the Parties on the strategy for participating in the FM4 tender, it is observed, overall: (a) a limited number of lots where the Parties submitted offers; (b) a substantial absence of overlaps between the Parties in the various lots; (c) a final result that consists of the distribution of all lots among the main facility management operators in Italy (the Parties), particularly through a 'checkerboard' bidding mechanism outlined among the major players with the highest degree of incumbency (CNS, MFM, Manital, and Romeo). The participation of the ATI Cofely-CSEL is fully attributable to the overall distribution design, unique and articulated, also considering the connections between the entities comprising the ATI and the STI group and the events related to the allocation of lot 10 in Rome Centro.</w:t>
      </w:r>
    </w:p>
    <w:p>
      <w:r>
        <w:t>57. Conversely, the ATI Dussmann-Siram submitted offers for a large number of lots (eleven) and significantly overlapped with all the other Parties. The ATI in question also offered discounts that do not present particular anomalies in comparison among the various lots. As a result, the ATI Dussmann-Siram would have been awarded only one lot (lot 9, which is one of the two lots with the lowest amount, equal to 91 million), and only as a beneficiary of the 'retrocession' of that lot from CNS (which would have instead reached the maximum number of awardable lots).</w:t>
      </w:r>
    </w:p>
    <w:p>
      <w:r>
        <w:t>a) The 'checkerboard' participation</w:t>
      </w:r>
    </w:p>
    <w:p>
      <w:r>
        <w:t>58. As mentioned, CNS, in March 2016, at a time prior to the opening of the envelopes containing the economic offers, did not confirm the offers of its ATI, thus effectively withdrawing from the tender.</w:t>
      </w:r>
    </w:p>
    <w:p>
      <w:r>
        <w:t>59. It therefore became necessary to conduct numerical elaborations for each of the seven lots in which the ATI led by CNS submitted an offer, in order to simulate the tender outcomes that would have occurred if that ATI had confirmed in 2016 (with the new management of CNS) the offers made in 2014 (with the previous management)33.</w:t>
      </w:r>
    </w:p>
    <w:p>
      <w:r>
        <w:t>60. In particular, considering on one hand the scores assigned by the Consip Tender Commission to the technical project of all competitors34 and, on the other hand, the economic offers of the ATI led by CNS, the elaborations were initially carried out without considering the ATI of CNS, in order to verify that the results were the same as those officially reported by the Consip Tender Commission. Once this was verified (the results are identical in the case of recalibrated technical scores; in the case of economic scores, they differ by a maximum of 4 thousandths of a point, a situation that occurs in only two cases; in all other cases they are either identical or differ by 1, 2, or 3 thousandths of a point), the same formulas were used to simulate the tender outcomes including the ATI of CNS.</w:t>
      </w:r>
    </w:p>
    <w:p>
      <w:r>
        <w:t>34 Doc. I.2, doc. I.3, doc. I.4.</w:t>
      </w:r>
    </w:p>
    <w:p>
      <w:r>
        <w:rPr>
          <w:b/>
        </w:rPr>
        <w:t>[Pages 19–21]</w:t>
      </w:r>
    </w:p>
    <w:p>
      <w:r>
        <w:t>BULLETIN NO. 19 OF MAY 13, 2019 21</w:t>
      </w:r>
    </w:p>
    <w:p>
      <w:r>
        <w:t>CNS35, numerical elaborations were conducted in order, respectively, to reparameterize the technical scores (thus moving from provisional technical scores to normalized technical scores, using the mathematical formula provided by the Tender Regulations) and to return the economic score based on the percentage discounts and numerical thresholds offered by each competitor (also in this case using the mathematical formula provided by the special law of the tender). The results for the seven lots in question led to the rankings that will be found in the continuation of this section.</w:t>
      </w:r>
    </w:p>
    <w:p>
      <w:r>
        <w:t>61. From the examination of the overall results of the tender, a division of almost all lots among the four main players with the highest level of incumbency - CNS (in ATI with Kuadra and Exitone), MFM, Manital Consorzio, and Romeo - emerges, for which the overlap of offers in the various lots is in fact nil, as can be seen from the table below (which also shows the ranking position).</w:t>
      </w:r>
    </w:p>
    <w:p>
      <w:r>
        <w:t>35 The sealed envelopes containing the economic offers submitted by the ATI of CNS were acquired following the inspection conducted at the Consip headquarters, and in particular following the activation of the powers of the Guardia di Finanza (doc. XV.1727). As mentioned, in fact, shortly before the opening of envelope C (economic offers of the competitors) by the Consip Tender Commission, by decision of the leading company CNS, the ATI had effectively withdrawn from the tender, not confirming its offers. Consequently, the envelopes C related to the ATI led by CNS were not opened by the Tender Commission, remaining sealed in the Consip offices.</w:t>
      </w:r>
    </w:p>
    <w:p>
      <w:r>
        <w:t>22 BULLETIN NO. 19 OF MAY 13, 2019</w:t>
      </w:r>
    </w:p>
    <w:p>
      <w:r>
        <w:t>TABLE n. 2</w:t>
      </w:r>
    </w:p>
    <w:p>
      <w:r>
        <w:t>ATI MANITAL ATI MFM ROMEO CNS CONSORZIO COFELY</w:t>
      </w:r>
    </w:p>
    <w:p>
      <w:r>
        <w:t>ORDINARY LOTS</w:t>
      </w:r>
    </w:p>
    <w:p>
      <w:r>
        <w:t>Lot 1 (129 mln) 1° LIG-PIE</w:t>
      </w:r>
    </w:p>
    <w:p>
      <w:r>
        <w:t>Lot 2 (115 mln) 1° VDA-LIG-PIE</w:t>
      </w:r>
    </w:p>
    <w:p>
      <w:r>
        <w:t>Lot 3 (208 mln) 4° 1° LOM-ERO</w:t>
      </w:r>
    </w:p>
    <w:p>
      <w:r>
        <w:t>Lot 4 (128 mln) 1° TAA-VEN-FVG</w:t>
      </w:r>
    </w:p>
    <w:p>
      <w:r>
        <w:t>Lot 5 (142 mln) 1° 2° ERO-VEN</w:t>
      </w:r>
    </w:p>
    <w:p>
      <w:r>
        <w:t>Lot 6 (117 mln) 1° TOS-ERO-MAR</w:t>
      </w:r>
    </w:p>
    <w:p>
      <w:r>
        <w:t>Lot 7 (116 mln) 1° UMB-TOS</w:t>
      </w:r>
    </w:p>
    <w:p>
      <w:r>
        <w:t>Lot 8 (90 mln) 2° 1° MAR-ABR-MOL</w:t>
      </w:r>
    </w:p>
    <w:p>
      <w:r>
        <w:t>Lot 9 (91 mln) LAZ-SAR 1°</w:t>
      </w:r>
    </w:p>
    <w:p>
      <w:r>
        <w:t>Lot 10 (143 mln) 2° 1° ROMA Centro</w:t>
      </w:r>
    </w:p>
    <w:p>
      <w:r>
        <w:t>Lot 11 (247 mln) 4° 1° 2° ROMA 2</w:t>
      </w:r>
    </w:p>
    <w:p>
      <w:r>
        <w:t>Lot 12 (130 mln) 1° PUG-BAS</w:t>
      </w:r>
    </w:p>
    <w:p>
      <w:r>
        <w:t>Lot 13 (221 mln) 1° CAM-BAS</w:t>
      </w:r>
    </w:p>
    <w:p>
      <w:r>
        <w:t>Lot 14 (195 mln) 1° CAL-SIC</w:t>
      </w:r>
    </w:p>
    <w:p>
      <w:r>
        <w:t>ACCESSORY LOTS</w:t>
      </w:r>
    </w:p>
    <w:p>
      <w:r>
        <w:t>Lot 15 (145 mln) 1° 2° ACC. NORD</w:t>
      </w:r>
    </w:p>
    <w:p>
      <w:r>
        <w:t>Lot 16 (105 mln) 1° 2° ACC. CENTRO</w:t>
      </w:r>
    </w:p>
    <w:p>
      <w:r>
        <w:t>Lot 17 (190 mln) 1° ACC. ROMA</w:t>
      </w:r>
    </w:p>
    <w:p>
      <w:r>
        <w:t>Lot 18 (180 mln) 1° ACC. SUD</w:t>
      </w:r>
    </w:p>
    <w:p>
      <w:r>
        <w:t>62. As can be observed, in each of the eighteen lots put to tender, in fact, only one of the aforementioned four groups (ATI of CNS, MFM, Manital Consorzio, and Romeo) submitted an offer. For the reasons illustrated below, in fact, the only two situations in which a (only) dual offer is recorded cannot be defined as true competitive overlaps: indeed, both the offer of the ATI of CNS for lot 3 and that of MFM for lot 11 (highlighted in gray in the table) are clearly non-competitive.</w:t>
      </w:r>
    </w:p>
    <w:p>
      <w:r>
        <w:t>BULLETIN NO. 19 OF MAY 13, 2019 23</w:t>
      </w:r>
    </w:p>
    <w:p>
      <w:r>
        <w:t>63. It should be noted from now on, in addition, that the four accessory lots - which can only be activated, as seen, in the long term and only following the occurrence of certain conditions36 - are exactly divided among the aforementioned four bidders, and this without any overlap. Each of these bidders has in fact submitted an offer in only one of the four accessory lots, different from those of the others, invariably ranking first.</w:t>
      </w:r>
    </w:p>
    <w:p>
      <w:r>
        <w:t>This occurs although there was no sub-threshold for the awarding of this type of lot (in theory, a participant could win all four) and although the accessory lots could not affect the awards of the ordinary lots (their computation occurred in fact after that of the ordinary lots, according to the tender provisions).</w:t>
      </w:r>
    </w:p>
    <w:p>
      <w:r>
        <w:t>On the other hand, mathematically, assigning one accessory lot to each of the four major players is the only way to allow everyone to achieve the maximum awardable (four lots) in the best possible combination (three ordinary and one accessory, with the former preferable due to their lesser randomness and temporal distance). If, in fact, one of them had won two accessory lots, the remaining two accessories could satisfy at most only two other subjects, leaving the fourth without the possibility of obtaining an accessory lot and, therefore, of reaching the maximum awardable of four total lots.</w:t>
      </w:r>
    </w:p>
    <w:p>
      <w:r>
        <w:t>64. Therefore, due to the aforementioned constraints imposed by the special law of the tender, the four players with the highest incumbency could have won a maximum of sixteen lots, of which twelve ordinary and four accessory. With the chessboard described above, CNS and its ATI, MFM, Manital Consorzio, and Romeo would have achieved precisely this outcome, the maximum achievable, with an equitable distribution of the number of lots (for each four lots of which three ordinary).</w:t>
      </w:r>
    </w:p>
    <w:p>
      <w:r>
        <w:t>65. The offers of the ATI Cofely-CSEL present overlaps with those of the four operators mentioned above. However, as will be detailed below, from the documentation on file it emerges that the participatory modalities of this ATI, while deviating from the checkerboard pattern of offers seen above, fully fit into the collusive scheme. In particular, also thanks to the connection with the STI group, the ATI of Cofely in the development of the agreement manages to rank first in the ranking in lot 10 of Roma Centro in replacement of Romeo, unbeknownst to the latter, and in lot 8. In this latter case, it is the only lot in which the ATI Cofely-CSEL submitted an offer overlapping with the other ATI of the STI group (the ATI CNS-Exitone-Kuadra) and the lot of the lowest amount overall, which the ATI of CNS would have had to cede even if it had ranked first (due to the provisions of the special law)37.</w:t>
      </w:r>
    </w:p>
    <w:p>
      <w:r>
        <w:t>b) The offers submitted and the 'fictitious' offers in lots 3 and 11</w:t>
      </w:r>
    </w:p>
    <w:p>
      <w:r>
        <w:t>66. The number of lots in which the Parties submitted offers is particularly limited, close to - when not exactly equal to - the maximum number of lots awardable according to the special law (as mentioned, equal to four, of which three ordinary).</w:t>
      </w:r>
    </w:p>
    <w:p>
      <w:r>
        <w:t>67. Among the Parties that participated in the agreement here established, the maximum number of lots in which an offer was made is recorded for the ATI CNS-Kuadra-Exitone and is equal to seven. This ATI overlapped with MFM, Manital Consorzio, and Romeo in only lot 3 (corresponding to the regions of Lombardy and Emilia Romagna), in which Romeo also participated.</w:t>
      </w:r>
    </w:p>
    <w:p>
      <w:r>
        <w:t xml:space="preserve">36 Exhaustion of the maximum limits of the individual ordinary lots or temporal expiration of the awarding Convention. </w:t>
        <w:br/>
        <w:t>37 The tender awarding system indeed provided that, if one were to win in more than four lots, the assignment of the lots would start from those of the highest amount, i.e., with a descending value order.</w:t>
      </w:r>
    </w:p>
    <w:p>
      <w:r>
        <w:rPr>
          <w:b/>
        </w:rPr>
        <w:t>[Pages 22–24]</w:t>
      </w:r>
    </w:p>
    <w:p>
      <w:r>
        <w:t>24 BULLETIN NO. 19 OF MAY 13, 2019</w:t>
      </w:r>
    </w:p>
    <w:p>
      <w:r>
        <w:t>68. The offer of the ATI led by CNS for lot 3, however, presents evident anomalies regarding the economic offer as the economic score38 achieved is far lower than that obtained in all other offer lots: 28.731 compared to an average of 34.684 and a minimum and maximum of 32.733 and 36.673, respectively. This results from a clearly non-competitive economic offer: considering in particular the three items that alone weigh for 20.2 points (out of a total of 40) of the economic score39, the discounts offered by the ATI of CNS for lot 3, compared to those formulated for all other lots, were respectively: 19.37% vs 27.00%40; 24.00% vs 32.00%41; 40.00% vs 50.00%42. Even the discounts offered for other items43, totaling an additional 5.5 points, are lower for lot 3 compared to the majority of the other offer lots. The position reached in the ranking, consequently, is abnormally low (fourth position out of six bidders).</w:t>
      </w:r>
    </w:p>
    <w:p>
      <w:r>
        <w:t>69. In the remaining six lots, on the other hand, the ATI CNS-Kuadra-Exitone ranked first in five lots, and therefore would have achieved the maximum number of assignable lots (four), simply having to renounce - according to what is provided by the lex specialis - the lot of lesser economic value (lot 9 in this case). In lot 8, the ATI CNS-Kuadra-Exitone did not come first but still placed second, behind the ATI Cofely-CSEL, due to the lower technical score achieved. The details regarding the ATI led by CNS are reported in the table below.</w:t>
      </w:r>
    </w:p>
    <w:p>
      <w:r>
        <w:t>70. As proof of the anomaly represented by the offer of CNS for lot 3, as will be seen, in the final memorandum44 the applicant CNS emphasized the "irrationality of the choices made in the offer" and, since only during the Procedure did it become aware - through a specific access to the documents - of its economic offers submitted in the tender, it stated that: "Only today, after examining the economic offer, CNS can confirm that it is unable to logically explain the strategy for participating in the FM4 tender, both in terms of identifying the lots and in terms of the discounts offered."</w:t>
      </w:r>
    </w:p>
    <w:p>
      <w:r>
        <w:t xml:space="preserve">38 The technical score for this lot is also the second lowest: see table below.  </w:t>
        <w:br/>
        <w:t xml:space="preserve">39 That is, the items A.3.1 cleaning – fee for predefined ordinary activities, A.3.2 cleaning – fees for supplementary ordinary activities, and B.1 informative prices of construction published by Dei.  </w:t>
        <w:br/>
        <w:t xml:space="preserve">40 For lot 6 only, equal to 24.00%.  </w:t>
        <w:br/>
        <w:t xml:space="preserve">41 For lot 6 only, equal to 31.00%.  </w:t>
        <w:br/>
        <w:t xml:space="preserve">42 For lot 17 only, equal to 40.00%.  </w:t>
        <w:br/>
        <w:t xml:space="preserve">43 Specifically, these are the items from A.2.1.1 electrical systems to A.2.1.7 networks and the item A.2.4 minor building maintenance.  </w:t>
        <w:br/>
        <w:t>44 Doc. M.1.</w:t>
      </w:r>
    </w:p>
    <w:p>
      <w:r>
        <w:t>BULLETIN NO. 19 OF MAY 13, 2019 25</w:t>
      </w:r>
    </w:p>
    <w:p>
      <w:r>
        <w:t xml:space="preserve">TABLE n. 3  </w:t>
        <w:br/>
        <w:t xml:space="preserve">ATI CNS  </w:t>
        <w:br/>
        <w:t xml:space="preserve">POSITION IN  </w:t>
        <w:br/>
        <w:t xml:space="preserve">TECHNICAL SCORE ECONOMIC SCORE TOTAL SCORE  </w:t>
        <w:br/>
        <w:t xml:space="preserve">RANKING  </w:t>
        <w:br/>
        <w:t xml:space="preserve">LOT 3 - 208 mln - LOM/ERO 55.525 28.731 84.256 4°  </w:t>
        <w:br/>
        <w:t xml:space="preserve">LOT 4 - 128 mln - TAA/VEN/FVG 57.375 33.401 90.776 1°  </w:t>
        <w:br/>
        <w:t xml:space="preserve">LOT 6 - 117 mln - TOS/ERO/MAR 58.500 32.733 91.233 1°  </w:t>
        <w:br/>
        <w:t xml:space="preserve">LOT 8 - 90 mln - MAR/ABR/MOL 54.500 35.097 89.597 2°  </w:t>
        <w:br/>
        <w:t xml:space="preserve">LOT 9 - 91 mln - LAZ/SAR 56.325 36.673 92.998 1°  </w:t>
        <w:br/>
        <w:t xml:space="preserve">LOT 12 - 130 mln - PUG/BAS 56.000 34.386 90.386 1°  </w:t>
        <w:br/>
        <w:t>LOT 17 - 190 mln - ACC. ROMA 59.250 35.813 95.063 1°</w:t>
      </w:r>
    </w:p>
    <w:p>
      <w:r>
        <w:t>71. For its part, MFM submitted an offer in only five lots and overlapped with the other three main players in only one of these, lot 11 (corresponding to the non-central areas of the city of Rome), where Manital Consorzio also offered. In this lot, MFM made a clearly non-competitive economic offer, as evidenced by the comparison with the offers it submitted in the other lots: in lot 11, in fact, the company achieved an economic score of 21.710 compared to an average of 36.447 for the other lots and a minimum and maximum of 36.172 and 36.912, respectively. Again, considering in particular the three items that alone weigh for 20.2 points (out of a total of 40) of the economic score45, the discounts offered by MFM for lot 11 - compared to the identical amount formulated for all other lots - were respectively: 15% vs 39%; 35% vs 48%; 25% vs 53%. In this case, even more strikingly, it is observed how this situation (discounts for lot 11 lower than for all other lots) repeats for all46 39 offer items, including franchises.</w:t>
      </w:r>
    </w:p>
    <w:p>
      <w:r>
        <w:t>72. The position reached in the ranking, consequently, is abnormally low (fourth position out of five bidders). In the remaining four lots (three ordinary and one accessory), on the other hand, MFM consistently ranked first, and therefore would also have achieved the maximum number of assignable lots (four). The details regarding MFM are reported in the table below.</w:t>
      </w:r>
    </w:p>
    <w:p>
      <w:r>
        <w:t xml:space="preserve">45 That is, the items A.3.1 cleaning – fee for predefined ordinary activities, A.3.2 cleaning – fees for supplementary ordinary activities, and B.1 informative prices of construction published by Dei.  </w:t>
        <w:br/>
        <w:t>46 Except for three that, however, weigh only 0.8 points out of 40.</w:t>
      </w:r>
    </w:p>
    <w:p>
      <w:r>
        <w:t>26 BULLETIN NO. 19 OF MAY 13, 2019</w:t>
      </w:r>
    </w:p>
    <w:p>
      <w:r>
        <w:t xml:space="preserve">TABLE n. 4  </w:t>
        <w:br/>
        <w:t xml:space="preserve">MFM  </w:t>
        <w:br/>
        <w:t xml:space="preserve">POSITION IN  </w:t>
        <w:br/>
        <w:t xml:space="preserve">TECHNICAL SCORE ECONOMIC SCORE TOTAL SCORE  </w:t>
        <w:br/>
        <w:t xml:space="preserve">RANKING  </w:t>
        <w:br/>
        <w:t xml:space="preserve">LOT 1 - 129 mln - LIG/PIE 55.300 36.510 91.810 1°  </w:t>
        <w:br/>
        <w:t xml:space="preserve">LOT 5 - 142 mln - ERO/VEN 54.475 36.195 90.670 1°  </w:t>
        <w:br/>
        <w:t xml:space="preserve">LOT 7 - 116 mln - UMB/TOS 54.700 36.172 90.872 1°  </w:t>
        <w:br/>
        <w:t xml:space="preserve">LOT 11 - 247 mln - ROMA 2 54.675 21.710 76.385 4°  </w:t>
        <w:br/>
        <w:t>LOT 15 - 145 mln - ACC. NORD 54.850 36.912 91.762 1°</w:t>
      </w:r>
    </w:p>
    <w:p>
      <w:r>
        <w:t>73. As for Manital Consorzio, the number of lots for which an offer was submitted is exactly four (three ordinary and one accessory), that is, the maximum number of assignable lots. In this case as well, in its lots Manital Consorzio ranked first, and therefore would have achieved the maximum assignable, as observed in detail in the table below.</w:t>
      </w:r>
    </w:p>
    <w:p>
      <w:r>
        <w:t xml:space="preserve">TABLE n. 5  </w:t>
        <w:br/>
        <w:t xml:space="preserve">MANITAL CONSORZIO  </w:t>
        <w:br/>
        <w:t xml:space="preserve">POSITION IN  </w:t>
        <w:br/>
        <w:t xml:space="preserve">TECHNICAL SCORE ECONOMIC SCORE TOTAL SCORE  </w:t>
        <w:br/>
        <w:t xml:space="preserve">RANKING  </w:t>
        <w:br/>
        <w:t xml:space="preserve">LOT 2 - 115 mln - VDA/LIG/PIE 57.875 36.542 94.417 1°  </w:t>
        <w:br/>
        <w:t xml:space="preserve">LOT 11 - 247 mln - ROMA 2 58.425 36.604 95.029 1°  </w:t>
        <w:br/>
        <w:t xml:space="preserve">LOT 14 - 195 mln - CAL/SIC 57.850 36.580 94.430 1°  </w:t>
        <w:br/>
        <w:t>LOT 16 - 105 mln - ACC. CENTRO 57.975 35.830 93.805 1°</w:t>
      </w:r>
    </w:p>
    <w:p>
      <w:r>
        <w:t>74. The same situation is recorded for Romeo, with the number of lots for which an offer was submitted exactly equal to four (three ordinary and one accessory), that is, the maximum number of assignable lots. In the case of Romeo, the first position in the ranking was actually achieved only for three of these lots, while for the fourth lot (lot 10 corresponding to Central Rome), in the context mentioned above, Romeo's offer was surpassed by that of the ATI of Cofely-CSEL. The following table reports the details of the situation regarding Romeo.</w:t>
      </w:r>
    </w:p>
    <w:p>
      <w:r>
        <w:rPr>
          <w:b/>
        </w:rPr>
        <w:t>[Pages 25–27]</w:t>
      </w:r>
    </w:p>
    <w:p>
      <w:r>
        <w:t>BULLETIN NO. 19 OF MAY 13, 2019 27</w:t>
      </w:r>
    </w:p>
    <w:p>
      <w:r>
        <w:t>TABLE n. 6</w:t>
        <w:br/>
        <w:t>ROMEO</w:t>
        <w:br/>
        <w:t>POSITION IN</w:t>
        <w:br/>
        <w:t>TECHNICAL SCORE ECONOMIC SCORE TOTAL SCORE</w:t>
        <w:br/>
        <w:t>RANKING</w:t>
        <w:br/>
        <w:t>LOT 3 - 208 mln - LOM/ERO 53.775 36.350 90.125 1°</w:t>
        <w:br/>
        <w:t>LOT 10 - 143 mln - ROME CENTER 54.525 36.303 90.828 2°</w:t>
        <w:br/>
        <w:t>LOT 13 - 221 mln - CAM/BAS 60.000 36.400 96.400 1°</w:t>
        <w:br/>
        <w:t>LOT 18 - 180 mln - ACC. SOUTH 57.350 35.344 92.694 1°</w:t>
      </w:r>
    </w:p>
    <w:p>
      <w:r>
        <w:t>75. Lastly, the ATI Cofely-CSEL also submitted an offer for a limited number of lots (six) and ranked first in the two cases previously mentioned, for lot 10 (instead of Romeo) and lot 8 (where it surpassed the other ATI in which the STI group was present, that led by CNS). It should be noted that in the remaining four cases, the ATI led by Cofely consistently ranked second. In three of these four cases (lots 5, 15, and 16), this was due to a low economic score, which in turn resulted from offers with average discounts lower than those offered in the other lots, by about two percentage points concerning particularly important items that weigh for over 60% of the economic score47. In the remaining lot 11, the second position in the ranking is due to the technical score.</w:t>
      </w:r>
    </w:p>
    <w:p>
      <w:r>
        <w:t>As previously, the details related to the ATI Cofely-CSEL are reported in the following table.</w:t>
      </w:r>
    </w:p>
    <w:p>
      <w:r>
        <w:t>TABLE n. 7</w:t>
        <w:br/>
        <w:t>ATI COFELY</w:t>
        <w:br/>
        <w:t>POSITION IN</w:t>
        <w:br/>
        <w:t>TECHNICAL SCORE ECONOMIC SCORE TOTAL SCORE</w:t>
        <w:br/>
        <w:t>RANKING</w:t>
        <w:br/>
        <w:t>LOT 5 - 142 mln - ERO/VEN 56.041 34.122 90.163 2°</w:t>
        <w:br/>
        <w:t>LOT 8 - 90 mln - MAR/ABR/MOL 55.450 34.582 90.032 1°</w:t>
        <w:br/>
        <w:t>LOT 10 - 143 mln - ROME CENTER 57.150 35.130 92.280 1°</w:t>
        <w:br/>
        <w:t>LOT 11 - 247 mln - ROME 2 56.366 36.592 92.958 2°</w:t>
        <w:br/>
        <w:t>LOT 15 - 145 mln - ACC. NORTH 55.866 34.787 90.653 2°</w:t>
        <w:br/>
        <w:t>LOT 16 - 105 mln - ACC. CENTER 55.916 32.738 88.654 2°</w:t>
      </w:r>
    </w:p>
    <w:p>
      <w:r>
        <w:t>47 This particularly concerns the fees for cleaning services (weighing 12.2 points out of a total of 40), some maintenance services, and the informational prices of construction (weighing 10.9 points), as well as some deductibles (weighing 1.6 points).</w:t>
      </w:r>
    </w:p>
    <w:p>
      <w:r>
        <w:t>28 BULLETIN NO. 19 OF MAY 13, 2019</w:t>
      </w:r>
    </w:p>
    <w:p>
      <w:r>
        <w:t>76. Regarding the lots in which the ATI led by Cofely ranked second behind Manital Consorzio (lot 11 and lot 16), the following peculiarity is noted here. Following the exclusion from the tender of Manital Consorzio decided by the contracting authority Consip, the second-ranked parties in the four lots won by it - that is, the entities that would undoubtedly have benefited from the modification of the ranking itself - were: the ATI led by Cofely (the aforementioned lots 11 and 16), the ATI led by Dussmann (second in lot 2), and an ATI led by Guerrato S.p.a. (second in lot 14). However, in the appeal judgment before the Council of State proposed by the contracting authority against the first-instance ruling of re-admission of Manital Consorzio, the leading groups Dussmann and Guerrato intervened in support of Consip but not Cofely (which, unlike the other two companies, ranked second in two of the four affected lots).</w:t>
      </w:r>
    </w:p>
    <w:p>
      <w:r>
        <w:t>c) The additional lots in which the Parties could have submitted offers</w:t>
      </w:r>
    </w:p>
    <w:p>
      <w:r>
        <w:t>77. The number of lots for which the participating Parties in the agreement submitted offers in FM4 could, in general, have been higher.</w:t>
      </w:r>
    </w:p>
    <w:p>
      <w:r>
        <w:t>78. Initially, it is noted that, given the same capacity to meet the requirements, participation in the discarded lots could have been realized with a different combination of selected lots, given their different values.</w:t>
      </w:r>
    </w:p>
    <w:p>
      <w:r>
        <w:t>In any case, even considering the factual situation of the lots actually chosen, as well as the teams that actually participated in the tender (individual participation, in ATI with a certain number of components, in Consortia with a certain number of indicated consortium members)48, the Parties could have submitted offers in additional lots, for example, in the regions where during that period the highest share of facility management revenue was achieved. As illustrated below, the percentage of revenue generated there is always significant and, with reference to individual regions, never lower than 7% and reaching more than 40%.</w:t>
      </w:r>
    </w:p>
    <w:p>
      <w:r>
        <w:t>ATI CNS</w:t>
      </w:r>
    </w:p>
    <w:p>
      <w:r>
        <w:t>79. This is the case, for example, of the ATI led by CNS. In particular, the sole leader CNS "could have competed individually in other lots, in addition to those for which an offer was actually submitted," as indicated by itself (doc. XXIV.2720). Specifically, analyzing the data provided by CNS49, offers could have been submitted for two additional lots among the eighteen in which the tender was divided (multiple possible combinations are counted).</w:t>
      </w:r>
    </w:p>
    <w:p>
      <w:r>
        <w:t>80. In this regard, for example, observing the disaggregation by region of the national revenue achieved by CNS concerning facility management in the year 201350, it is noted how CNS</w:t>
      </w:r>
    </w:p>
    <w:p>
      <w:r>
        <w:t>48 For example, it could have been argued to expand the number of consortium members to be indicated in the tender or to create associative forms. The same President of Manital Consorzio, during a consortium assembly, when asked about the point, clarified regarding the FM4 tender "that, most likely, the quality of competitor will be held by the consortium (which will indicate the executing members) but that in any case, the form will be chosen, even associative if necessary, to allow participation in the maximum number of lots possible" (doc. VII.1244).</w:t>
      </w:r>
    </w:p>
    <w:p>
      <w:r>
        <w:t>49 Doc. XXIV.2720, doc. XXIV.2831.</w:t>
      </w:r>
    </w:p>
    <w:p>
      <w:r>
        <w:t>50 That is, the entire year closest to the deadline of the tender (July 2014).</w:t>
      </w:r>
    </w:p>
    <w:p>
      <w:r>
        <w:t>In any case, the results (both for CNS and for the other Parties) do not change significantly when considering, instead of just the year 2013, the two-year period 2012-2013 or the three-year period 2011-2013.</w:t>
      </w:r>
    </w:p>
    <w:p>
      <w:r>
        <w:t>BULLETIN NO. 19 OF MAY 13, 2019 29</w:t>
      </w:r>
    </w:p>
    <w:p>
      <w:r>
        <w:t>did not submit offers in four of the first five regions ordered in descending order of revenue51, where it generated approximately half of its total revenue. Specifically:</w:t>
        <w:br/>
        <w:t>* for part of Veneto (lot 5); in this lot, there would have been overlap with MFM52;</w:t>
        <w:br/>
        <w:t>* for part of Lazio (lots 10 and 11); in lot 10, there would have been overlap with Romeo while in lot 11 with Manital Consorzio (and with MFM whose offer, as seen, was clearly 'fictitious');</w:t>
        <w:br/>
        <w:t>* for Campania (lot 13); in this lot, there would have been overlap with Romeo;</w:t>
        <w:br/>
        <w:t>* for Sicily (lot 14); in this lot, there would have been overlap with Manital Consorzio.</w:t>
      </w:r>
    </w:p>
    <w:p>
      <w:r>
        <w:t>81. In support of the above, as will be seen, in the final memorandum53 the applicant CNS emphasized the "irrationality of the choices made in the offer" particularly also in terms of identifying the lots for participation.</w:t>
      </w:r>
    </w:p>
    <w:p>
      <w:r>
        <w:t>MFM</w:t>
      </w:r>
    </w:p>
    <w:p>
      <w:r>
        <w:t>82. A similar observation can be made for MFM. In this case, again analyzing the data provided54, an offer could have been submitted for an additional lot, also here with a wide range of choices (almost ten possibilities are counted).</w:t>
      </w:r>
    </w:p>
    <w:p>
      <w:r>
        <w:t>It should be noted that the revenue data for integrated services provided by MFM and considered for the purpose of meeting the participation requirements is the only revenue certified by the contracting authorities, and that MFM itself was unable to provide specific revenues for maintenance and cleaning services that could also have been used for participation in the tender.</w:t>
      </w:r>
    </w:p>
    <w:p>
      <w:r>
        <w:t>Upon closer inspection, therefore, the additional lot indicated here can be considered an underestimation.</w:t>
      </w:r>
    </w:p>
    <w:p>
      <w:r>
        <w:t>83. In this regard, for example, observing as before the disaggregation by region of the national revenue achieved by MFM concerning facility management in the year 2013, it is noted how MFM did not submit offers in all the first six regions ordered in descending order of revenue, where it generated approximately three-quarters of its total revenue. Specifically:</w:t>
        <w:br/>
        <w:t>- for part of Emilia Romagna (lots 3 and 6); in lot 3, there would have been overlap with Romeo (and with CNS whose offer, as seen, was clearly 'losing') while in lot 6 with CNS;</w:t>
        <w:br/>
        <w:t>- for Lombardy (lot 3); in this lot, there would have been overlap with Romeo (and with CNS whose offer was however 'losing');</w:t>
        <w:br/>
        <w:t>- for part of Tuscany (lot 6); in this lot, there would have been overlap with CNS;</w:t>
        <w:br/>
        <w:t>- for part of Lazio (lots 9 and 10); in lot 9, there would have been overlap with CNS while in lot 10 with Romeo;</w:t>
        <w:br/>
        <w:t>- for part of Veneto (lot 4); in this lot, there would have been overlap with CNS;</w:t>
      </w:r>
    </w:p>
    <w:p>
      <w:r>
        <w:t>51 The only region in this list where an offer was submitted (which was also, as seen, 'fictitious') is Lombardy (lot 3).</w:t>
      </w:r>
    </w:p>
    <w:p>
      <w:r>
        <w:t>52 Here, as in the subsequent paragraphs of the section, overlaps with the Parties to which almost all the lots put to tender were destined (CNS, MFM, Manital Consorzio, and Romeo) are reported.</w:t>
      </w:r>
    </w:p>
    <w:p>
      <w:r>
        <w:t>53 Doc. M.1.</w:t>
      </w:r>
    </w:p>
    <w:p>
      <w:r>
        <w:t>54 Doc. XXIV.2713, doc. XXIV.2826.</w:t>
      </w:r>
    </w:p>
    <w:p>
      <w:r>
        <w:t>55 Lot 3 is not among the various possible additional lots; this does not prevent it from being chosen among the original lots (those for which an offer was submitted) with a different combination.</w:t>
      </w:r>
    </w:p>
    <w:p>
      <w:r>
        <w:rPr>
          <w:b/>
        </w:rPr>
        <w:t>[Pages 28–30]</w:t>
      </w:r>
    </w:p>
    <w:p>
      <w:r>
        <w:t>30 BULLETIN NO. 19 OF MAY 13, 2019</w:t>
        <w:br/>
        <w:t>- for part of Piedmont (lot 2); in this lot there would have been overlap with Manital Consorzio.</w:t>
      </w:r>
    </w:p>
    <w:p>
      <w:r>
        <w:t>Manital Consorzio</w:t>
        <w:br/>
        <w:t>84. Manital Consorzio, processing the data it provided regarding the turnover of the member companies indicated as executors (including Manital)56, could have submitted an offer for an additional lot, also here with a wide range of choices57.</w:t>
        <w:br/>
        <w:t>85. Observing, as in previous cases, the disaggregation by region of the national turnover achieved by Manital Consorzio (disaggregation in line with that of the member Manital) with reference to facility management in 2013, it is noted that Manital Consorzio did not submit an offer in the first three regions ranked in descending order of turnover, where it achieved approximately 80% of its total turnover. Specifically:</w:t>
        <w:br/>
        <w:t>- for part of Lazio (lots 9 and 1058); in lot 9 there would have been overlap with CNS while in lot 10 with Romeo;</w:t>
        <w:br/>
        <w:t>- for Campania (lot 1359); in this lot there would have been overlap with Romeo;</w:t>
        <w:br/>
        <w:t>- for part of Piedmont (lot 1); in this lot there would have been overlap with MFM.</w:t>
        <w:br/>
        <w:t>86. In confirmation of the above, during the hearing with the Offices, Manital and Manital Consorzio emphasized the importance in terms of their operations - in addition to Piedmont, the city of Rome and Campania60 - also of Lombardy. However, no offer was submitted in Lombardy in FM4: this concerns lot 3, where there would have been overlap with Romeo (and with CNS whose offer, as seen, was clearly non-competitive). Regarding Rome Center (lot 10), during the hearing, Manital and Manital Consorzio indicated the objective of "consolidating their overall position in the city of Rome" (doc. XXII.2467) and for this reason an offer was submitted in FM3; however, as mentioned, no offer was submitted for this lot in FM4.</w:t>
        <w:br/>
        <w:t>87. Regarding further possibilities of participation in the tender, in their final memoranda61 Manital Consorzio and Manital argue that the Offices erred in their assertion about the possible additional lot, with a wide range of choices, particularly operating "in a completely apodictic manner and through a instrumental interpretation" of the turnover data provided by Manital Consorzio in the document it defined as "Second Response" (i.e. doc. XXIV.2715) and "without in any way evaluating and considering the information" provided by the companies in the document it defined as "First Response" (i.e. doc. XXII.2479).</w:t>
        <w:br/>
        <w:t>88. In this regard, it should be noted that to determine whether and to what extent the Manital Consortium could have submitted a greater number of offers, the turnover related to the sum of the turnovers individually achieved by the member companies indicated as executors was used (values reported in doc. XXII.2479 on the basis of which all calculations on the matter were conducted)62. In fact, upon closer inspection, the Parties in the cited document indicated an even higher number, equal to "two additional ordinary lots," as they also did in the subsequent infra-procedural memorandum (doc. XXIV.2741). However, such data, as well as the considerations made in the same final memorandum, do not take into account the tender rules regarding the composition of turnover, which the Offices instead considered, arriving at the conclusion of a result more favorable to the Parties themselves (one additional lot instead of two)63. Considering that the data underlying the calculations on the number of additional lots (one with a wide range of choices) derive from the turnover of the member companies indicated as executors, the total turnover of the Manital Consortium was used as an example in relation to the possible geographical areas where that additional lot could have materialized, logically considering the general areas of activity of the consortium that participated in the tender. In any case, since Manital is one of the indicated member companies (and certainly the main one), and since the data of Manital Consorzio is generally in line with those of Manital regarding the disaggregation by region of the national turnover, the reference to such data is absolutely relevant64.</w:t>
      </w:r>
    </w:p>
    <w:p>
      <w:r>
        <w:t>Romeo</w:t>
        <w:br/>
        <w:t>89. Similarly, Romeo, also using the turnover from maintenance and cleaning of its Consorzio Stabile Romeo Facility Services 2010, declared but not used, could have submitted offers for two additional lots65, according to the calculations on the provided data66.</w:t>
        <w:br/>
        <w:t>90. As before, observing the disaggregation by region of the national turnover achieved by Romeo with reference to facility management in 2013, it is noted, for example, that Romeo did not submit an offer in three of the first five regions ranked in descending order of turnover67, where it achieved approximately half of its total turnover. Specifically:</w:t>
        <w:br/>
        <w:t>- for part of Lazio (lot 9); in lot 9 there would have been overlap with CNS;</w:t>
        <w:br/>
        <w:t>- for Puglia (lot 12); in this lot there would have been overlap with CNS;</w:t>
        <w:br/>
        <w:t>- for part of Basilicata (lot 12); in lot 12 there would have been, as mentioned, overlap with CNS.</w:t>
        <w:br/>
        <w:t>91. In confirmation of this, during the hearing, Romeo itself stated that there are "other regions such as Puglia and Molise," where "the Company has always been present in the integrated management of real estate assets" (doc. XXIII.2654), but where nonetheless no offer was submitted for FM4.</w:t>
        <w:br/>
        <w:t>92. The circumstance that Romeo could have also offered on a greater number of lots, and that the decision to limit the lots on which to participate was aimed at not disrupting market balances, is also reflected in the transcription of some interceptions acquired from the criminal proceedings. Specifically regarding the region of Puglia, the individual at the head of the Romeo group (hereinafter Romeo, in relation to the interceptions) in December 2015 expressed himself in the following terms: "in the end I had four stores [the four lots awarded in FM3], now I have three because I gave up the store we had in Bari" (doc. XXII.2471)68. More generally, commenting on the confirmation by the Council of State of the provision of the Authority I-785 Consip Scuole, Romeo in October 2016 commented: "...and I said guys I read the sentence well ... heavy I said I am not interested in bothering the others MANUTENCOOP ... CNS ... etc. ... because this is a market we have to walk we have to move forward ... but you must not break a ** to me!", and again: "I have an interest in keeping the market standing but I said don't break the ** to me! Because as you see I do not go overboard because I do not go to participate in all the lots" (doc. XXII.2471)69.</w:t>
        <w:br/>
        <w:t>93. Regarding the additional lots for which an offer could have been submitted for FM4, Romeo argued that using the turnover of its consortium (Consorzio Stabile Romeo Facility Services 2010) would not have been a feasible solution, as it would have exposed the ATI to uncertainty related to the subsequent business developments of the members, which are small companies with modest individual turnovers70. This argument cannot be considered rational. First of all, because the lack of trust in the stability and reliability of one's ATI partner would logically render the very establishment of the ATI meaningless. In this specific case, moreover, it was a constituted consortium71,</w:t>
      </w:r>
    </w:p>
    <w:p>
      <w:r>
        <w:rPr>
          <w:b/>
        </w:rPr>
        <w:t>[Pages 31–33]</w:t>
      </w:r>
    </w:p>
    <w:p>
      <w:r>
        <w:t>BULLETIN NO. 19 OF MAY 13, 2019 33</w:t>
      </w:r>
    </w:p>
    <w:p>
      <w:r>
        <w:t>controlled72 and directed73 by the same Romeo, with which -according to established practice over time- Romeo has always participated in ATI in the Consip tenders74. Furthermore, the prior renunciation, for such a reason, to increase the chances of winning constitutes behavior that cannot be explained in terms of economic rationality. This is even more true in a case like FM4, which Romeo itself defines as a tender of fundamental importance for the company (“a tender deemed entirely strategic in relation to its full coherence with the company’s core business”), so much so that the first of the criteria for participation in the tender followed by Romeo and listed by it is the following: “to participate in the matter within its core business for the maximum number of lots allowed by the technical and economic requirements possessed by the company and required by the tender regulations”75.</w:t>
      </w:r>
    </w:p>
    <w:p>
      <w:r>
        <w:t>ATI Cofely</w:t>
      </w:r>
    </w:p>
    <w:p>
      <w:r>
        <w:t>94. Finally, regarding the ATI of Cofely, it expressly indicated that “considering the turnover of Cofely, it was deemed that, for it, there were no numerical limits to the possibility of submitting applications for all individual lots” (doc. XXIV.2723). In fact, only a part of the turnover related to maintenance services was declared during the tender (the part corresponding to certificates of proper execution of the works)76. As for the turnover from cleaning services, using the residual turnover of the four leading companies in the sector and the specific turnover of Cofely itself, the ATI could have submitted an offer for an additional lot, with a significant possibility of choice.</w:t>
      </w:r>
    </w:p>
    <w:p>
      <w:r>
        <w:t>95. Even in the case of the ATI of Cofely, observing the disaggregation by region of the national turnover achieved by Cofely with reference to facility management in the year 2013, it is noted, for example, that Cofely did not submit an offer in any of the first five regions ordered in descending order of turnover (beyond the city of Rome), where it generated approximately three-quarters of its total turnover. Specifically:</w:t>
        <w:br/>
        <w:t>- for Tuscany (lot 6 and lot 7); in these lots there would have been overlap respectively with CNS and MFM;</w:t>
        <w:br/>
        <w:t>- for Lombardy (lot 377); in this lot there would have been overlap with Romeo (and with CNS whose offer was however ‘to lose’);</w:t>
        <w:br/>
        <w:t>- for part of Lazio (lot 9); in this lot there would have been overlap with CNS;</w:t>
        <w:br/>
        <w:t>- for Piedmont (lot 178 and lot 2); in these lots there would have been overlap respectively with MFM and Manital Consorzio;</w:t>
        <w:br/>
        <w:t>72 Specifically from the company Romeo Immobiliare S.p.a. (formerly S.r.l.), in turn controlled by Romeo Partecipazioni (cf. the section in fact relating to the description of the Parties).</w:t>
        <w:br/>
        <w:t>73 The Romeo consortia operate “under the project and management coordination of Romeo” (doc. XXIV.2708; cf. the section in fact relating to the description of the Parties).</w:t>
        <w:br/>
        <w:t>74 Consortium “of its exclusive reference [...] its exclusive operational support arm, instrumental vehicle of support [that] operates exclusively as a mandate of Romeo in the Consip contracts for which a specific ATI was established” (doc. XXIV.2708; cf. the section in fact relating to the description of the Parties).</w:t>
        <w:br/>
        <w:t>75 Doc. XXIV.2708.</w:t>
        <w:br/>
        <w:t>76 Doc. XXIV.2824.</w:t>
        <w:br/>
        <w:t>77 Lot 3 is not among the various possible additional lots; this does not preclude that it could have been chosen among the original lots (those for which an offer was submitted) with a different combination.</w:t>
      </w:r>
    </w:p>
    <w:p>
      <w:r>
        <w:t>BULLETIN NO. 19 OF MAY 13, 2019 34</w:t>
      </w:r>
    </w:p>
    <w:p>
      <w:r>
        <w:t>- for Sicily (lot 1479); in this lot there would have been overlap with Manital Consorzio.</w:t>
      </w:r>
    </w:p>
    <w:p>
      <w:r>
        <w:t>96. Supporting the above observations regarding the ATI of Cofely are also some examples of the documentary evidence acquired during the inspection. An email from Cofely dated April 1, 201480 calculates the required turnover requirements assuming participation in seven lots (numbers 1-4-6-8-9-11-16), requirements that are thus within the reach of the ATI. These lots only partially coincide with the six then offered (numbers 5-8-10-11-15-16); simulations of participation were therefore also carried out on the four lots 1-4-6-9 that were later discarded. On April 13,81 Cofely conducted simulations of economic offers concerning lots 1-2-4-5 (and thus in this case lots 1-2-4 will ultimately be discarded). On May 1, 2014, an internal email at Cofely expressly considers offering for at least six lots (the total number that will actually result), judging it possible to add two more due to the invariance of costs: “as you can deduce from the list of lots, an ‘aggressive’ hypothesis would lead to: A) making an offer for at least 6 lots, but we are also thinking of adding two more (the offer cost does not change)” (doc. XIV.1723; in this case, the seven lots 3-6-10-11-12-15-17 were under evaluation and thus lots 3-6-12-17 were ultimately discarded).</w:t>
      </w:r>
    </w:p>
    <w:p>
      <w:r>
        <w:t>97. In its final memorandum82, CSEL contested the possibility for the ATI of which it is a principal to offer in an additional lot, as the use of Cofely's turnover related to cleaning services, necessary to achieve this result, would have entailed “the risk of possible exclusion from the tender” due to the mismatch that would thus have arisen between the company possessing the requirements and the one that would have performed the service (Cofely would have carried out maintenance services and not cleaning). In response to this argument, it suffices to observe that, even if such a risk were real, the establishment of a vertical-type ATI is a choice of the members of the grouping; the latter could have been set up as a horizontal-type ATI, thus allowing the turnover of all components to be used without any risk of exclusion, including that of Cofely for cleaning services, which it would then have performed pro-rata (having the capacity as it had turnover from activities carried out in the past). Moreover, in any case, the possibility of submitting an offer for an additional lot was not contested by the leading member of the grouping, the directly concerned Cofely.</w:t>
      </w:r>
    </w:p>
    <w:p>
      <w:r>
        <w:t>d) The comparison with the lots offered and awarded in previous editions of the FM tender</w:t>
      </w:r>
    </w:p>
    <w:p>
      <w:r>
        <w:t>98. In the tables that follow, for each Party, the lots and their respective geographical areas for which an offer was made are reported, as well as the lots that were possibly awarded, in relation to the previous editions of the facility management tender, namely the editions called FM1 (of 2005), FM2 (of 2008), and FM3 (of 2010).</w:t>
        <w:br/>
        <w:t>78 Lot 1 is not among the various possible additional lots; this does not preclude that it could have been chosen among the original lots (those for which an offer was submitted) with a different combination.</w:t>
        <w:br/>
        <w:t>79 Lot 14 is not among the various possible additional lots; this does not preclude that it could have been chosen among the original lots (those for which an offer was submitted) with a different combination.</w:t>
        <w:br/>
        <w:t>80 Doc. XIV.1708.</w:t>
        <w:br/>
        <w:t>81 Doc. XIV.1709.</w:t>
        <w:br/>
        <w:t>82 Doc. M.6.</w:t>
      </w:r>
    </w:p>
    <w:p>
      <w:r>
        <w:t>BULLETIN NO. 19 OF MAY 13, 2019 35</w:t>
      </w:r>
    </w:p>
    <w:p>
      <w:r>
        <w:t>99. From a comparative analysis with the fourth edition under examination here, FM4, the elements described in the following sections emerge, particularly relating to: the possibility of submitting offers across the entire national territory; the maintenance of their territoriality by Manital Consorzio and Romeo, operators characterized by the highest level of incumbency in the sector; the substantial elimination in FM4 of the high level of overlap among competitors that was recorded in all previous editions of the FM tender.</w:t>
      </w:r>
    </w:p>
    <w:p>
      <w:r>
        <w:t>d.1) Geographic continuity as a non-essential element in the identification of offer lots</w:t>
      </w:r>
    </w:p>
    <w:p>
      <w:r>
        <w:t>100. From the comparison between the offer lots of previous editions and the offer lots for FM4, it is possible to observe how the major operators in the sector have directed their offers across the entire national territory. These are particularly the cases of CNS and MFM as well as Cofely, Siram, and Dussmann, for which the offers submitted for FM4 cannot be traced back either to the lots where they were outgoing awardees (which are significantly fewer, at most equal to one), nor to the territories where these operators had submitted offers in previous editions of the tender.</w:t>
      </w:r>
    </w:p>
    <w:p>
      <w:r>
        <w:t>101. In the case of CNS –the leading member of the ATI for FM4- the choice made for FM4 shows no continuity with the historical offers submitted in previous editions of the FM tender, except in a minority of cases. As emerges from the following table, in fact, the regions that have always been present in CNS's offers in previous editions of the tender are the following: Aosta Valley, Piedmont, Lombardy, Lazio (excluding Rome), Sardinia, Rome non-Center, Sicily, and Calabria. Conversely, in the FM4 tender, the ATI of CNS submitted offers in the ordinary lots for the regions Trentino Alto Adige, Veneto, and Friuli Venezia Giulia (lot 4), Tuscany, Emilia Romagna, and Marche (lot 6), Marche, Abruzzo, and Molise (lot 8), Puglia and Basilicata (lot 12), Lombardy and Emilia Romagna (lot 3), and Lazio and Sardinia (lot 9). The only overlaps with the intersection set of previous editions are, therefore, only related to part of lot 3 (Lombardy) and lot 9 (Lazio and Sardinia).</w:t>
      </w:r>
    </w:p>
    <w:p>
      <w:r>
        <w:t>102. The following table also shows how in previous editions of the facility management tender Siram has always participated in ATI with CNS and with the STI group, and how therefore it is for the first time with FM4 that Siram is no longer part of such ATI (the ATI for FM4 was indeed, as is known, that formed by CNS and Exitone with Kuadra).</w:t>
      </w:r>
    </w:p>
    <w:p>
      <w:r>
        <w:rPr>
          <w:b/>
        </w:rPr>
        <w:t>[Pages 34–36]</w:t>
      </w:r>
    </w:p>
    <w:p>
      <w:r>
        <w:t>BULLETIN NO. 19 OF MAY 13, 2019 36</w:t>
      </w:r>
    </w:p>
    <w:p>
      <w:r>
        <w:t>TABLE n. 8</w:t>
        <w:br/>
        <w:t>FM3 FM2 FM1</w:t>
        <w:br/>
        <w:t>(announced on July 13, 2010) (announced on February 15, 2008) (announced on December 28, 2005)</w:t>
        <w:br/>
        <w:t>(12 lots for tender, maximum 4 awardable) (12 lots for tender, no limits on awards) (12 lots for tender, no limits on awards)</w:t>
        <w:br/>
        <w:t>Offer lots Awarded lots Offer lots Awarded lots Offer lots Awarded lots</w:t>
        <w:br/>
        <w:t>Lot 1 - Aosta Valley and Lot 7 - Lazio (Rome Lot 1 - Piedmont and Lot 1 - Piedmont and</w:t>
        <w:br/>
        <w:t>Lot 2 - Lombardy Lot 2 - Lombardy</w:t>
        <w:br/>
        <w:t>Piedmont excluded) and Sardinia Aosta Valley Aosta Valley</w:t>
        <w:br/>
        <w:t>Lot 4 - Emilia Lot 4 - Emilia</w:t>
        <w:br/>
        <w:t>Lot 2 - Lombardy Lot 2 - Lombardy Lot 2 - Lombardy</w:t>
        <w:br/>
        <w:t>Romagna and Liguria Romagna and Liguria</w:t>
        <w:br/>
        <w:t>Lot 7 - Lazio (Rome Lot 4 - Emilia Lot 7 - Lazio (Rome Lot 4 - Emilia</w:t>
        <w:br/>
        <w:t>excluded) and Sardinia Romagna and Liguria excluded) and Sardinia Romagna and Liguria</w:t>
        <w:br/>
        <w:t>CNS (in ATI</w:t>
        <w:br/>
        <w:t>Lot 9 - Rome 2 (not Lot 7 - Lazio (Rome Lot 7 - Lazio (Rome</w:t>
        <w:br/>
        <w:t>with Siram and</w:t>
        <w:br/>
        <w:t>excluded) and Sardinia excluded) and Sardinia</w:t>
        <w:br/>
        <w:t>Exitone/STI)</w:t>
        <w:br/>
        <w:t>Lot 12 - Sicily and Lot 9 - Rome 2 (not</w:t>
        <w:br/>
        <w:t>Lot 8 - Rome Center</w:t>
        <w:br/>
        <w:t>Calabria Center)</w:t>
        <w:br/>
        <w:t>Lot 9 - Rome 2 (not Lot 12 - Sicily and</w:t>
        <w:br/>
        <w:t>Center) Calabria</w:t>
        <w:br/>
        <w:t>Lot 10 - Campania and</w:t>
        <w:br/>
        <w:t>Basilicata</w:t>
        <w:br/>
        <w:t>Lot 11 - Molise and</w:t>
        <w:br/>
        <w:t>Apulia</w:t>
        <w:br/>
        <w:t>Lot 12 - Sicily and</w:t>
        <w:br/>
        <w:t>Calabria</w:t>
      </w:r>
    </w:p>
    <w:p>
      <w:r>
        <w:t>103. The situation regarding MFM is similar and is reported in the table that follows. In this case, in fact, the regions included in the offer lots in FM4 present only marginal overlaps with the offers historically submitted by MFM in the other editions of the tender. Of the four ordinary offer lots for FM4, in fact, only lot 7 (Umbria and Tuscany) is in line with past choices, while in the remaining lots MFM had never (lot 1 – Liguria and Piedmont, the part of lot 5 relating to Emilia Romagna) or almost never (lot 11 – Rome 2) submitted an offer previously.</w:t>
      </w:r>
    </w:p>
    <w:p>
      <w:r>
        <w:t>TABLE n. 9</w:t>
        <w:br/>
        <w:t>FM3 FM2 FM1</w:t>
        <w:br/>
        <w:t>(announced on July 13, 2010) (announced on February 15, 2008) (announced on December 28, 2005)</w:t>
        <w:br/>
        <w:t>(12 lots for tender, maximum 4 awardable) (12 lots for tender, no limits on awards) (12 lots for tender, no limits on awards)</w:t>
        <w:br/>
        <w:t>Offer lots Awarded lots Offer lots Awarded lots Offer lots Awarded lots</w:t>
        <w:br/>
        <w:t>Lot 3 - Trentino, Lot 5 - Tuscany and Lot 3 - Trentino, Lot 3 - Trentino, Lot 5 - Tuscany and</w:t>
        <w:br/>
        <w:t>MFM Veneto and Friuli Umbria Veneto and Friuli Veneto and Friuli Umbria</w:t>
        <w:br/>
        <w:t>(lead company Lot 5 - Tuscany and Lot 5 - Tuscany and Lot 5 - Tuscany and Lot 6 - Abruzzo and</w:t>
        <w:br/>
        <w:t>in ATI with Umbria Umbria Umbria Marche</w:t>
        <w:br/>
        <w:t>other companies) Lot 6 - Abruzzo and Lot 6 - Abruzzo and Lot 6 - Abruzzo and</w:t>
        <w:br/>
        <w:t>Marche Marche Marche</w:t>
        <w:br/>
        <w:t>Lot 9 - Rome 2 (not Lot 12 - Sicily and</w:t>
        <w:br/>
        <w:t>Center) Calabria</w:t>
        <w:br/>
        <w:t>Lot 11 - Molise and</w:t>
        <w:br/>
        <w:t>Apulia</w:t>
      </w:r>
    </w:p>
    <w:p>
      <w:r>
        <w:t>104. Similarly, for Cofely, the historical nature of the offers does not play a decisive role. For the FM4 tender, in fact, Cofely did not submit an offer for the ordinary lots in any of the regions where it had always submitted offers in previous editions (Trentino Alto Adige, Veneto, Friuli Venezia Giulia, Tuscany, Umbria, Molise, and Apulia), except for two exceptions relating to parts of the lot83, as shown in the following table.</w:t>
      </w:r>
    </w:p>
    <w:p>
      <w:r>
        <w:t>TABLE n. 10</w:t>
        <w:br/>
        <w:t>FM3 FM2 FM1</w:t>
        <w:br/>
        <w:t>(announced on July 13, 2010) (announced on February 15, 2008) (announced on December 28, 2005)</w:t>
        <w:br/>
        <w:t>(12 lots for tender, maximum 4 awardable) (12 lots for tender, no limits on awards) (12 lots for tender, no limits on awards)</w:t>
        <w:br/>
        <w:t>Offer lots Awarded lots Offer lots Awarded lots Offer lots Awarded lots</w:t>
        <w:br/>
        <w:t>Lot 3 - Trentino, Lot 3 - Trentino, Lot 1 - Piedmont and Lot 5 - Tuscany and Lot 1 - Piedmont and</w:t>
        <w:br/>
        <w:t>Veneto and Friuli Veneto and Friuli Valle d'Aosta Umbria Valle d'Aosta</w:t>
        <w:br/>
        <w:t>Lot 5 - Tuscany and Lot 3 - Trentino, Lot 6 - Abruzzo and</w:t>
        <w:br/>
        <w:t>Cofely (in ATI Lot 2 - Lombardy</w:t>
        <w:br/>
        <w:t>Umbria Veneto and Friuli Marche</w:t>
        <w:br/>
        <w:t>with various</w:t>
        <w:br/>
        <w:t>Lot 10 - Campania and Lot 5 - Tuscany and Lot 3 - Trentino,</w:t>
        <w:br/>
        <w:t>companies, including</w:t>
        <w:br/>
        <w:t>Basilicata Umbria Veneto and Friuli</w:t>
        <w:br/>
        <w:t>Dussmann for</w:t>
        <w:br/>
        <w:t>Lot 11 - Molise and Lot 6 - Abruzzo and Lot 5 - Tuscany and</w:t>
        <w:br/>
        <w:t>FM1; for FM1</w:t>
        <w:br/>
        <w:t>Apulia Marche Umbria</w:t>
        <w:br/>
        <w:t>and FM2 have</w:t>
        <w:br/>
        <w:t>Lot 7 - Lazio (Rome Lot 6 - Abruzzo and</w:t>
        <w:br/>
        <w:t>participated</w:t>
        <w:br/>
        <w:t>excluded) and Sardinia Marche</w:t>
        <w:br/>
        <w:t>Cofathec and</w:t>
        <w:br/>
        <w:t>Lot 8 - Rome Center Lot 8 - Rome Center</w:t>
        <w:br/>
        <w:t>Elyo, later merged</w:t>
        <w:br/>
        <w:t>Lot 11 - Molise and Lot 9 - Rome 2 (not</w:t>
        <w:br/>
        <w:t>in Cofely)</w:t>
        <w:br/>
        <w:t>Apulia Center)</w:t>
        <w:br/>
        <w:t>Lot 12 - Sicily and Lot 10 - Campania and</w:t>
        <w:br/>
        <w:t>Calabria Basilicata</w:t>
        <w:br/>
        <w:t>Lot 11 - Molise and</w:t>
        <w:br/>
        <w:t>Apulia</w:t>
        <w:br/>
        <w:t>Lot 12 - Sicily and</w:t>
        <w:br/>
        <w:t>Calabria</w:t>
      </w:r>
    </w:p>
    <w:p>
      <w:r>
        <w:t>83 The part of lot 5 relating to Veneto and the part of lot 8 relating to Molise.</w:t>
      </w:r>
    </w:p>
    <w:p>
      <w:r>
        <w:t>BULLETIN NO. 19 OF MAY 13, 2019 38</w:t>
      </w:r>
    </w:p>
    <w:p>
      <w:r>
        <w:t>106. The two companies have participated in previous editions of the tender always in different groupings, so the most interesting comparison can be made with the most recent edition (FM3). In this case, Dussmann and Siram have significantly expanded their scope, submitting offers in FM4 in many regions previously not covered by either (Liguria, Emilia Romagna, Veneto, Umbria, Tuscany, Marche, Abruzzo, Molise, Apulia, Basilicata).</w:t>
      </w:r>
    </w:p>
    <w:p>
      <w:r>
        <w:t>107. The above indicates, in relation to the absence of significant obstacles for large operators in the sector such as the Parties to vary, adapt, and expand their offers geographically throughout the national territory, is confirmed by the analysis carried out by another participant in the FM4 tender, the Consorzio Leonardo Servizi Consorzio Stabile, hereinafter referred to as Consorzio Leonardo (which in ATI with other companies submitted an offer, among others, in lot 10 of Rome Center). According to the statements made in the minutes during the inspection, in fact, “territorial presence is a factor that has a decidedly lesser impact for multinational groups active in the Italian territory as well as for national companies that, due to their economic size, have a structure comparable to that of multinationals. In fact, precisely in consideration of these characteristics, these subjects have fewer constraints in identifying the lots for which to submit offers in the context of the tenders in question”84.</w:t>
      </w:r>
    </w:p>
    <w:p>
      <w:r>
        <w:t>108. For example, CSEL indicated in the inspection minutes that CSEL itself for FM4 “was able to participate throughout the national territory, having the necessary territorial structures” (doc. XXIII.2519). Furthermore, the ATI Cofely-CSEL, before finalizing the decision on the offer lots, considered the option of participating in the six lots of the highest value, regardless of their geographical location85.</w:t>
      </w:r>
    </w:p>
    <w:p>
      <w:r>
        <w:t>109. Also as evidence of the lack of a necessary link with previous geographical presence, some Parties adopted the strategy of submitting offers in territories where they were not already present. This is the case of Cofely, which during the inspection stated in the minutes that “given that the company is active throughout the national territory, and therefore in theory is able to participate in all geographical lots, it submitted offers in the 6 lots that corresponded to the territorial areas where the company was at that moment in a state of commercial distress” (doc. XIV.1682). In particular, in relation to the ordinary lots in which it submitted offers, Cofely specified that this state of distress was due to the lack of presence in the relevant territories86.</w:t>
      </w:r>
    </w:p>
    <w:p>
      <w:r>
        <w:t>110. Conversely, beyond the defense of revenue and potentially surplus workers for the specific case of the lots in the city of Rome87, Cofely itself did not, for example, submit an offer for the lots in the city of Rome, and particularly for Rome Center, there are also organizational advantages and significant cost savings: in fact, “cleaners are more structured in metropolitan realities like Rome rather than in more dispersed geographical realities, where they do not achieve the same advantages in terms of efficiencies, times of</w:t>
      </w:r>
    </w:p>
    <w:p>
      <w:r>
        <w:rPr>
          <w:b/>
        </w:rPr>
        <w:t>[Pages 37–39]</w:t>
      </w:r>
    </w:p>
    <w:p>
      <w:r>
        <w:t>BULLETIN NO. 19 OF MAY 13, 2019 39</w:t>
      </w:r>
    </w:p>
    <w:p>
      <w:r>
        <w:t>offer for lot 12 (Puglia and Basilicata) as the company already had existing contracts in Puglia; in fact, “in general, the Company tends not to submit offers in areas where there is already an abundance of existing contracts and where the corporate structure is therefore already heavily engaged; this is because growing too much in a geographical area leads to operational and organizational problems for the Company” (hearing minutes, doc. XXII.2488)88.</w:t>
      </w:r>
    </w:p>
    <w:p>
      <w:r>
        <w:t>111. Similarly, it is noted for Dussmann, which in the inspection report stated that large operators (such as the Parties, as seen) do not have particular problems in submitting offers on a large number of lots, with the evident aim of maximizing the chances of winning89. The Dussmann-Siram ATI submitted an offer for FM4 on as many as eleven lots, where in fact it was not present (only Siram was the outgoing awardee of a single lot). The criterion followed was “to try to cover, through the Company's network of territorial branches, the entire national territory” (doc. XXII.2469).</w:t>
      </w:r>
    </w:p>
    <w:p>
      <w:r>
        <w:t>112. Siram also confirmed the above during the hearing with the Offices, where it expressly indicated that for some lots the criterion was followed “to submit offers in territories where the ATI companies were not present with a view to growth and commercial expansion” (doc. XXIII.2685). Siram had already indicated the same during the inspection90, also stating in the minutes at that time that, regarding the costs of preparing the offers, the most significant amount derives from the creation of a master offer for the sample lot and that, therefore, participation in many lots does not incur a cost that increases exponentially with the number of lots, as the same master is always used91.</w:t>
      </w:r>
    </w:p>
    <w:p>
      <w:r>
        <w:t>113. In conclusion of this section, it is worth noting how the elaborations reported in the previous section, relating to the disaggregation by region of national facility management revenues for the year 2013, represent an additional element supporting the arguments made here, regarding the non-determinative relevance of the aspect concerning the prior presence of the Parties in a given territory. Indeed, the analysis conducted revealed many regions where the revenue achieved was significant, but where nevertheless no offer was submitted for FM4.</w:t>
      </w:r>
    </w:p>
    <w:p>
      <w:r>
        <w:t>114. On the other hand, also confirming the absence of significant obstacles (at least for large operators such as the Parties) to modulating the offer from a geographical point of view regardless of prior presence and organizational structure, it is worth considering the existence of the so-called social clause for personnel in the facility management sector. This clause facilitates both the outgoing manager, who does not have to bear the cost of relocating its personnel at the end of the contract, and the incoming manager, who can penetrate a new territory using the personnel already present there, thus ultimately facilitating the territorial mobility of operators in the sector. This circumstance was particularly illustrated by Romeo92, by Manital, and by Manital Consorzio93 during the hearing with the Offices.</w:t>
      </w:r>
    </w:p>
    <w:p>
      <w:r>
        <w:t>115. Some Parties, in their concluding arguments, downplayed the relevance of the so-called social clause, arguing that it does not have a general value and is not universally applicable to all categories of workers in the sector (thus Cofely in its final memorandum)94, or arguing that it “does not impose any obligation on the winning company of a public contract to automatically and generally hire the personnel already used” by the previous supplier and does not resolve the problem of having operational structures in the territory (thus Manital Consorzio and Manital in the final hearing and in their final memoranda95). The circumstance of the lack of generalized application, even if verified on a case-by-case basis in relation to the specific situations of all workers of each company, does not undermine the general value of the social clause as a facilitating factor for the territorial mobility of operators in the sector, at least favoring the availability of some of the necessary workers who, especially in the case of cleaning staff and maintenance workers, are a fundamental productive input for the operation of a company in the sector. It is also noted that the fact that there would not be an “obligation” but rather a faculty for the winning company is, indeed, an element that further facilitates the latter, which would thus have greater choices. It is also noted that, moreover, the social clause is only one of many elements presented in this section in support of what has been illustrated.</w:t>
      </w:r>
    </w:p>
    <w:p>
      <w:r>
        <w:t>d.2) The position of Manital Consorzio and Romeo</w:t>
      </w:r>
    </w:p>
    <w:p>
      <w:r>
        <w:t>116. Manital Consorzio and Romeo have a peculiar position in the context under examination, as operators with the highest level of incumbency in the market, having been awarded a significant number of lots since the first editions of the FM tender (most recently, in the case of FM3, Manital Consorzio and Romeo collectively won seven of the twelve total lots). Conducting the analysis of the lots from previous editions of the FM tender as before (see following tables), it is observed how the two incumbents in question have gradually oriented their offers to always cover the territories where they were outgoing awardees, and how they have always been confirmed as awardees.</w:t>
      </w:r>
    </w:p>
    <w:p>
      <w:r>
        <w:t>TABLE n. 12 - MANITAL CONSORZIO</w:t>
        <w:br/>
        <w:t>FM3 FM2 FM1</w:t>
        <w:br/>
        <w:t>(tendered on July 13, 2010) (tendered on February 15, 2008) (tendered on December 28, 2005)</w:t>
        <w:br/>
        <w:t>(12 lots in tender, maximum 4 awardable) (12 lots in tender, no limits on awards) (12 lots in tender, no limits on awards)</w:t>
        <w:br/>
        <w:t>Offer lots Awarded lots Offer lots Awarded lots Offer lots Awarded lots</w:t>
        <w:br/>
        <w:t>Lot 1 - Valle d'Aosta and Lot 1 - Piemonte and Lot 1 - Piemonte and Lot 1 - Piemonte and Lot 1 - Piemonte and</w:t>
        <w:br/>
        <w:t>Piemonte Valle d'Aosta Valle d'Aosta Valle d'Aosta Valle d'Aosta</w:t>
        <w:br/>
        <w:t>Lot 9 - Roma 2 (not Lot 9 - Roma 2 (not</w:t>
        <w:br/>
        <w:t>Lot 8 - Roma Centro Lot 2 - Lombardia Lot 2 - Lombardia</w:t>
        <w:br/>
        <w:t>Centro) Centro)</w:t>
        <w:br/>
        <w:t>Lot 9 - Roma 2 (not Lot 12 - Sicilia and Lot 9 - Roma 2 (not Lot 12 - Sicilia and Lot 10 - Campania and</w:t>
        <w:br/>
        <w:t>Manital</w:t>
        <w:br/>
        <w:t>Centro) Calabria Centro) Calabria Basilicata</w:t>
        <w:br/>
        <w:t>Lot 12 - Sicilia and Lot 10 - Campania and Lot 11 - Molise and</w:t>
        <w:br/>
        <w:t>Calabria Basilicata Puglia</w:t>
        <w:br/>
        <w:t>Lot 12 - Sicilia and Lot 12 - Sicilia and</w:t>
        <w:br/>
        <w:t>Calabria Calabria</w:t>
      </w:r>
    </w:p>
    <w:p>
      <w:r>
        <w:t>TABLE n. 13 - ROMEO</w:t>
        <w:br/>
        <w:t>FM3 FM2 FM1</w:t>
        <w:br/>
        <w:t>(tendered on July 13, 2010) (tendered on February 15, 2008) (tendered on December 28, 2005)</w:t>
        <w:br/>
        <w:t>(12 lots in tender, maximum 4 awardable) (12 lots in tender, no limits on awards) (12 lots in tender, no limits on awards)</w:t>
        <w:br/>
        <w:t>Offer lots Awarded lots Offer lots Awarded lots Offer lots Awarded lots</w:t>
        <w:br/>
        <w:t>Romeo (in ATI Lot 2 - Lombardia Lot 2 - Lombardia Lot 8 - Roma Centro Lot 8 - Roma Centro Lot 8 - Roma Centro Lot 8 - Roma Centro</w:t>
        <w:br/>
        <w:t>with its own</w:t>
        <w:br/>
        <w:t>Lot 10 - Campania and Lot 10 - Campania and Lot 10 - Campania and Lot 10 - Campania and</w:t>
        <w:br/>
        <w:t>Consortium) Lot 8 - Roma Centro Lot 8 - Roma Centro</w:t>
        <w:br/>
        <w:t>Basilicata Basilicata Basilicata Basilicata</w:t>
        <w:br/>
        <w:t>Lot 10 - Campania and Lot 10 - Campania and Lot 11 - Molise and Lot 11 - Molise and Lot 11 - Molise and Lot 11 - Molise and</w:t>
        <w:br/>
        <w:t>Basilicata Basilicata Puglia Puglia Puglia Puglia</w:t>
        <w:br/>
        <w:t>Lot 11 - Molise and Lot 11 - Molise and</w:t>
        <w:br/>
        <w:t>Puglia Puglia</w:t>
      </w:r>
    </w:p>
    <w:p>
      <w:r>
        <w:t>117. Unlike the other Parties, therefore, Manital Consorzio and Romeo, upon reaching the FM4 edition, primarily needed to maintain and oversee the territories now 'pertaining' to them and not to expand, as the latter option was in any case hindered by the existing limit on the maximum number of awardable lots.</w:t>
      </w:r>
    </w:p>
    <w:p>
      <w:r>
        <w:rPr>
          <w:b/>
        </w:rPr>
        <w:t>[Pages 40–42]</w:t>
      </w:r>
    </w:p>
    <w:p>
      <w:r>
        <w:t>42 BULLETIN NO. 19 OF MAY 13, 2019</w:t>
        <w:br/>
        <w:t>The offers submitted for FM4 by the major incumbents Manital Consorzio and Romeo reflect, in fact, the areas already subject to the previous award of FM3, and such offers invariably rank first in the classification96.</w:t>
      </w:r>
    </w:p>
    <w:p>
      <w:r>
        <w:t>118. However, from the comparison with past editions, significant differences emerge, also in light of other documentary evidence from the Proceedings. In fact, regarding Manital Consorzio, it is noted that in the FM4 tender - for the first time - the company limited itself territorially to the geographical areas where it was previously awarded. As for Romeo, the company, during the FM4 tender, renounced - for the first time - to submit an offer in a lot where it had previously been awarded (the regions of Puglia and Molise). Furthermore, both for Manital Consorzio and for Romeo, it is also during FM4 that - again for the first time - their respective offers never overlapped either with each other or with those of the other two main competitors (taking into account the above observations regarding the 'losing' offers of CNS and MFM for lots 3 and 11).</w:t>
      </w:r>
    </w:p>
    <w:p>
      <w:r>
        <w:t>d.3) The absence of overlaps in FM4 compared to previous tender editions</w:t>
        <w:br/>
        <w:t>119. The result of the collusive scheme implemented for FM4 is a level of overlaps among the main operators that is absolutely incomparable to what was recorded in previous editions of the FM tender for facility management. As seen, in fact, for the case of FM4, the overlap among the ATI of CNS, MFM, Manital Consorzio, and Romeo is effectively zero in the eighteen lots put to tender (the only two overlaps are, in fact, related to the clearly non-competitive offers of CNS for lot 3 and of MFM for lot 11). Conversely, for the previous editions of the FM tender, narrowing the analysis to the four operators mentioned above (ATI of CNS, MFM, Manital Consorzio, and Romeo), the overlaps among them are significantly greater97.</w:t>
      </w:r>
    </w:p>
    <w:p>
      <w:r>
        <w:t>120. Considering the total number of lots put to tender in the various editions of FM, the situation can be summarized in the table below, where the drastic decrease in overlaps among the Parties in question recorded in FM4 emerges clearly (from an average of 50% in the first three editions to, at most, 11% in FM4).</w:t>
      </w:r>
    </w:p>
    <w:p>
      <w:r>
        <w:t>96 Except for the specific issue of lot 10.</w:t>
        <w:br/>
        <w:t>97 In the case of the FM1 edition, in detail, CNS, Manital, and Romeo had various overlaps in lots 1, 2, 10, 11, and 12. In the case of the FM2 edition, instead, CNS, MFM, Manital, and Romeo had various overlaps in lots 1, 2, 8, 9, 10, 11, and 12. In the case of the FM3 edition, finally, CNS, MFM, Manital, and Romeo had various overlaps in lots 1, 2, 8, 9, 11, and 12.</w:t>
      </w:r>
    </w:p>
    <w:p>
      <w:r>
        <w:t>BULLETIN NO. 19 OF MAY 13, 2019 43</w:t>
        <w:br/>
        <w:t>TABLE n. 14</w:t>
        <w:br/>
        <w:t># lots with overlaps %</w:t>
        <w:br/>
        <w:t># total lots (B)</w:t>
        <w:br/>
        <w:t>(A) (A/B)</w:t>
        <w:br/>
        <w:t>FM1 5 12 42%</w:t>
        <w:br/>
        <w:t>FM2 7 12 58%</w:t>
        <w:br/>
        <w:t>FM3 6 12 50%</w:t>
        <w:br/>
        <w:t>FM4 2 [effectively 0] 18 11% [0%]</w:t>
      </w:r>
    </w:p>
    <w:p>
      <w:r>
        <w:t>121. It should also be noted that, while the two overlaps in FM4 (which are 'fictitious') were both between only two operators, in FM2 and FM3 some of the recorded overlaps involved three operators. In order to also take this into account, for completeness of analysis, the following table measures the effects of this aspect, calculating the percentage of overlaps in terms of the number of overlapping offers relative to the total number of offers submitted (as can be derived from the tables of the previous section). As can be observed, the results of the analysis confirm, and indeed strengthen, the above conclusions regarding the drastic decrease in overlaps among the Parties in question recorded in FM4 (from an average of 69% in the first three editions to, at most, 20% in FM4). It should also be noted that the total number of offers submitted for FM4 (twenty) remains substantially unchanged compared to the average total number of offers submitted in previous editions (nineteen), despite an increase of 50% in the number of lots put to tender (from twelve to eighteen).</w:t>
      </w:r>
    </w:p>
    <w:p>
      <w:r>
        <w:t>TABLE n. 15</w:t>
        <w:br/>
        <w:t># overlapping offers # total offers %</w:t>
        <w:br/>
        <w:t>(A) submitted (B) (A/B)</w:t>
        <w:br/>
        <w:t>FM1 10 17 59%</w:t>
        <w:br/>
        <w:t>FM2 16 21 76%</w:t>
        <w:br/>
        <w:t>FM3 13 18 72%</w:t>
        <w:br/>
        <w:t>FM4 4 [effectively 0] 20 [18] 20% [0%]</w:t>
      </w:r>
    </w:p>
    <w:p>
      <w:r>
        <w:t>122. The following tables reproduce the calculations of the previous tables including Cofely. As can be easily observed, the situation does not change compared to what was illustrated above: while in all previous editions of the tender the percentage of overlap of the lots ranged between 75% and 92%, in the case of FM4 this percentage drops to 33% (or, at most, to 39% including the two 'fictitious' offers). In practice, it goes from an average of 83% in the first three editions to, at most, 39% in FM4. Similarly, the calculation of overlaps with reference to the number of offers instead of the number of lots shows a decrease: in this case, it goes from an average of 81% in the first three editions to 50% in FM4 (or, at most, to 58%). As previously noted, the total number of offers submitted for FM4 (twenty-six) remains exactly the same as the total number of offers submitted on average in previous editions (twenty-six), despite an increase of 50% in the number of lots put to tender (from twelve to eighteen).</w:t>
      </w:r>
    </w:p>
    <w:p>
      <w:r>
        <w:t>TABLE n. 16</w:t>
        <w:br/>
        <w:t># lots with overlaps %</w:t>
        <w:br/>
        <w:t># total lots (B)</w:t>
        <w:br/>
        <w:t>(A) (A/B)</w:t>
        <w:br/>
        <w:t>FM1 10 12 83%</w:t>
        <w:br/>
        <w:t>FM2 11 12 92%</w:t>
        <w:br/>
        <w:t>FM3 9 12 75%</w:t>
        <w:br/>
        <w:t>FM4 7 [effectively 6] 18 39% [33%]</w:t>
      </w:r>
    </w:p>
    <w:p>
      <w:r>
        <w:t>TABLE n. 17</w:t>
        <w:br/>
        <w:t># overlapping offers # total offers %</w:t>
        <w:br/>
        <w:t>(A) submitted (B) (A/B)</w:t>
        <w:br/>
        <w:t>FM1 20 27 74%</w:t>
        <w:br/>
        <w:t>FM2 24 29 83%</w:t>
        <w:br/>
        <w:t>FM3 19 22 86%</w:t>
        <w:br/>
        <w:t>FM4 15 [effectively 12] 26 [24] 58% [50%]</w:t>
      </w:r>
    </w:p>
    <w:p>
      <w:r>
        <w:t>123. On the other hand, the very low level of overlaps among the Parties in FM4 has also been noted by other participants in the tender. In particular, the Leonardo Consortium stated that it had "recorded a lower number of participants than those hypothesized. This could be attributable to the interconnections of the companies active in the provision of the services considered here; a factor that can influence participation choices in a particular geographical area compared to another" (doc. III.30)98.</w:t>
      </w:r>
    </w:p>
    <w:p>
      <w:r>
        <w:t>The information provided within the leniency program</w:t>
        <w:br/>
        <w:t>124. Within the Proceedings, as mentioned, a leniency program is established following a request for adhesion submitted by the applicant CNS, pursuant to Article 15 of Law No. 287/90. In this regard, it is preliminarily noted that in July 2015, therefore close to the closure of the previous procedure I-785 Consip Cleaning Services Tender in Schools, CNS completely renewed its management in order to implement so-called self-cleaning measures. The leniency request thus comes from a subject whose management has been revised compared to that present at the time of the facts. It is also anticipated that, even before</w:t>
      </w:r>
    </w:p>
    <w:p>
      <w:r>
        <w:t>98 In particular, according to what was indicated, before submitting an offer and in order to select the lots in which it would participate, the Leonardo Consortium conducted an in-depth analysis based particularly on monitoring previous Consip tenders (both FM type and other tenders such as MIES and SIE), in order to hypothesize the probable interested competitors and thus identify the lots that could present lower participation compared to others and therefore greater chances of award. However, what actually occurred in terms of actual participation was even lower than estimated by the Leonardo Consortium, which had already accounted for a low level of participation in the lots where it submitted an offer.</w:t>
      </w:r>
    </w:p>
    <w:p>
      <w:r>
        <w:rPr>
          <w:b/>
        </w:rPr>
        <w:t>[Pages 43–45]</w:t>
      </w:r>
    </w:p>
    <w:p>
      <w:r>
        <w:t>BULLETIN NO. 19 OF MAY 13, 2019 45</w:t>
      </w:r>
    </w:p>
    <w:p>
      <w:r>
        <w:t>adhere to the leniency program, in March 2016, the CNS decided not to confirm the offers submitted for FM4 by the ATI of which it was the lead, thereby withdrawing from the tender.</w:t>
      </w:r>
    </w:p>
    <w:p>
      <w:r>
        <w:t>125. Although the new management was not in office at the time of the submission of offers for FM4, the documentation provided in the context of the leniency, including the statements regarding the so-called pink slip described below, refers to individuals who held senior positions within the CNS consortium at the time of the events.</w:t>
      </w:r>
    </w:p>
    <w:p>
      <w:r>
        <w:t>126. In the context of the oral statements (contained in doc. L.4), CNS also indicated the presence at its headquarters of electronic records (including servers and backups concerning both current and former employees), which had not yet been inspected, that could contain relevant material dating back to the time of the events under investigation. This indication from CNS was the basis for the subsequent decision of the Authority to conduct, on July 14 and 15, 2017, a second inspection at the headquarters of CNS (the first inspection was carried out at the start of the investigation). For the description of the documentation acquired during this second inspection, see infra in the text99, where all the investigative documentation is illustrated by thematic issues.</w:t>
      </w:r>
    </w:p>
    <w:p>
      <w:r>
        <w:t>Meetings between the Parties of the agreement</w:t>
      </w:r>
    </w:p>
    <w:p>
      <w:r>
        <w:t>127. According to what was indicated from the outset by CNS (doc. L.1), the main national operators in facility management established a restrictive agreement on competition in relation to the Consip FM4 tender, in the terms outlined in the Authority's decision to initiate the investigation, to which CNS itself participated (doc. L.7).</w:t>
      </w:r>
    </w:p>
    <w:p>
      <w:r>
        <w:t>128. In particular, in doc. L.3, CNS highlighted that the anticompetitive behaviors consisted of various meetings among competitors aimed at prearranging the outcome of the FM4 tender, and that such meetings took place at Terotec100 during discussions on the preparation of template tenders. For these meetings, CNS provided a detailed indication of the names of the participants and their respective companies.</w:t>
      </w:r>
    </w:p>
    <w:p>
      <w:r>
        <w:t>129. Specifically, in the context of the leniency program, CNS submitted to the Offices a note (pink in color, hereinafter also referred to as 'pink slip' or 'pink note') that bears, on one side, the surnames of three individuals and their respective companies, and, on the other side, the names of three companies (without any surnames or other references to company representatives). According to the statement made by the leniency applicant, the pink slip was written on June 12, 2017, in the presence of the Risk Management &amp; Compliance/Internal Audit manager of CNS, by the then Commercial Director of CNS (who at the time of the events held the role of Commercial Director for the North Area), and lists the names of the individuals who participated in a meeting, along with the Commercial Director of CNS at the time of the events, in relation to the FM4 tender. On the back of the note, however, the companies that did not participate in that meeting are indicated.</w:t>
      </w:r>
    </w:p>
    <w:p>
      <w:r>
        <w:t>The same Risk Management &amp; Compliance/Internal Audit manager of CNS, on June 15, 2017, then showed the pink slip to the then Technical Area Director of CNS (who at the time of the events held the role of Design and Development Director), asking him if the individuals indicated on the front side of the slip were the same ones involved in the FM4 tender, receiving an affirmative response. The same Technical Area Director of CNS (at the time of the events, Design and Development Director) also specified that the same individuals had met several times at Terotec during discussions on the preparation of template tenders (doc. L.3).</w:t>
      </w:r>
    </w:p>
    <w:p>
      <w:r>
        <w:t>130. In detail, on the front side, the following is reported:</w:t>
        <w:br/>
        <w:t>- “B.”101 (referring to the current CEO of a company in the Manutencoop group102, and at the time of the events, the manager of MFM responsible for managing public tenders including FM4103), with the reference to “MFM” (i.e., the acronym for Manutencoop Facility Management);</w:t>
        <w:br/>
        <w:t>- “T.” (referring to the Deputy General Director and Commercial Director of Cofely at the time)104, with the reference to “Cofely”;</w:t>
        <w:br/>
        <w:t>- “C.” (referring to the Chairman of the Board of Directors of Manital and Manital Consorzio)105, with the reference to “Manital” next to it. These are the individuals who participated in the meetings for FM4 along with the Commercial Director of CNS at the time106.</w:t>
      </w:r>
    </w:p>
    <w:p>
      <w:r>
        <w:t>131. On the back side of the pink slip, the following is reported:</w:t>
        <w:br/>
        <w:t>- “Romeo,” referring to the company Romeo;</w:t>
        <w:br/>
        <w:t>- “Dussmann Siram,” referring to the companies Dussmann and Siram.</w:t>
      </w:r>
    </w:p>
    <w:p>
      <w:r>
        <w:t>132. The Offices further explored the issue raised by the pink slip during the hearing with the applicant (doc. L.24), asking for further clarification on what had already been illustrated in relation to doc. L.3. Specifically, the content of doc. L.3 was read, and regarding this, the Risk Management &amp; Compliance/Internal Audit manager of CNS confirmed that, during his interview on June 12, 2017, with the then Commercial Director of CNS, the latter reported, on the front side of the pink slip, the names of representatives of companies that met to discuss the FM4 tender during a specific meeting, and also confirmed that he indicated on the back of that slip the companies that did not participate in the referred specific meeting. The Risk Management &amp; Compliance/Internal Audit manager of CNS also confirmed that he subsequently showed the same pink slip on June 15, 2017, to the then Technical Area Director of CNS who, on that occasion, additionally reported the existence of multiple meetings at Terotec during discussions on the preparation of template tenders (doc. L.24).</w:t>
      </w:r>
    </w:p>
    <w:p>
      <w:r>
        <w:t>133. In this regard, furthermore, during the hearing (doc. L.24), the representative of CNS indicated, among all the possible meetings at Terotec referred to in the pink slip, those related to certain investigative documents on file107.</w:t>
      </w:r>
    </w:p>
    <w:p>
      <w:r>
        <w:t>134. Additionally, during the hearing (also doc. L.24), the applicant produced four new emails, not previously on file, regarding meetings that took place at Terotec during the period of October-November 2013 (specifically attachments 3.1, 3.2, 3.3, and 3.4 to doc. L.24). In relation to three of these four emails (namely attachments 3.1, 3.2, and 3.3), the applicant specified that these, like the aforementioned documents already on file, fall among all the possible meetings at Terotec referred to in the pink slip, held during discussions on template tenders.</w:t>
      </w:r>
    </w:p>
    <w:p>
      <w:r>
        <w:t>135. Specifically, doc. L.24 attachment 3.1 is an email dated October 1, 2013, which was sent among others to CNS, MFM, Manital, Romeo, Cofely, Siram, Exitone, and STI in anticipation of the Terotec General Assembly and the related workshop on October 8, dedicated to discussing template tenders for cleaning and maintenance services within facility management. Doc. L.24 attachment 3.2 is an email dated October 16, 2013, which was sent among others to the same recipients mentioned above (CNS, MFM, Manital, Romeo, Cofely, Siram, Exitone, and STI) and contains the observations developed following the aforementioned events regarding the template tender for cleaning services within facility management (referring to a forthcoming update for the template tender for maintenance services). Doc. L.24 attachment 3.3 is an email dated November 13, 2013, which was sent among others to CNS and Manital in anticipation of a Terotec meeting on November 19, dedicated to discussing template tenders for maintenance services within facility management. Doc. L.24 attachment 3.4 is an email from the same period (October 25, 2013) sent by Terotec to the same subjects (CNS, MFM, Manital, Romeo, Cofely, Siram, Exitone, and STI), regarding a different topic (consultation on reference prices in healthcare).</w:t>
      </w:r>
    </w:p>
    <w:p>
      <w:r>
        <w:t>136. Moreover, even before adhering to the leniency program, CNS had stated during the inspection report that participation in Terotec posed antitrust issues: “in 2016, CNS requested to withdraw from the Terotec association. This request aimed to achieve budget savings. Furthermore, it responded to general antitrust compliance needs, given that the association includes competing companies” (doc. XII.1359). This was also confirmed by CNS during the hearing with the Offices (“association lacking antitrust compliance schemes where representatives of competing companies met periodically,” leading to concrete risks of new “antitrust issues”; doc. XXIV.2725)108. Therefore, precisely due to the fear of future further issues,</w:t>
      </w:r>
    </w:p>
    <w:p>
      <w:r>
        <w:rPr>
          <w:b/>
        </w:rPr>
        <w:t>[Pages 46–48]</w:t>
      </w:r>
    </w:p>
    <w:p>
      <w:r>
        <w:t>48 BULLETIN NO. 19 OF MAY 13, 2019</w:t>
        <w:br/>
        <w:t>collusive phenomena, the evidence on record shows that in November 2016 the new management of CNS decided to exit the Terotec laboratory109.</w:t>
      </w:r>
    </w:p>
    <w:p>
      <w:r>
        <w:t>137. Lastly, during the final hearing before the Board110, CNS fully confirmed the significance of what was reported in the pink slip and the anti-competitive nature of its content, also through the presence at the hearing of the representative who formed the evidence in question (the aforementioned Risk Management &amp; Compliance/Internal Audit manager): “CNS confirms in full and in every detail what was stated at the time of the submission of the pink slip on June 22, 2017, and during the hearing on July 5, 2018. This is also evidenced by the presence today of Dr. [Risk Management &amp; Compliance/Internal Audit manager] at the final hearing.”</w:t>
      </w:r>
    </w:p>
    <w:p>
      <w:r>
        <w:t>The role of the STI group</w:t>
      </w:r>
    </w:p>
    <w:p>
      <w:r>
        <w:t>138. With doc. L.4, the applicant provided documentary evidence regarding two aspects, which particularly pertain to the significant role played by the STI group in the FM4 tender, through the companies Gestione Integrata and Exitone (it is noted that while Exitone officially participated in the tender, in a joint venture with CNS, Gestione Integrata did not formally take part).</w:t>
      </w:r>
    </w:p>
    <w:p>
      <w:r>
        <w:t>139. The first aspect is represented by the negotiations for a subcontracting agreement between CNS (as the subcontractor) and Gestione Integrata (as the subcontractor) in relation to FM4; although not participating in the tender, Gestione Integrata would have thus derived an economic return from it through CNS. This specifically involves an email with an attached draft of the private subcontracting agreement sent on May 21, 2014, from Gestione Integrata to CNS111. Essentially, the agreement provided that CNS, in the event of being awarded one or more lots of the tender, would subcontract to Gestione Integrata the execution of services amounting to 15% of the value of all awarded lots, and that in return for such execution, Gestione Integrata would receive the same compensation that would have been due to CNS (thus without the provision of a margin in favor of CNS).</w:t>
      </w:r>
    </w:p>
    <w:p>
      <w:r>
        <w:t>140. The second aspect relates to the role of Exitone within the joint venture with CNS and Kuadra for FM4, which went well beyond what derived from its position as a 4% principal, according to what was indicated by the principal CNS itself. In this regard, with doc. L.4, the applicant produced email exchanges between representatives of CNS and the STI group, highlighting in particular the content of an email dated April 18, 2014, internal to the STI group, in which the economic implications of certain aspects of the technical offer for FM4 are discussed. This is in order, as indicated in the oral statements of the applicant contained in the same doc. L.4, to demonstrate the proactive role, and not merely that of a principal, covered by its technological contribution [management software for facility management] which could be disseminated, through Terotec, to the competition” (doc. XXIII.2654).</w:t>
      </w:r>
    </w:p>
    <w:p>
      <w:r>
        <w:t>109 “It should be noted that at the time of redefining the Mission of CNS, of the commitment to a correct and timely application of the procedures that CNS has adopted, and of the behavioral and relational consistency arising from Antitrust Compliance, it is deemed appropriate that the Consortium for 2017 does not confirm participation in the association. This is to better evaluate the characteristics and methods of meeting among members and/or stakeholders of Terotec (as well as other associations) [..]” (doc. XV.1735).</w:t>
      </w:r>
    </w:p>
    <w:p>
      <w:r>
        <w:t>110 Doc. M.19.</w:t>
      </w:r>
    </w:p>
    <w:p>
      <w:r>
        <w:t>111 See also doc. L.9 below.</w:t>
      </w:r>
    </w:p>
    <w:p>
      <w:r>
        <w:t>BULLETIN NO. 19 OF MAY 13, 2019 49</w:t>
        <w:br/>
        <w:t>Exitone in relation to the technical offers (having the task of drafting them) and economic offers (having the task of providing support for their development) submitted by the joint venture. In general, the emails contained in doc. L.4 pertain to the correspondence between CNS and Exitone regarding the formulation of the offer, specifically its technical part, for the FM4 tender.</w:t>
      </w:r>
    </w:p>
    <w:p>
      <w:r>
        <w:t>141. The applicant also produced documentation (doc. L.9) proving the content of discussions that took place between CNS (the principal) and ExitOne (the contractor) following the decision, made by the former but not shared by the latter, to withdraw the joint venture's offer in the FM4 tender (a decision made in the period of March/April 2016).</w:t>
      </w:r>
    </w:p>
    <w:p>
      <w:r>
        <w:t>142. In relation to the content of this documentation, an email dated June 27, 2016, transmitted to CNS a draft of a private agreement regulating the relations between the two Parties (Exitone and CNS), for compensatory purposes regarding the lost earnings in FM4 (due to the non-confirmation of the offers and thus the withdrawal from the tender). In this draft, Exitone estimates the economic damage resulting from the aforementioned decision of the principal CNS at 32.4 million euros (an amount equal to the lost revenues that Exitone would have achieved).</w:t>
      </w:r>
    </w:p>
    <w:p>
      <w:r>
        <w:t>It is proposed to compensate the lost revenues in FM4 with economic items related to lot 2 of the Consip SIE3112 tender, which was awarded to a joint venture including both CNS (in the role of principal at 64%) and Exitone (in the role of contractor at 3%), as well as other companies113. In fact, “the Parties evaluated their respective positions and reached the determination to avoid the emergence of a potential dispute, also in order to confirm the fruitful collaboration that has lasted for many years; consequently, CNS will assign to Exitone activities in such a way that the latter can replace the revenues no longer realizable in the FM4 Tender within the services related to the supply orders of the Consip agreement referred to in Article 26, Law 488/1999 and in particular to Lot 2 of the "Integrated Energy Service" [SIE3]” (doc. L.9)114.</w:t>
      </w:r>
    </w:p>
    <w:p>
      <w:r>
        <w:t>143. The second document contained in doc. L.9 is a report that, according to what was indicated by CNS115, was provided by Exitone to CNS during a meeting between the parties held on November 11, 2016, at the CNS headquarters (thus at a time subsequent to the email described above). The report aims to quantify the lost revenues of Exitone resulting, again, from the withdrawal from the FM4 tender decided unilaterally by CNS. The estimated amount in this case is 96.4 million euros, calculated by also considering the “maximum amounts” resulting from the exercise of the so-called fifth obligation by Consip and from the assignment, also by Consip, of the so-called complementary services (to which the revenues that Exitone would have achieved for the execution of technical services in the performance of individual supply orders were also added).</w:t>
      </w:r>
    </w:p>
    <w:p>
      <w:r>
        <w:t>The starting hypothesis of this report is that the joint venture of CNS and Exitone (and Kuadra) would have been awarded the maximum number of awardable lots (four) which are explicitly listed (these are lots 3, 4, 12, and 17, out of a total of seven lots for which an offer was submitted).</w:t>
      </w:r>
    </w:p>
    <w:p>
      <w:r>
        <w:t>144. Furthermore, regarding the relations between CNS and the STI group, the applicant produced in the hearing an email exchange from July 2014 related to the government project known as Scuole Belle (just as in the case of FM4, for the previous Consip Cleaning Schools tender, a joint venture had been established between CNS and Exitone, always together with Kuadra). In these emails, within the context of negotiations for the reduction of Exitone's share, the representative of CNS reminds the president of the STI group of the “usual spirit of partnership that distinguishes us,” and the latter, in accommodating CNS's requests, concludes by emphasizing that they are “confident that we will find new opportunities together to recover the agreed discount” (doc. L.24 attachment 1).</w:t>
      </w:r>
    </w:p>
    <w:p>
      <w:r>
        <w:t>Other elements</w:t>
      </w:r>
    </w:p>
    <w:p>
      <w:r>
        <w:t>145. Regarding the issue of the non-confirmation of the offers for FM4, in the hearing the applicant explained that this decision was made by the new management of CNS also based on the observation that the joint venture with Exitone and Kuadra was established significantly in advance of the deadline for submitting offers and with a notarial public deed116 in which the number and identity of the lots for which the joint venture would compete were indicated (doc. L.24). These elements are related by the applicant to the objective of allowing third parties to know the deed, particularly the precise and binding commitments present therein such as participation in certain lots and not others. In fact, in this way, for the applicant, an official document was created capable of conveying sensitive information to third parties, to whom a copy of the deed could for example be shown (doc. L.24).</w:t>
      </w:r>
    </w:p>
    <w:p>
      <w:r>
        <w:t>In general, the applicant's market experience indicates that the deed of establishment of a joint venture is drafted by a notary about 7-8 days before the deadline for submitting offers, in order to preserve the highest possible level of confidentiality (for this purpose, it is usually requested that the notary register the deed after the deadline for submitting offers, doc. L.24). The notarial deed in question was instead executed on June 4, 2014, and at that time, the deadline for submitting offers was set for June 19, thus being 15 days in advance, which is a time frame double that of the norm.</w:t>
      </w:r>
    </w:p>
    <w:p>
      <w:r>
        <w:t>116 Deed executed on June 4, 2014, and registered on June 10, 2014 (doc. XII.1467).</w:t>
      </w:r>
    </w:p>
    <w:p>
      <w:r>
        <w:rPr>
          <w:b/>
        </w:rPr>
        <w:t>[Pages 49–51]</w:t>
      </w:r>
    </w:p>
    <w:p>
      <w:r>
        <w:t>BULLETIN NO. 19 OF MAY 13, 2019 51</w:t>
      </w:r>
    </w:p>
    <w:p>
      <w:r>
        <w:t>146. Furthermore, the applicant has produced administrative documentation related to the FM4 tender (doc. L.24 attachment 4) in order to demonstrate how the CNS possessed the requirements to participate in the tender independently, without the need to rely on the other members of the ATI (Exitone and Kuadra). In fact, in the declaration issued by CNS to the contracting authority Consip, the specific turnover possessed by CNS is indicated, sufficient on its own to meet the economic participation requirements for all seven lots in which the ATI submitted an offer117.</w:t>
      </w:r>
    </w:p>
    <w:p>
      <w:r>
        <w:t>147. It is also noted that the applicant provided a copy of an anonymous letter that CNS received in September 2017 (doc. L.8); in this letter, the collusive behavior exhibited by the consortium and its consortium member MFM during two Consip tenders is highlighted, namely the School Cleaning tender (already the subject of the aforementioned Authority proceeding I-785) and, indeed, the FM4 tender. Specifically, while commenting on the entry into CNS of a former employee of MFM who coordinated activities for Consip tenders in that company, it is stated that he "felt and saw S. of CNS to organize that big bunch of cartels (=non-overlapping offers) between CNS and MFM for the School Beautiful tenders first and Consip FM4 later" (doc. L.8).</w:t>
      </w:r>
    </w:p>
    <w:p>
      <w:r>
        <w:t>148. Lastly, in the final memorandum118, CNS confirmed the "irrationality of the choices made in the offer," among which are expressly mentioned: the establishment of the ATI with Exitone and Kuadra; the subcontracting agreement between Kuadra and CNS consortium members; the significant advance of the notarial deed establishing the ATI, where the participation lots were indicated; the absolute absence of overlaps with the consortium member MFM; the choice to submit offers for some lots and not for others. Regarding this last point, CNS, which only during the Procedure became aware - through a specific access to the documents - of its economic offers submitted during the tender, stated that: "Only today, after examining the economic offer, CNS can confirm that it is unable to logically explain the strategy for participating in the FM4 tender, both in terms of identifying the lots and in terms of the discounts offered."</w:t>
      </w:r>
    </w:p>
    <w:p>
      <w:r>
        <w:t>The additional evidence acquired</w:t>
      </w:r>
    </w:p>
    <w:p>
      <w:r>
        <w:t>149. In what follows, the most significant exogenous evidence to the documents, in addition to that provided by the leniency applicant, will be described, grouped for ease of reading into macro-topics. In particular, evidence will be provided regarding the sharing of "advisable" economic offers to be submitted in the tender by Romeo with competitors; the privileged relationships between the CNS consortium and the consortium member MFM and the withdrawal from the tender by CNS itself; the pervasive role of the STI group, both in the ATI with CNS and in the ATI Cofely-CSEL. Finally, the context of frequent recourse to cross-subcontracting agreements between the Parties will be reported, even in relation to tenders other than FM4.</w:t>
      </w:r>
    </w:p>
    <w:p>
      <w:r>
        <w:t>117 As confirmed by the analysis conducted on CNS's turnover data (see supra).</w:t>
      </w:r>
    </w:p>
    <w:p>
      <w:r>
        <w:t>118 Doc. M.1.</w:t>
      </w:r>
    </w:p>
    <w:p>
      <w:r>
        <w:t>52 BULLETIN NO. 19 OF MAY 13, 2019</w:t>
      </w:r>
    </w:p>
    <w:p>
      <w:r>
        <w:t>1) The communication of "advisable" offers by Romeo to the "competitors" and the role of the Consorzio Stabile Romeo</w:t>
      </w:r>
    </w:p>
    <w:p>
      <w:r>
        <w:t>150. Of particular relevance is the document doc. IX.1283, acquired during the inspection at Romeo's headquarters, which clarifies the existence of contacts and meetings between "competitors" regarding the FM4 tender.</w:t>
      </w:r>
    </w:p>
    <w:p>
      <w:r>
        <w:t>151. On June 30, 2014 (and thus one week before the deadline for submitting offers), an external consultant from the University of Naples indicated to the Tender Management of Romeo, in an email with the subject "CONSIP," an average discount vector represented as follows: "The 'advisable' values are:</w:t>
        <w:br/>
        <w:t>- average discount on government services: 50%</w:t>
        <w:br/>
        <w:t>- average discount on maintenance services: 20%</w:t>
        <w:br/>
        <w:t>- additional average discount on maintenance services: 5%</w:t>
        <w:br/>
        <w:t>- average discount on cleaning services: 12%</w:t>
        <w:br/>
        <w:t>- average discount on other services (gardening, reception, ...): 10%</w:t>
        <w:br/>
        <w:t>- discount on DEI list: 30%</w:t>
        <w:br/>
        <w:t>- discount on labor: 50%</w:t>
        <w:br/>
        <w:t>- average deductible value, in euros: 900 euros."</w:t>
      </w:r>
    </w:p>
    <w:p>
      <w:r>
        <w:t>152. This provokes the following reaction from the recipient: "but are these the minimal values? Did you understand that this is the meeting with the competitors?". At that point, the consultant writes that "We are almost double. If you want more caution, we change only the 'maintenance' from 20 to 15 and the DEI from 30 to 20" (these are two items of the economic offer), followed by the new modified discount vector accordingly119. The email communication concludes with the following counter-reply: "I want nothing. I want to be sure that the sheet I hand over has the purpose that he conveyed to you," referring to the CEO of Romeo120.</w:t>
      </w:r>
    </w:p>
    <w:p>
      <w:r>
        <w:t>153. Romeo thus develops "advisable" economic offer values to be presented and discussed at a "meeting with competitors," regarding which the company positions itself 'cautiously' on higher discount values, "almost double." The reading of the document indicates that these are values that, once offered in the tender, would not have jeopardized the supremacy of Romeo's offer or that of any other designated winner. Indeed, for the sake of greater "caution," it is even hypothesized to further decrease the discounts of the 'losing' offers of competitors.</w:t>
      </w:r>
    </w:p>
    <w:p>
      <w:r>
        <w:t>119 "The 'advisable' values are:</w:t>
        <w:br/>
        <w:t>- average discount on government services: 50%</w:t>
        <w:br/>
        <w:t>- average discount on maintenance services: 15%</w:t>
        <w:br/>
        <w:t>- additional average discount on maintenance services: 5%</w:t>
        <w:br/>
        <w:t>- average discount on cleaning services: 12%</w:t>
        <w:br/>
        <w:t>- average discount on other services (gardening, reception, ...): 10%</w:t>
        <w:br/>
        <w:t>- discount on DEI list: 20%</w:t>
        <w:br/>
        <w:t>- discount on labor: 50%</w:t>
        <w:br/>
        <w:t>- average deductible value, in euros: 900 euros."</w:t>
      </w:r>
    </w:p>
    <w:p>
      <w:r>
        <w:t>120 According to what Romeo indicated during the hearing, in fact, the discount hypotheses indicated by the external consultant were to be proposed to the CEO of the company: "the latter is referred to in the email with the phrase 'I hand over to him,' while the 'purpose' (also mentioned in the email) is the presentation of the optimal tender offer" (doc. XXIII.2654).</w:t>
      </w:r>
    </w:p>
    <w:p>
      <w:r>
        <w:t>BULLETIN NO. 19 OF MAY 13, 2019 53</w:t>
      </w:r>
    </w:p>
    <w:p>
      <w:r>
        <w:t>154. In this regard, it was deemed useful to compare, with the values discussed in the meetings between competitors mentioned in Romeo's email, the discount values presented in the cases of the 'losing' offers described previously: the offer of the ATI CNS-Exitone-Kuadra in lot 3 (overlapping with Romeo itself) and the offer of MFM in lot 11 (overlapping with Manital Consorzio and with the ATI Cofely-CSEL). Consider, in this regard, what is indicated in the following tables. In them, the items of the economic offer falling within the aggregate items reported in doc. IX.1283 of Romeo (following the legend present therein121) have been identified, with the corresponding weights. Accordingly, the weighted average discounts of the offers actually submitted by the ATI of CNS and by Romeo itself for lot 3 (in which Romeo ranked first) and by MFM for lot 11 (in which Manital Consorzio ranked first) have been calculated.</w:t>
      </w:r>
    </w:p>
    <w:p>
      <w:r>
        <w:t>155. In the first table, in particular, it is observed how the indications present in Romeo's email preparatory to a "meeting with competitors" tendentially find confirmation in the discounts offered by the ATI led by CNS, and this precisely for the three groups of items (see highlighted rows) that differentiated the offer of the ATI of CNS for lot 3 from that for all other lots and that weigh for 70% of the economic score.</w:t>
      </w:r>
    </w:p>
    <w:p>
      <w:r>
        <w:t>TABLE n. 18</w:t>
        <w:br/>
        <w:t>Discounts</w:t>
        <w:br/>
        <w:t>weight</w:t>
        <w:br/>
        <w:t>Losing Discounts Discounts actually</w:t>
        <w:br/>
        <w:t>Discounts 'advisable' offered by the</w:t>
        <w:br/>
        <w:t>percentage of the items (on</w:t>
        <w:br/>
        <w:t>Aggregate discount items (indicated in doc. IX.1283) for competitors offered by the ATI offered by the ATI CNS winning the</w:t>
        <w:br/>
        <w:t>(doc. IX.1283) CNS for lot 3 in other lots lot 3 Romeo</w:t>
        <w:br/>
        <w:t>total score</w:t>
        <w:br/>
        <w:t>(weighted average) (weighted average) (weighted</w:t>
        <w:br/>
        <w:t>average)</w:t>
        <w:br/>
        <w:t>"Average discount on government services" 5 50% 57% 57% 67%</w:t>
        <w:br/>
        <w:t>"Average discount on maintenance services" 16 15%-20% 26% 31% 50%</w:t>
        <w:br/>
        <w:t>"Average additional discount on maintenance services" 8 5% 18% 18% 9%</w:t>
        <w:br/>
        <w:t>"Average discount on cleaning services" 34 12% 23% 30% 38%</w:t>
        <w:br/>
        <w:t>"Average discount on other services (gardening, reception, ...)" 2 10% 67% 67% 74%</w:t>
        <w:br/>
        <w:t>"Discount on DEI list" 20 20%-30% 40% 48% 57%</w:t>
        <w:br/>
        <w:t>"Discount on labor" 5 50% 98% 98% 96%</w:t>
        <w:br/>
        <w:t>"Average deductible value, in euros" 10 900 1,165 1,165 1,600</w:t>
      </w:r>
    </w:p>
    <w:p>
      <w:r>
        <w:t>156. In other words, as can be observed, where the ATI of CNS deviated (with non-competitive discounts) in lot 3 compared to what was offered in the other lots, it tended to follow the reference values shared with the "competitors" in specific meetings. It should be noted, in this regard, that, with still a week remaining until the deadline for submitting offers, the indications contained in Romeo's email had all the necessary time to be further refined among the Parties of the concertation.</w:t>
      </w:r>
    </w:p>
    <w:p>
      <w:r>
        <w:t>121 The items indicated in the first column of the table respectively indicate: "6 discounts on government services [from A.1.1 to A.1.6, ed.]; 9 discounts on maintenance services [from A.2.1.1 to A.2.1.7 and from A.2.3 to A.2.4, ed.]; 7 additional discounts on maintenance services [from A.2.2.1 to A.2.2.7, ed.]; 4 discounts on cleaning services [from A.3.1 to A.3.4, ed.]; 4 discounts on other services (gardening, reception, ...) [from A.3.5 to A.4.3, ed.]; 1 discount on DEI list [B.1, ed.]; 1 discount on labor [B.2, ed.]; 7 deductible values on maintenance, in euros [from C.1 to C.7, ed.]" (doc. IX.1283).</w:t>
      </w:r>
    </w:p>
    <w:p>
      <w:r>
        <w:rPr>
          <w:b/>
        </w:rPr>
        <w:t>[Pages 52–54]</w:t>
      </w:r>
    </w:p>
    <w:p>
      <w:r>
        <w:t>54 BULLETIN NO. 19 OF MAY 13, 2019</w:t>
      </w:r>
    </w:p>
    <w:p>
      <w:r>
        <w:t>157. Moving on to analyze the case of MFM's 'loss-making' offers for lot 11, it is observed that these exactly reflect what is indicated in Romeo's email, particularly considering the four groups of items highlighted in the following table, which account for 50% of the economic score. The remaining groups of items are also generally in line with what is present in Romeo's email (in two cases, MFM's actual offers for lot 11 are even less competitive).</w:t>
      </w:r>
    </w:p>
    <w:p>
      <w:r>
        <w:t>TABLE No. 19</w:t>
        <w:br/>
        <w:t>Discounts</w:t>
        <w:br/>
        <w:t>weight</w:t>
        <w:br/>
        <w:t>Loss-making Discounts Recommended Discounts Average discounts actually</w:t>
        <w:br/>
        <w:t>percentage</w:t>
        <w:br/>
        <w:t>of items (on</w:t>
        <w:br/>
        <w:t>Aggregate discount items (indicated in doc. IX.1283) for competitors offered by MFM offered by MFM in the winning</w:t>
        <w:br/>
        <w:t>total score</w:t>
        <w:br/>
        <w:t>(weighted average) (weighted average) (average</w:t>
        <w:br/>
        <w:t>lot 11 Manital</w:t>
        <w:br/>
        <w:t>weighted)</w:t>
        <w:br/>
        <w:t>“Average discount on management services” 5 50% 38% 47% 58%</w:t>
        <w:br/>
        <w:t>“Average discount on maintenance services” 16 15%-20% 22% 33% 44%</w:t>
        <w:br/>
        <w:t>“Average additional discount on maintenance services” 8 5% 5% 10% 10%</w:t>
        <w:br/>
        <w:t>“Average discount on cleaning services” 34 12% 22% 42% 37%</w:t>
        <w:br/>
        <w:t>“Average discount on other services (gardening, reception, …)” 2 10% 38% 75% 33%</w:t>
        <w:br/>
        <w:t>“Discount on DEI list” 20 20%-30% 25% 53% 42%</w:t>
        <w:br/>
        <w:t>“Discount on labor” 5 50% 50% 99% 98%</w:t>
        <w:br/>
        <w:t>“Average deductible value, in euros” 10 900 400 780 1,220</w:t>
      </w:r>
    </w:p>
    <w:p>
      <w:r>
        <w:t>158. Also with reference to the Romeo group, an additional issue emerged from the investigation. This refers to the content of the statutory provisions of the stable consortium controlled by Romeo Partecipazioni, which participated in the tender in ATI – a grouping, as already noted, not necessary for participation – with Romeo (Consorzio Stabile Romeo Facility Services 2010). These provisions, in the case of FM4, acted to prohibit the consortium members (even those not indicated as executors) from participating independently in the tender. In the case of FM4, just over half122 of the approximately 90 consortium members (cleaning companies and small maintenance companies, generally rooted in the Campania region) were not indicated as executors and, therefore, would have been potentially available on the market to participate in the tender with other parties different from the Parties. According to what Romeo specified in the hearing, in fact, “there is a provision in the Consortium's Statute that prohibits the independent participation of individual consortium members (not indicated as executors) in competition with the Consortium when the amount of the tender exceeds 5 million euros [as in the case of FM4]; in any case, even below this threshold, independent participation of a non-indicated consortium member has never occurred, not even in ATI with other parties. Furthermore, where the Consortium does not participate in a tender, the interested consortium members must request a specific waiver from the Consortium itself to be authorized to participate” (doc. XXIII.2654)123.</w:t>
      </w:r>
    </w:p>
    <w:p>
      <w:r>
        <w:t>2) The relationships between the CNS consortium and the consortium member MFM and the withdrawal from the FM4 tender decided by the new management of the Consortium</w:t>
      </w:r>
    </w:p>
    <w:p>
      <w:r>
        <w:t>159. As a preliminary matter, regarding the CNS consortium and its consortium member MFM, it is recalled that the coordination of their respective conduct in the market has already been noted by the Authority in the ascertainment of the restrictive competition agreement concerning the division of the previous Consip tender of 2012 (School Cleaning)124, implemented by CNS and MFM using participatory methods very similar to those examined here.</w:t>
      </w:r>
    </w:p>
    <w:p>
      <w:r>
        <w:t>160. Moving on to the documentation related to the present case, it is worth considering the significant interests between the CNS consortium and the consortium member MFM, specifically referring to the mutual abstention that underlies the collusive division of the FM4 tender.</w:t>
      </w:r>
    </w:p>
    <w:p>
      <w:r>
        <w:t>161. In this regard, as an introduction, the content of the following document is reported, which, in relation to a different but contemporaneous tender, clearly states the underlying principle of mutual abstention, clearly applied during the period under investigation. In May 2014, in fact, CNS received from a consortium member a request regarding a public tender125: “Are you aware of the tender in question? Can we meet to develop it together?” After it was pointed out to the management within CNS that there was interest from other parties, the same management reported to the Director in the following terms: “Director, we have a queue asking us about this tender: it concerns MFM's portfolio (some of the activities): I would let it go” (doc. XVIII.1867). Regarding this document (doc. XVIII.1867) and doc. XVIII.1860 described shortly below, it is noted that, according to what was stated by CNS in the hearing with the Offices, “in particular” these two documents “describe well the relationships that existed at the time with the consortium member MFM” (doc. XXIV.2725). Both documents were obtained during the second round of inspections carried out at CNS, thanks to the indications provided by the leniency applicant126.</w:t>
      </w:r>
    </w:p>
    <w:p>
      <w:r>
        <w:t>123 The Statute of the Consorzio Stabile Romeo Facility Services 2010 indeed provides that: “it is prohibited for each Consortium member, whether operating independently or in association/collaboration (of any type, directly or indirectly: Temporary Grouping of Companies, Consortium, capital or partnership companies) with other companies (which are also Consortium members or external), to compete for the award of contracts concerning integrated real estate management services (including global service). By way of example and not exhaustive, the contracts of interest to the Consortium are: [..] Facility Management contracts [..]; contracts for integrated Facility Management and/or Global Service and/or energy services and/or cleaning services issued by Consip S.p.a.”. Furthermore, “each Consortium member may not participate (alone or in association/collaboration/coordinating with others) for the award and obtaining in general of contracts, supplies, and services in competition with the Consortium”. In case of violation of these provisions, the Statute provides for a penalty of 100,000 euros, without prejudice to greater damages, and exclusion from the Consortium and/or revocation of ongoing assignments may be ordered; “the exclusion will be immediate and automatic in the event that the Consortium member independently participates in a competitive procedure in which the Consortium has already participated or intends to participate”. Finally, “the authorization possibly granted by the Board of Directors, in relation to individual cases, remains reserved” (doc. XXIII.2678).</w:t>
      </w:r>
    </w:p>
    <w:p>
      <w:r>
        <w:t>124 Authority Decision No. 25802 of December 22, 2015.</w:t>
      </w:r>
    </w:p>
    <w:p>
      <w:r>
        <w:t>125 Global service tender for cleaning and various maintenance services for university residences in Trieste and Gorizia and for the offices of Ardiss.</w:t>
      </w:r>
    </w:p>
    <w:p>
      <w:r>
        <w:t>126 Also indicative is an email dated March 25, 2015, between CNS and MFM regarding the IntercentEr Cleaning 4 tender, where it is stated that “in case of award, the main operating rule for promotions/assignments is that of safeguarding the existing portfolio of the individual cooperatives”, among which MFM “is certainly one of the most important” (doc. XI.1326).</w:t>
      </w:r>
    </w:p>
    <w:p>
      <w:r>
        <w:t>162. Returning to the specific case of FM4, the participation in the FM4 tender by CNS and its consortium member MFM occurred without any overlap of their respective offers, resulting in the doubling of the number of assignable lots for the two subjects, from four to eight (the maximum number of assignable lots by each competitor is as seen equal to four in the case of FM4). And, indeed, this is precisely the situation that, as evidenced by the numerical elaborations carried out, would have occurred for FM4 had the new management of CNS not decided to withdraw from the tender: four lots for CNS and four lots for the consortium member MFM.</w:t>
      </w:r>
    </w:p>
    <w:p>
      <w:r>
        <w:t>163. It should be noted that, during the hearing with the Offices, CNS represented that “the new management of CNS did not find the economic rationales related to the choice of the number and identity of the lots on which an offer was submitted” (doc. XXIV.2725), regarding which, as mentioned, no overlap with its consortium member MFM127 was recorded. Moreover, the circumstance of “the separate participation of the consortium member MFM and the fact that there were no overlaps in the offer lots with that consortium member” was one of the main reasons that led CNS to decide to withdraw from the tender (see infra), as stated again in the hearing (doc. XXIV.2725). In fact, as also read in the minutes of the CNS Management Board on March 24 and 29, 2016, “As occurred in the ‘Consip Schools’ tender, MFM (a consortium member of CNS) also participated independently in the procedure and no overlap of offers was recorded between the RTI [of CNS] and MFM regarding the same lots [..] which [..] could be read as the result of a group strategy aimed at avoiding overlap on the same lots of CNS and MFM” (doc. XV.1735). Also in the final memorandum128, CNS confirmed the “irrationality of the choices made during the offer”, among which is expressly mentioned the fact that “the same FM4 tender was also participated in by MFM and, unlike what happened in the Schools tender subject to investigation I-785, no overlap of offers was recorded between the grouping of CNS and MFM regarding the same lots”.</w:t>
      </w:r>
    </w:p>
    <w:p>
      <w:r>
        <w:t>164. In full proof of the above, in the context of an email conversation between two employees of the CNS Tender Office, following the opening of the envelopes containing the economic offers for FM4 (April 2016), the comments focus precisely on what would have happened to CNS if the new management - precisely due to the fear of the consequences arising from the emergence of collusive phenomena - had not decided to withdraw from the tender. The text of the document in question is as follows:</w:t>
        <w:br/>
        <w:t>- “I want to die!!!! FM4 we would have won 4 lots!!!!!”;</w:t>
        <w:br/>
        <w:t>- “Nooooooooooooooooooooooooooo!!!!! Damn it..............yes but then hell would have broken loose..........or maybe not!!!!! What a shame!!!!”;</w:t>
        <w:br/>
        <w:t>that of safeguarding the existing portfolio of the individual cooperatives”, among which MFM “is certainly one of the most important” (doc. XI.1326).</w:t>
      </w:r>
    </w:p>
    <w:p>
      <w:r>
        <w:t>127 In this regard, also during the hearing, CNS stated that “following an in-depth internal review conducted by the new management of CNS, no corporate documents were found that could explain the reasons for the separate participation compared to MFM, and that an explanation was not found even following the interviews conducted by the new management with the senior employees who dealt with the relevant business functions” (doc. XXIV.2725).</w:t>
      </w:r>
    </w:p>
    <w:p>
      <w:r>
        <w:t>128 Doc. M.1.</w:t>
      </w:r>
    </w:p>
    <w:p>
      <w:r>
        <w:rPr>
          <w:b/>
        </w:rPr>
        <w:t>[Pages 55–57]</w:t>
      </w:r>
    </w:p>
    <w:p>
      <w:r>
        <w:t>BULLETIN NO. 19 OF MAY 13, 2019 57</w:t>
      </w:r>
    </w:p>
    <w:p>
      <w:r>
        <w:t>- “We see it, we have the feedback with MFM (4 lots). If they get hurt, we were right, otherwise .....”;</w:t>
        <w:br/>
        <w:t>- “Ok, indeed, let’s see how much harm the cousins do.......” (doc. XVIII.1860).</w:t>
      </w:r>
    </w:p>
    <w:p>
      <w:r>
        <w:t>165. As mentioned, regarding this document, it is noted that, according to what was stated by CNS during the hearing with the Offices, it is also a document that “in particular” describes “well the relationships that were in place at the time with the associated company MFM” (doc. XXIV.2725).</w:t>
      </w:r>
    </w:p>
    <w:p>
      <w:r>
        <w:t>166. It is also useful to mention the content of the documents related to the simulations of the tender outcomes for FM4 and/or the calculations of the scores resulting from the submitted offers. Specifically, some internal emails at CNS contain, attached, Excel files with simulations on participation in the lots of the FM4 tender in the time frame prior to the deadline for submitting offers; the spreadsheets with which CNS performs simulations for lots 1 and 7, on which it then did not submit an offer, are of interest, while MFM did submit an offer for both of these lots129. Furthermore, following the opening of the economic offers (April 2016), two Excel files attached to an internal email at CNS report the simulations of the scores that the consortium would have obtained if it had not withdrawn from the FM4 tender; the second file contains the grid of economic scores for FM4 highlighting, in addition to the lots of CNS, the lots and the name of MFM130. Similarly, the usual grid of FM4 participants, that is, the table summarizing the participants in the tender for each lot131, was also found at the other member of the CNS ATI, Kuadra. Interestingly, in this specific case, the grid highlights, in addition to the row corresponding to the CNS-Kuadra-ExitOne ATI, also the row corresponding to MFM.</w:t>
      </w:r>
    </w:p>
    <w:p>
      <w:r>
        <w:t>167. Further documents of interest regarding the issues under examination are those that allowed for the reconstruction of the events and the reasons underlying the failure to confirm the offers for FM4 by the CNS-Kuadra-Exitone ATI132. From this documentation, it emerges that the principals Kuadra and Exitone had the firm intention to confirm the offer133 and reacted negatively to the opposite intention proposed by the leading company CNS (which in the meantime had completely changed its management), going so far as to warn it against implementing it. CNS was indeed aware of the evident anomalies inherent in the participation methods, both its own and those of the main competitors, in the FM4 tender, anomalies described in the preceding sections. In the formal communication to the principals regarding the decision not to confirm the offers for the FM4 tender, dated March 30, 2016, CNS indeed highlights the antitrust risk inherent in the participatory event in question, stating that it had “considered and evaluated the existence of a risk of antitrust disputes whose mere pendency would constitute a source of prejudice for the entire grouping. This element, within the scope of a broader evaluation, led the Writer not to confirm to Consip the persistence of interest in participation” (doc. XII.1485). The same concepts are also indicated in the already mentioned minutes of the Management Board of CNS dated March 24 and 29, 2016134.</w:t>
      </w:r>
    </w:p>
    <w:p>
      <w:r>
        <w:t>168. The above regarding the failure to confirm the offers for FM4 is consistent with the oral statements made by representatives of CNS during the inspection assessment135. It should be noted in this regard that the decision to withdraw the offers on FM4 was made by the new management of CNS despite the evident economic disadvantages that this would entail, primarily in terms of the cancellation of the possibility of achieving potentially significant revenues for its associated companies. Nevertheless, these latter – unanimously – endorsed the choice to withdraw from a tender characterized by evident competitive problems136. This was also confirmed by CNS during the infra-procedural hearing with the Offices, where it emphasized that it chose not to confirm the offers “despite the decision to give up a tender of considerable value (such as FM4) entailed strong risks of disputes both from the other members of the ATI and from its own associates, particularly in terms of missed potential earnings, and thus entailed evident negative consequences” (doc. XXIV.2725). CNS reiterated this concept also in the final memorandum137, where it particularly stated the “awareness of giving up a tender of very significant economic-business value and despite the strong opposition from the principals Kuadra and Exitone.”</w:t>
      </w:r>
    </w:p>
    <w:p>
      <w:r>
        <w:t>169. Also regarding the issue of the failure to confirm the offers for FM4, some statements contained in what Esperia specifies as “an anonymous letter sent to the President of the Board of Directors of Esperia by a Social Cooperative” (doc. XX.2416), which appears to be written by an internal figure at CNS, are interesting. In this anonymous writing, it is indeed stated that the choice not to confirm the offers, “neglecting the damages that it has imposed regarding the obvious admission of guilt,” has exposed CNS to damages “1) to its image as the choice is defined by the same Antitrust as evidence of guilt [..] 5) of MFM which should have benefited from our behavior” (doc. XX.2304)138.</w:t>
      </w:r>
    </w:p>
    <w:p>
      <w:r>
        <w:t>170. Unlike CNS, the associated company MFM did not withdraw from the tender. In the context of internal analyses on the surety costs in May 2014 (for the calculation of the necessary exposure in case of award), not only are the four lots of ‘real’ offer from MFM significantly indicated as “MFM lots,” but the analysis on the surety costs also does not include lot 11, which is indeed the lot of the ‘fictitious’ offer139.</w:t>
      </w:r>
    </w:p>
    <w:p>
      <w:r>
        <w:t>171. Furthermore, MFM also reacts with discontent to the specific criticisms that a consulting company, tasked with certifying the offers to be submitted to Consip from a technical standpoint, raises against the documents (as there are “various logical jumps not demonstrated in the chapter and not reconstructable for which proof is needed [..] we lack many data used during the analysis and especially we lack the cited data sources to retrace the analysis and make some checks”), just a few days before the deadline for submitting offers (June 29 compared to July 7, 2014). The internal reactions at MFM to such technical doubts indeed tend not to respond with concern and immediately to the consultant (in order to improve the offers and thus maximize the chances of winning), given the imminence of the deadline, but rather to convince him to defer and be more “smart” in the approach: “[a representative of MFM] is dialoguing with us, let’s see what they can come up with, we hope they understand the need to be a bit more &lt;&lt;Smart&gt;&gt;. Vivalamamma!!!!” (doc. XI.1310).</w:t>
      </w:r>
    </w:p>
    <w:p>
      <w:r>
        <w:t>3) The active role of Kuadra in the CNS-Kuadra-Exitone ATI</w:t>
      </w:r>
    </w:p>
    <w:p>
      <w:r>
        <w:t>172. Referring to the section regarding the STI group for the discussion of Exitone's role within the ATI led by CNS, it is noted here that the investigative analysis has allowed for the verification of the full involvement in the examined conduct of the other principal, Kuadra. It is noted in this regard that the composition of the ATI assigned to CNS a percentage of participation in the grouping and execution of the contract equal to 81%; the remaining shares were set at 15% in favor of Kuadra and 4% in favor of Exitone.</w:t>
      </w:r>
    </w:p>
    <w:p>
      <w:r>
        <w:t>173. Regarding Kuadra, it is first highlighted how - despite the fact that at the time of the events more than 200 companies located throughout the national territory were part of the CNS consortium, many of which were active in the cleaning sector - CNS felt the need to include the cleaning company Kuadra in the ATI (thus replicating the composition of the Consip Cleaning Schools tender, already subject to procedure I-785). And this, by the admission of the CNS group leader, without finding “the economic rationales underlying the choice by CNS to include in the ATI the cleaning company Kuadra.”</w:t>
      </w:r>
    </w:p>
    <w:p>
      <w:r>
        <w:rPr>
          <w:b/>
        </w:rPr>
        <w:t>[Pages 58–60]</w:t>
      </w:r>
    </w:p>
    <w:p>
      <w:r>
        <w:t>60 BULLETIN NO. 19 OF MAY 13, 2019</w:t>
        <w:br/>
        <w:t>the company Kuadra as the entity to which part of the cleaning activities put out to tender would be entrusted (Kuadra held a 15% share in the ATI)” (doc. XXIV.2725).</w:t>
      </w:r>
    </w:p>
    <w:p>
      <w:r>
        <w:t>Also in the final memorandum140, CNS confirmed the “irrationality of the choices made in the offer,” among which is expressly mentioned the decision to form an ATI with Kuadra (and Exitone).</w:t>
      </w:r>
    </w:p>
    <w:p>
      <w:r>
        <w:t>174. From the examination of the various drafts and the related comments and revisions made in the margins or in the body of the internal Regulation141 of the ATI by representatives of the three companies making up the ATI itself, the role and active participation of Kuadra in refining and integrating this Regulation emerges; this particularly in terms of a clearer allocation among the parties of the activities that make up the contract and a clearer definition of the invoicing and cost calculation methods (related to the execution of the assignment and the expenses of the ATI).</w:t>
      </w:r>
    </w:p>
    <w:p>
      <w:r>
        <w:t>In this regard, particular attention is drawn to the documents containing drafts of the internal Regulation of the ATI with the related activities of integration, revision, correction, and commentary carried out by Kuadra142.</w:t>
      </w:r>
    </w:p>
    <w:p>
      <w:r>
        <w:t>175. Furthermore, the draft addendum to the internal Regulation of the ATI is noted, which provides for the subcontracting by Kuadra, in relation to the portions of the FM4 contract pertaining to it, to companies that will be indicated by the CNS143. Among the related evidence, an internal email to the CNS is also noted, to which is attached the document entitled “Kuadra CNS subcontracting addendum” (doc. XVIII.2263). This document states in the header that the parties to the CNS agreement are Exitone and Kuadra, and represents a supplementary addendum to the internal Regulation of the ATI constituted by the aforementioned companies to participate in the FM4 tender.</w:t>
      </w:r>
    </w:p>
    <w:p>
      <w:r>
        <w:t>In particular, the provisions of the addendum – according to a negotiation structure also found in relation to the ATI led by the CNS for the Consip Cleaning tender in the previous proceeding I/785 – provide for the “necessity to subcontract” - potentially until the end of the agreement - a portion of the lots awarded to the ATI, and establishes that the CNS proposes to Kuadra the subjects to whom the latter will subcontract a part of the contract pertaining to it.</w:t>
      </w:r>
    </w:p>
    <w:p>
      <w:r>
        <w:t>From the text of the email to which the addendum is attached (“it is clear that we need to decide whether to already indicate the names of the Coops or leave it generic,” doc. XVIII.2263), it is evident that the beneficiaries of the subcontracts from Kuadra are the CNS consortium members144.</w:t>
      </w:r>
    </w:p>
    <w:p>
      <w:r>
        <w:t>176. The aforementioned circumstance of Kuadra's subcontracts to CNS consortium members concerning FM4 is confirmed in the minutes of the meetings of the Management Council of the CNS on March 24 and 29, 2016, and, indeed, constitutes one of the circumstances underlying the decision not to confirm the offers for FM4 made by the governing body of the CNS during those meetings. In particular, the minutes state the existence of “a draft agreement between CNS and Kuadra from which it would emerge that, in the event of the definitive award of the Consip FM4 tender, Kuadra committed to subcontract the works in question to one of the cooperative members of the CNS, without specific identification of any cooperative” (doc. XV.1735).</w:t>
      </w:r>
    </w:p>
    <w:p>
      <w:r>
        <w:t>The actual existence of such a draft agreement was also confirmed by the CNS in an intra-procedural hearing, where it indicated that it ultimately did not materialize in the signing of corresponding contracts145.</w:t>
      </w:r>
    </w:p>
    <w:p>
      <w:r>
        <w:t>Also in the final memorandum146, the CNS confirmed the “irrationality of the choices made in the offer,” among which is expressly mentioned the “draft agreement between CNS and Kuadra for the subcontracting, in the event of award, in favor of CNS consortium members not specifically identified.”</w:t>
      </w:r>
    </w:p>
    <w:p>
      <w:r>
        <w:t>177. The documentation related to Kuadra's behavior concerning the CNS's decision not to confirm the offers also attests to Kuadra's active involvement in defining the ATI's strategies.</w:t>
      </w:r>
    </w:p>
    <w:p>
      <w:r>
        <w:t>In particular, an email from March 2016 testifies to Kuadra's activism also in deciding with Exitone the strategy to be followed regarding the confirmation of the offers for FM4, desired by the two companies in opposition to the contrary decision of the CNS (“at 9 AM Italian time we will call Exitone to agree on the final line,” doc. XX.2340). In the continuation of this correspondence, further evidence of Kuadra's active role in managing the grouping participating in the tender is provided, where this company even hypothesizes replacing the ATI's representative, namely the CNS: “if we can alternatively REVOKE THE MANDATE [to CNS] to indicate Exitone as the new leading company; thus the ATI is not modified; then CNS will explain to us how it will leave if we succeed in the replacement” (doc. XX.2312).</w:t>
      </w:r>
    </w:p>
    <w:p>
      <w:r>
        <w:t>178. Similarly, it is derived from an email with an attached draft - developed by Kuadra and sent by it to Exitone147 - of integration to the ATI Regulation, where in particular the proposal to reduce CNS's participation shares in the ATI itself148 in exchange for the confirmation of the offers149 is elaborated.</w:t>
      </w:r>
    </w:p>
    <w:p>
      <w:r>
        <w:t xml:space="preserve">145 Doc. XXIV.2725. </w:t>
        <w:br/>
        <w:t xml:space="preserve">146 Doc. M.1. </w:t>
        <w:br/>
        <w:t xml:space="preserve">147 “I am attaching the draft of the path we hypothesized over the phone, you will notice the finesse that allows us to save both the goat and the cabbage, that no one loses face and above all remains an internal act covered by privacy. We expect that you and your lawyers can integrate and improve it” (doc. XX.2358). </w:t>
        <w:br/>
        <w:t xml:space="preserve">148 “The reduction of the shares referred to in point sub a) comes into effect with the signing of this agreement and will last for _____ months. In any case, it ceases with the date of publication of the definitive ruling of the Lazio TAR - on the merits. Once the ruling is published, the companies will return to their original shares, except for any subsequent agreements” (doc. XX.2358, doc. XX.2308 and also doc. XX2311). </w:t>
        <w:br/>
        <w:t>149 This point is also reiterated in Kuadra's warning to CNS for the confirmation of the offers (doc. XX.2308): “As far as we are concerned, we do not intend to place any obstacle to your willingness to reduce your share of participation: from Kuadra's side it is accepted and therefore, as provided for in Article 17 of the internal regulation of the ATI, the percentage will be reduced, provided that the other associate Exitone agrees, a consent that we strongly hope for [..] reduction requested by the CNS.”</w:t>
      </w:r>
    </w:p>
    <w:p>
      <w:r>
        <w:t>In the email referred to in doc. XX.2315, however, the CNS denies wanting to reduce its participation shares in the ATI as indicated by Kuadra (“under no circumstances - neither during the meeting of March 25 last, nor at any other time - has this Company made a request to reduce its execution and participation share in the R.T.I. [..] absence of any request from the CNS regarding the modification of the grouping's shares”).</w:t>
      </w:r>
    </w:p>
    <w:p>
      <w:r>
        <w:t xml:space="preserve">62 BULLETIN NO. 19 OF MAY 13, 2019 </w:t>
        <w:br/>
        <w:t>179. Also in doc. XX.2308, Kuadra reiterates “a common position taken by Kuadra and Exitone towards the CNS. It has indeed been noted in these difficult and tense days how Exitone has proven to be a partner ready to defend the interests of the ATI”150.</w:t>
      </w:r>
    </w:p>
    <w:p>
      <w:r>
        <w:t>Also for the preceding period, moments of close collaboration between the STI group and Kuadra are observed: for example, in the period of February/March 2015, STI was in contact with Kuadra to provide it with consultancy and assistance regarding the Consip Health Cleaning tender and would then have to develop and execute complementary services (in favor of a newly formed consortium company to which Kuadra would adhere151), even though it did not participate directly in the tender in question152.</w:t>
      </w:r>
    </w:p>
    <w:p>
      <w:r>
        <w:t xml:space="preserve">4) The role of the STI group </w:t>
        <w:br/>
        <w:t>180. In this section, it will be shown how the STI group exercised a decisive influence in the overall design of the agreement under examination, through a network of contacts and agreements that involved various Parties. The companies of the STI group involved are the subsidiaries Exitone and Gestione Integrata.</w:t>
      </w:r>
    </w:p>
    <w:p>
      <w:r>
        <w:t>181. As seen, officially the STI group participated in the FM4 tender through Exitone's membership in the ATI led by CNS, taking on a significant role there. The second company of the group, Gestione Integrata, could therefore not participate in the tender in another grouping (under penalty of exclusion due to the imputability of the offers to a single decision-making center)153.</w:t>
      </w:r>
    </w:p>
    <w:p>
      <w:r>
        <w:t>182. Nevertheless, the STI group intended to obtain for Gestione Integrata a prominent role in the FM4 tender in a “non-transparent” manner.</w:t>
      </w:r>
    </w:p>
    <w:p>
      <w:r>
        <w:t>In the first place, in fact, Gestione Integrata was included in the CSEL consortium. In this way, the STI group exercised significant influence through CSEL also concerning a second ATI, that led by Cofely and including CSEL, a consortium with which the STI group had multiple co-interests and of which Gestione Integrata became a part in a symptomatic temporal coincidence precisely with the announcement of the FM4 tender (without being indicated).</w:t>
      </w:r>
    </w:p>
    <w:p>
      <w:r>
        <w:rPr>
          <w:b/>
        </w:rPr>
        <w:t>[Pages 61–63]</w:t>
      </w:r>
    </w:p>
    <w:p>
      <w:r>
        <w:t>BULLETIN NO. 19 OF MAY 13, 2019 63</w:t>
      </w:r>
    </w:p>
    <w:p>
      <w:r>
        <w:t>as the executor). It is also evident from the records that the presence of CSEL in the ATI led by Cofely was not necessary for meeting the participation requirements154.</w:t>
      </w:r>
    </w:p>
    <w:p>
      <w:r>
        <w:t>Secondly, the STI group sought an additional economic return for Gestione Integrata in relation to FM4, particularly by requesting significant subcontracts (15%) both from the CNS ATI (see also the section on leniency documentation) and from Siram.</w:t>
      </w:r>
    </w:p>
    <w:p>
      <w:r>
        <w:t>4.1) The STI group in the 'official' ATI of FM4: the role of Exitone, the subcontracting agreement from the CNS-Kuadra-Exitone ATI to Gestione Integrata for FM4, and the compensatory subcontracting agreement between the Consip FM4 and SIE3 tenders</w:t>
      </w:r>
    </w:p>
    <w:p>
      <w:r>
        <w:t>The role of Exitone</w:t>
      </w:r>
    </w:p>
    <w:p>
      <w:r>
        <w:t>183. It is noted that the composition of the ATI assigned CNS a participation percentage in the grouping and execution of the contract equal to 81%; the remaining shares were set at 15% in favor of Kuadra and 4% in favor of Exitone. The STI group is, therefore, formally part of this ATI.</w:t>
      </w:r>
    </w:p>
    <w:p>
      <w:r>
        <w:t>184. Regarding the role exercised by the STI group in this ATI through Exitone, reference is first made to what was represented by the leniency applicant concerning the proactive role, and not merely that of a principal, held by Exitone in relation to both the technical offers (having the task of drafting them) and the economic offers (having the task of performing support activities for their development) submitted by the ATI (see the section related to leniency documentation).</w:t>
      </w:r>
    </w:p>
    <w:p>
      <w:r>
        <w:t>185. In addition, what was summarized by CNS in an email communication from July 2016 is reported: “the participation of the [STI] group in the FM4 RTI is structured in two steps: 4% as per mandate plus a series of fees linked to a contract signed before the submission of the offer for a variable percentage from 1 to 3%. In this regard, some assumptions need to be made because the variance is linked to the number of lots ‘awarded’” (doc. XVIII.2282).</w:t>
      </w:r>
    </w:p>
    <w:p>
      <w:r>
        <w:t>As specified by the CNS representative during the hearing155, in fact, during the period in question, it was customary for CNS to have the designer Exitone participate in the ATI (entrusting it with activities both in the design phase and in the execution of the tender) according to a remuneration scheme that was normally to provide Exitone with a fixed sum, to which a variable amount was added depending on the number and value of the lots eventually awarded (the so-called success fee)156.</w:t>
      </w:r>
    </w:p>
    <w:p>
      <w:r>
        <w:t>The subcontract from the CNS ATI to Gestione Integrata concerning FM4</w:t>
      </w:r>
    </w:p>
    <w:p>
      <w:r>
        <w:t>186. Various inspection documents found at the CNS headquarters157 and the STI group158 also attest to the contacts between the consortium and the latter regarding the subcontract that would have been awarded to Gestione Integrata concerning the lots that the ATI led by CNS would have won following the conclusion of the FM4 tender (regarding the agreement in question, reference is also made to the leniency document doc. L.4 already described previously).</w:t>
      </w:r>
    </w:p>
    <w:p>
      <w:r>
        <w:t>These documents attest to the development of the negotiations on the draft subcontract that can be placed in a timeframe prior to the deadline for the submission of offers for FM4, proving the cooperative interests between CNS and the STI group with the involvement of the other member of the ATI, Kuadra.</w:t>
      </w:r>
    </w:p>
    <w:p>
      <w:r>
        <w:t>The agreement in question, which was negotiated by the parties even after the submission of the offers, was not then formalized due to the conditions demanded by Gestione Integrata, deemed excessive by CNS159.</w:t>
      </w:r>
    </w:p>
    <w:p>
      <w:r>
        <w:t>187. It should also be noted that, during the evolution of the negotiations with the STI group, the latest drafts of the subcontract contain the mention, in the header as parties to the contract, not only of CNS and Gestione Integrata but also, on the side of the subcontracting contractor, of Kuadra and Exitone160.</w:t>
      </w:r>
    </w:p>
    <w:p>
      <w:r>
        <w:t>188. Regarding the timeline of the subcontract agreement in question, on May 14, 2014, a representative of Gestione Integrata asked representatives of the parent company STI to prepare a draft subcontract to discuss it with the CNS contact161.</w:t>
      </w:r>
    </w:p>
    <w:p>
      <w:r>
        <w:t>In response to this email, on May 19, 2014, the draft agreement between CNS and Gestione Integrata was transmitted, hypothesizing an assignment equal to 15% of the value of all the lots that CNS would manage to win162.</w:t>
      </w:r>
    </w:p>
    <w:p>
      <w:r>
        <w:t>189. Subsequently, attached to an internal email of the STI group dated November 3, 2014, a further and more recent version of the draft subcontract between CNS (as well as Kuadra and Exitone) and Gestione Integrata was found, containing additions made by CNS and comments made by representatives of STI. In this latest version, the remuneration provided for Gestione Integrata is scaled down from 15% of all services put out to tender to 20% of only the maintenance services (which account for approximately 20-30% of the total)163.</w:t>
      </w:r>
    </w:p>
    <w:p>
      <w:r>
        <w:t>In the email transmitting this draft, a representative of Gestione Integrata highlights that the signing of this subcontract with CNS remains pending and suggests to the other representatives of the STI group to sign it “before perhaps the scenarios change,” commenting in the following terms: “on this matter, CNS does not intend to grant us more, unless you obtain a more favorable condition” (doc. IV.1171).</w:t>
      </w:r>
    </w:p>
    <w:p>
      <w:r>
        <w:t>190. The STI group would thus have participated in the ATI with CNS and Kuadra through a dual channel, namely the official participation of Exitone on one side and the subcontracting agreement with Gestione Integrata on the other. This is because the latter company could not officially appear among the participants in the tender, due to the simultaneous presence of Exitone and the provisions contained in the shareholders' agreement regarding its governance; hence, the need to overcome this issue through the use of the subcontracting institution.</w:t>
      </w:r>
    </w:p>
    <w:p>
      <w:r>
        <w:t>In this regard, it is useful to recall the email of March 25, 2014, in which a representative of Gestione Integrata evaluated with the president of the STI group the various participatory solutions that could be hypothesized for Gestione Integrata in relation to the FM4 tender, with considerations of the following tenor: “What do we do, as Gestione Integrata? Do we go with CNS in subcontracting, given that there is still uncertainty regarding the presence of Siram in the shareholding?” (doc. IV.1043).</w:t>
      </w:r>
    </w:p>
    <w:p>
      <w:r>
        <w:t>The compensatory subcontract from CNS to Exitone concerning the Consip SIE3 tender and to compensate for the lost earnings in FM4</w:t>
      </w:r>
    </w:p>
    <w:p>
      <w:r>
        <w:t>191. The agreement in question arises from the need to compensate the STI group for the non-confirmation of the offer in the FM4 tender, as decided by CNS as the representative of the ATI of which Exitone is part. This compensatory agreement arises particularly from a proposal made by the STI group to CNS, as indicated by the latter164.</w:t>
      </w:r>
    </w:p>
    <w:p>
      <w:r>
        <w:t>192. In detail, in the body of an email dated July 11, 2016, a private writing “for discussion” between CNS and Exitone is reported, dated June 2016 (doc. XVIII.2279). It is recalled in this regard that CNS and Exitone submitted an offer in the SIE3165 tender and won the related lot 2, participating in the same ATI with the roles, respectively, of representative at 64% and principal at 3%166.</w:t>
      </w:r>
    </w:p>
    <w:p>
      <w:r>
        <w:t>193. As seen above in the section related to leniency documentation (doc. L.9), the text of the agreement provides for a progression of negotiation arrangements between CNS and Exitone, to which the other members of the winning ATI remain external, in order to allow the STI group company to obtain compensation (for the profit lost in the FM4 contract) even where the contracting authority does not authorize the solutions gradually proposed by the parties167. In fact, in the event that the hypothesized subcontracting assignment did not receive a positive ruling from the contracting authority, the document in question identifies, as an additional solution to compensate Exitone, the payment by CNS, to</w:t>
      </w:r>
    </w:p>
    <w:p>
      <w:r>
        <w:rPr>
          <w:b/>
        </w:rPr>
        <w:t>[Pages 64–66]</w:t>
      </w:r>
    </w:p>
    <w:p>
      <w:r>
        <w:t>66 BULLETIN NO. 19 OF MAY 13, 2019</w:t>
        <w:br/>
        <w:t>by way of penalty, an amount equal to 7% of the revenues of each individual supply order issued by the contracting Administration, without prejudice to compensation for greater damages.</w:t>
      </w:r>
    </w:p>
    <w:p>
      <w:r>
        <w:t>194. In a subsequent email dated July 28, 2016, titled “issue related to the Consip Exitone agreements,” CNS clarifies the meaning of the described agreement: “essentially: work in SIE 3 in an amount equal to the opportunity lost in FM4” (doc. XVIII.2282).</w:t>
      </w:r>
    </w:p>
    <w:p>
      <w:r>
        <w:t>In a subsequent exchange of electronic correspondence dated August 3, 2016, the representative of CNS, questioned by the new President of the consortium about the terms of the described agreement, which was unknown to him, replied stating that “on only one concept did we agree [with the President of the STI group]: the opportunity lost by Exitone in FM4 could find compensation with an equivalent in SIE 3 lot 2” (doc. XVIII.2283).</w:t>
      </w:r>
    </w:p>
    <w:p>
      <w:r>
        <w:t>4.2) The STI group in the 'unofficial' ATI of FM4: the influence of the STI group through CSEL also regarding the ATI led by Cofely</w:t>
      </w:r>
    </w:p>
    <w:p>
      <w:r>
        <w:t>195. In this regard, it is highlighted, as previously mentioned, that the STI group exerted significant influence over the ATI Cofely-CSEL, particularly through an entity – the CSEL consortium – with which the group had structural ties and maintained numerous business relationships and which, in turn, played a prominent role in the ATI led by Cofely.</w:t>
      </w:r>
    </w:p>
    <w:p>
      <w:r>
        <w:t>196. Regarding the prominent role of CSEL in the ATI with Cofely, it suffices to recall the contract signed between the parties for the work performed by the former in relation to the six offer lots of the ATI for FM4168. These services concerned, in fact, significant aspects such as the drafting of the technical project, the optimization of the technical offer, the oversight of the closure of the technical offer itself, and the assessment of the economic offer's congruity (for example, indeed, “The technical project in its entirety was known only by two people: [..] from Cofely and [..] from CSEL,” doc. XXIV.2733)169.</w:t>
      </w:r>
    </w:p>
    <w:p>
      <w:r>
        <w:t>197. The link between the STI group and the ATI Cofely-CSEL is an element that helps explain the situation regarding lot 10 in the context of the division of the tender.</w:t>
      </w:r>
    </w:p>
    <w:p>
      <w:r>
        <w:t>4.2.1) The issue of lot 10</w:t>
      </w:r>
    </w:p>
    <w:p>
      <w:r>
        <w:t>198. The allocation of lot 10 among the participants in the agreement appears worthy of specific discussion. This is the geographical lot relating to Rome Centro, traditionally awarded to Romeo since 2005, for which in previous editions of the facility management tender - unlike FM4 - there had nevertheless been competing offers from other major market operators170.</w:t>
      </w:r>
    </w:p>
    <w:p>
      <w:r>
        <w:t>199. The documentation on file allows for the reconstruction of how Romeo was completely confident of winning the lot in question even in FM4 and how this certainty was, however, disregarded in strict connection with the knowledge of the ties between the STI group and the ATI Cofely-CSEL.</w:t>
      </w:r>
    </w:p>
    <w:p>
      <w:r>
        <w:t>Significant in this regard are the interceptions from February 2016, where the individual associated with the Romeo group171 begins to become aware of the fact that the STI group was effectively present in the Cofely ATI through CSEL, which was recognized as having a significant ability to influence the awards. In one conversation, it is indeed stated that the STI group “is our competitor [of Romeo] both here in Rome with Cofely and in Milan with CNS” and that “[the STI group] is taking two lots from us,” and it is further stated “because that [the STI group] is there with CNS, then it teams up with Cofely”172. The conversation between the two interlocutors then continues with considerations about the possibility that the STI group could win the lots in Milan (lot 3) and Rome (lot 10), in which context Romeo states that “no, Milan won't take it, it will take Rome,” “[the STI group] only takes Rome,” “and Cofely takes... yes... it takes ours.” It should be noted, indeed, that lot 3 in Milan is characterized by the STI group's 'losing' offer (in ATI with CNS).</w:t>
      </w:r>
    </w:p>
    <w:p>
      <w:r>
        <w:t>Romeo also states that he is “disoriented because I didn't know this thing with Cofely” and “it doubles the strength on the ground of Cofely in a crazy way.”</w:t>
      </w:r>
    </w:p>
    <w:p>
      <w:r>
        <w:t>200. In relation to this circumstance, as revealed by the interceptions, Romeo therefore expresses all his opposition to the interference of Cofely which, with the support of the STI group, would have taken away the lot 10 of Rome Centro, considered to be his own. In the same interception, it is indeed read: “because Cofely should not have come to Rome. Because I should not have competitors in Rome because this is not Cofely's business. Cofely does the FM4 heat, it is pure facility, you understand, and for that reason, it brought fifty cleaners &lt;&lt;appriesso&gt;&gt;”173.</w:t>
      </w:r>
    </w:p>
    <w:p>
      <w:r>
        <w:t>201. It should also be noted that, in a period shortly after these conversations, in April 2016, Romeo sent a complaint to the Authority, in which he denounced the existence of anti-competitive conduct in relation to the FM4 tender, specifically signaling the existence of a “permanent cartel” particularly between the STI group and companies from the “cooperative world” (such as CNS and MFM)174. It was also reported, in relation to the two ATIs of CNS and Cofely, “a more than evident and consequent mutual &lt;&lt;competitive abstention&gt;&gt; between the two candidacies that cover a total of 12 lots of the tender without ever overlapping except in the only marginal case of lot 8” (doc. I.6).</w:t>
      </w:r>
    </w:p>
    <w:p>
      <w:r>
        <w:t xml:space="preserve">202. The interceptions contain passages related to this complaint, even at a later time (September 2016), in which Romeo, while commenting on the possibility of reaching agreements with Cofely, expresses concern about having submitted the complaint to the Authority. The conversation indeed has the following tenor: </w:t>
        <w:br/>
        <w:t>Romeo: “and then they want to give you the part of Rome in some way [lot 10 of Rome Centro]” [..] “with subcontracting and..”; [..] Interlocutor: “but is this acquisition convenient for you?” [referring to Conversion &amp; Lighting, a company participated by the STI group and CSEL, cf. infra]; Romeo: “...I mean it’s good, I mean if you negotiate, you can.. you can get a good deal, but they are not worried about the price, they are not worried…”; Interlocutor: “you say why they do it”; Romeo: “I am worried about the fact that we had raised the stakes on the complaints” [..] “eh! and so I mean ee, but if we do this thing I’m going to talk to the Antitrust I’m going to do this thing that I have to do, otherwise what should I do?”175.</w:t>
      </w:r>
    </w:p>
    <w:p>
      <w:r>
        <w:t>4.2.2) The choice of cleaning companies to be included in the Cofely-CSEL ATI</w:t>
      </w:r>
    </w:p>
    <w:p>
      <w:r>
        <w:t>203. The documentation on file shows that it was indeed the STI group that indicated at least one of the cleaning companies that formed the Cofely ATI, also agreeing on the shares (formal and informal) of that ATI.</w:t>
      </w:r>
    </w:p>
    <w:p>
      <w:r>
        <w:t>Noteworthy in this regard are some emails176 that, in the period leading up to the deadline for submitting offers for FM4, show the existence of meetings for FM4 - regarding issues related to the Cofely/CSEL ATI - between representatives of CSEL and the head of the Tender Office of the STI group and between these two subjects and the Florida 2000 company (one of the four cleaning companies that are part of the Cofely-CSEL ATI).</w:t>
      </w:r>
    </w:p>
    <w:p>
      <w:r>
        <w:t>In this regard, it should be noted that the issue for the STI group is followed by the President of the group, either directly or through appointees.</w:t>
      </w:r>
    </w:p>
    <w:p>
      <w:r>
        <w:t>204. Specifically, on May 17, 2014, the STI group interfaces with Florida 2000 in the following terms: “We would have set a meeting for FM4 next Wednesday in Rome at the CSEL consortium” (doc. IV.1150), also indicating a subsequent communication with the parent company Cofely: “could I have the contact details of the person who follows the administrative procedure for your company [Florida 2000]? I need to give them to the parent company [Cofely]” (May 26). So much so that Florida 2000 approaches the STI group accordingly (“As I mentioned to you by phone for any and all administrative needs related to the tender in question, you can contact:” Florida 2000 writes to STI, doc. IV.1149).</w:t>
      </w:r>
    </w:p>
    <w:p>
      <w:r>
        <w:t>On May 27, the representative of the STI group sends CSEL the contact details of the people from Florida 2000 to interface with for the administrative part177.</w:t>
      </w:r>
    </w:p>
    <w:p>
      <w:r>
        <w:t>205. The content of another email, dated June 5, 2014 (therefore still before the deadline for submitting the offer for FM4), exchanged between CSEL and the STI group regarding a possible use of the consortium for the FM4 tender, is also noteworthy. In this email, the representative of CSEL, within an analysis on the recourse to the consortium for registration in the cleaning register, writes to the representative of the STI group that “This is a problem. So we need to readjust the formal ATI shares, while keeping unchanged what was agreed regarding the shares that at this point will only be reported in the agreements” (doc. IV.1127).</w:t>
      </w:r>
    </w:p>
    <w:p>
      <w:r>
        <w:t>In commenting on this document, during the hearing, representatives of the STI group stated that “the [representative of CSEL] had asked the [representative of the STI group] to verify the possibility of resorting to the consortium for the cleaning services of FM4; however, from the checks carried out by the [representative of the STI group], it emerged that this was not possible, so the above-described procedure for selecting the external cleaning company began, which would therefore involve modifying the shares and agreements of the Cofely-CSEL ATI” (doc. XXIV.2722),</w:t>
      </w:r>
    </w:p>
    <w:p>
      <w:r>
        <w:rPr>
          <w:b/>
        </w:rPr>
        <w:t>[Pages 67–69]</w:t>
      </w:r>
    </w:p>
    <w:p>
      <w:r>
        <w:t>BULLETIN NO. 19 OF MAY 13, 2019 69</w:t>
      </w:r>
    </w:p>
    <w:p>
      <w:r>
        <w:t>206. Furthermore, as a clear testimony to the substantial role played by the STI group even in this ATI in which it was not formally present, in this case even in terms of structuring the ATI shares. On May 13, 2014, in an internal email (addressed, among others, to a representative of Exitone, the very company participating in the ATI competing with CNS) with the subject “[surname of the CSEL contact] Cofely,” the President of the STI group wrote verbatim: “Send them the references of the principals regarding cleaning. Regarding [a cleaning company], we decide whether one or two subjects with shares equal to 10 divided by 2” (doc. IV.1119), thus indicating that the STI group even went so far as to decide the shares within a competing and external ATI. This is confirmed by the hearing of the representatives of the STI group where, commenting on this document, it was stated that “the STI group had considered presenting to CSEL two subjects in relation to the issue just described: Florida 2000 and another company connected to Mr. [...] mentioned in the email in question; it was hypothesized for these two companies an equal share of 5% each in the ATI Cofely-CSEL starting from a value of 10% (this is the meaning of the phrase ‘shares equal to 10 divided by 2’ contained in the email)” (doc. XXIV.2722). Further confirmation comes from the document of “summary of commercial agreements,” described below (doc. XXIII.2606), which was drafted by the STI group and contains explicit references to the modulation of the shares of the competing ATI formed by Cofely and CSEL: “in the event of award of lot 10, the share [of ATI] CSEL would rise to 50%.”</w:t>
      </w:r>
    </w:p>
    <w:p>
      <w:r>
        <w:t>207. The issues related to the role played by the STI group in the competing ATI Cofely-CSEL were the subject of in-depth discussions during hearings with the interested Parties178. In particular, regarding CSEL, during its hearing with the Offices, the consortium illustrated the issue in the terms summarized below (doc. XXIV.2733). The leading company Cofely had two trusted cleaning companies (Cncp and Colser), which were however insufficient to meet the FM4 requirements for the cleaning part “for the number of lots deemed adequate (six).” Cofely then asked CSEL to indicate other cleaning companies interested in joining the ATI, and CSEL indicated the company Gisa. The ATI was to be composed of Cofely and CSEL for the maintenance part and the aforementioned three companies (Colser, Cncp, and Gisa) for the cleaning part. Subsequently, however, “the desire to participate in a greater number of lots than originally hypothesized [six] emerged, and thus the need to have more revenue for cleaning became apparent.” Therefore, it was necessary to search the market again for a cleaning company; CSEL then had several contacts with industry operators including the STI group, with which CSEL also explored the option of subcontracting (with a cleaning company external to the ATI). In this context, STI indicated and presented two cleaning companies that were interested in participating in the FM4 tender; among them Florida 2000, which passed the ethical check adopted by Cofely and was admitted to the ATI Cofely-CSEL. From here, according to what CSEL indicated, the need to “remodulate the formal ATI shares,” as indicated in the above-mentioned email between STI and CSEL (doc. IV.1127).</w:t>
      </w:r>
    </w:p>
    <w:p>
      <w:r>
        <w:t>178 Already in the inspection report, CSEL indicated that Cofely had included in the ATI the two cleaning companies with which it had historically collaborated in the past - Cncp and Colser - but that, not being sufficient to meet the economic requirements for participation in the tender, “Cofely asked CSEL to search for other cleaning companies,” doc. XXIII.2519.</w:t>
      </w:r>
    </w:p>
    <w:p>
      <w:r>
        <w:t>70 BULLETIN NO. 19 OF MAY 13, 2019</w:t>
      </w:r>
    </w:p>
    <w:p>
      <w:r>
        <w:t>208. In the end, however, the number of offer lots of the ATI Cofely-CSEL remained as known that initially hypothesized (six), and therefore the entry into the ATI of only Gisa would have been sufficient, according to the aforementioned reconstruction provided by CSEL. Nevertheless, and despite the organizational issues that the entry of Florida 2000 into the ATI would have entailed179, such entry – supported by the STI group – did indeed occur.</w:t>
      </w:r>
    </w:p>
    <w:p>
      <w:r>
        <w:t>209. A different reconstruction of the events is found, however, in what was indicated, for its part, by the parent company Cofely during its hearing with the Offices. For Cofely, more simply, “each of the two partners (Cofely and CSEL) involved in the ATI the cleaning companies with which they were used to collaborating (these are Colser and Cncp on the Cofely side and Florida 2000 and Gisa on the CSEL side). This is because generally, in the execution of the contract, each partner fully manages a building, so as to perform the work better and more easily identify the responsibilities of each. [...] Cofely had allowed CSEL to autonomously choose the cleaning companies to associate in the ATI that the consortium would use in the execution of the part of the contract for which it was responsible” (doc. XXII.2488). There is therefore no trace, in Cofely's reconstruction, of the gradual expansion process of the ATI (to include first Gisa, then also Florida 2000) driven by the need to gradually have more revenue to expand the participation lots. So much so that for Cofely there was no reason to “remodulate the formal ATI shares,” as expressly indicated: “from Cofely's side there was no idea, nor had it ever been proposed or discussed, to remodulate the shares of the ATI” (doc. XXII.2488).</w:t>
      </w:r>
    </w:p>
    <w:p>
      <w:r>
        <w:t>210. The STI group, during its hearing, represented that the indication of the cleaning companies originated from informal contacts with the President of the CSEL consortium, with whom the STI group had good relations considering various activities carried out jointly. In particular, the representatives of the STI group stated that “talking with CSEL as one talks with other market operators, it emerged that CSEL was looking for cleaning companies for its ATI with Cofely and the STI group knew the company Florida 2000 (which had moreover asked the STI group to participate in the ATI with CNS but that ATI was already covered as the CNS consortium has many member companies active in the cleaning services); the company Florida 2000 was thus presented to CSEL and eventually became part of the ATI CSEL-Cofely” (doc. XXIV.2722).</w:t>
      </w:r>
    </w:p>
    <w:p>
      <w:r>
        <w:t>4.2.3) The entry of Gestione Integrata into the CSEL consortium coinciding with the announcement of the FM4 tender</w:t>
      </w:r>
    </w:p>
    <w:p>
      <w:r>
        <w:t>211. As mentioned, just a few days after the FM4 tender was announced by Consip, Gestione Integrata joined the CSEL consortium. Several instructive documents account for this issue.</w:t>
      </w:r>
    </w:p>
    <w:p>
      <w:r>
        <w:t>179 The organizational issues – which Cofely in its final memorandum complains of not understanding (cf. doc. M.5) – refer to the long and laborious work of defining the ATI shares, which would have had to restart from scratch with the entry into the grouping of a new component. In fact, “The agreements between the members of the ATI regarding their respective shares in the grouping had already been closed after long negotiations and therefore were not to be modified” (doc. XXIV.2733, minutes of the CSEL hearing), so much so that the possibility of subcontracting with a subject that remained external to the ATI had been explored.</w:t>
      </w:r>
    </w:p>
    <w:p>
      <w:r>
        <w:t>BULLETIN NO. 19 OF MAY 13, 2019 71</w:t>
      </w:r>
    </w:p>
    <w:p>
      <w:r>
        <w:t>212. First of all, regarding the entry into the consortium, in an internal email to the STI group dated March 12, 2014, the urgency of joining CSEL is emphasized: “Engineer, we need to join the Consortium quickly. [The CSEL contact] would even have set a notary for next Wednesday in Rome to formalize our entry,” even hypothesizing not to go through a resolution of the Board of Directors (“without going through a specific resolution of the Board of Directors [...] check if we can bypass the Board of Directors,” doc. IV.1157). CSEL itself recalls in this regard that “the entry of Gestione Integrata into CSEL occurred very promptly” and, although not knowing “the reasons underlying the very rapid times of adhesion (STI did not indicate to CSEL any urgent issue to address),” indicates that these “can probably be traced back to some tender, which was of interest to the STI group at that time” (doc. XXIV.2733).</w:t>
      </w:r>
    </w:p>
    <w:p>
      <w:r>
        <w:t>213. Thus, the Board of Directors of Gestione Integrata on March 31, 2014, resolved to enter CSEL, just after Consip had announced the FM4 tender (on March 19, with publication on March 21 and 22), with the generic official motivation of “promoting the development in the Triveneto area of commercial activities and awarding contracts in the field of lighting and assisted electrical systems” (doc. XXIII.2594).</w:t>
      </w:r>
    </w:p>
    <w:p>
      <w:r>
        <w:t>214. In reality, beyond this official motivation, what was planned was for Gestione Integrata to enter the newly established FM division (i.e., Facility Management) of CSEL, together with only three other companies180. That this was the true purpose of Gestione Integrata's entry into CSEL is also evidenced by doc. XXIII.2536 (related to an email from September 2014 from STI to CSEL containing a series of indications in the form of notes). Indeed, regarding the note “FM: Is there an agreement missing?”, CSEL indicated during the hearing with the Offices that it was precisely the will “of the STI group to establish within CSEL a dedicated division for Facility Management (the FM division, which would be added to the only other division present in the Consortium, the High Voltage division), with the related operational regulations where the criteria to be followed for identifying for each facility management contract the member companies indicated by the Consortium would be specified [...] Gestione Integrata, following its entry into CSEL, wanted to establish, in analogy [with the existing High Voltage division], a specific division for Facility Management, proposing the related rules of operation”; this division was not then realized (doc. XXIV.2733).</w:t>
      </w:r>
    </w:p>
    <w:p>
      <w:r>
        <w:t>215. In fact, just a few days later (on April 16, 2014) the official entry of Gestione Integrata into CSEL (dated April 9)181, STI sent CSEL a grid (not filled out) on specific revenue data, disaggregated by region, regarding the various services provided in the FM4 tender and wrote: “That’s all I had to say…” (doc. XXIII.2545, doc. XXIII.2546). This exchange was justified by CSEL as a “courtesy” made by STI at the request of CSEL itself to allow it to “save time” (doc. XXIV.2733).</w:t>
      </w:r>
    </w:p>
    <w:p>
      <w:r>
        <w:t>216. The closeness between the STI group and CSEL was such that, regarding FM4, to know the participants in the various lots, the former turned to the latter and not to its parent company CNS, “probably to obtain such information more quickly,” as indicated by CSEL itself.</w:t>
      </w:r>
    </w:p>
    <w:p>
      <w:r>
        <w:rPr>
          <w:b/>
        </w:rPr>
        <w:t>[Pages 70–72]</w:t>
      </w:r>
    </w:p>
    <w:p>
      <w:r>
        <w:t>72 BULLETIN NO. 19 OF MAY 13, 2019</w:t>
        <w:br/>
        <w:t>(audition report, doc. XXIV.2733). This specifically refers to an email from CSEL to STI with attached the list of participants in the FM4 tender resulting from the meeting of the Consip tender Commission on July 7, 2014182.</w:t>
      </w:r>
    </w:p>
    <w:p>
      <w:r>
        <w:t>4.2.4) Further agreements between the STI group and CSEL</w:t>
        <w:br/>
        <w:t>217. Numerous additional investigative documents attest to the particularly solid link between the STI group and CSEL, also due to the existence of actual agreements between the parties.</w:t>
      </w:r>
    </w:p>
    <w:p>
      <w:r>
        <w:t>The document XXIII.2606 summarizing the commercial agreements between the STI group and CSEL</w:t>
        <w:br/>
        <w:t>218. In this regard, it is first noted a document – sent to CSEL in February 2017 by a consultant183 – that summarizes the commercial agreements between the parties with reference to three Consip tenders: FM4, Museums, and SIE3. This document consists of an Excel sheet titled “Summary of commercial agreements between CSEL and the STI Group” (doc. XXIII.2606) and contains three blocks of columns indicating the activities assigned respectively to CSEL, Exitone, and Gestione Integrata and the corresponding amounts.</w:t>
      </w:r>
    </w:p>
    <w:p>
      <w:r>
        <w:t>The document, reproduced below, does not provide an exact date of drafting but it is evident that it is the result of subsequent integrations. In fact, the name “summary of commercial agreements” itself indicates that it is a recognition document, a summary indeed, of past agreements. Furthermore, the fields related to the three tenders have a different degree of completion, depending on the status of the related tender procedure. In this regard, CSEL itself reported that the fields related to the Museums tender are not filled in as it was a tender that was still ongoing at the time (February 2017). Consistently, the fields related to the SIE3 tender are filled in, which had been awarded during the period October 2013 – December 2014 (with re-awarding of some lots in 2015 and 2016).</w:t>
      </w:r>
    </w:p>
    <w:p>
      <w:r>
        <w:t>219. Regarding FM4, the fields are only partially filled in as the tender was still in the awarding phase. Also relevant is document doc. XXII.2470, arising from the criminal proceedings, containing an internal email from the STI group from September 2014 which, within a list of activities to be carried out, in relation to CSEL states “FM4 sheet – letter of assignment to Gestione Integrata to be signed”.</w:t>
      </w:r>
    </w:p>
    <w:p>
      <w:r>
        <w:t>BULLETIN NO. 19 OF MAY 13, 2019 73</w:t>
        <w:br/>
        <w:t>Summary of commercial agreements between CSEL and the STI Group</w:t>
        <w:br/>
        <w:t>agreements CSEL activities assigned to the designer (VC) activities assigned to CSEL activities assigned to Exitone activities assigned to Gestione Integrata</w:t>
        <w:br/>
        <w:t>(Massetti)</w:t>
        <w:br/>
        <w:t>activities assigned to the designer value of activities value of activities value of activities value</w:t>
        <w:br/>
        <w:t>technical offer 6 lots [300,000-400,000] technical offer 6 lots [300,000-400,000] € 170,000.00</w:t>
        <w:br/>
        <w:t>success for each lot agg [100,000-200,000] success for each lot agg [100,000-200,000]</w:t>
        <w:br/>
        <w:t>s m ta a r r t k e u t p i n c g onvenzioni piano OMISSIS s m ta a r r t k e u t p i n c g onvenzioni piano</w:t>
        <w:br/>
        <w:t>OMISSIS</w:t>
        <w:br/>
        <w:t>PDA O O M M I I S S S S I I S S</w:t>
        <w:br/>
        <w:t>OMISSIS PDA OMISSIS</w:t>
        <w:br/>
        <w:t>AT Technical Registry</w:t>
        <w:br/>
        <w:t>verification of the plan support to the PA verification of the plan support to the PA</w:t>
        <w:br/>
        <w:t>for obtaining contracts request for obtaining contracts request</w:t>
        <w:br/>
        <w:t>management of third-party services management of third-party services</w:t>
        <w:br/>
        <w:t>FM4 g a e n s a t g i r o n p e os o ta tt z im e i a zz r r u e t d e i nze OMISSIS g a e n s a t g i r o n p e os o ta tt z im e i a zz r r u e t d e i nze</w:t>
        <w:br/>
        <w:t>information system</w:t>
        <w:br/>
        <w:t>call center</w:t>
        <w:br/>
        <w:t>management of extraordinary orders</w:t>
        <w:br/>
        <w:t>contract programming operational activities</w:t>
        <w:br/>
        <w:t>monitoring and control system</w:t>
        <w:br/>
        <w:t>operational management (10%)</w:t>
        <w:br/>
        <w:t>AWARDED LOTS 8 AND 10 Cofely retains 15% of the</w:t>
        <w:br/>
        <w:t>(€ 90,000,000 and € 143,000,000) turnover of the principals for the</w:t>
        <w:br/>
        <w:t>(possibly increaseable activities of governance and management</w:t>
        <w:br/>
        <w:t>of the 6/5 only for lack of capacity of the contract - in case of</w:t>
        <w:br/>
        <w:t>last order or additional acts) award of lot 10 CSEL's share</w:t>
        <w:br/>
        <w:t>would have risen to 50%</w:t>
        <w:br/>
        <w:t>CSEL PARTICIPATES IN RTI WITH</w:t>
        <w:br/>
        <w:t>COFELY AS LEAD PARTNER in addition to</w:t>
        <w:br/>
        <w:t>Museums G m ra a d n i d R a e n t t e i P F u e l r i r s o e v rv ia iz ri i a , A It t a ti l v ia it n à a 3 s 6 o 0 c .</w:t>
        <w:br/>
        <w:t>cooperative, GISA</w:t>
        <w:br/>
        <w:t>Lots 1, 2, 3, 5, 7 (max 3 additional)</w:t>
        <w:br/>
        <w:t>PTE PTE</w:t>
        <w:br/>
        <w:t>Technical Registry Technical Registry</w:t>
        <w:br/>
        <w:t>SIE3 (and ( v C e O d A n e N 1 G t l 6 u V G p . a ( E 0 I l € l U a m 1 N 0 f 5 1 0 D Z o e / 6 . I I 0 n n 0 O C 0 0 d t 3 A . N e 0 0 / a T E 0 2 i e g O n 0 0 A g c d . 1 L 0 i r T e u 6 O e 0 T l n ) m 0 T I 7 t V ) T i e / v A O 5 n o ) t D 3 a € A b L il e e g g d s l e n e i i s a e r i t v n g r i g i n o t z e e o n i t r s e i i v n c i e o a t e n e p t g c e i e r r d a r a i t t t i i r i f i v d i q c a i a u i ( z a n 3 i l g 0 o i e % f n i g e ) c n a e zi r o ia n e p er ai prez z 6 i % d i d g e a l C r v a o a n l a o v l i r e n n e n g e z e e t i v t g o o e n n n e d e t r e u i s i a a t c i l d p o m i u s e C t la i n S d t E t a e L i e i i r d s n n i n q e i g t a e e u r e v g r a r g g i v n l z n e e i o i f e n t i s i i r c n t c i i i a a t a e e d z i p i g c o e e r n a r r e t t g i i f l d i i c i a zione s 1 6 t 0 % i % p u d ] l e a l t v a a c l o o n re s C c o o n n v to e n d z e io l n [5 e % - operational management (30%) s c a o u i n b p a s r p c e o p z n z a i t l o t d o e d C l e S l E L</w:t>
        <w:br/>
        <w:t>[1%-5%]</w:t>
        <w:br/>
        <w:t>Totals</w:t>
      </w:r>
    </w:p>
    <w:p>
      <w:r>
        <w:t>220. Specifically, with reference to the SIE3 tender (as confirmed by what is indicated in the specific agreement, see infra doc. XXIII.2522), it is observed that it is provided that all activities assigned to CSEL (resulting from a subcontract from Cofely, since CSEL did not participate in the tender) are to be entrusted to Gestione Integrata (in particular the operational management activity); in addition, a commitment is also added in the Excel sheet to Exitone (in particular the technical registry activity and others). In both cases, moreover, this occurs at particularly advantageous prices (the same value of the subcontract from Cofely with contained discounts)184.</w:t>
      </w:r>
    </w:p>
    <w:p>
      <w:r>
        <w:t>221. Regarding the FM4 tender, within the summary table, a monetary amount granted by CSEL to Exitone is indicated: it is a value equal to more than 50% (success fee excluded) of what would have been due to CSEL for the preparation of the technical offer within the agreements with Cofely185.</w:t>
      </w:r>
    </w:p>
    <w:p>
      <w:r>
        <w:t>222. In the same document, in the column relating to activities assigned to CSEL, there is also the explicit indication that “in case of award of lot 10 the share [of ATI] CSEL would have risen to 50%,” symptomatic of the issue of lot 10 already described previously as well as, as already indicated, of the significant influence of the STI group in matters of relevance, such as the internal percentages of ATI, related to competing groupings.</w:t>
      </w:r>
    </w:p>
    <w:p>
      <w:r>
        <w:t>223. From the indication present in the above-mentioned sentence, a sort of reward mechanism emerges that had been devised between the parties in case of awarding of that lot: Cofely (which, in exchange for obtaining lot 10, would have allowed the increase of CSEL's ATI shares to 50%, reducing its own share186 and that of the other principals187), CSEL (which would evidently benefit from such an increase188) and the STI group (which by virtue of the existing commercial agreements with CSEL could, indirectly, obtain further economic benefits).</w:t>
      </w:r>
    </w:p>
    <w:p>
      <w:r>
        <w:t>224. The Excel sheet in question, according to what CSEL indicated during the hearing, was drafted by the STI group and sent by them to CSEL “as a working draft for a meeting to be held between CSEL and STI (the representatives of the STI group were accustomed to always bringing drafts and written documents to meetings)” (doc. XXIV.2733). According to what CSEL indicated during the hearing, the “commercial agreements” that occurred with the STI group for FM4 had a compensatory nature, in relation to the lost earnings for STI resulting from the decision of the lead partner of the competing ATI (CNS) not to confirm the tender offers. In fact, “probably the STI group had the problem of compensating for the loss of contracts caused by CNS's decision to withdraw from the tender, for which it was perhaps preparing to ask CSEL to carry out with Exitone post-award engineering work (it might have requested subcontracts or other work for FM4 during the aforementioned meeting; however, that meeting never took place)” (doc. XXIV.2733).</w:t>
      </w:r>
    </w:p>
    <w:p>
      <w:r>
        <w:t>225. Regarding the document in question, the STI group, during the hearing, noted that “The document in question is probably related to discussions and talks between the two parties made after the submission of offers for FM4 to verify the possibility for the STI group to carry out services in the execution phase of the agreements (in particular the provision of information systems by Exitone).” It was also specified that “in relation to the FM4 tender, there was no provision of services, no payment, nor any invoice between the STI group and CSEL,” and that “even regarding the amounts indicated in the Excel file for Gestione Integrata and Exitone concerning the SIE3 tender, these were hypotheses that were under discussion but that did not materialize” (doc. XXIV.2722).</w:t>
      </w:r>
    </w:p>
    <w:p>
      <w:r>
        <w:t>The other agreements between the STI group and CSEL</w:t>
        <w:br/>
        <w:t>185 See various versions of the Internal Regulation of ATI (for example doc. XXIII.2602) and the contract for professional services between Cofely and CSEL (for example doc. XXIII.2603).</w:t>
        <w:br/>
        <w:t>186 Equal to 35%.</w:t>
        <w:br/>
        <w:t>187 Overall equal to 55%.</w:t>
        <w:br/>
        <w:t>188 Equal to 10%.</w:t>
      </w:r>
    </w:p>
    <w:p>
      <w:r>
        <w:rPr>
          <w:b/>
        </w:rPr>
        <w:t>[Pages 73–75]</w:t>
      </w:r>
    </w:p>
    <w:p>
      <w:r>
        <w:t>BULLETIN NO. 19 OF MAY 13, 2019 75</w:t>
      </w:r>
    </w:p>
    <w:p>
      <w:r>
        <w:t>226. In this regard, three agreements between the parties are mentioned (two signed and one in draft), containing significant commitments made by CSEL in favor of the STI group in relation to tenders other than FM4 (Consip SIE3, Consip Luce3, and MST - Multiservizio Tecnologico Sanità Regione Lazio).</w:t>
      </w:r>
    </w:p>
    <w:p>
      <w:r>
        <w:t>227. Firstly, in relation to the Consip SIE3 tender189, in September 2015, CSEL committed to using Gestione Integrata for the execution of all services related to the subcontracting agreement from Cofely to CSEL itself, namely “for the total and complete execution of all services subject to subcontracting” (doc. XXIII.2522; this also confirms the content of doc. XXIII.2606 described above). The penalty in case of non-awarding of the aforementioned subcontract by Cofely is even assigned to Gestione Integrata190.</w:t>
      </w:r>
    </w:p>
    <w:p>
      <w:r>
        <w:t>228. Secondly, in relation to the Consip Luce3 tender191, also in September 2015, CSEL committed to using Gestione Integrata for the execution of a percentage of services equal to 10% of the share attributable to CSEL itself (equal to 51%)192.</w:t>
      </w:r>
    </w:p>
    <w:p>
      <w:r>
        <w:t>229. Thirdly, in relation to the MST - Multiservizio Tecnologico Sanità Regione Lazio193 tender, there is a draft agreement containing CSEL's commitment to use Gestione Integrata for the complete execution of the activities assigned to CSEL within the ATI in place with Exitone and other parties194 (also committing to delegate, in place of the CSEL component, a representative of Gestione Integrata as a member of the Steering Committee and the Technical Committee of the ATI). In the same document, there is also CSEL's commitment to assign its share of governance services in the ATI to Exitone195. Thus, Gestione Integrata was entrusted with “the complete execution of the activities subject to the contract assumed by CSEL within the RTI” and Exitone “the share of governance services already assumed by CSEL in the RTI regulation” (doc. XXIII.2561)196.</w:t>
      </w:r>
    </w:p>
    <w:p>
      <w:r>
        <w:t>230. Regarding the role of CSEL as a connecting element between the STI group and Cofely, not only in relation to the FM4 tender, the content of an email concerning Exitone's participation (as a designer)197 in the tender of the Municipality of Taranto is finally noted, following the participation and execution agreement between CSEL and Cofely. In the email, internal to the STI group, it is indeed reported that “[the CSEL contact] has defined with Cofely, he will give me the participation and execution methods. [..] For the estimate and the regulation, [the CSEL contact] will update us”; moreover, for the tender in question “Exitone cannot participate in RTI, therefore the RTI Regulation (if it is RTI) must govern all relations with Exitone” (doc. XXIII.2538)198.</w:t>
      </w:r>
    </w:p>
    <w:p>
      <w:r>
        <w:t>The Municipality of Taranto tender is peculiar, within the relationships between the STI group, CSEL, and Cofely, as in order to allow CSEL and, through this, Exitone to participate and thus gain economic advantage, Cofely makes an exception to its modus operandi: “Cofely wanted to withdraw from participation, contrary to CSEL which was instead concerned about losing the significant investments already made. Only due to the repeatedly mentioned good relations between Cofely and CSEL, and in a completely exceptional manner compared to its corporate policy, Cofely granted the support to the Consortium and thus participated in the tender only as an auxiliary company” (doc. XXIV.2733, CSEL hearing)199.</w:t>
      </w:r>
    </w:p>
    <w:p>
      <w:r>
        <w:t>4.2.5) The issue of Conversion &amp; Lighting company in the relationships between the STI group and CSEL and other parties (MFM, Cofely, and Romeo)</w:t>
      </w:r>
    </w:p>
    <w:p>
      <w:r>
        <w:t>231. It emerges, therefore, from the investigative documentation that the link between the STI group and the CSEL consortium is particularly consolidated. An illustrative case in this regard is also the story related to the company Conversion &amp; Lighting S.r.l. (hereinafter C&amp;L), of which Exitone and CSEL were the only partners for about two years (with shares equal to 51% and 49% respectively) and regarding which other parties (MFM, Cofely, and Romeo) also played a role (respectively as the original transferor, as the final transferee, and as a party negotiating for the purchase).</w:t>
      </w:r>
    </w:p>
    <w:p>
      <w:r>
        <w:t>232. In detail, C&amp;L originates from a company (Smail S.p.a.) originally owned by MFM200. In November 2015, MFM transferred the production business complex of Smail to a newco between Exitone and CSEL, which was named C&amp;L (the Smail company was then dissolved as it merged into the parent company MFM).</w:t>
      </w:r>
    </w:p>
    <w:p>
      <w:r>
        <w:t>233. In particular, it was CSEL that reached an initial agreement with MFM201 and then, for the financial support of the operation, “turned to the STI group with which CSEL had good relations: STI responded positively and thus C&amp;L was jointly purchased” (doc. XXIV.2733). The operation was proposed by CSEL right away to Cofely, which at this stage declined due to the high investments required202.</w:t>
      </w:r>
    </w:p>
    <w:p>
      <w:r>
        <w:t>234. Regarding the period of joint ownership of C&amp;L between Exitone and CSEL, the exchanges between the parties regarding a shareholders' agreement between them (which was ultimately not signed due to CSEL's refusal)203 to regulate the management of C&amp;L are highlighted. This agreement, attached to an email from the STI group that in September 2015 was analyzing internally the details of what was provided therein, contains explicit references to subcontracting (“Subcontract…12 million euros…”) as well as to a “NON-COMPETITION Agreement for 3 years + Remuneration,” not further specified (doc. IV.1122).</w:t>
      </w:r>
    </w:p>
    <w:p>
      <w:r>
        <w:t>235. After the period of shared ownership between Exitone and CSEL, in July 2017, C&amp;L was fully acquired by Cofely (after a first offer made in May 2016, which was not accepted; the same offer was proposed again in February 2017 and was accepted this time). This further testifies to the existence of significant interests between the STI group and CSEL and between these companies and Cofely.</w:t>
      </w:r>
    </w:p>
    <w:p>
      <w:r>
        <w:t>236. As for Romeo, finally, it should be noted that, prior to the final acquisition by Cofely, the purchase of C&amp;L had been proposed to Romeo as well, also in an attempt to reconcile relations with the STI group (which had favored the assignment of lot 10 of Rome Centro to the ATI Cofely-CSEL), as emerges from the reading of the above-mentioned interceptions acquired from the criminal proceedings. As seen, indeed, one of the conversations has the following content: Romeo: “they proposed it to me”; Interlocutor: “what did they propose to you?”; Romeo: “the acquisition of this stuff, of this company [..]” [C&amp;L]; Interlocutor: “so not on the facility”; Romeo: “and then they want to give you the part of Rome in some way” [..] “with subcontracting and..”204.</w:t>
      </w:r>
    </w:p>
    <w:p>
      <w:r>
        <w:t>4.3) Attempts by the STI group to obtain economic returns also in relation to a third ATI of FM4</w:t>
      </w:r>
    </w:p>
    <w:p>
      <w:r>
        <w:t>237. It appears from the documentation on record that the STI group sought to build interests also with a third ATI participating in the FM4 tender, where Siram was present as a principal, specifically requesting this company for subcontracts related to FM4. To frame the context of the relationships at the time of the events with Siram, with specific reference to the facility management sector, it is appropriate to recall the provisions of the shareholders' agreement for the governance of Gestione Integrata, between the majority shareholder STI and the minority shareholder Siram205.</w:t>
      </w:r>
    </w:p>
    <w:p>
      <w:r>
        <w:t>For what is of interest, the contracting parties established criteria for their respective participation in public tenders for facility management, as well as for technological multiservices and integrated management services of real estate assets, with the primary aim of avoiding the risk of exclusion from the tender process.</w:t>
      </w:r>
    </w:p>
    <w:p>
      <w:r>
        <w:rPr>
          <w:b/>
        </w:rPr>
        <w:t>[Pages 76–78]</w:t>
      </w:r>
    </w:p>
    <w:p>
      <w:r>
        <w:t>78 BULLETIN NO. 19 OF MAY 13, 2019</w:t>
        <w:br/>
        <w:t>such tenders (linked to the presence of Siram in the shareholding of Gestione Integrata)206. In particular, with reference to the tender procedures concerning facility management services, Siram has the right to participate in the procedure in place of Gestione Integrata, as indeed occurred in the case of FM4 (a contrary provision was instead agreed with reference to the tenders related to integrated management services of real estate assets).</w:t>
      </w:r>
    </w:p>
    <w:p>
      <w:r>
        <w:t>238. In the context of communications regarding the issue of the shareholders' agreement of Gestione Integrata, the following document is illustrative of the modus operandi of the STI group in relation to participation in public tenders such as FM4. In particular, in April 2014, regarding the subject "Consip – Regione Lazio", in response to an observation from an employee of Gestione Integrata that "Given the embarrassment still linked to the presence of Siram in the capital of Gestione Integrata, I do not believe we will participate openly. Have we defined with whom to run in subcontracting? Do we want to formalize a subcontracting agreement? Is that your responsibility?", addressed to the President of the STI group, he replied: "It's not certain... In the meantime, let's talk because we might have a path that starts with subcontracting and ends with the ATI!!!" (doc. IV.1018).</w:t>
      </w:r>
    </w:p>
    <w:p>
      <w:r>
        <w:t>239. That said, in addition to pursuing negotiations for the already described subcontracting agreement with CNS and its ATI in relation to the FM4 tender, the STI group was also negotiating another subcontracting agreement, still concerning FM4 and still in favor of Gestione Integrata, but this time with Siram as the subcontracting entity. In fact, the representatives of STI on May 29, 2014, expressly asked Siram, regarding FM4 (as well as the Lazio Region Health tender), to agree in advance on the assignment of a subcontract on the lots that may be awarded to Siram itself, as a counterbalance to the waiver of Gestione Integrata to participate in the tender. The literal wording is eloquent in this regard: "With reference to the tender framework attached to the communication from Eng. [STI representative], to your statements in the assembly and to our subsequent phone conversations, I am asking you to positively consider the inclusion of GI [Gestione Integrata] in subcontracting by Siram, for the tenders &lt;&lt;Consip FM 4&gt;&gt; and &lt;&lt;Regione Lazio Sanità&gt;&gt;. Indeed, imagining that Siram participates in the aforementioned tenders, the direct participation of GI, separate from Siram, would almost certainly produce &lt;&lt;stomach aches&gt;&gt; for Siram [..] For the share, I believe that 15% would be more than fair and reasonable" (doc. IV.1131). The 15% is the same percentage amount of the subcontracting agreement under discussion in the same period (May 2014) with CNS and the members of its ATI.</w:t>
      </w:r>
    </w:p>
    <w:p>
      <w:r>
        <w:t>240. However, Siram firmly declined the STI proposal, also contesting its legality: "I find it at least inappropriate (as well as reprehensible under other more relevant profiles) that you propose to us in substance to promise you a subcontract in exchange for the non-participation of GI [Gestione Integrata] separately in the tenders you mentioned. Your proposal is therefore unacceptable. In the event that Siram decides to participate and wins the tenders, if there is a need for subcontracting, the candidacy of GI will be considered just like that of other suppliers, taking into account the best technical and economic conditions proposed" (doc. IV.1143, email of June 1, 2014).</w:t>
      </w:r>
    </w:p>
    <w:p>
      <w:r>
        <w:t>206 Doc. IV.1012.</w:t>
      </w:r>
    </w:p>
    <w:p>
      <w:r>
        <w:t>BULLETIN NO. 19 OF MAY 13, 2019 79</w:t>
        <w:br/>
        <w:t>4.4) The contextual documentary evidence</w:t>
        <w:br/>
        <w:t>241. This section describes the documentation on file related to the context of close collaborative relationships in which the Parties operated during the period, with particular reference to subcontracting agreements related to public procedures other than FM4. Much of the documentation indeed relates to agreements between the Parties concerning public contracts other than FM4 that account for a context characterized by deep interests between the Parties in the sector in question, which serves as the backdrop to the established agreement.</w:t>
      </w:r>
    </w:p>
    <w:p>
      <w:r>
        <w:t>242. (A) In this regard, it is first possible to mention the agreement between CNS and the STI group signed in May 2013 concerning the ASL Torino 3 tender (TO3, announced at the beginning of 2013). This agreement was found, signed by the parties, attached to an internal email from CNS dated July 28, 2014207. In particular, the agreement in question is between CNS (and the related consortia indicated for participation in lot 2 of the aforementioned ASL TO3 tender) and Exitone. The preamble specifies that Exitone does not meet the requirements to participate in ATI with CNS in the tender. Given this, the parties to the agreement agree that Exitone will prepare the project to be presented in the offer (in exchange for a fee and a success fee in case of award) and that, also in case of award, CNS would subcontract: i) to Exitone the activity of establishing and updating the technical registry, and ii) to Gestione Integrata "5% of the economic value offered by CNS for the activities provided for by the tender, net of incurred costs and consortium charges" (doc. XVIII.1862).</w:t>
      </w:r>
    </w:p>
    <w:p>
      <w:r>
        <w:t>243. In the body of the previous internal email from CNS (doc. XVIII.1862), it is also stated that "I am attaching the agreement we signed at the time with Exit1 [Exitone] for the cleaning contract of ASL TO3. At the moment no one has called yet... shall we play dumb?", as evident proof that the subcontracting did not respond to technical-organizational needs, but was bent to other purposes (compensatory-remunerative in favor of the STI group). Similarly, it is recorded in an email dated July 25, 2014, also internal to CNS, which reads: "there is a written agreement with Gestione Integrata to subcontract 5% to them: for now shall we say nothing? The tender project is Exit1 [Exitone]" (doc. XVIII.1865).</w:t>
      </w:r>
    </w:p>
    <w:p>
      <w:r>
        <w:t>244. Furthermore, a draft letter from CNS in response to a request from the STI group dated January 22, 2015, is noted, in which the consortium agrees to the request to grant Gestione Integrata a subcontract on the lots awarded in the Consip Scuole tender208.</w:t>
      </w:r>
    </w:p>
    <w:p>
      <w:r>
        <w:t>245. (B) Then, the contacts between MFM and Manital dating back to December 2014 for the public tender of ASL Torino 4 (TO4) for thermal energy management are recalled, which hypothesized a collaboration also through subsequent subcontracting. This is specifically an email sent by Manital to MFM to communicate the willingness to take a share in subcontracting209.</w:t>
      </w:r>
    </w:p>
    <w:p>
      <w:r>
        <w:t>207 See doc. XVIII.1862.</w:t>
        <w:br/>
        <w:t>208 Doc. XII.1383.</w:t>
        <w:br/>
        <w:t>209 "In light of the responses provided by the entity [ASL TO4], the participation of our Consortium - as the principal of the RTI - cannot but cease. It goes without saying that, continuing to have an interest in the initiative, we are available to take the same share (20%) as subcontractors (formalizing an agreement that regulates times and methods)" (doc. XI.1311).</w:t>
      </w:r>
    </w:p>
    <w:p>
      <w:r>
        <w:t>80 BULLETIN NO. 19 OF MAY 13, 2019</w:t>
        <w:br/>
        <w:t>In this regard, during the hearing with the MFM Offices, it emerged that there was at the time the hypothesis of establishing an ATI with Manital for participation in the tender in question. However, following the submission of specific questions to the contracting authority, it emerged that the participation requirements had to be met by all members of the forming ATI, but neither Manital nor Manital Consorzio nor the designated consortium member had the necessary certifications: "the Manital group then asked MFM to alternatively obtain the same share (20%) in subcontracting, but MFM rejected the proposal" (hearing minutes, doc. XXIII.2639).</w:t>
      </w:r>
    </w:p>
    <w:p>
      <w:r>
        <w:t>246. On the other hand, during the period under investigation, particular interests linked MFM with the Manital group. Manital Consorzio is indeed joined by a company (La Veneta Servizi S.p.a.) which has a role210 in the governance of another company (Roma Multiservizi S.p.a.) controlled by MFM as a private shareholder (moreover, Roma Multiservizi itself had previously been a consortium member of Manital Consorzio211). During the period of interest, explicit communications regarding the respective tenders of interest occurred between these subjects. For example, in August and September 2014, Roma Multiservizi communicated to MFM (the controlling entity) and to La Veneta (another shareholder and consortium member of Manital Consorzio) its interest in participating "also" in the tender for Cleaning by the Revenue Agency. The consortium member of Manital Consorzio La Veneta, after also expressing interest in participating, communicated to the two interlocutors (MFM and Roma Multiservizi) that "La Veneta Servizi S.p.a. will participate in the tender announced by the Revenue Agency with Manital Consorzio" (doc. XI.1333). In this regard, during the hearing, MFM indicated how this could be "probably" functional to avoid falling under the exclusion clauses from the tender (doc. XXIII.2639). Furthermore, with specific reference to FM4, it is reported that the consortium member La Veneta was among the companies indicated by Manital Consorzio as executors212.</w:t>
      </w:r>
    </w:p>
    <w:p>
      <w:r>
        <w:t>247. (C) Finally, regarding MFM, the evidence of an email dated May 16, 2016, found at that company213 and concerning a collaboration between MFM and the STI group in relation to the IntercentEr Cleaning tender (with the hypothesis of design activities assigned to Exitone), from which a subcontracting agreement with Gestione Integrata would then arise if MFM were to be awarded some lots of the contract214.</w:t>
      </w:r>
    </w:p>
    <w:p>
      <w:r>
        <w:t>248. Regarding this subcontracting agreement in favor of Gestione Integrata, MFM clarified that "Gestione Integrata, which as far as the Company knows wanted to strengthen itself in the cleaning sector, had requested to participate in the ATI and MFM was taking the necessary steps for this, but following a clarification from the contracting authority, it emerged that Gestione Integrata did not possess the necessary participation requirements. Gestione Integrata then asked MFM to</w:t>
        <w:br/>
        <w:t>210 Due to the provisions of shareholders' agreements, despite holding a small share of the capital of Roma Multiservizi (less than 5%, both then and now).</w:t>
        <w:br/>
        <w:t>211 Doc. XXII.2467.</w:t>
        <w:br/>
        <w:t>212 Doc. XXIV.2715.</w:t>
        <w:br/>
        <w:t>213 Doc. XI.1352.</w:t>
        <w:br/>
        <w:t>214 Similarly, at the STI headquarters, similar documentation was found, in particular an email dated June 24, 2016, with the draft of the subcontracting agreement between MFM and Gestione Integrata for the IntercentEr Cleaning tender (doc. IV.1112), as well as a second email dated July 6, 2016, where the subcontracting agreement in question is attached with the stamp and signature of MFM, which the representatives of the STI group were about to evaluate (doc. IV.1106).</w:t>
      </w:r>
    </w:p>
    <w:p>
      <w:r>
        <w:rPr>
          <w:b/>
        </w:rPr>
        <w:t>[Pages 79–81]</w:t>
      </w:r>
    </w:p>
    <w:p>
      <w:r>
        <w:t>BULLETIN NO. 19 OF MAY 13, 2019 81</w:t>
      </w:r>
    </w:p>
    <w:p>
      <w:r>
        <w:t>receive a small share in subcontracting in the event of award, and thus the agreement was reached” (doc. XXIII.2639; the tender was not awarded by the contracting authority and therefore the subcontracting agreement was not executed).</w:t>
      </w:r>
    </w:p>
    <w:p>
      <w:r>
        <w:t>249. MFM and the STI group had various interests in place during the period: a meeting between the parties scheduled for November 27, 2015215 “was aimed at understanding whether there were opportunities for the Company [MFM] in the international sector that could also involve the STI group. However, this initiative did not lead to concrete results,” as specified by MFM itself during the hearing (doc. XXIII.2639).</w:t>
      </w:r>
    </w:p>
    <w:p>
      <w:r>
        <w:t>Also in November 2015, on the same day that Consip announced the open procedure for the Cleaning of Barracks, STI attached a screenshot depicting the news of this announcement, asking MFM in the subject of the email: “When do we meet?” (doc. XI.1314). According to what MFM indicated during the hearing, in the subsequent meeting “the STI group asked MFM about the availability to participate in the tender in ATI, but MFM rejected the proposal as it usually participates in cleaning tenders independently” (doc. XXIII.2639).</w:t>
      </w:r>
    </w:p>
    <w:p>
      <w:r>
        <w:t>250. (D) Also during the key period for the preparation of offers for FM4, it is noted that CNS, MFM, and Cofely, in the months of April-June 2014, had drafted a private agreement together with other parties to establish an ATI and jointly formulate a project financing offer for the Municipality of Rome, for the energy requalification of part of its real estate assets216.</w:t>
      </w:r>
    </w:p>
    <w:p>
      <w:r>
        <w:t>251. It should also be noted that in May 2015, a meeting took place between Cofely and MFM regarding which the representative of Cofely wrote to the representative of MFM that “as agreed in the meeting held in the afternoon at our offices, I am sending you all my references which you will find at the bottom of this message. I will make it a point, once I have verified the availability of Eng. [..], to contact you again to organize a second meeting.” Since the engineer from Cofely mentioned in the email observes that “I still do not understand what MFM has to do with this…”, the first interlocutor then responds that “[the representative of MFM] was the head of Eros il Romeo, and recently they have started to meet again. As the new area manager of Lazio, he would like to meet you….he did not specify any particular topic but the possibility of future collaborations. He only specified that he knew well [a person related to Cofely]. If this does not interest you, we can drop it” (doc. XIV.1717).</w:t>
      </w:r>
    </w:p>
    <w:p>
      <w:r>
        <w:t>As indicated by Cofely itself during the hearing, such “future collaborations” do not refer to joint participation in ATI in public tenders; on this occasion, the company also confirmed that this first meeting between MFM and Cofely did indeed take place, without knowing, however, if the subsequent meeting with the engineer from Cofely mentioned in the email also occurred217. According to MFM, its representative at the time wanted to “make himself known at Cofely [..] to establish credibility with Cofely” (by resorting to a former colleague who worked at Cofely, doc. XXIII.2639, hearing minutes).</w:t>
      </w:r>
    </w:p>
    <w:p>
      <w:r>
        <w:t>252. Finally, some contacts between Manital and the STI group are reported regarding the communication of the results and scores of the FM4 tender following the relevant sessions of the Commission215. In relation to these contacts, during the hearing, the President of Manital and Manital Consorzio indicated that he had established personal relationships with the STI representative involved (previously also a representative of CNS) and had expressly requested from him the details of the technical and economic scores of all companies participating in FM4, for the purpose of drafting the appeal against the exclusion, ordered by Consip, of Manital Consorzio from the tender (appeal at the time of the facts being prepared)219.</w:t>
      </w:r>
    </w:p>
    <w:p>
      <w:r>
        <w:t>V. THE ARGUMENTS OF THE PARTIES</w:t>
      </w:r>
    </w:p>
    <w:p>
      <w:r>
        <w:t>253. The following outlines the main arguments of the Parties, first highlighting the arguments common to multiple Parties and subsequently those specific to each individual Party. The arguments of the Parties relating to sanctioning profiles will instead be addressed in the relevant section of this Provision.</w:t>
      </w:r>
    </w:p>
    <w:p>
      <w:r>
        <w:t>On the general aspects of the agreement</w:t>
      </w:r>
    </w:p>
    <w:p>
      <w:r>
        <w:t>254. In their final arguments, many Parties contested the structuring of the agreement with particular reference to the enhancement of a checkerboard bidding scheme concurrently with the involvement of the ATI Cofely-CSEL in the agreement itself. In this regard, in particular, the interested parties (CSEL and also Cofely but also Romeo), in their final submissions220, highlight that the consideration of the ATI Cofely-CSEL in the cartel framework would undermine its structure based on the absence of overlaps and on the ‘checkerboard’ participation, as the offers of the ATI in question always overlap with those of the other participants in the cartel and are characterized by particular competitiveness.</w:t>
      </w:r>
    </w:p>
    <w:p>
      <w:r>
        <w:t>255. Regarding this last point, it has been highlighted that in general the offers of the Parties are characterized by being particularly aggressive, both from a technical and economic point of view, as proof of the existence of a “vibrant competition”221 among them, in a manner incompatible with a collusive scenario and ex ante division of the lots. In order to refute the circumstance of a modulation of the offers according to a so-called ‘checkerboard’ scheme, several Parties argued that the number of offer lots was the maximum possible and/or that the historical presence in the territory had indispensable relevance.</w:t>
      </w:r>
    </w:p>
    <w:p>
      <w:r>
        <w:t>256. Furthermore, some Parties in their final submissions222 generally noted how the investigative hypothesis, according to which five of the twenty-three companies participating in the FM4 tender would have agreed to divide the lots among themselves, would be entirely implausible, considering that some participants other than the Parties were very valid operators from a competitive capacity standpoint (such as Dussmann and Siram) and that, therefore, the alleged agreement would have only favored such competitors.</w:t>
      </w:r>
    </w:p>
    <w:p>
      <w:r>
        <w:t>257. Conversely, MFM, in its final submission223, highlighted that, along with the very high amount of individual lots, the tender rules would have made it difficult for smaller companies compared to the Parties to win the award; in particular, the assignment of a maximum of 60 points for the technical offer meant that a negative evaluation of the latter would effectively make it impossible for smaller companies to win the tender (as drafting a good technical project is easier for larger companies that have economic resources to invest in this activity). MFM noted that it is therefore not surprising that in this part of the offer, almost exclusively the Parties of the Procedure were rewarded.</w:t>
      </w:r>
    </w:p>
    <w:p>
      <w:r>
        <w:t>258. Lastly, several Parties224 argued, regarding the choice to limit the number of offer lots, emphasizing the relevance of the amount of guarantees required for participation in each lot and, therefore, the associated cost of issuing the financial guarantee (sureties), as well as highlighting the existence of a maximum limit on the number of lots that could be awarded imposed by the lex specialis of the tender.</w:t>
      </w:r>
    </w:p>
    <w:p>
      <w:r>
        <w:t>On the contribution of the leniency applicant</w:t>
      </w:r>
    </w:p>
    <w:p>
      <w:r>
        <w:t>259. In general, the Parties, in their respective final submissions, have overall contested the evidentiary value of the leniency procedure initiated in the Procedure. MFM, for example, highlighted the fact that the statement of the leniency applicant would essentially be based on mere adherence to the content of the Provision initiating the Procedure, thus not providing any actual contribution to the investigative activity, thereby configuring a “leniency by relation”; moreover, this limitation would be entirely consistent with the fact that the leniency application came from a subject who, by his own admission, has no direct knowledge of the facts under investigation.</w:t>
      </w:r>
    </w:p>
    <w:p>
      <w:r>
        <w:t>260. As for the evidence produced by CNS regarding the meetings at Terotec, some Parties225 emphasize how this documentation – besides being neutral in itself – refers to meetings temporally incompatible with the accusatory hypothesis. During the infra-procedural hearing, MFM had already argued226 that the topics of the meetings at Terotec within the framework of discussions on the type tenders Avcp, in which the company participated, were of a technical nature, particularly related to Annex P in the type tender (considered an incentive for offers at the lowest price due to the mathematical formula of linear interpolation provided therein), as well as the work with the coordination of the CNS consortium to create the so-called technical notebook (to be publicly presented during the ForumPa event).</w:t>
      </w:r>
    </w:p>
    <w:p>
      <w:r>
        <w:t>Equally irrelevant would be the anonymous letter brought to the attention of the Offices by CNS, drafted after the events occurred (in September 2017, at the conclusion of the Authority's procedure regarding the Consip Schools tender) and referred to CNS representatives lacking any decision-making power regarding participation in the Consip tender.</w:t>
      </w:r>
    </w:p>
    <w:p>
      <w:r>
        <w:rPr>
          <w:b/>
        </w:rPr>
        <w:t>[Pages 82–84]</w:t>
      </w:r>
    </w:p>
    <w:p>
      <w:r>
        <w:t>84 BULLETIN NO. 19 OF MAY 13, 2019</w:t>
      </w:r>
    </w:p>
    <w:p>
      <w:r>
        <w:t>261. The arguments of the majority of the Parties have, in any case, focused on the evidentiary value of the pink slip within their respective final memoranda, deemed entirely irrelevant for the purposes of the present investigation and, therefore, indicative of the structural weakness that would characterize the leniency procedure initiated in the Proceedings.</w:t>
      </w:r>
    </w:p>
    <w:p>
      <w:r>
        <w:t>262. In detail, the pink slip would be devoid of significance mainly because: it contains a mere list of companies and names without any further indication; it refers to companies even on its back (Romeo, Dussmann, and Siram), thus companies unrelated to the collusion; it contains hearsay information; it was drafted and validated at a time (i.e., June 2017) entirely unrelated and significantly subsequent to the time of the events under investigation (i.e., March-July 2014); above all, decisively, it would have been irrefutably contradicted by the statements made to the judicial authority by its author, as a person under investigation.</w:t>
      </w:r>
    </w:p>
    <w:p>
      <w:r>
        <w:t>263. From this latter point of view, in particular, according to the interrogation records227, the author of the pink slip stated verbatim to the judicial authority that he had simply answered the question about “who was the decision-maker of the largest companies operating in the FM sector during a conversation. I wrote the note in which I indicated those who, to my knowledge, were the decision-makers of those companies.” Such statements change in the subsequent interrogation of the same subject (the author of the slip), who thus states verbatim to the judicial authority, always according to the highlighted interrogation records produced, for example, by MFM in its final memorandum228: “as for the note that was shown to me, I wrote it during a meeting with [the Risk Management &amp; Compliance/Internal Audit manager of CNS] in which he, with the framework of the offers contained in the antitrust request (annex I), asked me who the references were for the individual groupings.”</w:t>
      </w:r>
    </w:p>
    <w:p>
      <w:r>
        <w:t>264. For its part, the leniency applicant CNS, also in its final memorandum and during the final hearing before the Panel229, reiterated the truthfulness, validity, and content of the pink slip (“CNS fully confirms and in every detail what was stated at the time of the submission of the pink slip on June 22, 2017, and during the hearing of July 5, 2018. This is also evidenced by the presence today of Dr. [Risk Management &amp; Compliance/Internal Audit manager] at the final hearing”). In these venues, CNS also emphasized another relevant aspect regarding the different judicial value of the statements made in the criminal proceedings by a person under investigation (such as the author of the slip) compared to those made by an informed person (such as the Risk Management &amp; Compliance/Internal Audit manager of CNS who posed the question to the former)230.</w:t>
      </w:r>
    </w:p>
    <w:p>
      <w:r>
        <w:t>227 Highlighted and produced, among others, by MFM in its final memorandum (doc. M.2).</w:t>
        <w:br/>
        <w:t>228 Doc. M.2.</w:t>
        <w:br/>
        <w:t>229 Doc. M.1, doc. M.19.</w:t>
        <w:br/>
        <w:t>230 In fact, “For the purposes of demonstrating the different evidentiary effectiveness that the statements of Dr. [Risk Management &amp; Compliance/Internal Audit manager of CNS] and the aforementioned statements made during interrogation by the Commercial Director of CNS assume in the antitrust proceedings, it is emphasized that there is a procedural aspect that has a decisive relevance. The statements of the Commercial Director were made in his capacity as an investigated person pursuant to Article 64 et seq. of the Code of Criminal Procedure, and therefore with the right not to answer and without a similar obligation as that which weighs on witnesses and persons summoned for preliminary information by the Public Prosecutor.”</w:t>
      </w:r>
    </w:p>
    <w:p>
      <w:r>
        <w:t>BULLETIN NO. 19 OF MAY 13, 2019 85</w:t>
      </w:r>
    </w:p>
    <w:p>
      <w:r>
        <w:t>265. Regarding the pink slip, some Parties231 argued that the content of the note would be entirely incorrect, as the representative of Cofely mentioned therein had resigned from the company precisely at the time of the FM4 tender announcement. Furthermore, Cofely also stated that, in its case, there is no company representative currently under criminal investigation, as the aforementioned representative was subject to a request for dismissal by the Public Prosecutor's Office of Rome, precisely because he was no longer an employee of the company during the period of the tender announcement232.</w:t>
      </w:r>
    </w:p>
    <w:p>
      <w:r>
        <w:t>266. Romeo, in his final memorandum233, emphasized that he was indicated, not in the front part of the pink slip, but rather on the back among those not participating in the meetings, not even those held at Terotec. Thus, for Romeo, the pink slip along with the meetings at Terotec “not only do not constitute any evidence against him, but conversely are positive evidence in his favor, confirming how Romeo was completely outside the informational (if not collusive) circuits in place among other companies.” Dussmann and Siram also highlighted during the Proceedings how the estrangement of the companies from the conduct under investigation emerges precisely from one of the key documents of the leniency application, the pink slip, as the names of Dussmann and Siram are listed on the back of that slip, where the companies that would not have participated in the FM4 meetings are enumerated234.</w:t>
      </w:r>
    </w:p>
    <w:p>
      <w:r>
        <w:t>In a context of alleged unequal treatment compared to the Dussmann-Siram ATI, CSEL noted in its final memorandum235 that it was not mentioned in the pink slip “unlike other Parties exempted from the accusation,” such as Dussmann and Siram. The non-mention in the pink slip was also emphasized by Kuadra.</w:t>
      </w:r>
    </w:p>
    <w:p>
      <w:r>
        <w:t>On the evidentiary value of the “recommended” offers in meetings among “competitors”</w:t>
      </w:r>
    </w:p>
    <w:p>
      <w:r>
        <w:t>267. With reference to the email from Romeo containing the values of “recommended” offers for the “competitors” (doc. IX.1283), during the Proceedings236, Romeo himself argued that the Offices would misunderstand the term “competitors” as referring to other operators in the sector, rather, the term should be interpreted as referring to subjects who are competing with Romeo in the tender, and therefore the members of the Consorzio Stabile Romeo Facility Services 2010 (who were indeed in ATI with Romeo)237. In general, in this regard, the representatives of Romeo clarified that “competitors” is the term used within the company when referring to the consortium members238.</w:t>
      </w:r>
    </w:p>
    <w:p>
      <w:r>
        <w:t>268. In order to strengthen such a theory, Romeo, during the final hearing before the Panel and in his final memorandum239, argued that the term “competitors” to indicate the consortium members is “used in the rules and in practice,” citing as evidence, on one hand, the textual provisions of two articles of a Presidential Decree (No. 207 of 2010, which was subsequently repealed by Legislative Decree No. 50 of April 18, 2016)240, and, on the other hand, the template of the “Model E” which is part of the administrative documentation to be submitted to the Municipality of Oleggio (province of Novara) to participate in the tender for extraordinary maintenance works of one of its schools (the “Rodari School”), where the wording “consortium competitors” is present for the case of an ordinary consortium.</w:t>
      </w:r>
    </w:p>
    <w:p>
      <w:r>
        <w:t>269. In addition to the described argument, Romeo has put forward two further elements with the aim of downplaying the content of the email in question241. Firstly, Romeo particularly emphasized the fact that the email was written in the late afternoon of June 30, 2014, which is precisely the day on which CNS would have “already finalized its offer,” as that date appears next to the signature of the Vice-President of CNS in the economic offer submitted to the tender.</w:t>
      </w:r>
    </w:p>
    <w:p>
      <w:r>
        <w:t>237 “The ‘competitors’ mentioned in the email are the consortium members (of the Consorzio Stabile Romeo Facility Services 2010) [in ATI with Romeo in FM4] indicated as service providers in the event of award of the tender; in this regard, the representatives of the Companies clarified that they are called ‘competitors’ because they ‘compete’ with Romeo in the FM4 tender” (doc. XXIII.2654).</w:t>
      </w:r>
    </w:p>
    <w:p>
      <w:r>
        <w:t>238 “In general, ‘competitors’ is the term used within the Companies when referring to the consortium members” (doc. XXIII.2654).</w:t>
      </w:r>
    </w:p>
    <w:p>
      <w:r>
        <w:t>239 Doc. M.4, doc. M.19.</w:t>
      </w:r>
    </w:p>
    <w:p>
      <w:r>
        <w:t>240 Article 276: “Companies among competitors gathered or consorted. 1. The competitors gathered or consorted indicated by the consortium as executors of the services, after the award may establish among themselves a company, even a consortium, pursuant to Book V of Title V, Chapters 3 and following of the Civil Code, for the unified, total or partial execution of the services entrusted. 2. The company substitutes, without this constituting any effect of subcontracting or assignment of contract and without the need for authorization or approval, in the total or partial execution of the contract, without prejudice to the responsibilities of the gathered or consorted competitors pursuant to the code. 3. The substitution takes effect from the date of notification of the deed of incorporation to the contracting authority, and subject to the registration of the company in the business register. 4. All gathered competitors must be part of the company in the same percentage of belonging to the grouping. 5. In the case of partial execution of the services, the company formed by the gathered or consorted competitors may also be constituted by only those competitors interested in the partial execution. 6. For the sole purposes of possessing the technical-professional participation requirements, the services and supplies performed by the company are attributed to the individual gathered or consorted competitors, according to their respective shares of participation in the company itself.”</w:t>
      </w:r>
    </w:p>
    <w:p>
      <w:r>
        <w:t>Article 93: “Companies among gathered or consorted competitors. 1. The gathered or consorted competitors indicated by the consortium as executors of the works, after the award may establish among themselves a company, even a consortium, pursuant to Book V of Title V, Chapters 3 and following of the Civil Code, for the unified, total or partial execution of the works. 2. The company substitutes, without this constituting any effect of subcontracting or assignment of contract and without the need for authorization or approval, in the total or partial execution of the contract, without prejudice to the responsibilities of the gathered or consorted competitors pursuant to the code. 3. The substitution takes effect from the date of notification of the deed of incorporation to the contracting authority, and subject to the registration of the company in the business register. 4. All gathered competitors must be part of the company in the same percentage of belonging to the grouping. 5. The company formed by the gathered or consorted competitors cannot achieve qualification. In the case of partial execution of the works, the company may be constituted also by only those gathered or consorted competitors interested in the partial execution. 6. For the purposes of the qualification of the gathered competitors, the works performed by the company are attributed to the individual gathered competitors, according to their respective shares of participation in the company itself. 7. For the purposes of the qualification of the consorted competitors, the works performed by the company are attributed according to the provisions of Article 86, paragraph 8.”</w:t>
      </w:r>
    </w:p>
    <w:p>
      <w:r>
        <w:t>241 During the final hearing before the Panel and in the final memorandum (doc. M.19, doc. M.4).</w:t>
      </w:r>
    </w:p>
    <w:p>
      <w:r>
        <w:rPr>
          <w:b/>
        </w:rPr>
        <w:t>[Pages 85–87]</w:t>
      </w:r>
    </w:p>
    <w:p>
      <w:r>
        <w:t>BULLETIN NO. 19 OF MAY 13, 2019 87</w:t>
      </w:r>
    </w:p>
    <w:p>
      <w:r>
        <w:t>Consip; there would not have been, therefore, the material time for a meeting with the competitors. Secondly, Romeo emphasized the statements made by the external consultant interlocutor in the email within the criminal proceedings (record of summary information provided by a person informed of the facts), from which it would emerge that on that occasion public market benchmarks were analyzed for the subsequent calibration of the economic offers to be submitted in the tender.</w:t>
      </w:r>
    </w:p>
    <w:p>
      <w:r>
        <w:t>270. Also regarding document doc. IX.1283 and the elaborations conducted based on the values reported therein described previously, MFM contested the use of the weighted average, instead of a simple arithmetic average, to calculate the average discounts of a set of offer items characterized by different weights in terms of economic scoring. MFM itself and Romeo in their respective final memoranda242 emphasized the significant numerical differences that exist between the "advisable" values present in the email and the values actually offered by the interested Parties, such that undue probative value would be conferred to the document. Furthermore, the two companies highlighted that they had not submitted overlapping offers in any lot, so it would not be plausible to hypothesize that the prices contained in the document in question were intended to signal alleged support offers in favor of Romeo.</w:t>
      </w:r>
    </w:p>
    <w:p>
      <w:r>
        <w:t>On the inadmissibility of interceptions and their selection made</w:t>
      </w:r>
    </w:p>
    <w:p>
      <w:r>
        <w:t>271. In particular, CSEL, in its final memorandum243, contested the admissibility in the present Proceedings of the telephone interceptions acquired from the criminal proceedings initiated at the Public Prosecutor's Office of Rome. This is because it does not appear that the criminal judge has assessed the legitimacy of such interceptions, nor that they have been qualified as evidence by the judge himself in the adversarial proceedings between the parties; in particular, this "does not allow for the verification of the correctness and completeness of the transcription of the records by the Judicial Police [...] Nor did CSEL have, in any other way, the opportunity to know the full version of said interceptions." For these reasons, the use of the interceptions would be "contrary to the right to a fair trial as enshrined in the European Convention on Human Rights (Article 6). Therefore, it is requested that they be removed from the investigative file."</w:t>
      </w:r>
    </w:p>
    <w:p>
      <w:r>
        <w:t>272. In particular, Cofely, Romeo, and CSEL itself, also in their respective final memoranda244, lament the selection made for the acquisition in the present Proceedings of the acts overall present in the criminal file, which would be only partial, particularly with respect to the interceptions that would have been decontextualized and used only in bad faith, that is, cut to obtain elements exclusively against the Parties.</w:t>
      </w:r>
    </w:p>
    <w:p>
      <w:r>
        <w:t>Arguments of Cofely</w:t>
      </w:r>
    </w:p>
    <w:p>
      <w:r>
        <w:t>273. In its final memorandum245, Cofely stated that the burden of proof on the Authority cannot be satisfied in probabilistic terms, but should be that of criminal law of "beyond a reasonable doubt"; in any case, in the present case and at least regarding Cofely, there would be an insufficiency of incriminating evidence. In addition to the issues mentioned above242 (validity of leniency and in particular of the pink slip, citation in that document of a representative who resigned from the company, interceptions, overlaps, and aggressiveness of its offers246), Cofely emphasized that there are no relevant circumstances for the investigation concerning the Terotec meetings during the relevant period for FM4 (March-July 2014). In particular, "the fact that Cofely normally participated actively in Terotec's activities does not prove anything regarding a hypothetical collusive activity," also because the associative activity during that period did not have any particular extraordinary meetings or other anomalies, other than technical and/or legislative sector issues.</w:t>
      </w:r>
    </w:p>
    <w:p>
      <w:r>
        <w:t>274. Cofely also argued in its final memorandum that its decision to form a temporary association of enterprises (ATI) with CSEL for the FM4 tender was not anti-competitive but stemmed from the need to have the services of a new designer to structure participation in the tender, given that the previous designer had a close fiduciary relationship with the outgoing commercial director (i.e., the representative mentioned in the pink slip). From this perspective, according to Cofely, CSEL was the most suitable subject also due to the positive results obtained in previous Consip tenders247. As for CSEL's relations with the STI group, even if the particular closeness between the two subjects were demonstrated, such a link would be irrelevant concerning a hypothetical antitrust liability of Cofely, particularly because Integrated Management did not play any role within the Cofely-CSEL ATI.</w:t>
      </w:r>
    </w:p>
    <w:p>
      <w:r>
        <w:t>275. During the Proceedings, Cofely also pointed out that, regarding the only representative of the company involved in the criminal proceedings related to FM4, the Public Prosecutor's Office of Rome had made a request for dismissal, as at the date of publication of the tender announcement that representative was no longer an employee of the company248.</w:t>
      </w:r>
    </w:p>
    <w:p>
      <w:r>
        <w:t>276. Cofely, noting that it had offered on a number of lots nonetheless high in light of the financial burdens associated with submitting offers, clarified in its final memorandum249 that its choice focused on the territorial areas where the company's presence appeared to need strengthening. Among these areas, the Roman and Lazio territory assumed particular importance, given that in this area the company had suffered a reduction in turnover that was destined to worsen following the expiration of the maintenance service contract in the healthcare sector; in particular, in the city of Rome, Cofely had set up "office structures and organized workforce and therefore had a strong interest, in addition to achieving area targets, in not having to face the costs and inconveniences of a possible corporate reorganization."</w:t>
      </w:r>
    </w:p>
    <w:p>
      <w:r>
        <w:t>277. In this regard, Cofely, in its concluding arguments, downplayed the relevance of the so-called social clause, arguing that it does not have a general value and is not universally applicable to all categories of workers in the sector; on this occasion, Cofely particularly highlighted that some categories of workers (technicians and administrative staff) are not covered by the social clause just as the personnel of the company assigned to maintenance services and not cleaning.</w:t>
      </w:r>
    </w:p>
    <w:p>
      <w:r>
        <w:t>278. Regarding the levels of the economic offer, Cofely particularly highlighted250 how, within the economic offer for lot 11, the greatest discounts applied on services and the greatest increases applied on franchises were possible due to the strong territorial presence of the ATI in terms of personnel, means, equipment, instrumentation, and in terms of availability of suppliers and subcontractors. As for lots 5, 15, and 16, Cofely in its final memorandum contests that offers classified second by a few points of difference can be treated "as 'convenience' offers, specifically constructed to allow other competitors to win."</w:t>
      </w:r>
    </w:p>
    <w:p>
      <w:r>
        <w:t>279. Finally, regarding the lack of intervention ad adiuvandum by Consip in the proceedings related to the exclusion of Manital Consorzio from FM4, in its final memorandum251 Cofely argued as follows: "it was contrary to the practice consistently followed by Cofely to intervene ad adiuvandum or ad opponendum in disputes initiated by other competitors against contracting authorities. [...] As for the relations with Manital, at that time collaborations were ongoing in ATI in the contracts following the Consip MIES1 and SIE3 tenders, and there were therefore no particular reasons to break, precisely with respect to Manital, a consolidated internal practice, giving rise to aggressive legal initiatives."</w:t>
      </w:r>
    </w:p>
    <w:p>
      <w:r>
        <w:t>Arguments of Engie International</w:t>
      </w:r>
    </w:p>
    <w:p>
      <w:r>
        <w:t>280. In the final memorandum252, Engie International specified that its main activity is the acquisition of stakes in other companies, and that it has no offices in Italy nor personnel established there, not carrying out operational activities in Italy. Engie International asserted the operational and managerial autonomy of the subsidiary Cofely highlighting that it did not exert influences nor participate in the negotiations related to the FM4 tender and the submission of offers; there would also be no mixing between the legal and operational offices of the two companies as well as between their respective personnel. Consequently, the total participation in the capital of Cofely would not be a sufficient element for imputing liability for the conduct.</w:t>
      </w:r>
    </w:p>
    <w:p>
      <w:r>
        <w:t>Arguments of CSEL</w:t>
      </w:r>
    </w:p>
    <w:p>
      <w:r>
        <w:t>281. In its final memorandum253, CSEL, reiterating various arguments represented generally by the Parties and particularly by its principal Cofely (validity of leniency and in particular of the pink slip, interceptions, overlaps, and aggressiveness of the ATI offers), preliminarily highlighted its difference from the large operators in the facility management sector and the absolute impossibility of participating in the FM4 tender independently. That said, CSEL contested the possibility for the ATI of which it is the principal to offer in an additional lot, as the use of Cofely's turnover related to cleaning services, necessary to achieve that result, would have entailed "the risk of possible exclusion from the tender" due to the mismatch that would have arisen between the company possessing the requirements and the one that would have performed the service (Cofely would have performed maintenance services and not cleaning services).</w:t>
      </w:r>
    </w:p>
    <w:p>
      <w:r>
        <w:rPr>
          <w:b/>
        </w:rPr>
        <w:t>[Pages 88–90]</w:t>
      </w:r>
    </w:p>
    <w:p>
      <w:r>
        <w:t>90 BULLETIN NO. 19 OF MAY 13, 2019</w:t>
      </w:r>
    </w:p>
    <w:p>
      <w:r>
        <w:t>282. During the Procedure254, CSEL emphasized that the choice of offer lots for FM4 was made by the leading company Cofely (CSEL found the choice of lot no. 5 relating to Emilia Romagna and Veneto particularly satisfactory as, in the latter region, the Consortium had significant ongoing activities, particularly public lighting activities for many municipalities) and that CSEL learned which lots would be chosen about two to three weeks before the deadline for submitting offers at that time (June 19, 2014, later extended to July 7), that is, at the end of May/beginning of June. Furthermore, CSEL indicated that it had known the technical project in its entirety only together with Cofely (and not with the other companies making up the ATI) but, regarding the economic part of the offer, it had only known the ranges of minimum and maximum values: the choice of final discounts within those ranges was indeed made, the evening before the deadline for submitting offers, by a single person from Cofely (as was customary for Cofely for reasons of confidentiality).</w:t>
      </w:r>
    </w:p>
    <w:p>
      <w:r>
        <w:t>283. Regarding the relationships between CSEL and the STI group, the former highlighted how these relationships have "always been characterized by the strictest respect for forms and roles, as well as for clarity of purpose, with proposals most often coming from the STI group, often rejected and sometimes not even considered by the Consortium." With particular reference to the presence of Gestione Integrata in the consortium, CSEL emphasized that the reasons for the adhesion of this company are different from those indicated in the CRI and refer to "STI's project to enter a sector in which it carries out design activities; and the need to have the SOA OG 10 for this purpose, to participate in some tenders that were expiring at that time (e.g., CCIAA of Rome)"255.</w:t>
      </w:r>
    </w:p>
    <w:p>
      <w:r>
        <w:t>284. Finally, regarding the document "Summary of commercial agreements between CSEL and the STI Group," CSEL argued that it is a note that can be temporally placed at a date after the positioning in first place of the provisional ranking of FM4 on two lots (8 and 10); according to CSEL, it is also a document "not prepared by CSEL but by STI, which contained proposals that Exitone seemed to want to advance after exiting the tender, but which the holders of decision-making powers of the CSEL consortium never even received (and which they would never have accepted, as happened for all other STI proposals, as documented)."</w:t>
      </w:r>
    </w:p>
    <w:p>
      <w:r>
        <w:t>Arguments of Kuadra</w:t>
      </w:r>
    </w:p>
    <w:p>
      <w:r>
        <w:t>285. In its final memorandum256, Kuadra first emphasized that the company did not have the requirements to participate independently in the FM4 tender, which is why the establishment of the ATI with CNS, a regular partner in tender procedures, was necessary. Within the ATI with CNS and Exitone, Kuadra would have limited itself to agreeing on the act of establishing the ATI itself, without participating in the decision-making processes that led to the choice of lots and the consequent drafting and preparation of technical and economic offers.</w:t>
      </w:r>
    </w:p>
    <w:p>
      <w:r>
        <w:t>286. Kuadra also emphasized that the behavior adopted following the decision of the leading company CNS not to confirm the offers for FM4 fell within a normal strategy with the other principal (Exitone) aimed at protecting its commercial interests. Regarding the subcontracting agreement in favor of CNS consortium members concerning FM4, Kuadra highlighted that this agreement was never finalized and that, in any case, it would be explainable in terms of market logic. Furthermore, in addition to indicating that it did not participate in meetings within the Terotec associative laboratory and was not mentioned in the pink slip, Kuadra emphasized that, in the case I-785 Consip Schools tender, similar to the present Procedure, the Authority's provision and the related sanction against the company were not confirmed by the TAR Lazio.</w:t>
      </w:r>
    </w:p>
    <w:p>
      <w:r>
        <w:t>Arguments of Esperia</w:t>
      </w:r>
    </w:p>
    <w:p>
      <w:r>
        <w:t>288. In its final memorandum257, Esperia, in order to refute its responsibility regarding the conduct of its subsidiary Kuadra, first emphasized the lack of control over the latter at the time of the events. This is because in December 2010, following the transfer to Kuadra of certain business branches by some companies including Esperia, the latter's share in the capital of the former was only 68%, with the administration of Kuadra (particularly in the figures of the Chairman of the Board of Directors and the CEO) entrusted to representatives of the other minority shareholders (Esperia's participation in Kuadra became 100% only in December 2016). According to Esperia, moreover, there would be no exogenous evidence showing that Kuadra acted under the direction and influence of Esperia in the FM4 tender and that the entrepreneurial strategies of the former can be traced back to the latter. Additionally, Esperia emphasized that it had remained inactive in the market from 2011 to 2017 (the year of the lease of the business branch of Kuadra including the activities subject to investigation) and did not share with the subsidiary Kuadra the headquarters, professional/structural resources, and the same management.</w:t>
      </w:r>
    </w:p>
    <w:p>
      <w:r>
        <w:t>289. Regarding the principle of economic continuity, Esperia believes it cannot be considered the "economic successor" of Kuadra, "since the latter has neither ceased nor been extinguished, being currently in liquidation and having continued to exist as an autonomous and distinct legal entity." This conclusion would not be contradicted even in light of the extension of the notion of economic continuity operated over time by the Court of Justice, which has gone so far as to admit that it operates even where the subject responsible for the infringement has not ceased to exist, but only in cases of "exceptional circumstances," which Esperia does not see in the present case. Furthermore, Esperia emphasized that there would be no intent to evade antitrust sanctions, as the signing of the lease contract in its favor for the business branch of Kuadra referred to in the CRI was an operation analyzed and proposed by the Court of Naples and authorized by it. In particular, in the context of this operation, the judicial administrators appointed by the Court had noted that regarding Kuadra "it is clearly impossible to implement any business restructuring program [...] Even an injection of liquidity from the current sole shareholder would not allow the recovery of normal business activity."</w:t>
      </w:r>
    </w:p>
    <w:p>
      <w:r>
        <w:t>Arguments of MFM</w:t>
      </w:r>
    </w:p>
    <w:p>
      <w:r>
        <w:t>290. MFM stated, in its final memorandum258, that its participatory strategy is to be traced, in particular, to the presence of constraints on participation and the desire to maximize its expected profit (as a combination of the probabilities of winning with the related profit). Regarding the constraints on participation, MFM first highlights that, with its specific turnover, at most it could have participated in an additional small lot or one located in areas of lesser interest. Furthermore, the real limit for MFM was the high financial exposure it was facing at that time, such that further surety commitments would have compromised its ability to obtain credit for other business activities259.</w:t>
      </w:r>
    </w:p>
    <w:p>
      <w:r>
        <w:t>291. The choice of lots for MFM was guided by the need to consolidate the order portfolio across the entire national territory; for this purpose, the company deemed it appropriate to select one lot in each of the operational areas in which it usually divides the national territory (North West area, North East area, Emilia area, Central area, and South area). Therefore, starting from the element of "protection of the existing," MFM prioritized the areas where the company had a widespread presence in the territory and had already managed the services (thus having a knowledge advantage also in terms of costs), as well as those for which there were the highest expectations of saturation. At the same time, also in order to maximize its chances of success, MFM highlights that it avoided competing for those lots that were historically occupied by other competitors, as – based on the scores obtained in previous FM tender editions – it was aware of having limited chances of winning in those lots.</w:t>
      </w:r>
    </w:p>
    <w:p>
      <w:r>
        <w:t>292. Thus, MFM reports that it prioritized lot 1 in the North West area (lots 1, 2, and 3) as this area had been managed by Pirelli (a company merged into MFM in 2010) in the first two FM tender editions (FM0 and FM1) compared to lot 3 where the company had never managed services within the FM tenders. Lot 2 was less appealing in terms of expectations of saturation of the maximum. Regarding the North East area and the Emilia area (lots 4 and 5), lot 5 was preferred as it allowed covering two operational areas and presented better saturation possibilities. Lot 4, moreover, was involved in a dispute regarding the FM3 tender which gave MFM – third in the ranking for the then corresponding lot 3 – valid expectations of becoming the awardee of services in the same area, instead of the company Guerrato. Coming to the Central area (lots 6, 7, and 8), MFM reports that it chose lot 3 as it had already been managed in the previous three FM tender editions, while in lot 7 it had a lesser foothold in some provinces (Forlì Cesena) or a foothold focused only on specific types of properties (Florence-Arezzo for SSN properties), or, again, expectations of taking over in the province of Pesaro-Urbino as the awardee instead of Guerrato. Similar expectations of taking over led MFM not to compete for lot 8. As for the South area (lots 9, 10, 11, 12, 13, and 14), the choice fell on lot 11 as it presented high possibilities of saturating the maximum and the company could benefit from knowledge of the territory as this area was</w:t>
      </w:r>
    </w:p>
    <w:p>
      <w:r>
        <w:rPr>
          <w:b/>
        </w:rPr>
        <w:t>[Pages 91–93]</w:t>
      </w:r>
    </w:p>
    <w:p>
      <w:r>
        <w:t>BULLETIN NO. 19 OF MAY 13, 2019 93</w:t>
      </w:r>
    </w:p>
    <w:p>
      <w:r>
        <w:t>included in the lot managed by Pirelli as a result of the FM1 tender. Conversely, MFM had never managed services in lots 10, 12, and 13, which, moreover, had historically always been awarded to Romeo, from FM0 onwards, which had submitted greater discounts than those that MFM would have been able to present; the company was therefore well aware that - had it submitted an offer - it would not have been awarded those lots. Lots 9 and 14 were instead discarded, considering the small amount (lot 9), the lower expectations of saturation (lots 9 and 14), and the unavailability in Calabria of facilities for the management of facility management services (lot 14)260. Finally, regarding the ancillary lots, MFM highlighted that the chosen lot 15 was the one with the highest likelihood of activation and saturation and that the company has a strong territorial presence in the North East and North West areas, allowing it to meet the demand of the Public Administration in such a geographically extensive area.</w:t>
      </w:r>
    </w:p>
    <w:p>
      <w:r>
        <w:t>293. With particular reference to the economic offers, MFM focused on the offer submitted for lot 11, highlighting that it could not apply the discounts defined for the remaining offer lots (lots 1, 5, 7, and 15) as it was not economically sustainable. Lot 11, in fact, was characterized by a lower profit margin compared to the lots located in the Center-North, by a greater demand for extraordinary maintenance due to the poor maintenance condition of the properties261, and by a higher personnel cost due to the existence of more unfavorable territorial supplementary agreements for employers. MFM also noted that, regarding the offer submitted for lot 11, it would therefore not be possible to find any anomalous behaviors since the outcome of the FM4 tender was entirely in line with what happened during the previous edition of the tender (FM3), with the company also ranking fourth in that case.</w:t>
      </w:r>
    </w:p>
    <w:p>
      <w:r>
        <w:t>Arguments of Manital and Manital Consorzio</w:t>
      </w:r>
    </w:p>
    <w:p>
      <w:r>
        <w:t>294. The Manital companies illustrated the criteria followed to identify the lots on which to submit an offer for FM4262, stating in particular that the lots were chosen based on the geographical coverage of the territorial area to which they belonged, also with a view to continuing the activities related to the Consip FM2 and FM3 tenders. According to the statements made, the presence of the company and its consortium members in the territory is considered relevant as it is preferred to limit the use of subcontracting, which is only used for purely technical activities263. Manital and Manital Consorzio264 also argued the rationality and convenience of submitting offers in the lots where the company was already present or had previously operated, considering that, as the outgoing manager, it already had an operational and rooted organizational structure and a greater knowledge of the relevant territory and the Public Administrations present there (and the deadlines of the related existing contracts), an element that in the special law of FM4 was particularly valued in terms of scoring to be attributed during the evaluation of the technical offer (for example, for the capacity to saturate the lots).</w:t>
      </w:r>
    </w:p>
    <w:p>
      <w:r>
        <w:t>295. In detail, the Manital group stated that at the time it had developed a strategy to optimize the limited resources available, also taking into account the tender rules and the maximum number of lots that could be awarded, to be identified in descending order of value. In this sense, the Manital group selected the lots on which to offer in order to avoid the risk of losing, due to the described tender rule, lot 2 (related to the regions of Valle d'Aosta, Liguria, and Piemonte) which Manital particularly valued, as it was the outgoing manager and included the company headquarters265. Similarly, the Manital group chose to submit offers on the other lots where it was the outgoing operator (in addition to lot 2, also lots 11 and 14). To these lots was added the ancillary lot 16 to avoid having to give up even one of the three ordinary lots in which Manital was outgoing and to minimize the costs of the guarantees.</w:t>
      </w:r>
    </w:p>
    <w:p>
      <w:r>
        <w:t>296. The Manital group also argued in terms of particular difficulties regarding lot 10 in Central Rome, where no offer was submitted, as it was “a very complex lot with a high technical difficulty profile” (doc. XXII.2479).</w:t>
      </w:r>
    </w:p>
    <w:p>
      <w:r>
        <w:t>297. The Manital group then specified266 that it could hypothetically, due to the turnover participation requirements, submit an offer on two additional lots (two medium-small ordinary lots). However, Manital did not intend to leverage these residual requirements because it believed it had no competitive advantage on those additional lots, not being the outgoing awardee for them and, in any case, to avoid, as mentioned, losing the three lots of greatest interest in light of the described tender rules.</w:t>
      </w:r>
    </w:p>
    <w:p>
      <w:r>
        <w:t>298. Regarding the further possibilities of participation in the tender, in their final memoranda267, Manital Consorzio and Manital argue that the Offices would have erred in their assertion about the possible additional lot, with a wide range of choices, particularly operating “in a completely apodictic manner and through a instrumental interpretation” of the turnover data provided by Manital Consorzio in the document it defined as “Second Response” (i.e., doc. XXIV.2715) and “without in any way evaluating and considering the information” provided by the companies in the document it defined as “First Response” (i.e., doc. XXII.2479).</w:t>
      </w:r>
    </w:p>
    <w:p>
      <w:r>
        <w:t>299. The choice of the lots on which to submit an offer is, in any case, also derived from the evaluation of the memberships received from the consortium members and based on the geographical location of these latter. In this regard, the Manital group highlighted how the Manital Consortium never allowed the consortium members to know in advance the lots for which an offer would be submitted, nor did it ever discuss with the consortium members themselves regarding the number and identity of the lots to compete for, as this information was covered by confidentiality, as was the overall tender strategy to be pursued. In relation to doc. VII.1244, containing a minutes of the consortium assembly in which the President highlighted to the consortium members that the Consortium would compete for “the maximum number of lots possible,” the Manital group emphasized that such a statement was not the result of a detailed evaluation of the requirements and conditions of the tender, but had the sole “purpose of emphasizing and incentivizing the consortium members to provide their adherence to participation in the tender and at the same time not to make explicit the choice of the lots”268.</w:t>
      </w:r>
    </w:p>
    <w:p>
      <w:r>
        <w:t>300. Regarding the amount of the economic offers, the Manital group represented269 that the discounts presented are in line with the discounts offered in previous editions of the tender and aligned with each other according to a unified logic, also taking into account the greater burden of labor costs in certain areas, such as the Municipality of Rome.</w:t>
      </w:r>
    </w:p>
    <w:p>
      <w:r>
        <w:t>301. Regarding the role played by the consortium member La Veneta Servizi (due to its relations with MFM and with a subsidiary of the latter, Roma Multiservizi), the Manital group highlighted that La Veneta Servizi is a historical consortium member and that there is only one document on file that certifies an exchange of emails between the aforementioned consortium member and Roma Multiservizi (in which La Veneta Servizi also holds a minimal stake) and is, however, related to another tender. Therefore, from this link, no inference can be drawn regarding the existence of any exchange of sensitive information between the Manital group and MFM270.</w:t>
      </w:r>
    </w:p>
    <w:p>
      <w:r>
        <w:t>302. Manital indicated in the hearing that its consultant who maintained relations with Terotec “was the delegate for institutional relations of Manital [and] did not have an operational role in the company and did not report to the company itself regarding his consulting activity” (doc. XXII.2467), also emphasizing how since October 24, 2013, he had become the President of the Anip association.</w:t>
      </w:r>
    </w:p>
    <w:p>
      <w:r>
        <w:t>303. Manital Consorzio and Manital, in the final hearing and in the final memoranda271, then downplayed the relevance of the so-called social clause, arguing that it “does not impose any obligation on the contractor of a public contract to automatically and generally hire the personnel already used” by the previous supplier and in any case does not solve the problem of having operational structures in the territory.</w:t>
      </w:r>
    </w:p>
    <w:p>
      <w:r>
        <w:t>304. Finally, in the joint final memorandum of Manital and Manital Consorzio272, the imputability of the agreement to Manital is contested. In particular, the memorandum reconstructs the decision-making process regarding the participation of Manital Consorzio in public tenders, with the specific aim of supporting that the choice to participate in the tenders would be attributable exclusively to the bodies of the Consortium, which would decide autonomously. In this context, Manital would be a consortium member like any other; moreover, the Parties assert that, for the purposes of attributing responsibility for the alleged conduct, the Authority should refer not to the share of Manital's participation in the Consortium (equal to 97%) but to the reported, significantly lower, percentage of participation in the tender and the execution of the related contracts in case of award. According to the Parties, in conclusion, the circumstances reported above and the decision-making and operational characteristics of a stable consortium would exclude the application of the principle of parental liability to the relationships between Manital Consorzio and Manital, also because the former would maintain an autonomous behavior in the market and the latter would not be able in any way to influence and/or govern the conduct of the Consortium.</w:t>
      </w:r>
    </w:p>
    <w:p>
      <w:r>
        <w:rPr>
          <w:b/>
        </w:rPr>
        <w:t>[Pages 94–96]</w:t>
      </w:r>
    </w:p>
    <w:p>
      <w:r>
        <w:t xml:space="preserve">96 BULLETIN NO. 19 OF MAY 13, 2019  </w:t>
        <w:br/>
        <w:t xml:space="preserve">Arguments of Romeo  </w:t>
        <w:br/>
        <w:t xml:space="preserve">305. As a preliminary reason, in his final memorandum273 Romeo raised an exception regarding the expiration of the ninety-day deadline referred to in Article 14 of Law 689/81, which would find full and undisputed application in antitrust proceedings. In particular, Romeo noted that the initiation of the Procedure took place on March 21, 2017, nearly a year after a complaint submitted by Romeo to the Authority on April 13, 2016, concerning a "permanent cartel" between the STI group and companies in the "cooperative world" (such as CNS and MFM) with references also to the lack of overlap of offers in FM4 between the ATI Cofely-CSEL and CNS itself.  </w:t>
        <w:br/>
        <w:t xml:space="preserve">306. During the Procedure and most recently in the final memorandum274, Romeo emphasized that it had itself reported the existence of an agreement concerning FM4 (the "permanent cartel" particularly between the STI group and companies in the "cooperative world" such as CNS and MFM implemented for FM4, with the participation also of the ATI of Cofely)275, thereby demonstrating its estrangement from the agreement itself. Romeo also argued that the company has always behaved differently from its competitors, particularly by participating independently in tenders (without resorting to the ATI institution with third parties but only with its own consortia, as in the case of FM4), submitting bids for the geographical areas where it was historically present (where the branches of Romeo were located), formulating the highest discounts (so that the company is known for being particularly aggressive in the market) and not resorting to cross-shareholdings, unlike other operators such as the STI group and CNS276. Romeo also observed that its conduct in relation to FM4 aligns with the participation methods adopted in previous tender editions.  </w:t>
        <w:br/>
        <w:t xml:space="preserve">307. Regarding the additional lots for which an offer could be submitted for FM4, Romeo argued that using the revenue of its consortium would not have been a feasible solution as it would have exposed the ATI to uncertainties related to the subsequent corporate events of the consortium members, which are small-sized companies with modest individual revenues277 (it was subsequently specified that, of the forty consortium members indicated as executors for FM4, twelve are no longer part of the consortium; of these, three were replaced due to internal corporate changes and nine have definitively exited the consortium for various reasons278).  </w:t>
        <w:br/>
        <w:t xml:space="preserve">308. In this regard, reference is made to what Romeo stated during the inspection assessment, according to which "in addition to those for which it offered, the RTI Romeo could theoretically participate in another lot. However, this would have involved additional costs related to the guarantees to be presented pursuant to the special law of the Consip FM4 tender, and this, considering the existing exposures towards credit/insurance institutions of Romeo as well as the risk of exceeding the granted commitments, prevented participation in that additional lot"; regarding the choice of lots, "the lots that were chosen are those in which Romeo had previously been active. In particular in Rome, municipality I, Romeo Gestioni has been active in the sector in question for over 10 years [this refers to the aforementioned lot 10]. The same applies to Campania [lot 13]. In the Milan area [lot 3], in addition to the Consip FM3 tender, Romeo also won tenders for facility management related to airports and the EXPO" (doc. IX.1276). In its final memorandum279, Romeo reiterated that it "focused on the lots that allow, at the same time, (i) to contain costs and financial burdens, and consequently formulate a more aggressive offer, and (ii) to achieve – through the acquisition of orders from the Administrations, and within the time limits of the Convention – the full saturation of the budget limit of the lot put out to tender."  </w:t>
        <w:br/>
        <w:t xml:space="preserve">According to what was stated in the minutes, the marginal costs related to the preparation of offers for additional lots would have been negligible, given that the work to be done would have remained substantially the same: "the effort made [in preparing the technical offers for FM4] was substantially homogeneous [across the various lots for which the RTI Romeo competed]. The chapters of the technical offers were differentiated based on possible operational scenarios. The modus operandi described in the technical offer has always been the same"; similarly, "the scenarios change but the work [for each of the FM4 lots] is the same" (doc. IX.1276).  </w:t>
        <w:br/>
        <w:t xml:space="preserve">309. In its final memorandum280, Romeo dwells on the reasons that led it not to submit an offer for lot 12 (Puglia and Basilicata), having opted instead for the accessory lot 18, which also included that geographical area. Lot 12 presented poor convenience and appeal, as the company had ascertained during the execution of the FM3 convention (in which Romeo was awarded for the same lot), for which the number of orders had been very limited (due to the small number of significant administrations and the fact that these had contracts with Romeo that expired years later).  </w:t>
        <w:br/>
        <w:t xml:space="preserve">310. Regarding participation in meetings within the context of the Terotec workshop, Romeo argued in the hearing that its group "has never participated in meetings in the Terotec context for the so-called type tenders evidenced in other instructive documents (doc. XVIII.1874, doc. XVIII.1877 and doc. XVIII.1869)"281, while the instructive documents doc. XVIII.2272 and doc. XIV.1701 (respectively, the convocation of the Terotec Shareholders' Meeting and the transmission of contributions from Terotec on the type tender for maintenance services) "are communications from Terotec that probably only formally included Romeo," addressed in the first case to the head of external relations and in the second case to the address of the Presidency of the company (indicated by Romeo as the centralized address used for formal communications of this type according to company policy). In any case, it was noted, attaching supporting documentation, that Romeo sent Terotec formal communication of withdrawal on February 27, 2014282.  </w:t>
        <w:br/>
        <w:t xml:space="preserve">283 Doc. M.11.  </w:t>
        <w:br/>
        <w:t xml:space="preserve">284 Thus also in the final memorandum (doc. M.11).  </w:t>
        <w:br/>
        <w:t>285 Doc. M.11.</w:t>
      </w:r>
    </w:p>
    <w:p>
      <w:r>
        <w:t xml:space="preserve">98 BULLETIN NO. 19 OF MAY 13, 2019  </w:t>
        <w:br/>
        <w:t xml:space="preserve">Arguments of Romeo Partecipazioni  </w:t>
        <w:br/>
        <w:t xml:space="preserve">311. As a preliminary reason, in its final memorandum283 Romeo Partecipazioni also raised an exception regarding the expiration of the ninety-day deadline referred to in Article 14 of Law 689/81, which would find full and undisputed application in antitrust proceedings. In particular, Romeo Partecipazioni raised the expiration of the deadline pursuant to the same Article 14 of Law 689/81, as the extension of this Procedure against it occurred on November 22, 2017, following the initiation of the investigation on March 21, 2017, when the factual elements that would lead to the subsequent extension (almost total participation in the share capital of Romeo) were already known.  </w:t>
        <w:br/>
        <w:t xml:space="preserve">312. During the Procedure, Romeo Partecipazioni highlighted its nature as a financial company without operational structure, whose main activity is the management of its participation in Romeo and the financial income derived from it (with other participations held in companies active in the hotel and real estate sectors); "consequently, Romeo Partecipazioni has no direct interests in the facility management sector under investigation, except precisely through the 90% participation held in Romeo" (doc. XXIII.2654)284.  </w:t>
        <w:br/>
        <w:t xml:space="preserve">313. Regarding the exercise of management and coordination activities, it was indicated in the hearing that "Romeo at the time of the facts under investigation was subject to management and coordination activities by Romeo Partecipazioni (although since July 2017 it is no longer)," pursuant to Articles 2497 and following of the Civil Code (doc. XXIII.2654). With subsequent specification, Romeo indicated that in July 2017 "the activity of management and coordination also formally ceased," as "in fact Romeo Partecipazioni never exercised" such activity towards Romeo (doc. XXIII.2678); in support of this, a technical report prepared by an external consultant regarding the verification of the actual exercise of management and coordination activities pursuant to Articles 2497 and following of the Civil Code was attached.  </w:t>
        <w:br/>
        <w:t xml:space="preserve">314. In its final memorandum285, Romeo Partecipazioni specified that the subsidiary Romeo makes its strategic choices independently and that its CEO (distinct from that of Romeo Partecipazioni) "operated and operates with broad delegation, being expressly authorized to exercise both ordinary and extraordinary administration powers." According to Romeo Partecipazioni, the rigid application of the parental liability presumption would lead to the automatic expansion of the number of subjects responsible for the infringement "without punishing those who actually managed and/or influenced the conduct of the company in the market," with repercussions also from a sanctioning perspective, and would be contrary to the right to a fair trial under Article 6 of the ECHR, conflicting with the principle of the presumption of innocence referred to in Article 6.2 of the same Convention.  </w:t>
        <w:br/>
        <w:t xml:space="preserve">283 Doc. M.11.  </w:t>
        <w:br/>
        <w:t xml:space="preserve">284 Thus also in the final memorandum (doc. M.11).  </w:t>
        <w:br/>
        <w:t>285 Doc. M.11.</w:t>
      </w:r>
    </w:p>
    <w:p>
      <w:r>
        <w:rPr>
          <w:b/>
        </w:rPr>
        <w:t>[Pages 97–99]</w:t>
      </w:r>
    </w:p>
    <w:p>
      <w:r>
        <w:t>BULLETIN NO. 19 OF MAY 13, 2019 99</w:t>
      </w:r>
    </w:p>
    <w:p>
      <w:r>
        <w:t>Arguments of the STI Group</w:t>
      </w:r>
    </w:p>
    <w:p>
      <w:r>
        <w:t>315. The STI group highlighted in the hearing286 that for the FM4 tender, the formal and substantial relationship of ATI existed only in the case of the ATI of Exitone with CNS and Kuadra. The STI group emphasized that it has a very consolidated relationship with CNS, with which it has been operating for many years. When the FM4 tender was announced in 2014, the first contact of the STI group was with CNS (in order to potentially participate in ATI together with CNS as in the Consip Pulizie Scuole tender), to which a quote for Exitone's activities was presented. In particular, Exitone - not performing maintenance or cleaning activities - intended to carry out activities related to drafting the technical offer and other technical activities, in the latter case also during the service delivery phase in the event of award.</w:t>
      </w:r>
    </w:p>
    <w:p>
      <w:r>
        <w:t>316. For the preparation of the technical offer, the STI group noted that the work was carried out by the technical offices of both CNS and Exitone (the technical office of Kuadra participated only marginally)287. According to what was represented by the STI group, the lots for which to submit an offer were chosen solely by CNS (for example, in the quote for the technical offer referred to in documents doc. IV.1048 and IV.1049, the total number of seven offer lots is indicated but the specific lots are not specified). Exitone prepared a master technical offer that was valid for all lots and then, when CNS communicated the specific chosen lots, Exitone adjusted the master in question to those lots (this procedure results in cost savings; in particular, the majority of the labor cost derives from the creation of the master, while the subsequent costs for its calibration concerning the individual specific lots are significantly lower). Regarding the economic offer, according to what was indicated by the STI group, it was decided solely by CNS based on the ATI mandate; in this regard, Exitone never interacted with CNS even concerning the hypotheses of discounts that CNS intended to offer.</w:t>
      </w:r>
    </w:p>
    <w:p>
      <w:r>
        <w:t>317. In the final memoranda and final hearing288, the various companies of the STI group contested, with identical arguments, the term "STI group" used in the CRI, considering it inappropriate, likely to create confusion and employed with the alleged aim of "attributing the alleged agreement to a subject that is concretely non-existent." That said, in these memoranda, the "alleged decisive influence of the so-called STI group in the overall design of the agreement" and the pervasive interests observed in relation to the agreement, also through the company Gestione Integrata, which formally is not part of the groups participating in the FM4 tender, are contested with various arguments and different emphases. This is particularly the case for the drafts of subcontracting between CNS and Gestione Integrata, the evidentiary value of which is diminished by the STI group, arguing, on the one hand, that it would fall under a case of lawful subcontracting (since Gestione Integrata did not participate in the FM4 tender) and, on the other hand, that the contract was not perfected in any case. Similarly, challenges of irrelevance are also formulated for the agreements negotiated by the STI group with CNS in order to compensate for what was lost on the FM4 tender concerning the SIE3 contract, as well as for the documents with which the STI group requested subcontracts from Siram.</w:t>
      </w:r>
    </w:p>
    <w:p>
      <w:r>
        <w:t xml:space="preserve">286 Doc. XXIV.2722.  </w:t>
        <w:br/>
        <w:t xml:space="preserve">287 Doc. XXIV.2722.  </w:t>
        <w:br/>
        <w:t>288 Doc. M.7, doc. M.8, doc. M.9, doc. M.10, doc. M.19.</w:t>
      </w:r>
    </w:p>
    <w:p>
      <w:r>
        <w:t>100 BULLETIN NO. 19 OF MAY 13, 2019</w:t>
      </w:r>
    </w:p>
    <w:p>
      <w:r>
        <w:t>318. Other defensive arguments of the companies of the STI group aim to downplay the interests between the STI group and CSEL, in light of the alleged absence of the realization of the hoped-for advantages that STI thought to derive from what the company itself qualifies in its defenses as a simple activity of seeking lawful job opportunities by the entities of the group. Regarding the relationships with CSEL, the defensive arguments put forth by the STI group intend to diminish the evidentiary value of doc. XXIII.2606 titled "Summary of commercial agreements between CSEL and the STI Group," arguing its irrelevance as the agreements and cash flows noted therein, besides being negligible compared to the value of the tender, would never have actually been perfected ("nothing has ever been granted," the "agreement [has not] ever come into being") and as the document, although undated, would be chronologically placed in a period after the submission of offers for FM4, having been found attached to a transmission email from February 2017289.</w:t>
      </w:r>
    </w:p>
    <w:p>
      <w:r>
        <w:t>319. Finally, in their final memoranda, the companies of the STI group sought to assimilate their position to that of Exitone in the case of the Authority's assessment for the procedure I-785 Consip Scuole tender, given that the latter procedure exclusively concerned the coordination between the ATI led by CNS and MFM (along with the subsidiary Roma Multiservizi) on the lots awarded to the latter.</w:t>
      </w:r>
    </w:p>
    <w:p>
      <w:r>
        <w:t>320. Regarding the specific position of Finanziaria Bigotti, in its final defensive memorandum290 the company highlighted the absence of instructive documents that involve it in the alleged antitrust violation, having never participated in tenders of any kind. Concerning the issue of the parental liability presumption, Finanziaria Bigotti contested the charges, asserting that it did not exercise any decisive influence over the decisions of its subsidiaries and that these would determine their respective behavior autonomously. To support this, Finanziaria Bigotti emphasized its nature as a non-operating financial holding, the circumstance that there would be no commingling between its administrative bodies and those of the other companies in the group (STI, Gestione Integrata, and Exitone) and the managerial autonomy in determining the tender strategies pursued by the other companies in the group.</w:t>
      </w:r>
    </w:p>
    <w:p>
      <w:r>
        <w:t>Arguments of Dussmann and Dussmann Holding</w:t>
      </w:r>
    </w:p>
    <w:p>
      <w:r>
        <w:t>321. During the Procedure, Dussmann intended to represent how none of the investigative hypotheses of the Authority for the present Procedure find confirmation in the specific case of the company, particularly concerning issues such as the level of overlaps in the various lots among the main bidders of FM4, the ex ante positions of the various competitors, the corporate ties of various natures between the Parties of the Procedure, and the existence of compensatory items291.</w:t>
      </w:r>
    </w:p>
    <w:p>
      <w:r>
        <w:t>289 With particular reference to the indication that "in the event of award of lot 10, the share [of ATI] CSEL would have risen to 50%," present in the document in question, CSEL argued during the hearing with the Offices (doc. XXIV.2733) that it was "a joking hypothesis" formulated by CSEL itself and "strangely" reported by STI in the summary table of the excel sheet. Cofely, for its part, in its final memorandum (doc. M.5), while admitting that "Certainly, the existence of this strange document from STI requires an explanation," argues that the phrase in question is "legally impossible," as it is incompatible with the principle of immutability of the offer during the tender process.</w:t>
      </w:r>
    </w:p>
    <w:p>
      <w:r>
        <w:t xml:space="preserve">290 Doc. M.10.  </w:t>
        <w:br/>
        <w:t>291 Doc. XXII.2469.</w:t>
      </w:r>
    </w:p>
    <w:p>
      <w:r>
        <w:t>BULLETIN NO. 19 OF MAY 13, 2019 101</w:t>
      </w:r>
    </w:p>
    <w:p>
      <w:r>
        <w:t>In its final memorandum292, Dussmann reiterated that it followed an autonomous and rational strategy for participating in the tender, in order to penetrate a new market, with a competitive perspective, having particularly maximized the number of lots to participate in (as many as eleven out of eighteen), overlapping with all the major competitors (CNS, MFM, Manital Consorzio, Romeo, and Cofely) and adopted a particularly aggressive unit discount policy on all lots.</w:t>
      </w:r>
    </w:p>
    <w:p>
      <w:r>
        <w:t>322. Dussmann also pointed out that, regarding the only representative of the company involved in the criminal procedure related to the FM4 tender, the Public Prosecutor's Office of Rome formulated a request for dismissal, as the documentation produced in the context of that procedure was deemed suitable to cast doubt on the elements of accusation293.</w:t>
      </w:r>
    </w:p>
    <w:p>
      <w:r>
        <w:t>323. Regarding the liability of the 100% controlling company (Dussmann Holding), it emphasized that it does not exercise, due to the existing delegations of powers within the group, any decisive influence over the commercial choices made by the subsidiary regarding the strategies implemented in participating in tenders.</w:t>
      </w:r>
    </w:p>
    <w:p>
      <w:r>
        <w:t>Arguments of Siram and Veolia International</w:t>
      </w:r>
    </w:p>
    <w:p>
      <w:r>
        <w:t>324. Siram provided some defensive arguments regarding its position294, highlighting in particular how the ATI with Dussmann in the context of the FM4 tender had a pro-competitive nature and its conduct in the tender itself was compliant with antitrust regulations concerning the tender strategy and the amount of discounts offered.</w:t>
      </w:r>
    </w:p>
    <w:p>
      <w:r>
        <w:t>325. In addition to the aforementioned issue of the presence on the back of the pink slip, Siram during the Procedure295 indicated as further evidence in its favor its email response to the request for subcontracting in favor of Gestione Integrata concerning FM4, which is firmly rejected.</w:t>
      </w:r>
    </w:p>
    <w:p>
      <w:r>
        <w:t>326. Regarding the relationships with the 100% subsidiary Siram, during the hearing Veolia International specified that it is a pure holding without employees and has "never interfered in Siram's choices regarding the FM4 tender procedure" (doc. XXIII.2685). In its subsequent memorandum296, Veolia International emphasized the existence of several elements capable of refuting the presumption of exercising a decisive influence over Siram itself.</w:t>
      </w:r>
    </w:p>
    <w:p>
      <w:r>
        <w:t>VI. EVALUATIONS</w:t>
      </w:r>
    </w:p>
    <w:p>
      <w:r>
        <w:t>1) The relevant market</w:t>
      </w:r>
    </w:p>
    <w:p>
      <w:r>
        <w:t>327. According to established case law on agreements, it is the scope and object of the agreement that delineate the market on which the offense is committed, and the definition of the relevant market is essentially aimed at identifying the characteristics of the economic and legal context in which the agreement or the practice agreed upon between companies is situated. This definition is, therefore, functional to the</w:t>
      </w:r>
    </w:p>
    <w:p>
      <w:r>
        <w:rPr>
          <w:b/>
        </w:rPr>
        <w:t>[Pages 100–102]</w:t>
      </w:r>
    </w:p>
    <w:p>
      <w:r>
        <w:t>102 BULLETIN NO. 19 OF MAY 13, 2019</w:t>
      </w:r>
    </w:p>
    <w:p>
      <w:r>
        <w:t>delimitation of the scope within which the agreement can restrict or distort the competitive mechanism and to decipher its degree of offensiveness297.</w:t>
      </w:r>
    </w:p>
    <w:p>
      <w:r>
        <w:t>328. The economic area affected by the conduct under examination is represented by the public tender procedure announced by the contracting authority Consip S.p.a. for the assignment of integrated, managerial, and operational services to be carried out in properties, primarily used as office space, made available to Public Administrations, as well as in properties made available to public universities and research entities and institutes (fourth edition, ID 1299). This procedure was announced by Consip on March 19, 2014, in the form of an open procedure tender, aimed at activating a Convention for the assignment of the aforementioned integrated services, and is divided into eighteen geographical lots (defined on a provincial basis), of which fourteen are ordinary and four are accessory (to be activated in case of exhaustion of the ceilings of the individual ordinary lots or expiration of the relevant award Convention). The executive scope of the affected services (technical maintenance services, cleaning services, and related management services) coincides with the entire national territory.</w:t>
      </w:r>
    </w:p>
    <w:p>
      <w:r>
        <w:t>2) The anticompetitive agreement</w:t>
      </w:r>
    </w:p>
    <w:p>
      <w:r>
        <w:t>2.1) Premise</w:t>
      </w:r>
    </w:p>
    <w:p>
      <w:r>
        <w:t>329. The set of factual and documentary evidence, acquired during the overall investigative activity carried out during the Procedure, provides a picture of serious, precise, and consistent circumstantial elements suitable to prove, in the terms specified below, the existence of a unique, complex, and articulated anticompetitive agreement aimed at coordinating the participatory strategy for the FM4 tender, implemented by CNS, MFM, Manital Consorzio, Romeo, Cofely, CSEL, Kuadra, Exitone, Gestione Integrata, and their respective parent companies (Manital, Romeo Partecipazioni, Engie International, Esperia, STI, Finanziaria Bigotti) in order to influence its outcomes and to allocate the lots put out to tender.</w:t>
      </w:r>
    </w:p>
    <w:p>
      <w:r>
        <w:t>330. More specifically, from the investigative activity carried out, the existence of an agreement has emerged, attributable, on the one hand, to the presence of objectively verifiable elements – including meetings, exchanges of sensitive information, and agreements of various kinds – that reveal the existence of a concertation (exogenous elements) and, on the other hand, to the impossibility of explaining alternatively the anomalies found in the tender conduct as a plausible and rational result of the autonomous entrepreneurial initiatives of the Parties (endogenous elements).</w:t>
      </w:r>
    </w:p>
    <w:p>
      <w:r>
        <w:t>331. As mentioned, the collusive case under analysis is articulated. The documentation on file provides incontrovertible evidence of a distribution strategy based on a perfect 'checkerboard' scheme among the ATI CNS-Kuadra-Exitone, MFM, Manital Consorzio, and Romeo, i.e., the major players in the sector, which assigned to each of them the maximum number of lots that could be awarded; the investigative evidence also accounts for the involvement in the concertation of the ATI Cofely-CSEL, particularly due to participation in meetings, including at Terotec, referred to in the pink slip and due to the role of intermediary played by the STI group, effectively present in that ATI, as well as in the ATI led by CNS (among which, in fact, no significant overlap of offers occurred for the purposes of the award: the only overlap concerned lot 8, which the ATI led by CNS would have had to cede anyway due to the rules of the tender).</w:t>
      </w:r>
    </w:p>
    <w:p>
      <w:r>
        <w:t>332. As clearly emerges from the interceptions acquired from the criminal proceedings, the involvement of the ATI Cofely-CSEL occurred without Romeo's knowledge, who thus had to face unexpected competition from that ATI in lot 10 of Rome Centro. The ATI Cofely-CSEL, also thanks to ties with the STI group, was indeed designated within the cartel as the awardee of part of the overall contract, including particularly lot 10, where all the other Parties perpetrated the omissive conduct of non-participation. The involvement of the ATI Cofely-CSEL in the agreement was realized without compromising the predefined assignments related to the other lots and allowed to strengthen the stability of the agreement itself (with the involvement of an additional significant player), without altering the structure and purpose of the overall agreements (Cofely indeed obtains, in addition to lot 10, the only lot 8 that the ATI led by CNS would have, as mentioned, had to cede anyway).</w:t>
      </w:r>
    </w:p>
    <w:p>
      <w:r>
        <w:t>333. The fact that Romeo, upon becoming aware of the presence of the STI group in the ATI Cofely-CSEL, filed a complaint with the Authority regarding collusive conduct for FM4 among CNS, MFM, the STI group, and the ATI Cofely-CSEL does not contradict his full involvement in the agreement. The complaint concerns, in fact, precisely the subjects deemed responsible for the agreements detrimental to Romeo, and thus appears as a form of retaliation against them; this, in particular, following the concerns expressed by Romeo, of which there is clear evidence in the criminal interceptions, that the ATI Cofely-CSEL “is taking our [lot 10]”298.</w:t>
      </w:r>
    </w:p>
    <w:p>
      <w:r>
        <w:t>334. The subjects who implemented the distribution strategy are the primary operators in the sector, particularly structured and already awarded previous editions of the FM tender, who, as also emerges from the documentation on file, could count on a competitive capacity significantly superior to that of the majority of other market operators, particularly in terms of preparing a valid technical offer. In the overall design of the agreement, it should also be noted that the participants in the cartel, as evidenced by the reading of the documentation resulting from the criminal proceedings, attempted to influence, also through third parties, the actions of representatives of the contracting authority, in order to ensure the successful outcome of the established agreement299.</w:t>
      </w:r>
    </w:p>
    <w:p>
      <w:r>
        <w:t>335. The agreement in question has been fully implemented. As a result of it, CNS (in ATI with the STI group and Kuadra), MFM, and Manital Consorzio would have been awarded, shielded from mutual competition, each a number of lots equal to the maximum provided for by the special tender law, moreover in the best possible combination. Considering, in fact, that the ordinary lots are preferable because characterized by a greater degree of certainty and closer in time, the four leading operators, with a perfectly balanced distribution of the 'awards', would have obtained all (apart from the case of lot 10 for Romeo), not only the maximum number of lots that could be awarded but also their best possible combination: three ordinary and only one accessory. This, as mentioned, in relation to offers submitted for a limited number of lots: indeed, even without considering possible different combinations of selected lots and possible different compositions of the competing teams (individual participation or in ATI/Consortia with a certain number of members), all the Parties could have participated in a greater number of lots, as emerged in the factual part. It is, therefore, the achievement, thanks to the agreement, of the optimal result with the containment of offers compared to participation capacities.</w:t>
      </w:r>
    </w:p>
    <w:p>
      <w:r>
        <w:t>336. Participation in the agreement is therefore contested to all the aforementioned Parties, on the assumption that they all actively participated in the overall agreement and were fully aware of its existence and its anticompetitive nature. Regardless of the concrete modalities of participation and the specific contribution of the individual subjects involved, the fact that the outcome of the FM4 tender was altered and, therefore, different from what would have physiologically occurred within a real competitive confrontation is relevant.</w:t>
      </w:r>
    </w:p>
    <w:p>
      <w:r>
        <w:t>337. The offensiveness of the agreement cannot be considered undermined by the fact that the award procedure was suspended by the contracting authority, nor by the fact that some Parties were, for various reasons, excluded from the tender, nor, again, by the failure to confirm the offers by the ATI composed of CNS, Kuadra, and Exitone, all procedural events subsequent to the implementation of the agreement. In fact, the distribution conduct related to the FM4 tender materialized at the moment of the submission of offers, with the effect of irreparably compromising, regardless of the final outcome of the procedure, the physiological competitive confrontation that should have been established, to the detriment of the contracting Public Administrations.</w:t>
      </w:r>
    </w:p>
    <w:p>
      <w:r>
        <w:t>338. The agreement here established took place in a general context characterized by numerous interdependencies among the Parties and by the custom of establishing more collaborative than competitive relationships, which particularly translated into a systematic distorted use of the subcontracting institution, bent to a compensatory role of economic transactions among the Parties (as well as, in the tender phase, in a distorted use of the ATI institution, all unnecessary with respect to the lead contractors300).</w:t>
      </w:r>
    </w:p>
    <w:p>
      <w:r>
        <w:t>339. In this reconstruction, despite the presence of elements that attest to the relationships with the other Parties, the documentary evidence on file is not such as to allow the attribution of the agreement to the companies Dussmann and Siram and, consequently, to their respective parent companies Dussmann Holding and Veolia International.</w:t>
      </w:r>
    </w:p>
    <w:p>
      <w:r>
        <w:t>2.2) The overall evidentiary framework</w:t>
      </w:r>
    </w:p>
    <w:p>
      <w:r>
        <w:t>340. The agreement is proven by a complex series of multiple and consistent circumstantial evidence, both exogenous and endogenous, which confirm, from an overall perspective, the concertation reconstructed here.</w:t>
      </w:r>
    </w:p>
    <w:p>
      <w:r>
        <w:t>341. The existence of an anticompetitive design finds objective confirmation in numerous exogenous evidences. In this regard, the statements of the leniency applicant CNS are particularly relevant, which account for meetings related to the FM4 tender that took place between CNS itself and MFM, Manital, and Cofely. In particular, the pink slip301 produced by the applicant is recalled, i.e., a handwritten note regarding meetings between the Parties that occurred at the time of the facts, drafted and validated by two prominent representatives of CNS at the time. With the pink slip, the applicant provided evidence of a specific</w:t>
      </w:r>
    </w:p>
    <w:p>
      <w:r>
        <w:rPr>
          <w:b/>
        </w:rPr>
        <w:t>[Pages 103–105]</w:t>
      </w:r>
    </w:p>
    <w:p>
      <w:r>
        <w:t>BULLETIN NO. 19 OF MAY 13, 2019 105</w:t>
      </w:r>
    </w:p>
    <w:p>
      <w:r>
        <w:t>an anti-competitive meeting that took place between representatives of CNS, MFM, Manital, and Cofely in relation to the FM4 tender. The documentation related to the pink slip also confirmed the occurrence of multiple meetings with the same anti-competitive purposes within the associative laboratory named Terotec (a laboratory to which, during the period under investigation, the aforementioned CNS302, MFM303, Manital304, and Cofely305 were affiliated).</w:t>
      </w:r>
    </w:p>
    <w:p>
      <w:r>
        <w:t>342. CNS also allowed for the verification that the ATI with Exitone and Kuadra had been established significantly and anomalously in advance of the deadline for submitting offers and indicated the number and identity of the lots for which the ATI would compete, thus allowing sensitive information to be conveyed to third parties, to whom a copy of the notarial deed could, for example, be shown. The documentation provided also reveals the active role in participating in the tender of the two principals of its ATI (Exitone of the STI group and Kuadra), as well as the close link that ties CNS with MFM on one side and with the STI group on the other.</w:t>
      </w:r>
    </w:p>
    <w:p>
      <w:r>
        <w:t>343. Among the exogenous evidence, the document from Romeo is also significant, which, in the week preceding the submission of offers, refers to a "meeting with competitors," aimed at sharing among the Parties the percentages of discounts to be offered in the FM4306 tender. These were, in particular, "advisable" values for the 'losing' offers, such as not to compromise the predetermined outcome. As noted, these values are consistent with the completely non-competitive offers made by the ATI CNS-Exitone-Kuadra and by MFM in the only two lots in which these groups overlapped respectively with Romeo and with Manital Consorzio.</w:t>
      </w:r>
    </w:p>
    <w:p>
      <w:r>
        <w:t>344. Additionally, from the interceptions acquired from the file of the criminal proceedings initiated at the Public Prosecutor's Office of Rome, it clearly emerges how Romeo submitted offers in a limited number of lots so as not to cause "disturbance" to the other Parties, on the assumption that they would do the same. From the same interceptions, particularly regarding the issue of lot 10 in Rome Centro, it emerges how Romeo was confident of having no competitors for that lot, and how that confidence was strongly threatened when he learned that behind the ATI Cofely-CSEL was the STI group, which Romeo attributed a strong ability to influence the awards307.</w:t>
      </w:r>
    </w:p>
    <w:p>
      <w:r>
        <w:t>345. Numerous other documents account for the full involvement in the agreement of the ATI Cofely-CSEL, providing, in this regard, a completely coherent evidentiary framework. This involvement is particularly attributable to the influence that the STI group, officially present in the ATI led by CNS, exerted also in the participatory choices of the ATI Cofely-CSEL (despite the fact that no companies from the group were formally included). This refers, in particular, to the entry of Gestione Integrata (a company of the STI group) into the CSEL consortium precisely in conjunction with the FM4 tender, to communications from the STI group, both regarding the choice of cleaning companies that were to be indicated by CSEL in the Cofely ATI, and to possible changes in the internal participation shares of that ATI, both formal and informal308. It also refers to the evidence regarding the expected economic returns that the STI group would have derived from the awards of the ATI Cofely-CSEL309.</w:t>
      </w:r>
    </w:p>
    <w:p>
      <w:r>
        <w:t>Therefore, the documentation on record indicates how the attribution in favor of the ATI Cofely-CSEL of two lots, including lot 10 instead of Romeo, is attributable, not to the exercise of external competition to the cartel, but to full participation in the only general, articulated, and complex coordination.</w:t>
      </w:r>
    </w:p>
    <w:p>
      <w:r>
        <w:t>346. Additionally, a series of agreements, or proposals for agreements, among the Parties of the Proceedings generally see companies of the STI group among the participants, confirming the central role played by it in the agreement. Consider, for example, the subcontracting agreement from the ATI of CNS to Gestione Integrata, subject to lengthy negotiations. The agreement in question presents a clear anti-competitive value since, in a context of physiological market dynamics, it seems entirely unreasonable that a consortium - to which, at the time of the facts, more than two hundred associated companies located throughout the national territory adhered - was negotiating to award significant subcontracts to entities not associated with it.</w:t>
      </w:r>
    </w:p>
    <w:p>
      <w:r>
        <w:t>347. From an endogenous perspective, confirming a collusion realized through a participatory strategy in the tender definable as 'checkerboard' and involving the ATI Cofely-CSEL, there are significant elements that have been corroborated by the simulation of the outcomes of the tender that would have occurred had CNS not withdrawn from the tender itself.</w:t>
      </w:r>
    </w:p>
    <w:p>
      <w:r>
        <w:t>348. It appears, in particular, that the only two overlaps among the Parties involved in the checkerboard were not, in fact, true overlaps, as the respective offers, pertaining to CNS and MFM, can be qualified as 'fictitious' or 'losing', that is, aimed at simulating the existence of a competitive confrontation that did not actually exist, as they were clearly non-competitive offers. The checkerboard resulted in such Parties each presenting a limited number of offers, in several cases exactly equal to the maximum number of lots that could be awarded (this is the case for Manital Consorzio, Romeo, and, in fact, MFM)310.</w:t>
      </w:r>
    </w:p>
    <w:p>
      <w:r>
        <w:t>349. Furthermore, with specific reference to the accessory lots, the Parties involved in the checkerboard all occupied only one, and different, lot each. This aspect should be emphasized right away: although no limit on awarding was provided for this type of lot (all four could indeed be won) and although their awarding would not have altered in any way the awarding of the ordinary lots311, the situation described above occurred. On the other hand, reserving each one only one of the four accessory lots was the only way that, mathematically, the four major market players had to reach, all, the maximum number of lots that could be awarded, four (with a maximum of three being the number of ordinary lots)312.</w:t>
      </w:r>
    </w:p>
    <w:p>
      <w:r>
        <w:t>350. The entirety of this evidence is already sufficient in itself to fully support the existence of the agreement. Additionally, the evident anomalies in the tender outcomes described above find no rational alternative explanations other than that of the anti-competitive agreement. In particular, in light of the almost total absence of overlaps in the various lots among the major market players, in a tender with a very high number of lots (eighteen) and an extremely high total amount (2.7 billion euros), it emerged that not only could the number of offer lots be expanded, but also articulated differently from a geographical perspective (in light of equally qualified entities, such as Dussmann and Siram, which demonstrate that a different strategy is achievable). Furthermore, fundamental contradictions emerged between the attempts of the Parties to provide rational explanations for their tender strategies, in terms of the choice of lots in which to submit offers (for example, the territory of Rome, which was more expensive for some and not for others; the need to confirm previous territoriality or, conversely, to expand into new territories, etc.). No plausible justification emerged, either regarding the formulation of clearly non-competitive economic offers in the only lots where overlaps were recorded, nor regarding the creation of unnecessary and/or illogical ATIs.</w:t>
      </w:r>
    </w:p>
    <w:p>
      <w:r>
        <w:t>351. In this regard, it suffices to think of the unnecessary ATI for participation in the tender constituted by Cofely with CSEL, which represented the link with the STI group, or by Romeo with his consortium (which deprived many small and medium-sized associated companies of assistance from external competitors to the cartel). It also refers to the circumstance whereby CNS decided to establish an ATI with entities external to it (the STI group and Kuadra), rather than indicating its own consortia, and to the circumstance that emerged from the investigation that even this ATI was not necessary to meet the participation requirements.</w:t>
      </w:r>
    </w:p>
    <w:p>
      <w:r>
        <w:t>352. Moreover, the investigative evidence reveals the re-proposition, with reference to the FM4 tender, of the collusive scheme already established by the Authority in relation to the Consip Pulizie Scuole tender, which also involved the participation of CNS in ATI with the STI group and Kuadra, as well as a concerted participation such as to guarantee CNS and MFM the awarding of the maximum number of obtainable lots, without any mutual overlaps, on the assumption that both of these companies would collectively benefit from the individually achieved results. CNS itself highlighted during the investigation that it found no economic rationale behind the choice to establish an ATI with the STI group and Kuadra, as well as behind the total absence of overlaps with its consortium MFM.</w:t>
      </w:r>
    </w:p>
    <w:p>
      <w:r>
        <w:t>353. So evident were the anti-competitive behaviors inherent in the participatory modalities - both its own and those of the main competitors - in the FM4 tender, that the new management of CNS decided to withdraw from this tender despite the evident, significant economic losses (and not only) that this would entail313. Consider the losses of image and market position of the consortium (the tender 312 If, for example, an operator had won two accessories and the other two one each, the fourth operator could only have won ordinary lots (and therefore a maximum of three). 313 On the other hand, the anomalies that occurred in the case of FM4 were so strong and evident that they surprised even the other participants in the tender, who were not Parties to the Proceedings. This is the case of the Leonardo Consortium, which stated that it found, for the case of the chosen lots (including lot 10 in Rome Centro), an abnormally low participation of the other competitors, due to "interests" of the competing companies that could lead to deciding.</w:t>
      </w:r>
    </w:p>
    <w:p>
      <w:r>
        <w:rPr>
          <w:b/>
        </w:rPr>
        <w:t>[Pages 106–108]</w:t>
      </w:r>
    </w:p>
    <w:p>
      <w:r>
        <w:t>108 BULLETIN NO. 19 OF MAY 13, 2019</w:t>
        <w:br/>
        <w:t>FM4 has an estimated value of 2.7 billion euros and is indisputably the most important in the sector, even at the European level), to the failure to realize probable and substantial revenues, both for itself and for its consortium members, as well as the consequent exposure towards the other members of the ATI (Kuadra and Exitone), who were also penalized by the decision, to which they were indeed strongly opposed.</w:t>
      </w:r>
    </w:p>
    <w:p>
      <w:r>
        <w:t>In this case, evidently, in a context of economic rationality, the choice of the CNS can only be explained in light of the clear anomaly of the participatory behaviors of the CNS from a competitive standpoint, as indeed confirmed by the applicant within the leniency procedure.</w:t>
      </w:r>
    </w:p>
    <w:p>
      <w:r>
        <w:t>354. Not least, the general context in which the collusive behaviors for FM4 occurred is characterized by a network of interconnections that involved the Parties and accounts for a significant degree of stickiness in the relationships between them.</w:t>
      </w:r>
    </w:p>
    <w:p>
      <w:r>
        <w:t>In this regard, in addition to the established relationships linking CNS and MFM, it is noteworthy that one of the companies that Manital Consorzio indicated among the executing consortium members for FM4 is a company, La Veneta Servizi, which shares with MFM participation in the share capital of Roma Multiservizi (which is also part of the aforementioned agreement for the Consip Pulizia Scuole tender). In the described context, the case of the company Conversion &amp; Lighting is also emblematic, originally owned by MFM, then jointly participated by the STI group and CSEL, and finally acquired by Cofely, after negotiations had also been initiated with Romeo; all this, moreover, within a particularly short time frame (about two years, between 2015 and 2017).</w:t>
      </w:r>
    </w:p>
    <w:p>
      <w:r>
        <w:t>355. The factual circumstances just described, although they do not raise specific antitrust issues per se, are relevant for framing the collusive behaviors that emerge from the evidence on record, and demonstrate how such circumstances have also contributed to fostering the collusion environment that characterizes the relationships between the Parties in the Proceedings.</w:t>
      </w:r>
    </w:p>
    <w:p>
      <w:r>
        <w:t>356. Overall, therefore, the evidence described above has proven significant for reconstructing the complex intertwining of contacts and agreements that pertain to the Parties, including the anti-competitive use of otherwise lawful instruments (such as the distorted use of subcontracting and other negotiating and compensatory tools, as well as the creation of unnecessary ATIs), thus giving rise to collusive methods combined for the purpose of coordinating among competitors in the submission of the offer for FM4.</w:t>
      </w:r>
    </w:p>
    <w:p>
      <w:r>
        <w:t>357. The evidentiary framework, on the other hand, did not provide sufficient evidence to include the companies Dussmann and Siram (and their respective controlling companies) in the collusive scheme.</w:t>
      </w:r>
    </w:p>
    <w:p>
      <w:r>
        <w:t>In fact, for the members of this ATI, no significant evidentiary elements were found from an exogenous perspective314. In addition to the absence of evidence regarding the existence of qualified contacts with the other Parties, the Dussmann-Siram ATI adopted participation methods in the tender that appropriately aligned their participations in the various lots (thus canceling overlaps). It should be noted, in fact, that the consortium in question had "registered a lower number of participants than those hypothesized. This could be attributed to the interconnections of the companies active in the provision of the services considered here; a factor capable of influencing participation choices in one geographical area over another" (doc. III.30).</w:t>
      </w:r>
    </w:p>
    <w:p>
      <w:r>
        <w:t>314 Even the same shareholders' agreement for the governance of Gestione Integrata is not an element that allows for considering Siram involved in the agreement, since it cannot be inferred from it that there was a concerted participation in the FM4 tender (moreover, Gestione Integrata, whose participation in the tender was precluded by the provisions of that agreement, would not have been able to participate in a competing group with the other company of the group, Exitone, under penalty of exclusion).</w:t>
      </w:r>
    </w:p>
    <w:p>
      <w:r>
        <w:t>BULLETIN NO. 19 OF MAY 13, 2019 109</w:t>
        <w:br/>
        <w:t>deviate from what has been described above. It, in fact, submitted an offer for a large number of lots (eleven), thus significantly overlapping with all the other Parties, and offered discounts that do not present particular anomalies in comparison among the various lots.</w:t>
      </w:r>
    </w:p>
    <w:p>
      <w:r>
        <w:t xml:space="preserve">2.3) The chessboard </w:t>
        <w:br/>
        <w:t>358. The four main operators in the sector (namely CNS, in ATI with the STI group, MFM, Manital Consorzio, and Romeo), to whom the majority of the lots put to tender were therefore destined, established a so-called chessboard participation scheme, in such a manifest manner as to become a paradigmatic case of the situation. The table below fully illustrates this aspect. As will be detailed later, this collusive design sees the full participation of the ATI led by Cofely and also including CSEL, the latter closely linked to the STI group, through involvement in the distribution strategy evidenced particularly by exogenous evidentiary elements.</w:t>
      </w:r>
    </w:p>
    <w:p>
      <w:r>
        <w:t>110 BULLETIN NO. 19 OF MAY 13, 2019</w:t>
        <w:br/>
        <w:t xml:space="preserve">ATI MANITAL ATI </w:t>
        <w:br/>
        <w:t xml:space="preserve">MFM ROMEO </w:t>
        <w:br/>
        <w:t xml:space="preserve">CNS CONSORZIO COFELY </w:t>
        <w:br/>
        <w:t xml:space="preserve">ORDINARY LOTS </w:t>
        <w:br/>
        <w:t xml:space="preserve">Lot 1 (129 mln) </w:t>
        <w:br/>
        <w:t xml:space="preserve">1° </w:t>
        <w:br/>
        <w:t xml:space="preserve">LIG-PIE </w:t>
        <w:br/>
        <w:t xml:space="preserve">Lot 2 (115 mln) </w:t>
        <w:br/>
        <w:t xml:space="preserve">1° </w:t>
        <w:br/>
        <w:t xml:space="preserve">VDA-LIG-PIE </w:t>
        <w:br/>
        <w:t xml:space="preserve">Lot 3 (208 mln) </w:t>
        <w:br/>
        <w:t xml:space="preserve">4° 1° </w:t>
        <w:br/>
        <w:t xml:space="preserve">LOM-ERO </w:t>
        <w:br/>
        <w:t xml:space="preserve">Lot 4 (128 mln) </w:t>
        <w:br/>
        <w:t xml:space="preserve">1° </w:t>
        <w:br/>
        <w:t xml:space="preserve">TAA-VEN-FVG </w:t>
        <w:br/>
        <w:t xml:space="preserve">Lot 5 (142 mln) </w:t>
        <w:br/>
        <w:t xml:space="preserve">1° 2° </w:t>
        <w:br/>
        <w:t xml:space="preserve">ERO-VEN </w:t>
        <w:br/>
        <w:t xml:space="preserve">Lot 6 (117 mln) </w:t>
        <w:br/>
        <w:t xml:space="preserve">1° </w:t>
        <w:br/>
        <w:t xml:space="preserve">TOS-ERO-MAR </w:t>
        <w:br/>
        <w:t xml:space="preserve">Lot 7 (116 mln) </w:t>
        <w:br/>
        <w:t xml:space="preserve">1° </w:t>
        <w:br/>
        <w:t xml:space="preserve">UMB-TOS </w:t>
        <w:br/>
        <w:t xml:space="preserve">Lot 8 (90 mln) </w:t>
        <w:br/>
        <w:t xml:space="preserve">2° 1° </w:t>
        <w:br/>
        <w:t xml:space="preserve">MAR-ABR-MOL </w:t>
        <w:br/>
        <w:t xml:space="preserve">Lot 9 (91 mln) </w:t>
        <w:br/>
        <w:t xml:space="preserve">1° </w:t>
        <w:br/>
        <w:t xml:space="preserve">LAZ-SAR </w:t>
        <w:br/>
        <w:t xml:space="preserve">Lot 10 (143 mln) </w:t>
        <w:br/>
        <w:t xml:space="preserve">2° 1° </w:t>
        <w:br/>
        <w:t xml:space="preserve">ROMA Centro </w:t>
        <w:br/>
        <w:t xml:space="preserve">Lot 11 (247 mln) </w:t>
        <w:br/>
        <w:t xml:space="preserve">4° 1° 2° </w:t>
        <w:br/>
        <w:t xml:space="preserve">ROMA 2 </w:t>
        <w:br/>
        <w:t xml:space="preserve">Lot 12 (130 mln) </w:t>
        <w:br/>
        <w:t xml:space="preserve">1° </w:t>
        <w:br/>
        <w:t xml:space="preserve">PUG-BAS </w:t>
        <w:br/>
        <w:t xml:space="preserve">Lot 13 (221 mln) </w:t>
        <w:br/>
        <w:t xml:space="preserve">1° </w:t>
        <w:br/>
        <w:t xml:space="preserve">CAM-BAS </w:t>
        <w:br/>
        <w:t xml:space="preserve">Lot 14 (195 mln) </w:t>
        <w:br/>
        <w:t xml:space="preserve">1° </w:t>
        <w:br/>
        <w:t xml:space="preserve">CAL-SIC </w:t>
        <w:br/>
        <w:t xml:space="preserve">ACCESSORY LOTS </w:t>
        <w:br/>
        <w:t xml:space="preserve">Lot 15 (145 mln) </w:t>
        <w:br/>
        <w:t xml:space="preserve">1° 2° </w:t>
        <w:br/>
        <w:t xml:space="preserve">ACC. NORD </w:t>
        <w:br/>
        <w:t xml:space="preserve">Lot 16 (105 mln) </w:t>
        <w:br/>
        <w:t xml:space="preserve">1° 2° </w:t>
        <w:br/>
        <w:t xml:space="preserve">ACC. CENTRO </w:t>
        <w:br/>
        <w:t xml:space="preserve">Lot 17 (190 mln) </w:t>
        <w:br/>
        <w:t xml:space="preserve">1° </w:t>
        <w:br/>
        <w:t xml:space="preserve">ACC. ROMA </w:t>
        <w:br/>
        <w:t xml:space="preserve">Lot 18 (180 mln) </w:t>
        <w:br/>
        <w:t xml:space="preserve">1° </w:t>
        <w:br/>
        <w:t xml:space="preserve">ACC. SUD </w:t>
        <w:br/>
        <w:t>359. There are several considerations to be made regarding what emerges from the table. First of all, as can be observed, among the four groups mentioned above, there are only two overlaps of two (between the CNS ATI and Romeo in lot 3 and between MFM and Manital Consorzio in lot 11), despite the number of lots (eighteen) and the participants considered (four).</w:t>
      </w:r>
    </w:p>
    <w:p>
      <w:r>
        <w:t>360. Not only that. These only two overlaps cannot even be defined as such. In fact, both the offer of the CNS ATI and that of MFM appear to be 'fictitious' and 'losing', that is, clearly non-competitive.</w:t>
      </w:r>
    </w:p>
    <w:p>
      <w:r>
        <w:rPr>
          <w:b/>
        </w:rPr>
        <w:t>[Pages 109–111]</w:t>
      </w:r>
    </w:p>
    <w:p>
      <w:r>
        <w:t>BULLETIN NO. 19 OF MAY 13, 2019 111</w:t>
      </w:r>
    </w:p>
    <w:p>
      <w:r>
        <w:t>This emerges from a series of elements, starting from the simple observation that these offers result in a ranking of the interested operators (the ATI CNS and MFM) that is manifestly not in line with what occurs in the other lots: the ATI of CNS is always315 first in the ranking except in lot 3, where it ranks fourth (out of six participants); MFM is likewise always first in the ranking except in lot 11, where it also ranks fourth (this time out of five participants).</w:t>
      </w:r>
    </w:p>
    <w:p>
      <w:r>
        <w:t>361. The economic score achieved by the ATI led by CNS is, moreover, far lower in lot 3 than what was obtained in all other offer lots (28.731 compared to an average of 34.684), due to significantly lower discounts for lot 3 compared to all other lots. Considering in particular the three items that alone weigh for 50% of the economic score, these are respectively a discount of 19.37% compared to 27% (item A.3.1 cleaning – fee for predefined ordinary activities), 24% compared to 32% (item A.3.2 cleaning – fees for supplementary ordinary activities), and 40% compared to 50% (item B.1 informative prices of construction published by Dei); also, other discounts offered, totaling an additional 5.5 points, are also lower for lot 3 compared to the majority of other offer lots of CNS. CNS itself highlighted during the investigation that it found no economic rationale behind the choice of the discounts presented.</w:t>
      </w:r>
    </w:p>
    <w:p>
      <w:r>
        <w:t>362. In a completely analogous manner, MFM also records for the case of lot 11 an economic score of 21.710 compared to scores that, for all other lots, have positioned themselves in a range from a minimum of 36.172 to a maximum of 36.912. Considering, as before, the three items that alone weigh for 50% of the economic score, the discounts offered by MFM for lot 11 - compared to the identical amount formulated for all other lots - were respectively: 15% vs 39%; 35% vs 48%; 25% vs 53% (in the case of MFM, even more strikingly, the described situation of discounts for lot 11 being lower than for all other lots repeats for virtually all 39 offer items, including franchises).</w:t>
      </w:r>
    </w:p>
    <w:p>
      <w:r>
        <w:t>363. In this regard, the arguments put forward by MFM regarding the very limited discounts offered for lot 11, which would be linked to a lower margin of the same, the state of maintenance of the properties in that lot, and the existence in the area of supplementary agreements for personnel, are not considered convincing. This is because, firstly, the argument of the lower margin of the lot is not supported by the discounts offered for the same lot by other large operators (Manital Consorzio and ATI Cofely), who unlike MFM do not present any downward anomalies in comparison with what was offered in the other lots. The argument regarding the poor state of maintenance of the buildings also does not appear decisive, given that in the non-central areas of Rome there are rather more modern buildings and therefore characterized by a better state of maintenance compared to the buildings in the center, as also indicated by Cofely316. As for the supplementary agreements for personnel - applied throughout the territory of the province of Rome - their relevance cannot be considered significant, considering for example the fact that an operator historically active in that territory, such as Romeo, explained in the hearing that for Rome Center “the Company has not found substantial differences compared to other territories, and therefore the discounts offered have been the same as those of the other lots”317. Furthermore, it should be noted that supplementary contracts for personnel are also in force for other cities and provinces, such as Venice (as indicated by the Manital group in the hearing). Indeed, the province of Venice falls within lot 5 in which MFM also submitted an offer: in this case, however, the supplementary bargaining did not produce an anomalous figure in MFM's economic offer, clearly demonstrating the irrelevance of the argument aimed at justifying significantly lower discounts for lot 11 compared to the (always the same) discounts offered in all other lots.</w:t>
      </w:r>
    </w:p>
    <w:p>
      <w:r>
        <w:t>364. For the case of MFM's offer for lot 11, it should also be remembered that, in the context of internal analyses on surety costs ongoing in May 2014, not only the four lots of 'real' offer, which in the design of the agreement were intended for MFM, are significantly indicated as “MFM lots,” but also that the analysis on surety costs is absent precisely for lot 11, proving that MFM's offer for that lot was to be considered 'fictitious' and merely simulatory318.</w:t>
      </w:r>
    </w:p>
    <w:p>
      <w:r>
        <w:t>365. It has also emerged that these 'losing' values of CNS and MFM are entirely consistent with reference thresholds shared among the Parties during a “meeting with competitors” held on June 30, 2014319, thus one week before the deadline for the submission of offers. The data present in Romeo's email thus served as a benchmark for the 'losing' offers of the competitors.</w:t>
      </w:r>
    </w:p>
    <w:p>
      <w:r>
        <w:t>366. In particular, from the analysis carried out in the factual part, it emerged that the course of action outlined in said email was tendentially taken as a reference by CNS for lot 3 (where it was competing with Romeo itself). In fact, CNS, in line with the agreed indication of an offer containing “minimal” values, presented discounts significantly lower than what was offered in the other lots, with reference to almost three-quarters of the total weight of the offer items320. This allowed Romeo to prevail in that lot with the safety margin indicated in the email (“We are almost double”)321.</w:t>
      </w:r>
    </w:p>
    <w:p>
      <w:r>
        <w:t>367. The benchmarks found in Romeo's email were applied even more rigidly by MFM for lot 11 (in competition with Manital Consorzio). In this case, in fact, the offer items that account for about 50% of the total score positioned themselves exactly in line with those benchmarks. These 'losing' discounts were suitable to place even Manital Consorzio, the designated winner of lot 11, in a safety zone for its offer.</w:t>
      </w:r>
    </w:p>
    <w:p>
      <w:r>
        <w:t>368. The investigative document from which the preceding elaborations are drawn not only provides evidence of the agreed definition of the 'fictitious' offers to be submitted in the tender. This document also constitutes particularly significant exogenous evidence as it testifies to the existence of a meeting among competitors in the period immediately preceding the deadline for the submission of offers, which specifically concerned the discussion regarding the tender discount percentages.</w:t>
      </w:r>
    </w:p>
    <w:p>
      <w:r>
        <w:t>369. In this regard, the arguments put forward by Romeo during the Proceedings find no rational foundation. In fact, as will be argued later, the alternative explanation provided by Romeo that the competitors would be the consortia indicated as executors of the Consorzio Stabile Romeo Facility Services 2010, in ATI with Romeo in the tender, “called &lt;&lt;competitors&gt;&gt; because they &lt;&lt;compete&gt;&gt; with Romeo for the FM4 tender” (see, below, par. 2.11.3, on the evidential value of the “recommended” offers in meetings among “competitors”)322.</w:t>
      </w:r>
    </w:p>
    <w:p>
      <w:r>
        <w:t>370. From the above, it emerges, therefore, that the overlaps of the four major market players concerning the entirety of the eighteen lots are in fact null. This not only constitutes an anomaly in itself but also in comparison with what has been recorded in previous editions of the tender. In those cases (FM1, FM2, FM3), there is indeed an overlap percentage of lots affected by overlaps varying between about 40% and 60%, while for FM4 the percentage effectively drops to 0% (even including the 'losing' offers, it reaches about 10%). Moreover, it should be noted that in the particular cases of FM2 and FM3, the overlaps involve three operators at a time, while in the case of FM4 both overlaps only concern pairs of operators. Considering, in fact, the number of offers submitted, the difference between the overlaps in FM4 and those recorded in previous editions of the tender is even more evident: in this case, in fact, it goes from a range of about 60%-75% for the previous editions to, at most, 20% (0% without considering the 'fictitious' offers) for FM4. Nor do the aforementioned conclusions change sign by including in the analysis also the ATI Cofely-CSEL, which is characterized by the highest number of overlaps among the Parties: even in this case, in fact, it goes, considering the number of lots affected by overlaps, from a range of about 75%-95% for FM1, FM2, and FM3 to about 35% for FM4 or, considering the number of overlapping offers, from 75%-85% to about 55%.</w:t>
      </w:r>
    </w:p>
    <w:p>
      <w:r>
        <w:t>371. It should be remembered that the special tender regulations provided for a maximum number of lots that could be awarded equal to four for the total amount and equal to three for the ordinary lots, while no specific limit was set for the accessory lots (so that one, two, three, or even four accessory lots could be awarded). It should also be noted that ordinary lots are preferred by operators in the sector, being safer and more closely spaced in time. In this context, the four major players, with a perfectly balanced distribution, effectively323 submitted offers and ranked first in the ranking each324 for the best possible combination of lots: three ordinary and one accessory. It has been said that this is the only way, mathematically, to reach the maximum number of four lots that can be awarded. It has also been said that the number of offers was limited compared to the actual capacity for participation, even keeping the chosen combination of lots and the mode of participation (individual or in ATI/Consortia with a certain number of members) constant. It was, therefore, about achieving the maximum result with the minimum effort, a conduct that reveals an anomalous absence of uncertainty regarding the bidding behaviors of the most formidable competitors.</w:t>
      </w:r>
    </w:p>
    <w:p>
      <w:r>
        <w:rPr>
          <w:b/>
        </w:rPr>
        <w:t>[Pages 112–114]</w:t>
      </w:r>
    </w:p>
    <w:p>
      <w:r>
        <w:t>114 BULLETIN NO. 19 OF MAY 13, 2019</w:t>
      </w:r>
    </w:p>
    <w:p>
      <w:r>
        <w:t>372. In this regard, it should be noted that the four main operators started from different positions. On one hand, there is the situation of CNS and MFM, which had a lower degree of incumbency in the market (as they were outgoing awardees of only one lot): these operators expand in FM4 from their 'own' geographical area and in this expansion process do not cause 'competitive disturbance', neither among themselves nor to the other two main operators. On the other hand, Manital Consorzio and Romeo started from a high degree of incumbency (as they were outgoing awardees of three and four lots respectively): these operators confirm in FM4 their 'own' territorial areas and do not attempt any expansion - in the case of Manital Consorzio for the first time - even for the mere purpose of minimizing the risk of ending up without awards. This clearly indicates an extreme confidence in predetermined tender outcomes.</w:t>
      </w:r>
    </w:p>
    <w:p>
      <w:r>
        <w:t>373. Emblematic in this regard is the anomalous reaction of MFM to the serious criticisms raised by an external consultant regarding the quality of the technical documents of the offers to be submitted to Consip (“there are various logical gaps not demonstrated in the chapter and not reconstructable for which proof is needed”), just a few days before the deadline for submitting the offers (June 29 compared to July 7, 2014)325. The internal reactions at MFM to such technical doubts did not aim to promptly and seriously address the consultant (to improve the offers and thus maximize the chances of winning), especially given the imminent deadline, but rather to convince him to hold off and to be more “smart” in the approach (“let's hope they understand the need to be a bit more &lt;&lt;Smart&gt;&gt;”). Such carelessness can only be explained in a context of agreed assignments.</w:t>
      </w:r>
    </w:p>
    <w:p>
      <w:r>
        <w:t>In the case of Romeo, there was not even an attempt on the fourth lot in which this operator was an outgoing awardee (the Puglia region): in the case of FM4, the corresponding lot (lot 12) would have been, in fact, the one of lesser value among the lots offered by Romeo, and therefore Romeo would have had to cede it anyway. Recall, in this regard, Romeo's colorful expression in the wiretaps: “I had four stores [the four lots awarded in FM3], now I have three because I gave up the store we had in Bari”326. Such behavior is characterized by rationality only to the extent that there is reasonable certainty of being able to prevail in the other three ordinary lots, which are economically more significant. Otherwise, as unexpectedly happened for lot 10, it would have been rational to cover against such negative eventualities by offering in a greater number of ordinary lots and/or attempting to win more than one accessory lot. For its part, CNS itself highlighted during the investigation that it found no economic rationale behind the choice of lots in which to submit an offer.</w:t>
      </w:r>
    </w:p>
    <w:p>
      <w:r>
        <w:t>374. The agreement among the four major players thus had as its starting point the previous territories of the two incumbents (Romeo and Manital Consorzio), on which the offers of the ATI led by CNS and MFM were adapted, strictly without mutual overlaps, on the assumption that the former would not disturb the latter. This structuring of the collusion is well reflected in what Romeo stated while commenting on the administrative judge's ruling confirming the antitrust violation in the case of the Consip School Cleaning tender (I-785): “…and I said guys I read the ruling well … heavy I said I am not interested in bothering the others MANUTENCOOP … CNS … etc. … because this is a market we have to walk we have to move forward … but you must not break a ** to me!”, and again: “I have an interest in keeping the market standing but I said don’t break the ** to me! Because as you see I do not go overboard because I do not participate in all the lots”327. Moreover, it is clear that in a partitioning context, continuity is the most straightforward solution that allows, among other things, a better organization and management of the cartel.</w:t>
      </w:r>
    </w:p>
    <w:p>
      <w:r>
        <w:t>375. For a full appreciation of the partitioning behaviors under examination, it is also necessary to take into account the deep connection between the CNS consortium and its consortium member MFM, which constituted a fundamental element. Here the first fact is that the separate and coordinated participation in the tender allowed each to obtain the maximum number of lots that could be awarded according to the lex specialis. The scheme implemented by CNS and MFM is, on the other hand, a replication of what had been recorded for the Consip School Cleaning tender, which had already been subject to investigation by the Authority. In that case, in fact, CNS and MFM had agreed on the participatory strategy in the various lots. In the case of FM4, moreover, not even the few overlaps that were recorded for Consip School Cleaning were registered: here no lot participated by CNS saw the simultaneous presence of MFM, and vice versa. The same Management Board of CNS, in 2016, when deciding to withdraw from the tender, emphasized in its minutes that this could be read as the “fruit of a group strategy”328.</w:t>
      </w:r>
    </w:p>
    <w:p>
      <w:r>
        <w:t>376. The close link between CNS and MFM is widely confirmed by other exogenous evidence. It is worth recalling, first of all, two documents that CNS itself highlighted as particularly indicative of the relationships that existed at the time with MFM. The first well illustrates the climate of mutual abstention that existed between these two subjects during the period in question, abstention that was then concretely implemented for FM4 (in May 2014, in relation to another minor tender, CNS wrote that “this is MFM's portfolio (some of the activities): I would let it go”)329. The second document makes it clear, through the colorful expressions of CNS representatives, how there was a partitioning plan for FM4, so much so that the validity of the different decisions made regarding this by CNS and MFM (respectively withdrawal and non-withdrawal from the tender) would be evaluated over time based on the emergence or not of such an illicit plan (“FM4 we would have won 4 lots!!!!!; Yes but then hell would have broken loose….or maybe not!!!!!; We see it, we have the feedback with MFM (4 lots). If they get hurt, we were right, otherwise….; indeed, let’s see how much harm the cousins do”)330.</w:t>
      </w:r>
    </w:p>
    <w:p>
      <w:r>
        <w:t>377. MFM shares close ties not only with CNS but also with the Manital group. In particular, a historical consortium member of Manital Consorzio (the company La Veneta Servizi) was also at the time of the facts a minority shareholder, with a role in governance, of a company controlled as a private partner by MFM (Roma Multiservizi); the latter has also previously been a consortium member of Manital Consorzio.</w:t>
      </w:r>
    </w:p>
    <w:p>
      <w:r>
        <w:t>It is noteworthy, in this regard, the circumstance that emerged during the investigation that La Veneta Servizi was indicated by Manital Consorzio as the executing consortium member for FM4; it is therefore entirely plausible that, even through this channel, contacts occurred between Manital Consorzio and MFM regarding the tender. Additionally, it should be considered that precisely during a period substantially contemporaneous with the submission of offers for FM4 (August/September 2014), there were explicit communications between the aforementioned subjects regarding the tenders of mutual interest, with evident links between MFM and Manital Consorzio331.</w:t>
      </w:r>
    </w:p>
    <w:p>
      <w:r>
        <w:t>Regarding such communications about tenders of mutual interest (justified by MFM as “probably” functional to avoid risks of exclusion)332, it is observed that they could perhaps be justified, from this perspective, by the communications of the controlled Roma Multiservizi to the controlling MFM and to the minority partner La Veneta, but not also the communications of the latter to MFM, which moreover indicated the participations of Manital Consorzio, a competitor of MFM itself.</w:t>
      </w:r>
    </w:p>
    <w:p>
      <w:r>
        <w:t>2.4) The lack of rational alternative explanations for the chessboard</w:t>
      </w:r>
    </w:p>
    <w:p>
      <w:r>
        <w:t>378. The participatory anomalies described above, moreover, find no alternative explanations to the concertation that could guide a rational economic behavior.</w:t>
      </w:r>
    </w:p>
    <w:p>
      <w:r>
        <w:t>379. Here reference is made, preliminarily, to the fact that in the context of a tender with a total value of almost three billion euros, the award of which would undoubtedly have entailed significant visibility and image gains in terms of market leadership, the Parties generally limited the number of lots offered (out of a total of as many as eighteen lots). In fact, there was a general tendency not to fully explore all the possibilities of increasing the number of such lots333.</w:t>
      </w:r>
    </w:p>
    <w:p>
      <w:r>
        <w:t>In such a context, for large operators such as the Parties, limiting the number of lots is rational only to the extent that there is extreme confidence in the favorable outcome of the tender. In fact, there was no real overlap among themselves, and the Parties ranked first for the maximum number of lots that could be awarded (moreover, as mentioned, with the most favorable possible combination: three ordinary lots and only one accessory).</w:t>
      </w:r>
    </w:p>
    <w:p>
      <w:r>
        <w:t>380. It has been stated in the factual part that the discarded lots could still have been chosen, ceteris paribus, with a different combination of the offer lots. It has also been stated that, especially for the subjects controlling the consortia (the Manital group and the Romeo group), the expansion of the number of consortium members indicated in the tender could have been supported and incentivized. The numerical analyses conducted indicate that, even with the same actual teams, the parties limited their participation in the tender. For example, CNS limited itself to considering only the integrated revenue of facility management and included in its ATI a company, Kuadra, active in the cleaning sector (where there was abundant residual revenue) but not in the maintenance sector (where there was instead a lack of revenue). MFM considered only the revenue for integrated services certified by the contracting authorities and was unable to provide specific revenues for maintenance and cleaning services that could also have been spent for participation in the tender. Manital Consorzio did not make efforts to increase the number of consortium members participating in the tender. Romeo did not use the revenue of its consortium (which was also declared to the contracting authority), which was the other component of the ATI. Cofely declared during the tender only a part of the revenue related to maintenance services.</w:t>
      </w:r>
    </w:p>
    <w:p>
      <w:r>
        <w:rPr>
          <w:b/>
        </w:rPr>
        <w:t>[Pages 115–117]</w:t>
      </w:r>
    </w:p>
    <w:p>
      <w:r>
        <w:t>BULLETIN NO. 19 OF MAY 13, 2019 117</w:t>
      </w:r>
    </w:p>
    <w:p>
      <w:r>
        <w:t>381. It was noted that, even with equal lots chosen, the offers could be extended to additional lots. It was particularly observed that such additional offers could concern precisely the Italian regions where, during that period, the Parties realized the largest shares of their facility management revenue. Furthermore, the strong geographical variability recorded in the further analysis conducted, relating to the historical experience of previous editions of the tender (FM1, FM2, FM3), is emphasized. According to this, it is easy to conclude that large operators such as the Parties would not have encountered insurmountable obstacles in articulating and varying their offers even in other Italian regions.</w:t>
      </w:r>
    </w:p>
    <w:p>
      <w:r>
        <w:t>382. That said, multiple Parties, with varying emphases, illustrated in their defenses the criteria allegedly followed for the choice of lots to participate in, with the aim of providing a legitimate non-collusive alternative explanation to the results of the established endogenous evidence. Such defensive arguments, which must be evaluated in a necessarily unified manner in order not to lose sight of the overall intertwining of established conduct, are found to be unfounded and inadequate to overcome the uniqueness and, in any case, the preferability, according to the criterion of the preponderance of evidence, of the anti-competitive and collusive reconstruction formulated by the Authority and laid at the basis of the ascertainment of the agreement aimed at conditioning the FM4 tender.</w:t>
      </w:r>
    </w:p>
    <w:p>
      <w:r>
        <w:t>383. The variously articulated and presented motivations by the Parties, in fact, turn out to be at times generic, not adequately proven and documented, inconsistent – especially when systematized and compared among the various Parties – and in any case compatible with the collusive scheme put in place, thus not only failing to undermine its existence but, at most, reinforcing it. This is the case, for example, of the alternative explanations that base the choice of lots on the historical presence in the relevant territory or on the necessity to submit an offer on a smaller number of lots compared to their potential, due to the high costs and the high financial exposure related to the activation of provisional guarantees or to simultaneous participation in other tenders.</w:t>
      </w:r>
    </w:p>
    <w:p>
      <w:r>
        <w:t>384. Such defensive arguments appear implausible to the extent that they attempt to reconstruct ex post an alleged autonomous definition of the tender strategy starting from the factual dynamics that occurred at the time of the submission of offers, focusing on circumscribed and fragmented profiles that are devoid of significant relevance when analyzed separately and detached from a collusive context.</w:t>
      </w:r>
    </w:p>
    <w:p>
      <w:r>
        <w:t>385. It is indeed implausible, given the significant economic importance of the FM4 tender, that the Parties could have been guided, in defining their participation strategies, solely by the intent to minimize costs (especially that of the provisional guarantees, which, being mandatory and of proportionally similar amounts for any type of tender, could hardly constitute a criterion for choosing which tenders to participate in rather than a cost naturally resulting from the participation decisions made) and, therefore, to minimize the chances of winning the lots in a condition of natural uncertainty regarding the participation methods of the main competitors. On the contrary, it is perfectly coherent and credible that the minimization of costs was one of the drivers followed by the Parties in delineating the division of lots within the collusive agreement. In this sense, even the scant documents temporally attributable to the time of the offer produced in this regard (email exchanges with insurance brokers, assessments of the labor cost of employees to be used in the contracts) are neutral from the standpoint of the ascertainment of the agreement, not undermining the overall reconstruction in a collusive key established.</w:t>
      </w:r>
    </w:p>
    <w:p>
      <w:r>
        <w:t>386. In this sense, the alternative arguments illustrated by the Parties are situated in terms of continuity with the observed participation methods of the same, being suitable to configure as possible motivating reasons for the agreement thus designed; this agreement, replacing the risk of competitive confrontation with a practice of collaboration among competitors, allowed the participants to achieve the maximum result obtainable from the tender in terms of optimal combination of main lots and accessory lots at the minimum cost, thus also freeing financial resources to undertake new contracts.</w:t>
      </w:r>
    </w:p>
    <w:p>
      <w:r>
        <w:t>387. Going into detail, some Parties (Manital, Manital Consorzio, Romeo) emphasized the rationality and convenience of submitting offers in the lots where the company was already present or had already operated in the past, as in the capacity of outgoing manager it already had an operational and rooted organizational structure, and had greater knowledge of the relevant territory and the contracting Public Administrations present therein (and the deadlines of the related existing contracts). In this regard, it is first highlighted how the element of territorial rooting is of little relevance in the sector in question, particularly given the specificities of the services involved (cleaning and maintenance services); it specifically refers to the fact that services of this type can normally be organized in new realities without this entailing insurmountable difficulties in terms of time and costs of intervention (in this sense, the same Romeo also argued).</w:t>
      </w:r>
    </w:p>
    <w:p>
      <w:r>
        <w:t>388. It is also highlighted how other Parties (the ATI Cofely-CSEL) followed the opposite strategy, namely that of submitting offers in lots pertaining to territories where the company was not already present or was poorly present, up to covering the entire national territory (Dussmann and Siram). Several Parties (Manital, Manital Consorzio, Romeo, MFM) argued, regarding the choice to limit the number of offer lots, emphasizing the relevance not only of the amount of the required guarantees but also of the cost of preparing the offer, as well as emphasizing the existence of a maximum limit on the number of lots that could be awarded imposed by the lex specialis of the tender. In this regard, it is observed that even this argument cannot be considered significant, particularly given the size of the interested parties, all large operators in the sector with high revenue amounts. As proof, consider that the ATI Dussmann-Siram incurred all the costs in question just to participate in eleven lots: these were indeed costs that were not unsustainable for large companies and that, in any case, in a context of physiological competition, were worth incurring to increase the number of offer lots and thus maximize the chances of award. This is even more so considering the strategic importance of a tender of absolute relevance such as FM4.</w:t>
      </w:r>
    </w:p>
    <w:p>
      <w:r>
        <w:t>389. Similarly, the cost of preparing the offer cannot be considered an obstacle for the Parties: the main item is indeed the so-called master offer, which is prepared only once and then adapted to the specific needs of each lot. Furthermore, the maximum limit on the number of lots imposed by the lex specialis of the tender concerns the lots that can be awarded to the same operator and not, obviously, the lots in which that operator can submit an offer, remaining free to offer for any number of lots, even the highest. Thus, the arguments of certain Parties (for example MFM) aimed at emphasizing the existence of the limit of four lots that can be awarded for FM4 are without merit.</w:t>
      </w:r>
    </w:p>
    <w:p>
      <w:r>
        <w:t>390. Additionally, as a further indicator of unreliability, the contradictions in which certain Parties find themselves in formulating such alternative readings should be added. Consider, in this regard, the fact that MFM emphasizes not offering in lots guarded by historical incumbents in order to maximize the chances of award; however, at the same time, the company submits an offer in lot 11 where Manital had won all the two previous editions (FM2/FM3) and where MFM itself had achieved a modest result in the last edition, thus having to commit a significant share of participation revenue (being the lot with the highest value overall), as well as incur the related guarantee costs. All this, moreover, formulating a clearly non-competitive offer, as has been widely seen.</w:t>
      </w:r>
    </w:p>
    <w:p>
      <w:r>
        <w:t>391. Furthermore, for example, the Manital group justified minimizing the number of ordinary offer lots (three out of a maximum of three that could be awarded) due to the risk, otherwise, of losing lot 2 (relating to the regions of Valle d’Aosta, Liguria, and Piemonte) which Manital particularly valued, as it was the outgoing manager and included its headquarters.</w:t>
      </w:r>
    </w:p>
    <w:p>
      <w:r>
        <w:rPr>
          <w:b/>
        </w:rPr>
        <w:t>[Pages 118–120]</w:t>
      </w:r>
    </w:p>
    <w:p>
      <w:r>
        <w:t>120 BULLETIN NO. 19 OF MAY 13, 2019</w:t>
      </w:r>
    </w:p>
    <w:p>
      <w:r>
        <w:t>business339. However, focusing on lot 2 can only be considered a rational choice in the case of certainty of award; otherwise, there would be a risk of losing it without securing any of the other lots (having not submitted an offer there). Moreover, submitting an offer for one of the lots (lots 8 and 9), mentioned by the same Manital group as "small" lots where an additional offer could actually be submitted340, would not have compromised the chances of winning lot 2 in the slightest (lots 8 and 9 both have amounts lower than the 115 million euros of lot 2).</w:t>
      </w:r>
    </w:p>
    <w:p>
      <w:r>
        <w:t>2.5) Romeo's involvement in the agreement</w:t>
      </w:r>
    </w:p>
    <w:p>
      <w:r>
        <w:t>391. Contrary to what Romeo argued, the documentation on file fully proves his involvement in the agreement.</w:t>
      </w:r>
    </w:p>
    <w:p>
      <w:r>
        <w:t>392. In this regard, it is first noted that he was fully integrated into the 'checkerboard' offer scheme, in terms of the absence of mutual overlap with the other Parties.</w:t>
      </w:r>
    </w:p>
    <w:p>
      <w:r>
        <w:t>393. There is also ample exogenous evidence that testifies to Romeo's involvement in the agreement. As seen, a document has been obtained from that company which certifies the existence of a meeting among competitors in the period immediately preceding the deadline for the submission of offers and the sharing with competitors of "advisable" economic offers - developed by Romeo - to be submitted in the tender. Such indications were concretely followed by the parties that made 'losing' offers (CNS and MFM)341.</w:t>
      </w:r>
    </w:p>
    <w:p>
      <w:r>
        <w:t>394. Above all, the interceptions obtained from the criminal proceedings appear indicative, from which it clearly emerges that Romeo submitted an offer for a limited number of lots to avoid causing "trouble" to the other Parties, on the assumption that they would do the same. In fact, while commenting on the confirmation by the Council of State of the measure of the Authority I-785 Consip Scuole, Romeo states: "...and I said guys I read the sentence well... heavy I said I am not interested in bothering the others MANUTENCOOP... CNS... etc... because this is a market we have to walk we have to move forward... Because as you see I do not go overboard because I do not participate in all the lots"342. With particular reference to the Puglia region, Romeo notes: "in the end I had four stores [the four lots awarded in FM3], now I have three because I gave up the store we had in Bari"343.</w:t>
      </w:r>
    </w:p>
    <w:p>
      <w:r>
        <w:t>395. From the criminal interceptions, it emerges that Romeo was completely confident of winning lot 10 in Rome Center and how such certainty was disregarded in close connection with the knowledge of the ties between the STI group and the ATI Cofely-CSEL. Romeo states that he is "disoriented because I did not know this thing with Cofely" and "Cofely's strength on the field doubles in a crazy way."</w:t>
      </w:r>
    </w:p>
    <w:p>
      <w:r>
        <w:t>339 The loss of lot 2 would have occurred in the case of winning at least three ordinary lots of greater amount than lot 2 itself, due to the tender rules according to which, in the case of winning multiple lots, they were awarded in descending order of amount.</w:t>
      </w:r>
    </w:p>
    <w:p>
      <w:r>
        <w:t>340 Doc. XXII.2479.</w:t>
      </w:r>
    </w:p>
    <w:p>
      <w:r>
        <w:t>341 Doc. IX.1283.</w:t>
      </w:r>
    </w:p>
    <w:p>
      <w:r>
        <w:t>342 Doc. XXII.2471.</w:t>
      </w:r>
    </w:p>
    <w:p>
      <w:r>
        <w:t>343 Doc. XXII.2471.</w:t>
      </w:r>
    </w:p>
    <w:p>
      <w:r>
        <w:t>BULLETIN NO. 19 OF MAY 13, 2019 121</w:t>
      </w:r>
    </w:p>
    <w:p>
      <w:r>
        <w:t>Regarding the outcomes of the tender, particularly with reference to lot 10, Romeo states "because Cofely should not come to Rome. Because I should not have competitors in Rome"; moreover, the STI group "is our competitor [of Romeo] both here in Rome with Cofely and in Milan with CNS. Again, the STI group "screws us two lots [...] because that [the STI group] is there with CNS, then it partners with Cofely." Romeo concludes therefore "and Cofely takes... yes... takes our"344.</w:t>
      </w:r>
    </w:p>
    <w:p>
      <w:r>
        <w:t>396. Understanding the actual situation, and thus realizing the failure of the agreements reached with the other Parties regarding lot 10, well explains - as a retaliatory measure for the deviation from the agreements reached - the fact that Romeo, immediately afterwards, in April 2016, decided to report to the Authority, among other things, the competitive anomalies of the STI group, of CNS, of MFM, and of Cofely in relation to participation in FM4345.</w:t>
      </w:r>
    </w:p>
    <w:p>
      <w:r>
        <w:t>397. Not only that. From the criminal interceptions, Romeo's concern emerges precisely due to the submission of such a report, which could have strained relations with the co-cartelists precisely at the moment when discussions were taking place regarding commercial agreements that would also involve possible compensatory measures in favor of Romeo, to compensate for the loss of the Rome lot. In the conversation, it is indeed stated that: "then they want to give you the Rome part somehow"; "with subcontracting and.."; "but is this acquisition convenient for you?" [Conversion &amp; Lighting]; "I am worried about the fact that we had raised the stakes on the complaints"; "but if we do this I will go talk to the Antitrust I will do this thing that I have to do, after all what should I do?"346.</w:t>
      </w:r>
    </w:p>
    <w:p>
      <w:r>
        <w:t>398. Romeo's same positioning on the back of the pink slip is consistent with the involvement in the agreement of the ATI Cofely-CSEL in a fully organic but parallel manner to Romeo himself. This involvement was indeed realized also through specific meetings at Terotec, as expressly indicated by the documents related to the pink slip347; Cofely actively participated in this associative laboratory348 but not Romeo349 who, therefore, is consistently indicated on the back of the slip.</w:t>
      </w:r>
    </w:p>
    <w:p>
      <w:r>
        <w:t>399. Moreover, the reallocation in favor of Cofely of lot 10 allowed for the rebalancing of the monetary amounts 'due' to the main four players, which otherwise would have been significantly unbalanced in favor of Romeo350.</w:t>
      </w:r>
    </w:p>
    <w:p>
      <w:r>
        <w:t>344 Doc. XXII.2471.</w:t>
      </w:r>
    </w:p>
    <w:p>
      <w:r>
        <w:t>345 Doc. I.6.</w:t>
      </w:r>
    </w:p>
    <w:p>
      <w:r>
        <w:t>346 Doc. XXII.2471.</w:t>
      </w:r>
    </w:p>
    <w:p>
      <w:r>
        <w:t>347 See doc. L.3, L.24 and final hearing of CNS (doc. M.19).</w:t>
      </w:r>
    </w:p>
    <w:p>
      <w:r>
        <w:t>348 Cofely participated "regularly in the assembly and council meetings of Terotec," as indicated by Cofely itself in the final memorandum (doc. M.5).</w:t>
      </w:r>
    </w:p>
    <w:p>
      <w:r>
        <w:t>349 Romeo sent formal notice of withdrawal from Terotec on February 27, 2014 (doc. XXIII.2654).</w:t>
      </w:r>
    </w:p>
    <w:p>
      <w:r>
        <w:t>350 Considering indeed the monetary amounts of the various lots, the ATI CNS-Kuadra-Exitone, MFM, Manital Consorzio, and Romeo would have collectively won the vast majority of the total put to tender (2,511 out of 2,700 million euros), with the following breakdown:</w:t>
        <w:br/>
        <w:t>• ATI CNS-Kuadra-Exitone: 565 million;</w:t>
        <w:br/>
        <w:t>• MFM: 532 million;</w:t>
        <w:br/>
        <w:t>• Manital: 662 million;</w:t>
        <w:br/>
        <w:t>• Romeo: 752 million.</w:t>
        <w:br/>
        <w:t>Romeo would thus have obtained about two hundred million more than both MFM and the ATI of CNS and almost one hundred million more than Manital Consorzio. The assignment of lot 10 to the ATI led by Cofely, much to Romeo's dismay, certainly contributed to the rebalancing of the amounts subject to division, which indeed became the following, and thus tendentially uniform:</w:t>
        <w:br/>
        <w:t>• ATI CNS-Kuadra-Exitone: 565 million;</w:t>
      </w:r>
    </w:p>
    <w:p>
      <w:r>
        <w:t>122 BULLETIN NO. 19 OF MAY 13, 2019</w:t>
      </w:r>
    </w:p>
    <w:p>
      <w:r>
        <w:t>400. Finally, for completeness, it is noted that the ATI formed by Romeo with his consortium, which included small and medium-sized cleaning and maintenance companies, was not necessary for participation in the tender and this, considering the consortium rules, proved to provide an additional element to support the maintenance of the agreement: the external competitors to the cartel were indeed deprived of the possible recourse to the consortium members (even those not indicated as executors), particularly regarding the Campania region (lot 13), where they are more deeply rooted and where indeed Romeo was effectively the only bidder351.</w:t>
      </w:r>
    </w:p>
    <w:p>
      <w:r>
        <w:t>2.6) The involvement of the ATI Cofely-CSEL in the agreement and the ties with the STI group</w:t>
      </w:r>
    </w:p>
    <w:p>
      <w:r>
        <w:t>401. As mentioned, the documentation on file extensively accounts for the fact that the redistributive strategy of the FM4 tender also saw the involvement of Cofely and CSEL, with the assignment to the ATI formed by them of lot 8 and lot 10 of Rome Center (the latter in place of Romeo and unbeknownst to him).</w:t>
      </w:r>
    </w:p>
    <w:p>
      <w:r>
        <w:t>402. In this regard, it is first noted the pink slip, which provides evidence of Cofely's (and not Romeo's) participation in a specific meeting among competitors related to FM4, as well as Cofely's (and not Romeo's) participation in the various, further meetings on the same issue that took place among competitors at Terotec. In fact, Cofely participated "regularly"352, while Romeo was involved in the activities of this associative laboratory only sporadically and only formally and, moreover, had already sent formal notice of withdrawal353 in February 2014. Terotec thus proved to be a natural occasion for meeting among the interested Parties during the period under investigation, as demonstrated by the numerous pieces of evidence on file related to the convening of meetings and gatherings during that period.</w:t>
      </w:r>
    </w:p>
    <w:p>
      <w:r>
        <w:t>403. Cofely, as well as MFM, in confirming their participation in the activities of Terotec, emphasized the technical and institutional nature of the work carried out there. In this regard, it suffices to observe that the technical topics could only be the official subject of the meetings, but this does not imply anything regarding the further 'unofficial' discussions that took place on such occasions or alongside them. In any case, the fact that technical topics were also addressed in the redistributive meetings for FM4 held within Terotec cannot be relevant for the anticompetitive nature of such meetings. It should be remembered that CNS had decided to exit Terotec precisely because of the 'unofficial' discussions that took place there: it was indeed an association "not equipped with antitrust compliance schemes where the commercial representatives of competing companies periodically met; CNS therefore deemed it risky, in terms of antitrust issues, to continue participation in Terotec"354.</w:t>
      </w:r>
    </w:p>
    <w:p>
      <w:r>
        <w:t>404. In the involvement of the ATI Cofely-CSEL in the agreement, as also emerges from the aforementioned criminal interceptions, the STI group played a primary role.</w:t>
        <w:br/>
        <w:t>• MFM: 532 million;</w:t>
        <w:br/>
        <w:t>• Manital: 662 million;</w:t>
        <w:br/>
        <w:t>• Romeo: 609 million.</w:t>
      </w:r>
    </w:p>
    <w:p>
      <w:r>
        <w:t>351 Doc. XXIII.2654, doc. XXIII.2678, doc. XXV.2842.</w:t>
      </w:r>
    </w:p>
    <w:p>
      <w:r>
        <w:t>352 Doc. M.5.</w:t>
      </w:r>
    </w:p>
    <w:p>
      <w:r>
        <w:t>353 Doc. XXIII.2654.</w:t>
      </w:r>
    </w:p>
    <w:p>
      <w:r>
        <w:t>354 Doc. XXIV.2725.</w:t>
      </w:r>
    </w:p>
    <w:p>
      <w:r>
        <w:rPr>
          <w:b/>
        </w:rPr>
        <w:t>[Pages 121–123]</w:t>
      </w:r>
    </w:p>
    <w:p>
      <w:r>
        <w:t>BULLETIN NO. 19 OF MAY 13, 2019 123</w:t>
      </w:r>
    </w:p>
    <w:p>
      <w:r>
        <w:t>405. It should be noted, preliminarily, that the documentation on record proves a modus operandi of the STI group aimed at obtaining economic advantages from public tenders regardless of the method. The participation modalities envisioned range, in fact, from "competing visibly" (to use an eloquent lexical expression employed by the STI representatives)355, that is, officially and within a collective bidding group, to participating in a "non-visible" manner by pre-arranging subcontracts from the 'visible' competitors, and thus potential awardees, based on agreements stipulated for that purpose (of the type "I don't think we will participate visibly. Have we defined with whom to subcontract? Do we want to formalize a subcontract?", again using an eloquent lexical expression employed by the STI representatives)356.</w:t>
      </w:r>
    </w:p>
    <w:p>
      <w:r>
        <w:t>406. With reference to the FM4 tender, the STI group, in addition to being present "visibly" in the CNS ATI, is also present in a "non-visible" manner in the Cofely ATI, particularly through CSEL. In this way, the STI group could obtain economic returns for the FM4 tender also through this second channel. This would have been possible, as is evident, only if the Cofely-CSEL ATI had been the recipient of lots in the collusive scheme: and indeed, in the agreed division, lot 8 and lot 10 of Rome Centro were assigned to this ATI, as seen.</w:t>
      </w:r>
    </w:p>
    <w:p>
      <w:r>
        <w:t>2.6.1) The role of the STI group in the unofficial Cofely ATI through CSEL</w:t>
      </w:r>
    </w:p>
    <w:p>
      <w:r>
        <w:t>407. The presence of the STI group, in a "non-visible" manner in the ATI led by Cofely, appears to have been realized through the CSEL consortium with which the STI group had strong established ties during that period. CSEL was thus the connecting element between the STI group and the leading company Cofely, thereby ensuring the participation in the agreement of the Cofely-CSEL ATI as well. It is emphasized, in this regard, that the Cofely-CSEL ATI appears unnecessary, particularly since Cofely could have participated in the tender even without the contribution of CSEL's revenue related to maintenance services. This circumstance was indicated by Cofely itself and was verified by the Offices considering the revenue data necessary to meet the participation requirements related to the economic-financial capacity of the grouping.</w:t>
      </w:r>
    </w:p>
    <w:p>
      <w:r>
        <w:t>408. Contrary to what was argued by the interested Parties, the involvement of CSEL in its ATI does not appear explainable by virtue of the design activity that the consortium would have carried out in favor of the grouping, since the activity in question can well be entrusted to external parties to the ATI; in addition, it does not appear that the designer historically used by Cofely before CSEL had been included in the ATIs established by Cofely for participation in previous editions of the FM tender. As full proof of the above, the same CSEL concretely entrusted the design activity in question to a third party, external to the ATI357.</w:t>
      </w:r>
    </w:p>
    <w:p>
      <w:r>
        <w:t>409. Just prior to the announcement of the FM4 tender, the STI group intended to cement the relationship with the CSEL consortium, deciding on the entry of Gestione Integrata into this consortium (on March 31, 2014). It should be recalled, in this regard, that the FM4 tender was announced by Consip on March 19, 2014, and the related notice was published on March 21 and 22. Not coincidentally, it was precisely in March 2014 that the STI group expressed the urgent need to have Gestione Integrata enter CSEL, as noted in internal emails within the STI group ("we need to join the Consortium quickly. [...] even scheduled a notary next Wednesday in Rome to formalize our entry")358 and as recalled by CSEL itself ("the entry of Gestione Integrata into CSEL occurred very promptly [...] the very rapid timing of entry [...] can likely be traced back to some tender that was of interest to the STI group at that time")359.</w:t>
      </w:r>
    </w:p>
    <w:p>
      <w:r>
        <w:t>410. The entry of Gestione Integrata into CSEL occurred with explicit reference to facility management (beyond the generic official motivation of promoting development in the Triveneto area in the lighting sector). Evidence of this is that, on record, there is the STI group's intention to establish within CSEL, following the entry of Gestione Integrata, an ad hoc division for facility management, of which Gestione Integrata would obviously have been a part (along with only three other companies). In September 2014, the STI group indeed wrote to CSEL "FM: Is there an agreement missing?"360; as indicated by CSEL itself, this is to be related to the STI group's desire "to establish within CSEL an ad hoc division for Facility Management [...] Gestione Integrata, following its entry into CSEL, wanted to establish a specific division for Facility Management, proposing the related operational rules"361. As a direct consequence, there is on record a draft362 of internal regulations of CSEL for the functioning of this FM division, dated October 2014. This regulation was to indicate the criteria to be followed to identify, for each facility management contract, the consortium members indicated by the CSEL consortium and the distribution of activities among them (the entire Title I is indeed dedicated to the theme of "ACQUISITION OF CONTRACTS AND CRITERIA FOR ASSIGNMENT OF ACTIVITIES"363).</w:t>
      </w:r>
    </w:p>
    <w:p>
      <w:r>
        <w:t>411. The evidence on record also explicitly accounts for the benefits to the STI group deriving from its "non-visible" presence in the Cofely-CSEL ATI also in terms of economic returns (as well as, as mentioned, in terms of overall coordination and maintenance of the agreement).</w:t>
      </w:r>
    </w:p>
    <w:p>
      <w:r>
        <w:t>357 Doc. XXIII.2565, doc. XXIII.2566, doc. XXIII.2579, doc. XXIII.2580. In particular, in doc. XXIII.2566 it is stated that: "CSEL has decided to evaluate the opportunity to participate in the Consip FM4 tender. I ask you if you are available to manage on our behalf and for the entire forming group the design of the technical offer"; doc. XXIII.2580 reports the offer from the external designer, dated May 12, 2014, signed and accepted by CSEL.</w:t>
      </w:r>
    </w:p>
    <w:p>
      <w:r>
        <w:t>358 Doc. IV.1157.</w:t>
      </w:r>
    </w:p>
    <w:p>
      <w:r>
        <w:t>359 Doc. XXIV.2733.</w:t>
      </w:r>
    </w:p>
    <w:p>
      <w:r>
        <w:t>360 Doc. XXIII.2536.</w:t>
      </w:r>
    </w:p>
    <w:p>
      <w:r>
        <w:t>361 Doc. XXIV.2733.</w:t>
      </w:r>
    </w:p>
    <w:p>
      <w:r>
        <w:t>362 The FM division within CSEL was not subsequently realized.</w:t>
      </w:r>
    </w:p>
    <w:p>
      <w:r>
        <w:t>363 Doc. XXIII.2563.</w:t>
      </w:r>
    </w:p>
    <w:p>
      <w:r>
        <w:t>BULLETIN NO. 19 OF MAY 13, 2019 125</w:t>
      </w:r>
    </w:p>
    <w:p>
      <w:r>
        <w:t>In this regard, doc. XXIII.2606 outlines a "Summary of commercial agreements between CSEL and the STI Group" with reference to the activities concerning CSEL, Exitone, and Gestione Integrata and, regarding contracts, with reference to FM4 as well as to the Consip Museums and SIE3 tenders. In this regard, two aspects should be emphasized preliminarily. The first is that the document (sent via email in February 2017) is reliable, as for the only tender concluded at that time (SIE3) the same activities and the same fees provided for Gestione Integrata in the agreement signed with CSEL in September 2015 are found exactly364. The second aspect is that the document should be considered a work in progress summary, that is, structured to progressively incorporate the activities and amounts that would be agreed upon over time, as the lexical expression "summary" itself indicates, that is, a recognitive act of past agreements.</w:t>
      </w:r>
    </w:p>
    <w:p>
      <w:r>
        <w:t>Having said that, with specific reference to FM4, a monetary amount granted by CSEL to Exitone is indicated as more than 50% (excluding success fees) of what would have been due to CSEL for the preparation of the technical offer within the agreements with Cofely in relation to their ATI (different from that of the STI group)365. But this does not exhaust the economic amounts that were foreseen by CSEL in favor of companies of the STI group with reference to FM4: it should be recalled, in fact, that a letter of appointment ("fm4 sheet - letter of appointment to Gestione Integrata to be signed")366 was also under discussion for Gestione Integrata.</w:t>
      </w:r>
    </w:p>
    <w:p>
      <w:r>
        <w:t>412. Another element of certain relevance is represented by the annotation, placed in the excel sheet regarding the FM4 tender, stating that "in case of award of lot 10, CSEL's share would have risen to 50%"367. From this annotation, it is possible to infer the existence of a reward mechanism among the parties involved: Cofely, which in exchange for the support of the STI group would have allowed the increase of CSEL's ATI shares to 50%, consequently reducing its own share368 and that of the other leading companies369; CSEL, which would evidently have benefited from such an increase370; the STI group, which by virtue of the ongoing work in progress commercial agreements with CSEL could, in turn, obtain further economic benefits. In the collusive context under examination, the reward mechanism referred to the benefit that Cofely was willing to recognize to CSEL and, through this, to the STI group in exchange for the latter's support (which, as seen, played a central role in the agreement) for its involvement in the agreement, particularly with reference to the operation that would lead to the change of designated awardee for lot 10 (from Romeo to Cofely and its ATI). On the other hand, it is not coincidental that it was Cofely that requested - although not necessary, as mentioned, since it was an excessive ATI - the presence in the ATI of</w:t>
      </w:r>
    </w:p>
    <w:p>
      <w:r>
        <w:t>364 Cf. infra doc. XXIII.2522.</w:t>
      </w:r>
    </w:p>
    <w:p>
      <w:r>
        <w:t>365 Cf. various versions of the Internal Regulations of ATI (for example doc. XXIII.2602) and of the contract for professional services between Cofely and CSEL (for example doc. XXIII.2603).</w:t>
      </w:r>
    </w:p>
    <w:p>
      <w:r>
        <w:t>366 Doc. XXII.2470.</w:t>
      </w:r>
    </w:p>
    <w:p>
      <w:r>
        <w:t>367 Doc. XXIII.2606.</w:t>
      </w:r>
    </w:p>
    <w:p>
      <w:r>
        <w:t>368 Equal to 35%.</w:t>
      </w:r>
    </w:p>
    <w:p>
      <w:r>
        <w:t>369 Overall equal to 55%.</w:t>
      </w:r>
    </w:p>
    <w:p>
      <w:r>
        <w:t>370 Equal to 10%.</w:t>
      </w:r>
    </w:p>
    <w:p>
      <w:r>
        <w:rPr>
          <w:b/>
        </w:rPr>
        <w:t>[Pages 124–126]</w:t>
      </w:r>
    </w:p>
    <w:p>
      <w:r>
        <w:t xml:space="preserve">126 BULLETIN NO. 19 OF MAY 13, 2019  </w:t>
        <w:br/>
        <w:t xml:space="preserve">CSEL371, an entity with which the STI group had solid relationships: through this means, in fact, Cofely would have secured the support of the STI group.  </w:t>
        <w:br/>
        <w:t xml:space="preserve">413. The documentation on file also shows how, in the case of the FM4 tender, the STI group intervened to address some delicate issues related to the ATI of CSEL, despite being a direct competitor. In particular, even having the matter followed up by the President of the STI group, this group indicated (at least) one of the cleaning companies that formed the ATI Cofely-CSEL. Some emails372 described in the factual section indicate that, in the period leading up to the deadline for submitting offers for FM4, there were meetings for FM4 between CSEL and the STI group and between these two parties and the Florida 2000 company (one of the four cleaning companies that are part of the ATI Cofely-CSEL). It was also noted in the factual section that the issue was the subject of conflicting reconstructions among the Parties involved (Cofely, CSEL, and the STI group).  </w:t>
        <w:br/>
        <w:t xml:space="preserve">414. Not only that. It appears from the records that the STI group also intervened to regulate the issue concerning the shares of this ATI, furthermore referring not only to the official shares of the ATI but also to shares already defined in specific additional "agreements" (formal and informal shares). In this regard, reference is made to the content of an email prior to the deadline for submitting offers for FM4; in this email from June 2014, CSEL, in the context of an analysis on the use of the institution of subcontracting, relates to the STI group in the following terms: "This is a problem. Therefore, we need to reconfigure the formal ATI shares, while keeping unchanged what was agreed regarding the shares that at this point will only be reported in the agreements"373. Moreover, as seen in the factual section, the STI group was also discussing internally the issue of the shares of the ATI Cofely-CSEL, to which it was formally completely unrelated. In the previous month of May 2014, in fact, in an internal email (addressed, moreover, to a representative of Exitone, precisely the company participating in the competing ATI of CNS) with the subject "[surname of the CSEL contact] Cofely," the President of the STI group wrote verbatim: "Send them the references of the principals regarding cleaning. Regarding [a cleaning company], we decide whether one or two subjects with shares equal to 10 divided by 2"374, thereby clearly indicating that the STI group even went so far as to decide the shares within a competing ATI.  </w:t>
        <w:br/>
        <w:t xml:space="preserve">As further confirmation, reference is made to another document extensively described, which reports the "summary of commercial agreements" between the STI group and CSEL. This summary, of a recognitive nature regarding agreements already reached, was drafted by the STI group and contains, again, explicit references to the modulation of the shares of the competing ATI formed by Cofely and CSEL: "in the event of winning lot 10, the share [of ATI] CSEL would have risen to 50%"375.  </w:t>
        <w:br/>
        <w:t xml:space="preserve">371 See CSEL inspection report (doc. XXIII.2519).  </w:t>
        <w:br/>
        <w:t xml:space="preserve">372 Doc. IV.1138, doc. IV.1149, and doc. IV.1150.  </w:t>
        <w:br/>
        <w:t xml:space="preserve">373 Doc. IV.1127.  </w:t>
        <w:br/>
        <w:t xml:space="preserve">374 Doc. IV.1119.  </w:t>
        <w:br/>
        <w:t>375 Doc. XXIII.2606.</w:t>
      </w:r>
    </w:p>
    <w:p>
      <w:r>
        <w:t xml:space="preserve">BULLETIN NO. 19 OF MAY 13, 2019 127  </w:t>
        <w:br/>
        <w:t xml:space="preserve">415. The context of established general relationships between the STI group and CSEL is also clearly evident from the further documentation on file related to contexts other than FM4. In particular, during the period coinciding with the deadlines for FM4, an agreement related to the MST - Multiservizio Tecnologico Sanità tender of the Lazio Region376 was in advanced discussion between the parties. The following year, in September 2015, the STI group and CSEL signed significant subcontracting agreements related to other important tenders (Consip SIE3 and Consip Luce3)377. Furthermore, consider the issue related to the public lighting tender of the Municipality of Taranto, emblematic because, in order to allow CSEL and, through this, Exitone to participate, Cofely made a significant exception to its corporate policy rules378.  </w:t>
        <w:br/>
        <w:t xml:space="preserve">416. It should not be forgotten that for about two years (from 2015 to 2017) the STI group and CSEL shared the management of an important company in the energy and lighting sector, Conversion &amp; Lighting (C&amp;L). During that period, in fact, Exitone and CSEL were the only partners of C&amp;L, with almost equal shares, and were negotiating to formalize, at the proposal of the STI group, a shareholders' agreement for the management of the company, which included explicit references to subcontracting and multi-year non-competition agreements. As is known, in 2017 C&amp;L was sold by the STI group and CSEL to Cofely. Nevertheless, the relationships between Exitone and CSEL continued even after C&amp;L was sold to Cofely, particularly with the establishment, a few days before that sale, of the company LuxOne (active in multiple areas including electricity and lighting) from a spin-off of C&amp;L itself; in this case as well, Exitone and CSEL were the only partners with almost equal shares379.  </w:t>
        <w:br/>
        <w:t xml:space="preserve">2.6.2) On the defensive deductions regarding the involvement of the ATI Cofely-CSEL.  </w:t>
        <w:br/>
        <w:t xml:space="preserve">417. In order to contest their involvement in the agreement, Cofely and CSEL argued in their respective final memoranda380 highlighting, on the one hand, that their relationships with the STI group were fully legitimate, and, on the other hand, that their offers, characterized by particular "aggressiveness," overlapped with those of the other Parties. Regarding the first aspect, reference is made to what has been stated above. Concerning the second aspect, it is observed that the aggressiveness on lot 10 is entirely consistent with the overall agreement, as it was necessary in this case to try to prevail over a formidable competitor like Romeo. The aggressiveness on lot 8 is similarly explained by the fact that the Parties, while undoubtedly being the major players in the sector, did not exhaust the list of bidders: having ensured the non-competition of the cartelist, it was still necessary to prevail over these other bidders (in the case of the lot in question, as many as eight in addition to the ATIs of CNS and Cofely: being a small lot, it attracted many participants).  </w:t>
        <w:br/>
        <w:t xml:space="preserve">376 See doc. XXIII.2561 (in the ATI, Exitone had a share of 6% compared to 44% of CSEL, doc. XXIII.2562), doc. XXIV.2733, doc. IV.1086, doc. XXII.2488.  </w:t>
        <w:br/>
        <w:t xml:space="preserve">377 See doc. XXIII.2522; the penalty in case of non-awarding of the subcontract in question by Cofely had even been transferred to Gestione Integrata, doc. XXIV.2733, doc. XXIII.2523.  </w:t>
        <w:br/>
        <w:t xml:space="preserve">378 "Cofely wanted to withdraw from participation, contrary to CSEL. Only due to the repeatedly mentioned good relationships between Cofely and CSEL, and in a completely exceptional manner with respect to its corporate policy, Cofely granted the subcontracting to the Consortium and thus participated in the tender only as a supporting company" (doc. XXIV.2733). Moreover, also in relation to a similar tender of the Municipality of Bari, no longer announced, the STI group wanted to repeat the described scheme of the tender of the Municipality of Taranto (doc. XXIV.2733); see also doc. XXIII.2538 and doc. XXIII.2524.  </w:t>
        <w:br/>
        <w:t xml:space="preserve">379 Doc. XXIII.2521.  </w:t>
        <w:br/>
        <w:t>380 See doc. M.5 and doc. M.6.</w:t>
      </w:r>
    </w:p>
    <w:p>
      <w:r>
        <w:t xml:space="preserve">128 BULLETIN NO. 19 OF MAY 13, 2019  </w:t>
        <w:br/>
        <w:t xml:space="preserve">418. Regarding the other offer lots of the ATI Cofely-CSEL, for lots 5, 15, and 16, it appears from the data shown in the factual section that the economic score of this ATI is lower than that of the designated winner (there is always a difference of well two or even three points). This is the result of economic offers from the ATI in question in which it is possible to appreciate average discounts lower than those offered by the same ATI in the other lots. Participation in lot 11381, a geographical area where Cofely was already present for other contracts, can be explained in terms of corporate policies and internal balances to be preserved, also in terms of personnel management and relations with workers382; in this regard, consider the existence of a simultaneous further offer from Cofely (for lot 10) concerning the same city (Rome, of which lot 11 included the non-central areas and lot 10 the central areas).  </w:t>
        <w:br/>
        <w:t xml:space="preserve">419. In any case, whatever the attitude taken by Cofely in these lots, the involvement in the agreement of the ATI led by it is indisputable, demonstrated by the multiple and significant exogenous evidence mentioned above, and fully manifested in the absence of competitive confrontation with the ATI of CNS.  </w:t>
        <w:br/>
        <w:t xml:space="preserve">420. Finally, it should be noted that Cofely's non-competitive attitude also emerges from the fact that – although it would have derived considerable economic benefit from the exclusion of Manital Consorzio from the tender, decided by the contracting authority but rejected by the administrative judge of first instance – Cofely did not intervene in the appeal judgment before the Council of State (in support of Consip). It should be considered in this regard that Cofely is the only one of the second-placed bidders in the lots participated by Manital Consorzio to have made such a choice, which does not appear to be characterized by any rationality unless framed in the general collusive context. Moreover, while the parties that intervened in support were second-placed in only one lot each (the ATI led by Dussmann in lot 2 and an ATI led by the company Guerrato S.p.a. in lot 14), Cofely was second in the ranking in as many as two lots (lot 11 and lot 16), one of which (lot 11) was even the lot with the highest economic value among all those put to tender. The explanation provided by Cofely in its final memorandum383 only reinforces the fully collaborative attitude between the two parties in question: "Regarding, in particular, the relationships with Manital, at that time there were ongoing collaborations in ATI in the contracts following the Consip MIES1 and SIE3 tenders, and therefore there were no particular reasons to break, precisely with respect to Manital, a consolidated internal practice, giving rise to aggressive judicial initiatives."  </w:t>
        <w:br/>
        <w:t>421. In conclusion, the participation of the ATI Cofely-CSEL in the collusive scheme primarily benefited it in lot 8, the agreement on which was easy to reach and implement. It should be recalled, in fact, that this is the lot with the lowest economic value among all eighteen lots put to tender; it should also be recalled that in that lot the only overlap was with the ATI of CNS, that is, the other ATI in which the STI group was present, and the lot would have been awarded to the ATI of Cofely even if it had ranked second (since, as the chessboard was designed, even if the ATI of CNS had come first in the ranking, it would have).</w:t>
      </w:r>
    </w:p>
    <w:p>
      <w:r>
        <w:rPr>
          <w:b/>
        </w:rPr>
        <w:t>[Pages 127–129]</w:t>
      </w:r>
    </w:p>
    <w:p>
      <w:r>
        <w:t>BULLETIN NO. 19 OF MAY 13, 2019 129</w:t>
        <w:br/>
        <w:t>had to cede the lot to the second place, due to what is provided for by the special law of the tender).</w:t>
      </w:r>
    </w:p>
    <w:p>
      <w:r>
        <w:t>As for lot 10, a lot historically held by Romeo and to which the latter was particularly attached, as widely highlighted, the assignment in favor of Cofely-CSEL occurred without the consent and knowledge of Romeo itself, which indeed offered discounts sufficient to surpass the Cofely ATI in terms of economic scoring. The other Parties thus avoided competing with the Cofely ATI in lot 10, as had also been assured to Romeo; this ATI then prevailed, ranking first due to the technical score obtained.</w:t>
      </w:r>
    </w:p>
    <w:p>
      <w:r>
        <w:t>The involvement of this ATI was therefore not such as to distort either the nature of the agreement or its expected outcomes in terms of distribution: in fact, given that the agreement provided, as is known, for the allocation of four lots for each of the main operators, thanks to the coordinating role of the STI group, the participation of the Cofely-CSEL ATI did not change this outcome, remaining firm what was observed for lot 10.</w:t>
      </w:r>
    </w:p>
    <w:p>
      <w:r>
        <w:t>2.7) The role of the STI group (with Exitone) in the official ATI of CNS</w:t>
        <w:br/>
        <w:t>422. With reference to the participation of the STI group in a “visible” manner in the official ATI with CNS, the documentation on record shows, first of all, how the role of Exitone, a subsidiary of the STI group, in this ATI went well beyond that of a simple 4% principal. The proactive role of Exitone in the ATI was noted by a party evidently informed about the facts, namely the same principal CNS. This role was observed not only in relation to the technical part of the tender offer presented by the ATI (having the task of drafting it), but also in relation to the economic part (having the task of carrying out support activities for its development). Exitone was particularly responsible for the design activity for the tender, receiving in return a fixed remuneration to which a success fee linked to the number and value of the lots eventually awarded was added. Furthermore, as indicated by CNS, the relationships at that time between the consortium and Exitone were such that the latter was entrusted with activities not only in the design phase but also in the execution phase of the tender.</w:t>
      </w:r>
    </w:p>
    <w:p>
      <w:r>
        <w:t>423. In this context, it should also be noted that the ATI constituted by CNS for participation in the FM4 tender was unnecessary, as the consortium could have participated independently of the contributions of the principals. This circumstance was indicated by CNS itself and was verified by the Offices considering the turnover data necessary to meet the participation requirements related to the economic-financial capacity of the grouping. It should also be remembered that CNS itself highlighted during the investigation that it had not found any economic rationale behind the decision to form an ATI with the STI group (and Kuadra).</w:t>
      </w:r>
    </w:p>
    <w:p>
      <w:r>
        <w:t>424. It is worth recalling here, among the many evidences described in the factual part, the subcontracting agreement from the CNS ATI that the STI group wanted to conclude in favor of Gestione Integrata as further remuneration for the FM4 tender. The negotiations continued for a long period and revolved around the quantum; in fact, in November 2014, the agreement, not formalized before the submission of the offers, was discussed again after that moment, when the requests were scaled down (from 15% of the total value to 20% of the only maintenance services). From the email exchanges related to the negotiation, the ability of the STI group to engage in negotiations to secure contracts from its competitors emerges, shielding itself from the risks of competitive confrontation. This is emblematic of the modus operandi of the STI group and its widespread presence in the reference market: Gestione Integrata could not participate in FM4 in other competing groups (due to the presence of Exitone in the CNS ATI) and risked exclusion even by participating in the CNS ATI (due to the participation in the tender in another group also of the shareholder Siram); for this reason, negotiations were initiated to obtain subcontracts from such groups (“What do we do, as Gestione Integrata? Do we go with CNS in subcontracting, given that there is still uncertainty related to the presence of Siram in the shareholding?”; there are also records of negotiations with Siram to obtain subcontracts for FM4 of the same amount as those requested from CNS).</w:t>
      </w:r>
    </w:p>
    <w:p>
      <w:r>
        <w:t>425. In this context, the instrument of subcontracting was therefore used for anti-competitive purposes, also with the aim of creating compensatory adjustments aimed at rebalancing the positions of the Parties. Consider, in this regard, the negotiations for an additional subcontract agreement, which would have compensated for the lost earnings for FM4 (due to the decision made by the CNS principal to withdraw from the tender) with compensatory amounts linked to another public contract (Consip SIE3 tender, in which CNS and Exitone had participated in the same ATI winning lot no. 2). The same quantification of the lost earnings used as the basis for the negotiation carried out by Exitone and CNS proves how the parties believed that winning the maximum number of awardable lots (four) was certain and how the role of Exitone went beyond the simple 4% share of the ATI. Both quantifications made in this regard that are on record (32.4 and 96.4 million euros) are indeed well above the amount that would have been due to Exitone based on its percentage of participation in the ATI (4%) if the four lots intended for this ATI had been won in the collusive scheme.</w:t>
      </w:r>
    </w:p>
    <w:p>
      <w:r>
        <w:t>426. In conclusion, the presence of the STI group in two competing groupings evidently allowed for coordination between them and, therefore, overall coordination. Such a situation of dual presence on the part of the STI group significantly contributed to the maintenance of the overall agreement, which thus benefited from the involvement of a competitor, Cofely, potentially able to modify the programmed outcomes.</w:t>
      </w:r>
    </w:p>
    <w:p>
      <w:r>
        <w:t>2.8) On the defensive deductions of the STI group regarding its role in the agreement</w:t>
        <w:br/>
        <w:t>427. Regarding the dispute over the non-existence of a determining influence of the STI group in the overall design of the agreement, the following is noted. The articulated defensive line followed by the STI group in this regard develops through the piecemeal and formal examination of each single document of the extensive evidentiary material collected by the Authority, isolating and decontextualizing each piece of evidence in order to weaken its significance and uniqueness, also due to the alleged failure to materialize certain proposals for agreements or compensatory exchanges. This is the case with the drafts of subcontracting between CNS and Gestione Integrata, whose evidentiary value is diminished by the STI group claiming, on the one hand, that it would be a case of lawful subcontracting, since the company did not participate in the FM4 tender, and, on the other hand, that the contract was not finalized in any case. In reality, what matters, for the purposes of the antitrust offense here established, is the use of the instrument, which is lawful in itself, of subcontracting as a compensatory means to allow a company of the STI group to insert itself in a non-visible or non-obvious manner in the execution of contracts related to lots pertaining to CNS, thus increasing the overall consolidated utility derivable from the FM4 tender to the advantage of the entire STI group. In light of the multiple evidences of the drafts attesting to a non-episodic and prolonged negotiation activity between the Parties, placed in a time frame – around the deadline for the submission of offers – particularly significant for the ascertainment of the contested offense, the lack of evidence of an actual stipulation of the subcontract agreement is of no relevance. This is primarily because, for the purposes of establishing antitrust offenses, according to the required evidentiary standard, it does not appear necessary to acquire specific evidence of collusive agreements formally signed between the Parties, as circumstantial evidence from which collusive coordination emerges is also sufficient; and for this purpose, the multiple drafts of the subcontract negotiated for anti-competitive purposes are undoubtedly unequivocal exogenous evidence. In this specific case, on the other hand, the unpredictable developments that the participatory dynamics of the tender underwent following the lack of confirmation of the offer by CNS made the activation of compensatory subcontracts on the lots that would have been awarded to the group led by CNS itself no longer materially feasible, thus rendering irrelevant for the purposes of ascertainment the possible absence of a definitive stipulation of such agreements.</w:t>
      </w:r>
    </w:p>
    <w:p>
      <w:r>
        <w:t>428. Considerations of a not dissimilar nature must be made regarding the defensive arguments aimed at downplaying the interests between the STI group and CSEL, in light of the alleged absence of materialization of the hoped-for advantages that STI thought it would derive from what the company itself, in its defenses, qualifies as a simple activity of seeking lawful work opportunities by the entities of the group. Even in this case, STI seeks to decontextualize, atomizing, the multiple interests that intervened with a competing consortium in the FM4 tender, emphasizing the lack of proven collection of the profits obtained as evidence of the absence of anti-competitive connotation of the established conduct. In reality, what has emerged from the documentation on record described in the factual part is a completely different scenario, where the representatives of STI appear to have interfered in the configuration of the CSEL-Cofely ATI without any title and, above all, being competitors (with the subsidiary Exitone); such evidence has revealed the overall transversal role of STI as coordinator and thread of the articulated agreement. Emblematic in this regard is the correspondence between CSEL and STI regarding the reconfiguration of the formal shares of the ATI between CSEL itself and Cofely, and the numerous agreements between the parties aimed at redistributing and balancing their respective economic returns. In this collusive framework, the urgent entry of Gestione Integrata into CSEL coinciding with the start of the FM4 tender is also coherently inserted.</w:t>
      </w:r>
    </w:p>
    <w:p>
      <w:r>
        <w:t>429. In line with this reconstructive approach, the defensive arguments put forward by the STI group to downplay the high evidentiary weight of the “Summary of commercial agreements between CSEL and the Group</w:t>
      </w:r>
    </w:p>
    <w:p>
      <w:r>
        <w:rPr>
          <w:b/>
        </w:rPr>
        <w:t>[Pages 130–132]</w:t>
      </w:r>
    </w:p>
    <w:p>
      <w:r>
        <w:t>132 BULLETIN NO. 19 OF MAY 13, 2019</w:t>
      </w:r>
    </w:p>
    <w:p>
      <w:r>
        <w:t>STI” (doc. XXIII.2606) are clearly erroneous and contradictory. In this regard, the detailed description of the document undermines the defensive considerations put forth by STI. To summarize the most relevant aspects for the purposes of interest here, it is first noteworthy the unequivocal and explicit designation that the authors, representatives of STI and CSEL, have given to it. Equally unequivocal and precise are the references contained therein regarding the economic flows between the STI group and CSEL, specifically identified for contracts, tenders, and activities, with particular reference to the FM4 tender and the award to the ATI Cofely-CSEL of lot 10, resulting in this document being, consequently, a summary of agreements, exchanges, and flows transversal to multiple competing ATIs in the same FM4 tender.</w:t>
      </w:r>
    </w:p>
    <w:p>
      <w:r>
        <w:t>Regarding the temporal placement of the document in question, it has been highlighted in the factual section that the text of the document shows that it is the result of successive integrations and stratifications and that some fields it contains bear a different state of completion in relation to the degree of advancement of each tender procedure. This leads to the conclusion that this document was plausibly compiled and updated in real-time and was, therefore, contemporaneous and in progress with respect to the events gradually included.</w:t>
      </w:r>
    </w:p>
    <w:p>
      <w:r>
        <w:t>430. Finally, regarding the document in question, it is noted that the argument put forward by CSEL during the hearing with the Offices390, that it was “a joking hypothesis” formulated by CSEL itself and “strangely” reported by STI in the summary table, cannot be considered valid. It would indeed be decidedly implausible for a joking remark from one of the two parties to be reported by the other in a preparatory document for a meeting where very serious issues would have been discussed. Nor is the argument of Cofely put forward in the final memorandum391 valid, where it admits that “Certainly, the existence of this strange document from STI requires an explanation,” but claims that the phrase in question is “legally impossible” (as it is incompatible with the principle of immutability of the offer during the tender process). On this point, it suffices to observe that, as extensively highlighted previously, the interested Parties were clearly and broadly discussing not only the formal shares of the ATI but also the informal ones, to be concretized, for example, through compensatory agreements, often in terms of subcontracting (see, for example, doc. IV.1127: “So we need to remodulate the formal ATI shares, while keeping unchanged what was agreed regarding the shares that will now only be reported in the agreements”).</w:t>
      </w:r>
    </w:p>
    <w:p>
      <w:r>
        <w:t>2.9) The pervasive role of the STI group in the sector</w:t>
      </w:r>
    </w:p>
    <w:p>
      <w:r>
        <w:t>431. More generally, evidence in the records reveals a pervasive role of the STI group in the relevant sector. In particular, the STI group is characterized by a marked ability to weave negotiations and agreements with its competitors, particularly resorting to the institution of subcontracting and other negotiating tools, the use of which is often distorted and bent to compensatory purposes. The evidence detailed in the factual section confirms and strengthens the overall evidentiary framework, particularly highlighting the pervasiveness and transversality of the presence of companies of the STI group in the complex intertwining of contracts and tenders participated by the Parties during the relevant investigatory period. This has been the terrain in which the STI group has operated to participate in and coordinate the overall agreement for FM4.</w:t>
      </w:r>
    </w:p>
    <w:p>
      <w:r>
        <w:t>432. This is, for example, the case of the previously commented negotiation initiated by the STI group to reach a compensatory agreement with CNS between the FM4 and SIE3 tenders. This is also the case of the STI group's search for subcontracting opportunities related to FM4 from a third ATI participating in the tender, in which Siram was the principal. It appears from the records that Siram decisively rejected this proposal, distancing itself from it. However, the issue is emblematic of the modus operandi consistently followed by the STI group.</w:t>
      </w:r>
    </w:p>
    <w:p>
      <w:r>
        <w:t>433. Other documentary evidence described in the factual section is emblematic of the pervasive role of the STI group and its modus operandi in the market. This refers, for example, to the agreement between CNS and the STI group signed in May 2013 concerning a tender from ASL Torino 3 (TO3)392. The documentation in the records related to this tender also provides further proof that subcontracting did not respond to technical-organizational needs but was actually bent to other purposes (particularly compensatory-remunerative in favor of the STI group), to the extent that it could be ignored for convenience (“At the moment no one has called yet... shall we play dumb?”393; “there is a written agreement with Gestione Integrata to subcontract 5%: for now, let’s not say anything?”)394.</w:t>
      </w:r>
    </w:p>
    <w:p>
      <w:r>
        <w:t>It also refers to the 2016 agreement with MFM for the assignment of a subcontract to Gestione Integrata concerning the IntercentEr Pulizie tender395. Once again, the way of acting of the STI group emerges clearly, which is to distort the use of the subcontracting tool, in order to participate in tenders in a “non-transparent” manner whenever, for any reason, “visible” participation would not have been possible or convenient (in this case, “following a clarification from the contracting authority, it emerged that Gestione Integrata did not possess the necessary participation requirements. Gestione Integrata then asked MFM to receive a small share in subcontracting in case of award, and thus the agreement was reached”)396.</w:t>
      </w:r>
    </w:p>
    <w:p>
      <w:r>
        <w:t>434. Finally, it should be noted that the genesis of the above-commented document of “summary of commercial agreements between CSEL and the STI group”397, as reconstructed by CSEL itself, fully fits into the described context. The “commercial agreements” for FM4 were indeed compensatory in nature concerning the lost earnings resulting, for the STI group, from CNS's decision not to confirm the tender offers in the ‘official’ ATI (“probably the STI group had the problem of compensating for the loss of contracts caused by CNS's decision to withdraw from the tender, for which it was perhaps preparing to ask CSEL to carry out post-award engineering work with Exitone (it might have requested subcontracting or other work for FM4)”398.</w:t>
      </w:r>
    </w:p>
    <w:p>
      <w:r>
        <w:t xml:space="preserve">392 Doc. XVIII.1862.  </w:t>
        <w:br/>
        <w:t xml:space="preserve">393 Doc. XVIII.1862.  </w:t>
        <w:br/>
        <w:t xml:space="preserve">394 Doc. XVIII.1865.  </w:t>
        <w:br/>
        <w:t xml:space="preserve">395 Doc. XI.1352, doc. IV.1112, doc. IV.1106.  </w:t>
        <w:br/>
        <w:t xml:space="preserve">396 Doc. XXIII.2639.  </w:t>
        <w:br/>
        <w:t xml:space="preserve">397 Doc. XXIII.2606.  </w:t>
        <w:br/>
        <w:t>398 Doc. XXIV.2733.</w:t>
      </w:r>
    </w:p>
    <w:p>
      <w:r>
        <w:t>134 BULLETIN NO. 19 OF MAY 13, 2019</w:t>
      </w:r>
    </w:p>
    <w:p>
      <w:r>
        <w:t>2.10) The involvement of Kuadra in the agreement</w:t>
      </w:r>
    </w:p>
    <w:p>
      <w:r>
        <w:t>435. Contrary to what the company claims, in addition to Exitone of the STI group, Kuadra also played a significant role in the ATI with CNS, primarily due to its share of participation in the ATI itself (equal to 15% compared to the 4% of the other principal Exitone). As extensively highlighted, Kuadra actively participated in the drafting and refinement of the various subsequent versions of the Internal Regulation of the ATI. Kuadra also strongly opposed the decision of the principal to withdraw from the tender, even going so far as to initiate negotiations to revoke its mandate and reduce its shares of participation in the ATI. Furthermore, Kuadra's active role also emerged regarding the subcontracting agreement from the ATI CNS-Kuadra-Exitone in favor of Gestione Integrata. These are, clearly, further elements that attest to Kuadra's active involvement in defining the strategies of the ATI.</w:t>
      </w:r>
    </w:p>
    <w:p>
      <w:r>
        <w:t>436. On the other hand, the very participation of the company in the ATI led by CNS does not find rational alternative explanations, as confirmed by the principal itself. It has been seen, in fact, that CNS incorporated the cleaning company Kuadra into its ATI, despite having no need for it either in terms of revenue to meet participation requirements or in terms of internal resources that could have been activated alternatively (at the time of the events, more than two hundred companies located throughout the national territory were part of the CNS consortium, many of which were active in the cleaning sector), thus replicating the composition of the aforementioned Consip Pulizie Scuole tender. By agreeing to participate in an unnecessary ATI with CNS, Kuadra was able to carve out a market share without exposing itself to the risks associated with participation in the tender inspired by principles of competitiveness.</w:t>
      </w:r>
    </w:p>
    <w:p>
      <w:r>
        <w:t>437. In this regard, it is finally noted that Kuadra anticipated the assignment of subcontracting, concerning the portions of the FM4 contract relevant to it, to companies indicated by CNS (in particular, consortia of the same)399.</w:t>
      </w:r>
    </w:p>
    <w:p>
      <w:r>
        <w:t>2.11) On the defensive deductions formulated by the Parties</w:t>
      </w:r>
    </w:p>
    <w:p>
      <w:r>
        <w:t>438. In what follows, the replies to the main defensive arguments of the Parties, formulated during the Proceedings, are reported.</w:t>
      </w:r>
    </w:p>
    <w:p>
      <w:r>
        <w:t>2.11.1) On the evidentiary value of the pink slip</w:t>
      </w:r>
    </w:p>
    <w:p>
      <w:r>
        <w:t>439. The defensive arguments of the Parties that deny validity to the pink slip, described in the relevant section of the Provision, are entirely unfounded and contradictory, confirming through this means the full significance of this document.</w:t>
      </w:r>
    </w:p>
    <w:p>
      <w:r>
        <w:t>440. First of all, it is observed preliminarily that the pink slip has not been disowned, as to authorship and handwriting. Regarding the statements made to the judicial authority by its author less than two weeks apart, the following is noted.</w:t>
      </w:r>
    </w:p>
    <w:p>
      <w:r>
        <w:t xml:space="preserve">441. In particular, the author initially claimed that only the “holders of the decision-making power of the largest companies operating in the FM sector” would have been indicated, only to later state that the individuals who were “the references for the individual groupings” indicated in the initiation provision of the present Proceedings would have been indicated. In this regard, it is indeed entirely implausible:  </w:t>
        <w:br/>
        <w:t>399 Draft addendum to the Internal Regulation of the ATI (doc. XII.1373, doc. XVIII.2263, doc. XVIII.1884).</w:t>
      </w:r>
    </w:p>
    <w:p>
      <w:r>
        <w:rPr>
          <w:b/>
        </w:rPr>
        <w:t>[Pages 133–135]</w:t>
      </w:r>
    </w:p>
    <w:p>
      <w:r>
        <w:t>BULLETIN NO. 19 OF MAY 13, 2019 135</w:t>
        <w:br/>
        <w:t>- firstly, that a senior executive of the CNS, a deep connoisseur of the sector, would ask for information of this type, which is clearly known to any industry insider;</w:t>
        <w:br/>
        <w:t>- responding to such an improbable question in the manner used, namely by writing the relevant public and well-known data on a small piece of paper, and thus with an unwarranted caution in the manner of releasing such data, which indicates, if anything, the secrecy and confidentiality of the related content (in the absence of which it would have been far more logical and convenient to use other communication methods);</w:t>
        <w:br/>
        <w:t>- dividing the information on the note into a front part and a back part, characterized by different writing styles, indicating particularly on the back (in relation to well three companies out of the six overall mentioned on the note between front and back) only the names of such companies, without writing any names of the respective representatives, in a manner clearly irrelevant to the alleged question from which the note would have originated (namely who the "holders of decision-making power" of the companies were);</w:t>
        <w:br/>
        <w:t>- in this case, moreover, indicating on the back of the note two companies jointly, namely Dussmann and Siram; the meaning is well understood, instead, when considering that these are two companies that participated in FM4 jointly (in ATI);</w:t>
        <w:br/>
        <w:t>- additionally, citing as "holders of decision-making power" individuals who were not legal representatives of their respective companies (as occurs in two out of three cases on the front of the note);</w:t>
        <w:br/>
        <w:t>- again, that a senior executive of the CNS, an expert connoisseur of the sector, cited in 2017 as the representative of Cofely the current "holder of decision-making power" an individual who had resigned from such company three years prior (in 2014).</w:t>
        <w:br/>
        <w:t>442. In addition to the above, as emphasized by the CNS itself during the final hearing and final memorandum400, the drafter of the pink note made his statements to the judicial authority as a person under investigation. As such, his statements are, therefore, subject to a different legal regime compared to the statements made, also before the judicial authority, by the Risk Management &amp; Compliance/Internal Audit manager of the leniency applicant, the latter as a person informed of the facts (ex Article 351 of the Code of Criminal Procedure)401.</w:t>
        <w:br/>
        <w:t>443. As for the other arguments of the Parties regarding the evidentiary value of the pink note, it is first observed that the indications regarding its meaning: were provided by the applicant; were reiterated and confirmed by the same before the judicial authority and, lastly, in the final hearing before the Panel402; found further confirmation, as seen, from the total unfoundedness of the alternative explanations provided by its drafter; and have, in any case, found full support in all the investigations carried out and in the entire body of documentation submitted to the records.</w:t>
        <w:br/>
        <w:t>400 See doc. M.1 and doc. M.19.</w:t>
        <w:br/>
        <w:t>401 "Dr. [Risk Management &amp; Compliance/Internal Audit manager of the CNS] in his capacity as a person informed of the facts, confirmed, entirely and without any differences, the statements already made to the AGCM Investigation Directorate before the P.M. pursuant to Article 351 of the Code of Criminal Procedure to which he was obliged to respond as a person informed of the facts according to the truth. If Dr. Bua had provided false information, he would have been subject to criminal prosecution and punishable for the crime referred to in Article 371-bis of the Penal Code, which obviously has never happened. Therefore, it is evident that, even from this point of view, the specific evidentiary weight of the two statements is not even remotely comparable and easily explains the different version provided by the defendants during formal interrogation before the P.M.".</w:t>
        <w:br/>
        <w:t>402 "CNS fully confirms and in every detail what was stated at the time of the submission of the pink note on June 22, 2017, and during the hearing of July 5, 2018. And this also through the current presence of Dr. [Risk Management &amp; Compliance/Internal Audit] at the final hearing" (doc. M.19).</w:t>
      </w:r>
    </w:p>
    <w:p>
      <w:r>
        <w:t>136 BULLETIN NO. 19 OF MAY 13, 2019</w:t>
        <w:br/>
        <w:t>Regarding the presence of three companies on the back of the pink note (Dussmann, Siram, and Romeo), it is easily explainable and entirely consistent with the outcomes of the investigations carried out. In fact, it has been said that regarding Dussmann and Siram, the documentary evidence on file is not sufficient to conclude that these companies participated in the agreement here established. With reference to Romeo, reference is made to what was observed above (see the section regarding Romeo's involvement in the agreement). As for the lack of explicit mention of CSEL in the pink note and the alleged disparity of treatment with Dussmann and Siram, it is noted that CSEL is not, unlike these two companies, indicated on the back of the note (a situation that could have implied its opposition to Cofely's collusive strategy), while on the front part of the note, as is known, the representative of the ATI of CSEL, Cofely, is expressly indicated (on which fell the official burden of the final definition of the tender strategies). On the other hand, in fact, CSEL's involvement in the agreement, particularly as a link with the STI group, is widely demonstrated by the massive amount of documentation on file.</w:t>
        <w:br/>
        <w:t>444. Finally, regarding the Parties' challenge that the pink note would not have evidentiary value containing hearsay information and having been created at a time much later than that of the facts subject to investigation, it suffices to observe, regarding the first issue, how it was drafted and validated, not by representatives of the new management of the CNS, but by prominent representatives of the management of the CNS even at that time (in particular, as seen, it was handwritten by what was then the Commercial Director of the CNS and was validated by what was then the Technical Area Director of the CNS, both fully involved in defining the participatory strategies for the FM4 tender403). As for the second issue, it is noted that the request for access to leniency programs can occur following a change in ownership or in the top management of companies, as was indeed the case with the CNS: the pink note, therefore, was formed after the time of the facts precisely as a result of the fruitful evidence-gathering activity carried out by the new management of the CNS404. And this, it should be noted, in a context of bid rigging for which a criminal proceeding is also concurrently underway, "a circumstance that has made it particularly difficult for the new management of the CNS to obtain evidence"405, particularly from the individuals involved in such criminal proceedings, such as the drafter and the validator of the pink note.</w:t>
        <w:br/>
        <w:t>2.11.2) On the evidentiary value of the reference to the company Cofely contained in the pink note</w:t>
        <w:br/>
        <w:t>445. As mentioned in the relevant section of the Provision, in particular Cofely emphasized the inconsistency related to the fact that its representative cited in the pink note had resigned from the company precisely at the time of the FM4 tender announcement, and that for this representative a request for dismissal was subsequently made in the criminal proceeding.</w:t>
        <w:br/>
        <w:t>446. On this point, it is first observed that the revocation of the powers of representation of the Cofely representative in question occurred on March 24, 2014406, when the FM4 tender had already been announced by Consip. However, what is more relevant is that it is inconceivable that among the operators in the sector this announcement occurred suddenly and unexpectedly, catching them by surprise. Just from the fact that the tender agreements of the previous FM3 edition expired in November 2013 (and for one of the twelve lots even earlier, in July 2013), it was entirely rational to expect that shortly thereafter, as indeed happened, the contracting authority would announce the new FM4 edition. This is evidenced by many records of meetings among competitors in the Terotec context, referred to in the pink note, which occurred precisely during the last quarter of 2013407, when, therefore, the Cofely representative in question was fully in his functions.</w:t>
        <w:br/>
        <w:t>447. This is sufficient to refute what Cofely indicated on this point (and by all the Parties contesting the scope of the agreement). In any case, it is entirely rational that, after participating in such initial meetings, the Cofely representative in question transmitted the relevant information to his successors, creating a logical business continuity; it should be remembered in this regard that antitrust responsibilities always lie with the involved company and not with the individual who contributes to carrying out its conduct. In other words, the pink note consistently attests to the participation in the FM4 meetings of the competent Cofely representative until his resignation; the subsequent conduct of Cofely -regardless of the individual involved- aligns with the collusive nature of such meetings (it should be remembered that Cofely participated "regularly in the assembly and council meetings of Terotec," as indicated by Cofely itself in the final memorandum408).</w:t>
        <w:br/>
        <w:t>Moreover, there is significant evidence that attests to the involvement in the agreement of the ATI Cofely-CSEL through the link with the STI group also present in the ATI with CNS. This link is confirmed by the strong concerns clearly expressed by Romeo on the matter, as soon as he becomes aware of it (see the described interceptions from February 2016), which presumably led him to send the described report to the Authority (in April of the same year), where he denounces the "permanent cartel" particularly in place between STI, CNS, MFM with the involvement also of the ATI Cofely-CSEL.</w:t>
        <w:br/>
        <w:t xml:space="preserve">448. It should also be considered that it is entirely logical that the drafter of the pink note indicated that Cofely representative and not others, both because, as seen, he was present at the meetings (particularly at Terotec) prior to his resignation, and because this representative was a historical figure of Cofely, present in the company for decades409. It is, therefore, entirely physiological that, outside the company (the drafter of the note was indeed a representative of CNS and not of Cofely), </w:t>
        <w:br/>
        <w:t>406 Hearing minutes of Cofely, doc. XXII.2488.</w:t>
        <w:br/>
        <w:t>407 For example, documents doc. L24 attachment 3.1, doc. L24 attachment 3.2, and doc. L24 attachment 3.3 concern meetings in the Terotec context for discussions on the type tenders with emails dated, respectively, October 1, 2013, October 16, 2013, and November 13, 2013. See also all other documents related to meetings in Terotec for type tenders (such as documents doc. XI.1354, doc. XIV.1701, doc. XVIII.1877, doc. XVIII.1874, doc. XVIII.1869, and doc. XVIII.2265), for which the applicant confirmed the relevance concerning what is indicated in the pink note.</w:t>
        <w:br/>
        <w:t>408 Doc. M.5.</w:t>
        <w:br/>
        <w:t>409 "About 25 years," hearing minutes of Cofely (doc. XXII.2488).</w:t>
      </w:r>
    </w:p>
    <w:p>
      <w:r>
        <w:rPr>
          <w:b/>
        </w:rPr>
        <w:t>[Pages 136–138]</w:t>
      </w:r>
    </w:p>
    <w:p>
      <w:r>
        <w:t>138 BULLETIN NO. 19 OF MAY 13, 2019</w:t>
        <w:br/>
        <w:t>there was a deep and rooted identification between Cofely and the name associated with it in the note. Thus, this established, it is entirely physiological that the author of the pink note, in relation to FM4, identified Cofely with a representative who had followed the corporate events for twenty-five years rather than with its corporate successor who, after him, had followed the details of FM4 for three months (from the end of March to the beginning of July 2014).</w:t>
      </w:r>
    </w:p>
    <w:p>
      <w:r>
        <w:t>449. As for the developments in the criminal proceedings against Cofely, particularly regarding any of its representatives being under investigation or not, it suffices to recall here that such circumstances are irrelevant for the purposes of determining the antitrust responsibilities of Cofely in this Proceeding, given the absence of interdependence between this Proceeding and the criminal proceedings initiated at the Public Prosecutor's Office of Rome (as will be detailed in the appropriate section of this Provision).</w:t>
      </w:r>
    </w:p>
    <w:p>
      <w:r>
        <w:t>2.11.3) On the evidentiary value of "recommended" offers in meetings between "competitors"</w:t>
      </w:r>
    </w:p>
    <w:p>
      <w:r>
        <w:t>450. Regarding Romeo's arguments concerning the term "competitors" in doc. IX.1283 to be understood as its own consortium members who compete, it is preliminarily observed that it is not plausible that in informal internal contacts within a company reference is made to sophisticated legal concepts, moreover referred to consortia of different nature410 and using incomplete formulations (according to Romeo's thesis, in fact, the email interlocutors should have written "consortium competitors" and not "competitors").</w:t>
      </w:r>
    </w:p>
    <w:p>
      <w:r>
        <w:t>In any case, in the evidence acquired during the inspection at Romeo itself, the consortium members are referred to as "consortium members" and not "competitors"411. Likewise, on the other hand, the consortium members are designated as "consortium members" in all statements made verbatim by Romeo (inspection report and hearing report, see also the following paragraphs). Moreover, in no document on record concerning all the various ATI and all the various Consortia participating in FM4 has any member of such groupings ever referred to "gathered competitors" or "consortium competitors" referring, respectively, to members of their own ATI or their own Consortium.</w:t>
      </w:r>
    </w:p>
    <w:p>
      <w:r>
        <w:t>451. Furthermore, still regarding the issue in question, during the infra-procedural hearing, Romeo specified that the role of its consortium members in defining the tender offers pertains only to the initial phase, during which the indicated consortium members (as executors in case of award) are asked by Romeo for information regarding costs (for example, personnel costs). Based on such information, the economic offers to be proposed to the Chief Executive Officer are then calibrated by the Company's Tender Management - also with the assistance of external consultants as in the case of the email in question. This subsequent phase of processing and defining the discount offers to be made is the exclusive responsibility of Romeo, and from this phase the consortium members are also excluded for reasons of confidentiality, as it involves sensitive data by definition412.</w:t>
      </w:r>
    </w:p>
    <w:p>
      <w:r>
        <w:t>Thus, Romeo itself expressly stated during the inspection and hearing that the exchanges of information with the consortium members (particularly regarding personnel costs) occurred exclusively in the initial phase of the economic analysis, preparatory to the elaboration of the discount percentages, and certainly not in the phase of their definition413 and, therefore, even less so close to the deadline for the submission of offers, as in the case at hand414.</w:t>
      </w:r>
    </w:p>
    <w:p>
      <w:r>
        <w:t>452. On the other hand, if it had truly been a meeting with 'competitors', the reaction of the representative of Romeo ("but are these the minimum values? did you understand that this is the meeting with the competitors?", with the consequent downward adjustment of the discount percentages) indicates that it would have been Romeo's intention to show its consortium members offers less aggressive than they actually were, a situation that is evidently nonsensical in a meeting with such consortium members who are partners in ATI.</w:t>
      </w:r>
    </w:p>
    <w:p>
      <w:r>
        <w:t>453. Regarding the two further arguments of Romeo on the subject described in the relevant section of the Provision (the date of the email coinciding with the date of submission of offers by CNS and statements made in the criminal proceedings by its external consultant), the following observations are made.</w:t>
      </w:r>
    </w:p>
    <w:p>
      <w:r>
        <w:t>Firstly, it is not at all true that CNS finalized its offer on June 30, 2014, as artfully claimed by Romeo: in this regard, it suffices to consider that the minutes of the public session of the Consip tender commission of July 7, 2014 (the deadline for the submission of offers) officially report that CNS submitted the tender offers on July 4, 2014, thus after a time frame entirely compatible with the sharing of minimum prices with competitors.</w:t>
      </w:r>
    </w:p>
    <w:p>
      <w:r>
        <w:t>454. Secondly, the statements made by Romeo's external consultant are found to be lacking and difficult to share. In fact, there is no record - nor has Romeo produced or even mentioned in the final memorandum, in the final hearing, and throughout the course of the Proceeding - any request from Romeo to the external consultant regarding the average discount values in the facility management sector for the purposes of the Consip tender. Furthermore, the reference in the phrase "we are at double" to the discounts obtained by the University where the external consultant worked would be entirely incongruous in the context (literal and conceptual) of the email, as it would make no sense to compare the discounts obtained by a local University (which normally does not conduct tenders of this type, adhering to Consip agreements) with the discounts to be presented in a Consip tender of national significance and primary economic value.</w:t>
      </w:r>
    </w:p>
    <w:p>
      <w:r>
        <w:t>455. Finally, regarding the methodological arguments of MFM and the same Romeo described above (use of the weighted average and not exact correspondence of values between those in the email and those actually offered), the following is deduced. First of all, it is worth noting that, since there are different discount items each characterized by its own weight for determining the economic score, and the email in question reports "average" discounts for aggregated items, it is entirely appropriate that a weighted average is used for verifying correspondences, and not a simple arithmetic average as argued by MFM. On the other hand, when an average indication is provided for a set of items, it is received by the recipient of that indication primarily by acting on the main item, the one that has the greatest weight, and a verification of that correspondence is precisely what can yield a weighted average (and not a simple arithmetic average).</w:t>
      </w:r>
    </w:p>
    <w:p>
      <w:r>
        <w:t>It should also be noted that, in any case, the use of a weighted average instead of another type of mathematical average (this could have been, in fact, not only a simple arithmetic average but also a harmonic average, a geometric average, etc.) was not debated by Romeo, who is the author of the email in question and therefore of the mathematical calculations reported therein.</w:t>
      </w:r>
    </w:p>
    <w:p>
      <w:r>
        <w:t>As for the second issue, it is noted that the "minimal" nature of the prices indicated in the email and the 'prudent' function in relation to the winning ones corresponds to the actual offers of CNS for lot 3 and, even more so, to those of MFM for lot 11 (see numerical values reported in the factual part), for which there is full numerical adherence on a significant part of the offers submitted. In this regard, the fact that in lot 11 MFM overlapped with Manital Consorzio, and not with Romeo, is of no relevance, given that the chessboard had been agreed upon among all Parties.</w:t>
      </w:r>
    </w:p>
    <w:p>
      <w:r>
        <w:t>2.11.4) On the evidentiary value of interceptions derived from the criminal proceedings</w:t>
      </w:r>
    </w:p>
    <w:p>
      <w:r>
        <w:t>456. The request of CSEL to remove from the investigative file the telephone interceptions originating from the criminal proceedings, as they are unusable in this Proceeding, is to be rejected.</w:t>
      </w:r>
    </w:p>
    <w:p>
      <w:r>
        <w:t>457. In this case, in fact, the documentation in question has been acquired into the records of the Proceeding and used, for antitrust purposes, within the investigation following specific approvals from the Public Prosecutor415 and the prerequisites cited in the relevant jurisprudence are also met, namely "that the interceptions: are provided for by law (specifically: from Book III, Title III, Chapter III, of the Code of Criminal Procedure); are ordered by an independent judicial authority; are provided with adequate and sufficient procedural guarantees against abuses; constitute one of the main means of investigation for the repression of antitrust violations," as established by rulings of the Council of State relating to another case.</w:t>
      </w:r>
    </w:p>
    <w:p>
      <w:r>
        <w:rPr>
          <w:b/>
        </w:rPr>
        <w:t>[Pages 139–141]</w:t>
      </w:r>
    </w:p>
    <w:p>
      <w:r>
        <w:t>BULLETIN NO. 19 OF MAY 13, 2019 141</w:t>
      </w:r>
    </w:p>
    <w:p>
      <w:r>
        <w:t>procedure of the Authority (I-759 Supplies Trenitalia), which also analyze in detail the jurisprudence of the European Court of Human Rights invoked by CSEL416.</w:t>
      </w:r>
    </w:p>
    <w:p>
      <w:r>
        <w:t>458. That said, the further grounds for complaint raised by several Parties must also be rejected, this time relating to the selection of the overall criminal documentation and its decontextualized and in malam partem use. Firstly, it is noted that even in the present case, what was indicated by the administrative judge in the aforementioned rulings occurs, namely that “The companies involved have had ample access and the opportunity for counter-evidence regarding all the evidentiary elements on which the charges were based.” Furthermore, the outright acquisition of hundreds of thousands of pages in the criminal file instead of a selection of them, besides not guaranteeing the relevance of the contents and the confidentiality of the information that would thus be disseminated, would have harmed the efficiency of the administrative action and the defenses of the Parties themselves. In any case, the interceptions have been included in the records of the present Procedure always in the entirety of the relevant conversation, from its beginning to its end, and never in fragmented and decontextualized parts.</w:t>
      </w:r>
    </w:p>
    <w:p>
      <w:r>
        <w:t>2.11.5) On procedural exceptions and further requests made by Romeo and Romeo Partecipazioni</w:t>
      </w:r>
    </w:p>
    <w:p>
      <w:r>
        <w:t>459. Regarding the alleged violation of the expiry term referred to in Article 14 of Law 689/81, it is decisively observed that, according to settled jurisprudence, the invoked provision of Law 689/81 does not apply to the proceedings conducted by the Authority, due to the specific sector regulation. In particular, as reiterated in a recent ruling by the supreme administrative judge, “Article 14 of Law No. 689 of 1981 does not apply... for the regulation of the investigative phase of the procedure” initiated pursuant to Law No. 287/90, in relation to which the case is distinctly and autonomously regulated418.</w:t>
      </w:r>
    </w:p>
    <w:p>
      <w:r>
        <w:t>416 For example, Council of State ruling of July 10, 2018, No. 04211/2018: “With an additional reason common to all the appeals in the heading, the sanctioned companies contest the incorrectness of the ruling in the part where it deemed legitimate the use of telephone interceptions in the antitrust procedure. The reason is unfounded. [...] The usability, for the purpose of ascertaining violations of antitrust law, of the sources of evidence coming from the criminal procedure, contrary to what was feared by the appellant companies, does not conflict with conventional law. According to the jurisprudence of the European Court of Human Rights, telephone and environmental communications are part of the notion of ‘private life’ and ‘correspondence’ in the sense of Article 8 of the Convention. Their interception, the storage of the data thus obtained, and their eventual use in criminal proceedings constitutes an ‘interference by a public authority’ in the enjoyment of the right guaranteed by the aforementioned conventional provision. However, such interference does not violate Article 8 when it is ‘provided for by law’, pursues legitimate aims, and is ‘necessary in a democratic society’ to achieve them (Malone v. United Kingdom, August 2, 1984, § 64, Series A No. 82; Valenzuela Contreras v. Spain, July 30, 1998, § 47, Collection of Judgments and Decisions 1998-V). In the case at hand, all the aforementioned prerequisites are met, since the interceptions: are provided for by law (specifically: by Book III, Title III, Chapter III, of the Code of Criminal Procedure); are ordered by an independent judicial authority; are provided with adequate and sufficient procedural guarantees against abuses; constitute one of the main means of investigation for the repression of antitrust violations. Moreover, even on the internal constitutional front, the ‘freedom’ and ‘secrecy’ of ‘correspondence and any other form of communication’, which is the object of the ‘inviolable’ right protected by Article 15 of the Constitution, may be subject to limitations or restrictions ‘due to the unavoidable satisfaction of a primary public interest of constitutional relevance’, provided that the limiting intervention is strictly necessary for the protection of that interest and that the dual guarantee of the absolute reserve of law and the reserve of jurisdiction is respected (ex plurimis, Constitutional Court, ruling No. 20 of 2017).”</w:t>
      </w:r>
    </w:p>
    <w:p>
      <w:r>
        <w:t>417 Council of State, July 2, 2015, No. 3291, Procedure I-723 Intesa in the market for road barriers; Id. July 26, 2001, No. 4118 and April 3, 2009, No. 2092.</w:t>
      </w:r>
    </w:p>
    <w:p>
      <w:r>
        <w:t>418 Council of State, VI, July 22, 2014, No. 3893.</w:t>
      </w:r>
    </w:p>
    <w:p>
      <w:r>
        <w:t>142 BULLETIN NO. 19 OF MAY 13, 2019</w:t>
      </w:r>
    </w:p>
    <w:p>
      <w:r>
        <w:t>The Council of State has long clarified that Law No. 287/90 and the Authority's regulation (D.P.R. No. 217/1998) autonomously govern the sanctioning procedure, as opposed to what is provided for by Law No. 689 of 1981, and for this reason the reference to the latter contained in Article 31 of Law No. 287/90 applies “only as far as monetary sanctions are concerned... but not also in relation to the related procedure,” concluding for the non-applicability of the ninety-day term419. More generally, it should be recalled that, according to constant jurisprudence, the procedure for ascertaining violations governed by Law No. 287/90 is subject to a “special regulation, and therefore derogatory with respect to the general regulation [of Law No. 689/81], referred to as applicable (Article 31)”420. This is because the administrative judges have recognized the presence of greater guarantees, in terms of the protection of the adversarial principle, in the regulation of the procedure before the Authority governed by D.P.R. No. 217/98 and, for this reason, have recognized this special regulation as having a “tendentially typical and generally applicable character, in the sense that, ordinarily and predominantly, the Authority acts and exercises its powers in the forms deriving from the provisions of Article 14, Law No. 287/90”421.</w:t>
      </w:r>
    </w:p>
    <w:p>
      <w:r>
        <w:t>From a systematic perspective, there is therefore no doubt that, in the exercise of its functions of ascertaining “competitive” violations, such as those subject to the present Procedure, the Authority is required to act and exercise its powers in the forms provided for by Article 14 of Law No. 287/90 and by D.P.R. No. 217/98422.</w:t>
      </w:r>
    </w:p>
    <w:p>
      <w:r>
        <w:t>460. In any case, for mere scruple, it should also be noted that the criticism of the timeliness of the contestation is based on an erroneous and instrumental reconstruction by Romeo regarding the identification of the moment from which the term (inapplicable, as seen) of ninety days should be computed. In fact, contrary to what was artificially believed by Romeo, this term cannot coincide with the date of transmission of his own complaint (April 13, 2016), as at that moment the Authority was far from having acquired full knowledge of the unlawful conduct. In this case, in fact, the Authority initiated the present Procedure (on March 21, 2017) immediately after becoming aware of an adequate and detailed body of documentary evidence (reference is made here, in particular, to the documentation received from the contracting authority Consip on January 30 and February 9, 2017, following a specific request for information dated January 20, 2017), suitable to support the hypotheses for the initiation of an investigation (this was also recognized by the other applicant, Romeo Partecipazioni, during the final hearing423). It is quite evident how the statements made by Romeo in his brief complaint of April 13, 2016, which was not specifically focused on the FM4 tender, do not present the same characteristics at all.</w:t>
      </w:r>
    </w:p>
    <w:p>
      <w:r>
        <w:t>419 See Council of State, VI, July 26, 2001, No. 4181, Vigilance Institutes Sardinia; July 20, 2001, No. 4053, Agreements for the supply of fuels; March 2, 2009, No. 1190, Chipboard panels; April 3, 2009, No. 2092, Tenders for the supply of stoma devices.</w:t>
      </w:r>
    </w:p>
    <w:p>
      <w:r>
        <w:t>420 See Council of State, VI, July 20, 2001, No. 4053, Agreements for the supply of fuels and, in a consistent sense, Council of State, VI, March 8, 2010, No. 1307, Italgas.</w:t>
      </w:r>
    </w:p>
    <w:p>
      <w:r>
        <w:t>421 In this sense, see Council of State, VI, March 8, 2010, No. 1307, Italgas.</w:t>
      </w:r>
    </w:p>
    <w:p>
      <w:r>
        <w:t>422 See Council of State, VI, No. 1307/2010, cited.</w:t>
      </w:r>
    </w:p>
    <w:p>
      <w:r>
        <w:t>423 “The Authority initiated the procedure on March 21/23, 2017, having received from Consip the documentation related to the FM4 tender on January 30, 2017, and February 9, 2017” (doc. M.19).</w:t>
      </w:r>
    </w:p>
    <w:p>
      <w:r>
        <w:t>BULLETIN NO. 19 OF MAY 13, 2019 143</w:t>
      </w:r>
    </w:p>
    <w:p>
      <w:r>
        <w:t>461. Finally, it is noted that Romeo (and in one case also the parent company Romeo Partecipazioni) has made, both in the final memorandum424 and on several occasions beyond the deadline for closing the evidence acquisition phase, some irregular requests, concerning among other things (i) requests to the Offices to take a written position regarding certain deductions of his on the CRI; (ii) requests for supplementary investigation.</w:t>
      </w:r>
    </w:p>
    <w:p>
      <w:r>
        <w:t>In this regard, it is preliminarily stated that such requests are not provided for by the applicable regulation and, consequently, cannot be accepted.</w:t>
      </w:r>
    </w:p>
    <w:p>
      <w:r>
        <w:t>462. As for the requests directly addressed to the Offices, it is noted that within the antitrust procedure, their position regarding the contested charges is represented in the CRI, a document that crystallizes the overall outcome of the investigative activity carried out. Any further subsequent form of interaction of the individual Parties with the Offices, regarding the merits of the charges, is not provided for by the regulations governing the antitrust procedure, also in order to ensure equal treatment among the Parties and the separation between investigative and decisional functions. Therefore, from the consequent silence of the Offices regarding such irregular requests, no conclusion can be drawn regarding the sharing of what was expressed by the Party, remaining understood, however, that the position of the Offices on the charges made has been illustrated and reiterated during the final hearing before the College425.</w:t>
      </w:r>
    </w:p>
    <w:p>
      <w:r>
        <w:t>463. Regarding the request for supplementary investigation, motivated also by some developments in the criminal procedure, it is observed that, within the present Procedure, ongoing for over two years, Romeo has fully exercised his rights of defense, in full and effective respect of the adversarial principle, which has translated inter alia into the infra-procedural hearing with the Offices, in the final hearing before the College, in the production of documents and defensive memoranda, as well as in the formulation – with the related acceptance by the Authority - of two requests for extension of the terms of the Procedure. On the other hand, the developments of the criminal procedure, given their absolute independence from the antitrust procedure, are completely irrelevant, as extensively argued in the relevant section of the present Procedure.</w:t>
      </w:r>
    </w:p>
    <w:p>
      <w:r>
        <w:t>3) The absence of interdependence with the criminal procedure</w:t>
      </w:r>
    </w:p>
    <w:p>
      <w:r>
        <w:t>464. As is known, a criminal procedure concerning alleged offenses committed by various individuals in relation to the FM4 tender is pending at the Public Prosecutor's Office of Rome. Part of the documentation present in that criminal procedure has been acquired in the present Procedure, with specific clearances from the Prosecutor.</w:t>
      </w:r>
    </w:p>
    <w:p>
      <w:r>
        <w:t>465. In particular, two Parties (Cofely and Dussmann), as mentioned in the factual part, have argued emphasizing the fact that, against the only representatives of both companies involved in the criminal investigation, the Prosecutor of Rome has made a request for dismissal. Regarding the connections between the present antitrust procedure and the criminal procedure, it is important to emphasize the absolute lack of interdependence between them. It must indeed be highlighted that there is no prejudicial relationship between the two procedures in question, which are therefore destined to develop and conclude as a result of autonomous evaluations by the respective Authorities, according to their own timelines and in accordance with their respective regimes.</w:t>
      </w:r>
    </w:p>
    <w:p>
      <w:r>
        <w:rPr>
          <w:b/>
        </w:rPr>
        <w:t>[Pages 142–144]</w:t>
      </w:r>
    </w:p>
    <w:p>
      <w:r>
        <w:t>144 BULLETIN NO. 19 OF MAY 13, 2019</w:t>
        <w:br/>
        <w:t>regulatory and evidentiary standards. This is evidenced, for example, by the lack of full correspondence between the companies whose representatives are under investigation in the aforementioned criminal proceedings and the companies involved in the present antitrust proceedings.</w:t>
      </w:r>
    </w:p>
    <w:p>
      <w:r>
        <w:t>466. Turning to the arguments put forward by the aforementioned Parties, Dussmann's position, as seen, is considered external to the scope of the agreement established here. As for Cofely, in addition to what has been stated above, it suffices to recall that in the case of the antitrust proceedings, the responsibility of a company is assessed independently of the individual who, over time, deals with relevant issues within that company. This is also in consideration of the fact that the criminal proceedings concern the position of natural persons (albeit in the role of corporate representatives), while the antitrust proceedings concern economic operators (who, in this case, are corporate entities), with all the different implications related to operational continuity and the subjective imputability of the alleged violation in the event of turnover of multiple employees or corporate representatives attributable to the same corporate entity.</w:t>
      </w:r>
    </w:p>
    <w:p>
      <w:r>
        <w:t>Therefore, it is quite possible that a specific corporate representative may be exempt from criminal liability (for example, for having left the corporate organization before the completion of the criminal offense) and yet the company may be held liable for antitrust purposes because it – considered in its inseparability and organizational and operational unity – has fully committed the alleged anticompetitive offense, regardless of that representative's departure from the company.</w:t>
      </w:r>
    </w:p>
    <w:p>
      <w:r>
        <w:t>4) Imputability of conduct to the parent companies</w:t>
      </w:r>
    </w:p>
    <w:p>
      <w:r>
        <w:t>467. Several Parties to the Proceedings are parent companies of businesses operating in the market in question and that participated in the FM4 tender. The established conduct must also be attributed to these companies, jointly with the controlled companies.</w:t>
      </w:r>
    </w:p>
    <w:p>
      <w:r>
        <w:t>468. In particular, Kuadra is currently 100% owned by Esperia; the total ownership of Kuadra's capital occurred in December 2016, while at the time of the events, Esperia held a 68% stake. In any case, Kuadra's business was transferred to Esperia in March 2017, with the signing of a business lease agreement (including the activities subject to investigation), lasting seven years (until March 31, 2024) and with an express manifestation of interest in purchasing the branch already expressed by the lessee in the contractual context. This was followed, the following month, by the initiation of the liquidation procedure for Kuadra, with the substantial cessation of business activity. Esperia thus acquired Kuadra's facility management activity, a company that is in the process of liquidation: these are typical circumstances for the applicability of the principle of economic continuity.</w:t>
      </w:r>
    </w:p>
    <w:p>
      <w:r>
        <w:t>In this regard, it is also noted that the specific purpose of the principle of economic continuity is to prevent the objectives of repression and prevention of anticompetitive conduct from being circumvented through corporate operations, resulting in their compromise. In this case, the transfer of the activities subject to investigation from the entity participating in the infringement (Kuadra) to another entity (Esperia) occurred precisely in conjunction with the initiation of the present Proceedings, and moreover, the transferee had been inactive in the market until then.</w:t>
      </w:r>
    </w:p>
    <w:p>
      <w:r>
        <w:t>BULLETIN NO. 19 OF MAY 13, 2019 145</w:t>
        <w:br/>
        <w:t>469. In any case, even if one were to adhere to the thesis proposed by Esperia that the business lease agreement is part of an operation guided by the Court of Naples, what matters for the purposes of economic continuity is the acquisition of a company (which occurred in December 2016, a few months before the lease of the branch) that has ceased its activity in the market (as clearly indicated in relation to Kuadra by the same judicial administrators of the Court: “it is clear that it is impossible to implement any business restructuring program [...] Even an injection of liquidity from the current sole shareholder would not allow for the recovery of normal business activity”), to the extent that it has been placed in liquidation.</w:t>
      </w:r>
    </w:p>
    <w:p>
      <w:r>
        <w:t>470. The established conduct attributed to Kuadra is therefore attributed to it jointly with the parent company Esperia, by virtue of the consolidated principle of economic continuity (Kuadra is indeed in liquidation and has leased its business branch to said parent company), which allows for the attribution of the offense committed by a non-operational company to the entity that has legally succeeded it.</w:t>
      </w:r>
    </w:p>
    <w:p>
      <w:r>
        <w:t>471. With reference to the Manital and STI groups, already at the start of the Proceedings, the collusive hypotheses had been attributed to the parent companies (Manital and STI), based on the consideration that the latter, although not having directly participated in the FM4 tender, had decided the participation strategies related to that tender on behalf of the controlled companies. The documentation on file has confirmed this operational and strategic influence of these companies over the controlled entities.</w:t>
      </w:r>
    </w:p>
    <w:p>
      <w:r>
        <w:t>472. As for the Manital companies, the documentation on file related to Manital Consorzio is in fact related to the parent company Manital, which holds approximately 97% of the consortium shares and, as confirmed by the Manital group itself, plays a “decisive role” within Manital Consorzio in participating in public tenders such as FM4. Specifically, it is recalled that, as stated by the Parties themselves, “In general, both in the preparation of the public tender (such as the FM4 tender) and in the eventual awarding and execution of the related contracts, a decisive role is played by Manital, which directs operations among the consortium members due to the specific technical-administrative skills possessed.” Furthermore, the design and definition of tender strategies are developed by Manital, as these elements are covered by confidentiality with respect to consortium members other than Manital itself. It should also be noted that the Chairman of the Board of Directors of Manital Consorzio is the same individual who holds the position of Chairman of the Board of Directors in Manital (and that the Vice-Chairman of the Board of Directors of Manital is also a Board Member of Manital Consorzio). Finally, the share of Manital in executing the contracts, although lower than the percentage of participation in the Consortium (97%), is significantly higher than that of all other consortium members.</w:t>
      </w:r>
    </w:p>
    <w:p>
      <w:r>
        <w:t>473. Regarding the STI group, the documentation on file clearly supports the fact that the companies STI, Exitone (100% owned by STI), and Gestione Integrata (currently 90% owned by STI, at the time of the events 81% owned) operated in the market in question as a single economic entity, with a single chain of direction and control, also identifiable in terms of structural and organizational characteristics (common locations, top offices, executive personnel and management, the Tender Office, etc.). Specifically, within the STI group, the parent company STI is the nerve center and decision-making body of the group, especially with regard to participation in public tenders.</w:t>
      </w:r>
    </w:p>
    <w:p>
      <w:r>
        <w:t>474. In the final memoranda and final hearing, the various companies of the STI group contested, with identical arguments, the term “STI group.” In this regard, it is observed that, in reality, the STI group, far from being a non-existent entity, is configured as a group of companies that operates in the public procurement sector in a centralized and coordinated manner. This is incontrovertibly demonstrated, from a structural perspective, by the location of the Tender Office serving all the companies in the group under the parent company STI and by the identity of the operational headquarters of these companies and the mixing and duplication of roles and positions held by key representatives of the parent company in the various participating corporate entities. Further evidence of this centralized coordination can be gleaned from the abundant evidence on file and reported in the factual part of this Provision, which attest to contacts with the other Parties to the Proceedings by representatives of the companies in the STI group and from which a widespread confusion of roles held by them within the group emerges, as well as the use of email extensions attributable to the participating STI even for matters formally pertaining to a subsidiary.</w:t>
      </w:r>
    </w:p>
    <w:p>
      <w:r>
        <w:t>475. Finally, regarding the attribution of responsibility also to the other companies (Engie International, Romeo Partecipazioni, and Finanziaria Bigotti), which wholly or almost wholly control companies that are Parties to the Proceedings operating in the market in question and that participated in the FM4 tender (respectively Cofely, Romeo, and the STI group), the following is represented in light of the jurisprudence on the imputability of antitrust conduct to groups of companies.</w:t>
      </w:r>
    </w:p>
    <w:p>
      <w:r>
        <w:t>In particular, according to established community jurisprudence, starting from the presumption that companies holding 100% (or almost 100%) of the capital of their subsidiary exercise a decisive influence on the behavior and strategic and operational decisions of the latter, it is possible to attribute the anticompetitive conduct of the 'daughter' company also to the 'mother' company. Based on the so-called parental liability presumption, it is indeed presumed that, in the case of total (or almost total) participation in the share capital of a 'daughter' company, the latter does not autonomously determine its behavior in the market, but is subject to the decisive influence of the 'mother' company.</w:t>
      </w:r>
    </w:p>
    <w:p>
      <w:r>
        <w:t>476. That said, the defensive arguments put forward by Finanziaria Bigotti and Romeo Partecipazioni, aimed at highlighting the absence of actual strategic coordination on their part with respect to the controlled companies, do not suffice to overcome the described presumption of liability.</w:t>
      </w:r>
    </w:p>
    <w:p>
      <w:r>
        <w:rPr>
          <w:b/>
        </w:rPr>
        <w:t>[Pages 145–147]</w:t>
      </w:r>
    </w:p>
    <w:p>
      <w:r>
        <w:t>BULLETIN NO. 19 OF MAY 13, 2019 147</w:t>
      </w:r>
    </w:p>
    <w:p>
      <w:r>
        <w:t>Indeed, among these companies and their respective subsidiaries, there is an undeniable full mixing and confusion of corporate and/or operational headquarters and of representatives or majority shareholders. It is believed that the considerations made in the defensive memoranda of these companies, in which the absence of an actual exercise of direction towards their respective subsidiaries is argued, do not suffice to overcome the presumption of the attribution to the parent company of the strategic choices and responsibility for antitrust violations committed by wholly or almost wholly owned subsidiaries. This is due to the coincidence of the corporate representatives between the parent company and the subsidiary and the total mixing and confusion of headquarters and operational premises between the two companies432.</w:t>
      </w:r>
    </w:p>
    <w:p>
      <w:r>
        <w:t>477. More specifically, regarding Finanziaria Bigotti, at the time of the events subject to this Procedure, the same legal representative of STI and its subsidiaries, as well as the majority shareholder of Finanziaria Bigotti, was serving as the sole director of Finanziaria Bigotti. Furthermore, as argued by the company itself during the hearing, "The Sole Director of Finanziaria Bigotti has almost always been the Sole Director of STI S.p.a." (doc. XXIV.2722). Additionally, the operational headquarters of Finanziaria Bigotti has coincided, since 2009, with the operational headquarters of all the companies in the STI group and, not having specific personnel (as also argued by the company during the hearing), Finanziaria Bigotti cannot, evidently, have premises distinct from those of the other companies in the group. Finally, the exercise by Finanziaria Bigotti of the activity of direction and coordination over the group, pursuant to Articles 2497 and following of the Italian Civil Code, is reported in the company registry.</w:t>
      </w:r>
    </w:p>
    <w:p>
      <w:r>
        <w:t>478. As for Romeo Partecipazioni, at the time of the events, the sole director and majority shareholder of the company was the individual to whom the Romeo group is attributable. Furthermore, Romeo Partecipazioni and Romeo Gestioni share, now as then, the operational headquarters. Again, similarly to the previous case, not having an operational structure (as argued by the company itself during the hearing433), Romeo Partecipazioni cannot, evidently, have premises distinct from those of the other companies in the group. Finally, as confirmed during the hearing with the Offices, Romeo at the time of the events subject to investigation was subject to direction and coordination activities by Romeo Partecipazioni, pursuant to Articles 2497 and following of the Italian Civil Code; this activity ceased only from July 2017.</w:t>
      </w:r>
    </w:p>
    <w:p>
      <w:r>
        <w:t>479. With regard to Engie International, despite the final defensive memorandum produced in which the absence, on the part of the company, of an actual exercise of direction towards the subsidiary and the lack of operational activity in the Italian market is argued, it is believed that such general considerations, unsupported by concrete evidence, do not suffice to overcome the presumption of the attribution to the parent company of the strategic choices and responsibility for antitrust violations committed by wholly or almost wholly owned subsidiaries.</w:t>
      </w:r>
    </w:p>
    <w:p>
      <w:r>
        <w:t>480. Finally, with reference to the arguments of the aforementioned Parties (Finanziaria Bigotti, Romeo Partecipazioni, Engie International) that emphasize their nature as holding companies/financial companies, it is highlighted that, as confirmed by jurisprudence, the joint liability of parent companies for antitrust violations committed by subsidiaries, in which the former hold all or almost all of the capital, is independent of the proof of actual involvement of the parent companies in the commercial management of the subsidiaries and, thus, also applies in the case of merely financial capital participations434.</w:t>
      </w:r>
    </w:p>
    <w:p>
      <w:r>
        <w:t>5) The contribution provided by the leniency applicant</w:t>
      </w:r>
    </w:p>
    <w:p>
      <w:r>
        <w:t>481. Pursuant to paragraph 2 of the Communication on non-imposition and reduction of sanctions, the benefit of total immunity from sanctions may be granted to the company that, first, voluntarily provides the Authority with decisive information or documentary evidence for the ascertainment of the existence of an agreement (allowing, if necessary, a targeted inspection).</w:t>
      </w:r>
    </w:p>
    <w:p>
      <w:r>
        <w:t>482. If the evidence produced, on the other hand, strengthens or contributes appreciably, but not decisively, to the Authority's ability to provide proof of the infringement, the company may access the benefit of a reduction of the sanction, pursuant to paragraph 4 of the same Communication.</w:t>
      </w:r>
    </w:p>
    <w:p>
      <w:r>
        <w:t>483. In this regard, the jurisprudence of the Court of Justice has stated that the "first" cooperating company "does not need to have provided all the elements necessary to prove all the details of the functioning of the agreement, but it is sufficient for it to provide decisive elements." It is not required, moreover, that "the elements provided are, in themselves, 'sufficient' for the drafting of a statement of objections or even for the adoption of a final decision that ascertains the existence of an infringement"435. The information provided by the applicant can be considered, for this purpose, "much more than a source that allows for the orientation of the investigations to be carried out"436, and can also be used directly by the Authority to prove the existence of the agreement. In this regard, it is also noted that the Authority "has a certain discretionary margin to assess whether the cooperation of a company has been 'decisive' [...] for the ascertainment of the existence of an infringement"437.</w:t>
      </w:r>
    </w:p>
    <w:p>
      <w:r>
        <w:t>484. For the case at hand, preliminarily, it is noted that in July 2015, therefore close to the closure of the previous procedure I785 – Consip tender for cleaning services in schools, the CNS completely renewed its management, in order to implement so-called self-cleaning measures. This is expressly highlighted by CNS in its oral leniency statement (doc. L.4). The leniency application thus comes from a subject whose management has been completely revisited compared to that present at the time of the events.</w:t>
      </w:r>
    </w:p>
    <w:p>
      <w:r>
        <w:t>485. Also preliminarily, it is recalled that even before joining the leniency program, in March 2016, CNS as the lead contractor unilaterally (and against the will of the contracting parties Kuadra and Exitone) decided not to confirm the offers submitted for FM4 by its ATI, thereby withdrawing from the tender and explicitly dissociating itself from the previously established agreement.</w:t>
      </w:r>
    </w:p>
    <w:p>
      <w:r>
        <w:t>434 Thus, most recently, EU Court, T-419/14.</w:t>
      </w:r>
    </w:p>
    <w:p>
      <w:r>
        <w:t>435 Court of Justice, judgment of September 3, 2009, in joined cases C-322/07P, C-327/07P and C-338/07, Papierfabrik August Koehler AG, Bolloré SA, Distribuidora Vizcaína de Papeles SL/Commission. Similarly, the Court had already ruled in the judgment of July 9, 2009, in case C-511/06 P, Archer Daniels Midland Co./Commission.</w:t>
      </w:r>
    </w:p>
    <w:p>
      <w:r>
        <w:t>436 Court of Justice, judgment of July 9, 2009, Archer Daniels Midland Co./Commission cited.</w:t>
      </w:r>
    </w:p>
    <w:p>
      <w:r>
        <w:t>437 Court of Justice, judgment of July 9, 2009, Archer Daniels Midland Co./Commission cited.</w:t>
      </w:r>
    </w:p>
    <w:p>
      <w:r>
        <w:t>BULLETIN NO. 19 OF MAY 13, 2019 149</w:t>
      </w:r>
    </w:p>
    <w:p>
      <w:r>
        <w:t>486. From the perspective of the evidence documentation provided, it is believed that, although CNS began its cooperation at a time subsequent to the initiation of the Procedure, the company has provided a significant contribution to the ascertainment of the agreement established here, allowing for the strengthening of the evidentiary framework already available to the Authority.</w:t>
      </w:r>
    </w:p>
    <w:p>
      <w:r>
        <w:t>487. In particular, noteworthy is the handwritten note referred to as the pink slip438 which, although not contemporaneous to the time of the events439, is an exogenous piece of evidence of particular significance as it was written by a key representative of CNS (at that time the Commercial Director) and validated by another key individual (at that time the Technical Area Director), both fully involved in defining CNS's participatory strategies for the FM4 tender440.</w:t>
      </w:r>
    </w:p>
    <w:p>
      <w:r>
        <w:t>488. Specifically, as seen, the pink slip indicates the names of the individuals and companies that on a specific occasion met with CNS to discuss the FM4 tender, in the context of a plurality of concerted meetings that took place among the same subjects within the Terotec associative laboratory (particularly during discussions related to the issue of standard tenders). This circumstance was first illustrated by the applicant441 and was subsequently confirmed and elaborated upon by the applicant during the infra-procedural hearing442 and reiterated, lastly, by the applicant during the final hearing before the Panel443. In the infra-procedural hearing, in addition, new documents were produced attesting to meetings at Terotec not previously present in the records.</w:t>
      </w:r>
    </w:p>
    <w:p>
      <w:r>
        <w:t>489. In a case of bid rigging such as the one under examination, such a document constitutes a piece of evidence capable of significantly strengthening the evidentiary framework available to the Authority.</w:t>
      </w:r>
    </w:p>
    <w:p>
      <w:r>
        <w:t>490. It should also be noted that the applicant provided the indication444 of the presence at its corporate headquarters of documents and electronic supports not previously inspected by the Authority, an indication that prompted the Authority's decision to conduct a second inspection at the CNS headquarters (in addition to what was carried out at the start of the investigation). In this regard, it is highlighted that relevant documentation has consequently been acquired, both from an objective perspective (FM4 tender) and a subjective perspective (employees who played a significant role in defining the tender strategies)445, which has completed the informational set already available to the Authority. This denotes the full cooperation provided by CNS in locating and making available to the Offices any element potentially useful for investigative purposes.</w:t>
      </w:r>
    </w:p>
    <w:p>
      <w:r>
        <w:t>438 Doc. L.3 and doc. L.24.</w:t>
      </w:r>
    </w:p>
    <w:p>
      <w:r>
        <w:t>439 It was indeed drafted on June 12, 2017, and validated on June 15, 2017.</w:t>
      </w:r>
    </w:p>
    <w:p>
      <w:r>
        <w:t>440 At the time of the events, the two representatives in question held the roles of, respectively, Commercial Director for the North Area and Director of Design and Development.</w:t>
      </w:r>
    </w:p>
    <w:p>
      <w:r>
        <w:t>441 Doc. L.3.</w:t>
      </w:r>
    </w:p>
    <w:p>
      <w:r>
        <w:t>442 Doc. L.24.</w:t>
      </w:r>
    </w:p>
    <w:p>
      <w:r>
        <w:t>443 See doc. M.19.</w:t>
      </w:r>
    </w:p>
    <w:p>
      <w:r>
        <w:t>444 Doc. L.4.</w:t>
      </w:r>
    </w:p>
    <w:p>
      <w:r>
        <w:t>445 This includes all documentation marked with the Roman numeral XVIII (from doc. XVIII.1855 to doc. XVIII.2285), described in the factual part.</w:t>
      </w:r>
    </w:p>
    <w:p>
      <w:r>
        <w:rPr>
          <w:b/>
        </w:rPr>
        <w:t>[Pages 148–150]</w:t>
      </w:r>
    </w:p>
    <w:p>
      <w:r>
        <w:t>150 BULLETIN NO. 19 OF MAY 13, 2019</w:t>
      </w:r>
    </w:p>
    <w:p>
      <w:r>
        <w:t>491. The additional documentation and information provided by the applicant also add significant value to the proof of the agreement. In particular, regarding the role played by the STI group in the FM4 tender, consider what was indicated by the leading CNS regarding the fact that Exitone had a proactive role, and not merely that of a 4% mandator446. Furthermore, consider what was indicated by CNS during the Proceedings regarding the fact that its ATI with Exitone and Kuadra was not necessary for participation in the tender. Consequently, for CNS, the association with the STI group and Kuadra for the FM4 tender responded to logics different from the need to meet participation requirements.</w:t>
      </w:r>
    </w:p>
    <w:p>
      <w:r>
        <w:t>492. During the Proceedings, the applicant also repeatedly indicated that, despite the in-depth analysis carried out by the new management, including consulting senior company figures from the time of the events, no economic rationale was found that could provide alternative explanations regarding the evident anomalies in the behaviors exhibited. In this regard, consider the economic rationales related to: (i) the choice of the number and identity of the offer lots; (ii) the choice of the discounts offered; (iii) the choice of the participation strategy, particularly with reference to the consortium member MFM, with respect to which no overlap was found on the eighteen lots put to tender; (iv) the choice of external mandators to the consortium, including with reference to Kuadra, considering that the consortium included at the time of the events more than two hundred companies located throughout the national territory, which could have been alternatively resorted to; (v) the subcontracting agreement between the mandator Kuadra and some CNS consortium members; (vi) the choice to formalize - and thus potentially make known to third parties - the establishment of the ATI and the number and identity of the selected lots with significant, anomalous, advance compared to the deadline for submitting offers.</w:t>
      </w:r>
    </w:p>
    <w:p>
      <w:r>
        <w:t>493. Of relevance for reconstructing the overall collusive scheme among the Parties is also the documentation provided regarding the ongoing negotiations between CNS and the STI group for reaching compensatory agreements (compensation for losses in FM4 with gains in another Consip tender, SIE3), particularly through subcontracts in favor of Exitone or the increase of its relative ATI share in that tender. The documentation concerning the settlement agreements in question confirms the role and importance of the STI group within the ATI in which it was present in a "visible" manner.</w:t>
      </w:r>
    </w:p>
    <w:p>
      <w:r>
        <w:t>494. In evaluating the quality and usefulness of the cooperation provided, and the consequent amount of the reduction of the sanction, it is believed that, taking into account the evidentiary elements already in the possession of the Authority, the contribution of CNS, while not having decisively contributed to the ascertainment of the infringement, has provided appreciable added value.</w:t>
      </w:r>
    </w:p>
    <w:p>
      <w:r>
        <w:t>495. In consideration of the above, the Authority believes that the conditions for reducing the sanction against CNS by 50% are met.</w:t>
      </w:r>
    </w:p>
    <w:p>
      <w:r>
        <w:t>6) Harm to trade between Member States</w:t>
      </w:r>
    </w:p>
    <w:p>
      <w:r>
        <w:t>496. According to the European Commission447, the concept of harm to trade between Member States must be interpreted taking into account the direct or indirect, actual or potential influence on trade flows between Member States. In this case, significant in this regard are, first of all, the fact that the Parties to the Proceedings constitute the main operators in the national market for facility management services and that the Parties themselves offer such services throughout the national territory, along with the community relevance of the tender procedure in question and the fact that the services subject to this tender concern the entire national territory. Consequently, the agreement under examination, being capable of harming trade between Member States, must be assessed pursuant to Article 101 TFEU.</w:t>
      </w:r>
    </w:p>
    <w:p>
      <w:r>
        <w:t>VII. CONCLUSIONS</w:t>
      </w:r>
    </w:p>
    <w:p>
      <w:r>
        <w:t>497. From the collection of evidentiary elements, it emerges, quite evidently, that, in relation to the fourth edition of the public tender for the provision of facility management services throughout the national territory, announced by the contracting authority Consip on March 19, 2014, the companies that are Parties to the Proceedings have entered into an agreement, primarily in the form of coordinated practices, aimed at reducing and/or eliminating any uncertainty regarding the participation and bidding strategies for this tender, with the objective of achieving a division of its eighteen lots, for a total value of approximately 2.7 billion euros.</w:t>
      </w:r>
    </w:p>
    <w:p>
      <w:r>
        <w:t>498. This was realized, specifically, through active behaviors (particularly in terms of the choice of participated lots and the discounts offered) and omissive behaviors (particularly in terms of the choice of non-participated lots) of mutual coordination, in a climate of deep-rooted collaborative and compensatory relationships among the Parties.</w:t>
      </w:r>
    </w:p>
    <w:p>
      <w:r>
        <w:t>499. The coordinated practices and/or agreements in question can be traced, on the one hand, to the presence of elements of objective verification - among which are meetings, gatherings, exchanges of sensitive information, commercial agreements, and various other written agreements - that reveal the existence of the agreement and, on the other hand, to the impossibility of alternatively explaining the anomalies in the behaviors observed as plausible and rational outcomes of the independent entrepreneurial initiatives of the Parties.</w:t>
      </w:r>
    </w:p>
    <w:p>
      <w:r>
        <w:t>500. During the participation in the FM4 tender, in fact, the autonomy that should characterize the activities of the companies was compromised and conditioned by the pursuit of a single anti-competitive scheme, articulated and complex, which neutralized any incentive for the Parties to adopt independent behaviors.</w:t>
      </w:r>
    </w:p>
    <w:p>
      <w:r>
        <w:t>447 2004/C 101/07 - Guidelines on the notion of harm to trade between Member States under Articles 81 and 82 of the Treaty, published in OJCE C 101/81 of April 27, 2004. Similarly, in judgments no. 896 of February 9, 2011, no. 5171 and no. 5172 of September 16, 2011, Price List of Pasta, the Council of State referred to national and European jurisprudence according to which, in particular, "the suitability of an agreement to affect trade between Member States, that is, its potential effect, is sufficient for it to fall within the scope of Article 81 of the EC Treaty (now Article 101 TFEU), without the need to demonstrate the existence of actual harm." The TAR Lazio, in non-definitive judgment no. 8951 of November 17, 2011, Retail Sale of Cosmetic Products, also considered that harm to trade between Member States is satisfied "when the agreement appears capable of influencing, even only potentially, the flows of trade between Member States and the limitation of competitive confrontation in the aforementioned sector within a single Member State seems able to cause such harm, even taking into account the supranational dimensions of the groups to which some of the interested companies belong."</w:t>
      </w:r>
    </w:p>
    <w:p>
      <w:r>
        <w:t>501. All of this would have led, had it not been for the procedural events following the submission of the offers (withdrawals from the tender, exclusions from it, suspension of the award of the procedure by the contracting authority), to a complete division of the eighteen lots put to tender among the Parties CNS (and the members of its ATI Exitone of the STI group and Kuadra), MFM, the Manital group, Romeo, and the ATI Cofely-CSEL. The Parties have thus fully completed the collusive scheme devised. The concrete implementation of the agreement, regardless of the subsequent procedural events, had the effect of eliminating the level of competition in each lot put to tender, to the detriment of the contracting Public Administrations.</w:t>
      </w:r>
    </w:p>
    <w:p>
      <w:r>
        <w:t>502. The numerous findings in the records, which also include the documentary contribution provided by the leniency applicant and the documentation acquired from the criminal file opened at the Public Prosecutor's Office of Rome, highlight that the meetings and contacts that occurred among the competitors, even within industry organizations such as Terotec, as well as the actions developed and shared by them to condition the determination of the tender outcome, were carried out systematically and were univocally aimed at the concordant achievement of an artificial tender result. The evidence in the records intertwines and complements each other, giving rise to the evidence of a factual unicum - articulated and complex - that constitutes proof of the alteration of the physiological competitive mechanisms that should have operated in the submission of offers for the FM4 tender.</w:t>
      </w:r>
    </w:p>
    <w:p>
      <w:r>
        <w:t>503. It is therefore proven that there exists a complex intertwining of contacts and agreements that pertain to the Parties, as a corollary of the coordination in the submission of tender offers for FM4. In this regard, in particular, there has been a generalized distorted use, by the Parties and particularly by the STI group, of negotiation tools such as subcontracting, bent to purposes different from those proper to the institution, especially to circumvent issues related to "visible" participation in a tender and/or to obtain compensatory reimbursements. The documentation in the records demonstrates how the recourse to subcontracting is widely generalized448. The recourse to the institution of temporary grouping has also proven to be distorted, in the practical use of the same by the Parties: all the ATIs established by them for participation in the FM4 tender are, in fact, unnecessary and preordained to the realization of the divisive scheme449. Even the same percentages of ATI could be considered by the Parties as 'currency of exchange': such percentages, as modified according to convenience, lent themselves,</w:t>
      </w:r>
    </w:p>
    <w:p>
      <w:r>
        <w:t>448 Consider the agreements or negotiations for subcontracts from Kuadra to CNS consortium members, from CNS to Integrated Management, always from CNS to Exitone or, in relation to tenders other than FM4, from MFM to Integrated Management, from MFM to Manital, from CNS to Exitone and Integrated Management.</w:t>
      </w:r>
    </w:p>
    <w:p>
      <w:r>
        <w:t>449 In particular, (i) the ATI established by CNS allowed for the support of Kuadra and, above all, the STI group, thus replicating the same collusive scheme devised for the School Cleaning tender; (ii) the ATI established by Cofely allowed for the involvement of CSEL and, in this way, the STI group, which played a primary role in the agreement; (iii) the ATI established by Romeo allowed for depriving competitors outside the perimeter of the agreement of the possible assistance of the companies adhering to its consortium (Consorzio Stabile Romeo Facility Services 2010).</w:t>
      </w:r>
    </w:p>
    <w:p>
      <w:r>
        <w:rPr>
          <w:b/>
        </w:rPr>
        <w:t>[Pages 151–153]</w:t>
      </w:r>
    </w:p>
    <w:p>
      <w:r>
        <w:t>BULLETIN NO. 19 OF MAY 13, 2019 153</w:t>
      </w:r>
    </w:p>
    <w:p>
      <w:r>
        <w:t>Indeed, for purposes different from those for which a temporary association of enterprises should be established and operate over time450.</w:t>
      </w:r>
    </w:p>
    <w:p>
      <w:r>
        <w:t>504. The evidentiary findings in the records fully demonstrate the collusive framework of the established illicit conduct, revealing the anti-competitive agreement as the only plausible interpretative key suitable to explain the described evidentiary framework. This interpretative key complements what emerges from the exogenous evidence, which is by its nature - as also highlighted by established jurisprudence - fragmentary and sporadic, considering the notoriety of the prohibition against participating in anti-competitive agreements.</w:t>
      </w:r>
    </w:p>
    <w:p>
      <w:r>
        <w:t>505. The conduct in question qualifies as a unique and complex agreement, implemented during a public tender of particular significance and economic value, which summarizes all the main contents of hard-core horizontal agreements. The investigations carried out have also allowed for the verification of the secret nature of the agreement (see infra) and its concrete implementation.</w:t>
      </w:r>
    </w:p>
    <w:p>
      <w:r>
        <w:t>506. In conclusion, therefore, it is a horizontal agreement, of a secret and restrictive nature regarding its object, implemented in relation to the FM4 tender by the main national operators active in the provision of facility management services, in the form of agreed practices and/or agreements.</w:t>
      </w:r>
    </w:p>
    <w:p>
      <w:r>
        <w:t>VIII. GRAVITY, CONSISTENCY, AND SECRECY OF THE AGREEMENT</w:t>
      </w:r>
    </w:p>
    <w:p>
      <w:r>
        <w:t>507. Article 15, paragraph 1, of Law No. 287/90 provides that the Authority, in cases of serious infringements, taking into account their severity and duration, shall impose an administrative pecuniary sanction of up to ten percent of the turnover achieved by each enterprise or entity in the last financial year closed prior to the notification of the warning adopted as a result of the investigative procedure.</w:t>
      </w:r>
    </w:p>
    <w:p>
      <w:r>
        <w:t>508. According to established community and national jurisprudence, to assess the severity of an infringement, a large number of factors must be considered, the nature and importance of which vary depending on the type of infringement and its particular circumstances. Among these factors, the nature of the restriction of competition as well as the role and market representation of the involved enterprises are particularly relevant.</w:t>
      </w:r>
    </w:p>
    <w:p>
      <w:r>
        <w:t>509. Regarding the nature of the agreement in question, based on the investigative findings, it has been established that the Parties have implemented, with reference to the Consip tender named FM4, a secret, unique, and complex horizontal agreement, restrictive of competition, aimed at the allocation of the lots put to tender, so as to neutralize the competitive confrontation for the awarding of contracts, thereby undermining the prerequisites for selecting the best contractual counterpart for the Public Administration concerning the services subject to assignment. The agreement is also particularly consistent, as the Parties constitute the major operators in the relevant sector (it should be noted, for example, that the total ceiling of all previous editions of the Consip tender for facility management was awarded approximately 81% by the Parties or their ATI).</w:t>
      </w:r>
    </w:p>
    <w:p>
      <w:r>
        <w:t>Furthermore, the agreement in question has been implemented by the Parties. The concrete implementation of the agreement has had the effect of eliminating the level of competition in each lot put to tender, to the detriment of the contracting Public Administrations.</w:t>
      </w:r>
    </w:p>
    <w:p>
      <w:r>
        <w:t>450 Consider the negotiation initiated by Kuadra to modify the shares of its grouping or the discussions between the STI group and CSEL to reconfigure the formal ATI shares of the Cofely-CSEL grouping.</w:t>
      </w:r>
    </w:p>
    <w:p>
      <w:r>
        <w:t>154 BULLETIN NO. 19 OF MAY 13, 2019</w:t>
      </w:r>
    </w:p>
    <w:p>
      <w:r>
        <w:t>510. The agreement is to be considered secret in light of the methods through which it was designed and implemented, which involved only the interested Parties, particularly through the organization of non-public meetings and gatherings attended solely by them, as well as the use of 'fake' or 'loss-making' bids aimed at simulating externally the existence of a competitive confrontation that was actually non-existent or, furthermore, the drafting of documents in ways that clearly indicate the secrecy and confidentiality of the related content (consider the internal excel sheet of some Parties titled "Summary of Commercial Agreements" or even the pink slip) or the non-public drafting of agreements and drafts of agreements between the Parties.</w:t>
      </w:r>
    </w:p>
    <w:p>
      <w:r>
        <w:t>511. The described behavior is considered among the most serious violations of antitrust law as, by its very nature, it appears capable and intended to alter the normal functioning of competition. The established anti-competitive behaviors thus constitute a very serious infringement of Article 101 TFEU.</w:t>
      </w:r>
    </w:p>
    <w:p>
      <w:r>
        <w:t>IX. QUANTIFICATION OF SANCTIONS</w:t>
      </w:r>
    </w:p>
    <w:p>
      <w:r>
        <w:t>512. In order to quantify the sanction, it is necessary to take into account the provisions of Article 11 of Law No. 689/1981, as recalled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 while also respecting the provisions of Article 15, paragraph 1, of Law No. 287/90 regarding the maximum limit of 10% of total enterprise turnover.</w:t>
      </w:r>
    </w:p>
    <w:p>
      <w:r>
        <w:t>513. Following points 7 and following of the Guidelines, the base amount of the sanction is obtained by multiplying a percentage of the value of sales, determined based on the level of severity of the infringement, by the duration of each enterprise's participation in the infringement, and adding to this amount the amount related to the so-called entry fee.</w:t>
      </w:r>
    </w:p>
    <w:p>
      <w:r>
        <w:t>514. With specific reference to collusion in public procurement procedures, based on point 18 of the Guidelines, "in general, even in cases of collusion in public procurement procedures, the Authority will consider the value of sales directly or indirectly affected by the illicit conduct. In principle, this value corresponds, for each enterprise participating in the collusive practice, to the amounts subject to award or put to auction in the absence of an award or otherwise awarded as a result of private negotiation in the procedures affected by the infringement, without the need to introduce adjustments for the duration of the infringement according to the previous paragraphs."</w:t>
      </w:r>
    </w:p>
    <w:p>
      <w:r>
        <w:t>515. Therefore, since this case involves a collusion scenario in public procurement procedures, the value of sales directly or indirectly affected by the antitrust infringement corresponds, for each enterprise (or grouping of enterprises) participating in the cartel, to the amounts subject to award or put to auction in the absence of an award. Considering the provisions of the special tender law, the maximum total amount provided for each lot is identified as the award amount, given that the discounts presented during the tender concerned the unit prices of the services offered to be practiced within the maximum contractual value defined by the tender. The special tender law indeed provides, for each of the lots put to tender, a maximum contractual amount, up to which the respective awardee must ensure the provision of services (cleaning and maintenance) at the prices resulting from the tender procedure.</w:t>
      </w:r>
    </w:p>
    <w:p>
      <w:r>
        <w:t>516. Consequently, the initial data used for calculating the base amount of the fine relates to the maximum contractual values for each lot, as defined by the tender. This is, in fact, the turnover that the Parties would have achieved as a result of the concerted action implemented, and therefore, the aforementioned values measure the value of sales of the services subject, directly or indirectly, to the infringement.</w:t>
      </w:r>
    </w:p>
    <w:p>
      <w:r>
        <w:t>517. Although all the Parties conditioned the entire tender, with active and passive conduct, the various lots are attributed to the individual Parties (or their ATI) in accordance with the tender outcomes that would have occurred in line with the collusive design established by the Procedure; this is independent of the procedural events following the submission of bids and at the time evidently unpredictable451.</w:t>
      </w:r>
    </w:p>
    <w:p>
      <w:r>
        <w:t>518. This attribution can be schematized in the following terms452:</w:t>
        <w:br/>
        <w:t>- ATI CNS-Exitone-Kuadra: lot 4, lot 6, lot 12, and lot 17;</w:t>
        <w:br/>
        <w:t>- MFM: lot 1, lot 5, lot 7, and lot 15;</w:t>
        <w:br/>
        <w:t>- Manital Consorzio: lot 2, lot 11, lot 14, and lot 16;</w:t>
        <w:br/>
        <w:t>- Romeo: lot 3, lot 13, and lot 18;</w:t>
        <w:br/>
        <w:t>- ATI Cofely-CSEL: lot 8 and lot 10.</w:t>
      </w:r>
    </w:p>
    <w:p>
      <w:r>
        <w:t>519. The above listing does not include lot 9, where the ATI of CNS ranks first, which, however, should have ceded this lot to the second-ranked (ATI Dussmann-Siram) due to the award limits provided by the special tender law, which established a maximum of four lots, to be ordered in descending order of value (the lot in question is characterized by the lowest amount in absolute terms, along with lot 8).</w:t>
      </w:r>
    </w:p>
    <w:p>
      <w:r>
        <w:t>520. For cases of participation in the tender in temporary groupings (ATI CNS-Kuadra-Exitone and ATI Cofely-CSEL), each individual Party is attributed the fraction of the value of the affected lots corresponding to their respective percentage share of the ATI (for the first ATI: CNS 81%, Kuadra 15%, and Exitone 4%; for the second ATI: Cofely 35% and CSEL 10%). For the case of Romeo, being an internal ATI of the group (i.e., constituted with a consortium controlled by the parent company Romeo Partecipazioni), the entire value of the affected lots is considered.</w:t>
      </w:r>
    </w:p>
    <w:p>
      <w:r>
        <w:t>521. The initial amount for calculating the sanctions, resulting from the above, is summarized in the following table for all Parties, including the applicant CNS.</w:t>
      </w:r>
    </w:p>
    <w:p>
      <w:r>
        <w:t>COMPANY INITIAL AMOUNT (euros)</w:t>
      </w:r>
    </w:p>
    <w:p>
      <w:r>
        <w:t>451 This particularly concerns the withdrawal from the tender of the ATI CNS-Kuadra-Exitone decided by the leading company CNS and the exclusions from the same tender of Manital Consorzio and Romeo, decided by the contracting authority for different reasons.</w:t>
      </w:r>
    </w:p>
    <w:p>
      <w:r>
        <w:t>452 This concerns seventeen lots out of a total of eighteen. The remaining lot is lot 9 (valued at 91 million euros, the lowest amount in absolute terms along with lot 8), where the ATI of CNS ranks first; however, this grouping should have ceded the lot in question to the second-ranked (ATI Dussmann-Siram) due to the limit on awardable lots provided by the special tender law (maximum four lots, to be ordered in descending order of value). This lot is therefore not attributed, in terms of an amount useful for sanctioning purposes, to any Party.</w:t>
      </w:r>
    </w:p>
    <w:p>
      <w:r>
        <w:rPr>
          <w:b/>
        </w:rPr>
        <w:t>[Pages 154–156]</w:t>
      </w:r>
    </w:p>
    <w:p>
      <w:r>
        <w:t>156 BULLETIN NO. 19 OF MAY 13, 2019</w:t>
        <w:br/>
        <w:t>CSEL 23,300,000</w:t>
        <w:br/>
        <w:t>Cofely 81,550,000</w:t>
        <w:br/>
        <w:t>Exitone 22,600,000</w:t>
        <w:br/>
        <w:t>Kuadra 84,750,000</w:t>
        <w:br/>
        <w:t>MFM 532,000,000</w:t>
        <w:br/>
        <w:t>Manital Cons. 662,000,000</w:t>
        <w:br/>
        <w:t>Romeo 609,000,000</w:t>
        <w:br/>
        <w:t>CNS 457,650,000</w:t>
        <w:br/>
        <w:t>TOTAL 2,472,850,000</w:t>
      </w:r>
    </w:p>
    <w:p>
      <w:r>
        <w:t>522. For the purpose of determining the base amount of the sanction, a specific percentage must be applied to the initial value as determined above, based on the severity of the violation, for which reference is made in full to what has been represented in the preceding paragraphs.</w:t>
      </w:r>
    </w:p>
    <w:p>
      <w:r>
        <w:t>523. According to the Guidelines, in particular, the percentage considered must be set at a level that can reach 30% of the value of sales (point 11). Furthermore, in relation to the case at hand, it should be noted that, pursuant to point 12 of the Guidelines, in the case of secret horizontal agreements for price fixing and/or market allocation, the percentage of the value of sales considered for the calculation of the base amount "will generally not be less than 15%."</w:t>
      </w:r>
    </w:p>
    <w:p>
      <w:r>
        <w:t>524. Additional criteria for qualifying the severity, for the purpose of choosing the percentage to be applied to the value of sales, according to the subsequent point 14 of the Guidelines, are: i) the competitive conditions in the relevant market (such as the level of concentration and the existence of barriers to entry); ii) the nature of the products or services, with particular reference to the harm to innovation; iii) the implementation or not of the unlawful practice; iv) the relevance of the actual economic impact or, more generally, the harmful effects on the market and/or consumers, provided that the Authority has elements that allow for a reliable estimate of the same.</w:t>
      </w:r>
    </w:p>
    <w:p>
      <w:r>
        <w:t>525. In this case, being a secret horizontal agreement aimed at the allocation of geographic lots of a community tender of considerable economic value, and in line with the indications of the aforementioned points 11 and 12 of the Guidelines, the severity percentage is set at the value, equal for all Parties, of 22.5%.</w:t>
      </w:r>
    </w:p>
    <w:p>
      <w:r>
        <w:t>526. The base amount of the sanctions also includes, considering the size of the companies involved and the particular severity of the restriction of competition imposed, an additional amount aimed at giving the Authority's sanctioning power the necessary character of effective deterrence (so-called entry fee). In accordance with the indications of point 17 of the Guidelines, which provide for a range between 15% and 25% for cases of this type, the entry fee is calculated by adopting a percentage of the value of the sales subject to the infringement (as defined above) equal to 15%, the same for all Parties.</w:t>
      </w:r>
    </w:p>
    <w:p>
      <w:r>
        <w:t>527. The resulting base amount of the sanctions is reported in the table below:</w:t>
      </w:r>
    </w:p>
    <w:p>
      <w:r>
        <w:t>BULLETIN NO. 19 OF MAY 13, 2019 157</w:t>
        <w:br/>
        <w:t>COMPANY BASE AMOUNT (euros)</w:t>
        <w:br/>
        <w:t>CSEL 8,737,500</w:t>
        <w:br/>
        <w:t>Cofely 30,581,250</w:t>
        <w:br/>
        <w:t>Exitone 8,475,000</w:t>
        <w:br/>
        <w:t>Kuadra 31,781,250</w:t>
        <w:br/>
        <w:t>MFM 199,500,000</w:t>
        <w:br/>
        <w:t>Manital Cons. 248,250,000</w:t>
        <w:br/>
        <w:t>Romeo 228,375,000</w:t>
        <w:br/>
        <w:t>CNS 171,618,750</w:t>
        <w:br/>
        <w:t>TOTAL 927,318,750</w:t>
      </w:r>
    </w:p>
    <w:p>
      <w:r>
        <w:t>528. Pursuant to points 19, 21, and 23 of the Guidelines, the base amount of the sanction, determined as described in the preceding paragraphs, may be increased to take into account specific circumstances that aggravate (aggravating circumstances) or mitigate (mitigating circumstances) the liability of the author of the violation, with particular reference to the role played by the company in the infringement, the conduct it maintained during the investigation, as well as the efforts made by the agent to eliminate or mitigate the consequences of the violation and the personality of the same, also in light of what is provided for by Article 11 of Law No. 689/81. Aggravating circumstances include, among others, having played a decisive role in promoting, organizing, or monitoring a multi-subjective infringement, and having induced or forced, even with retaliatory measures, other companies to participate in and/or continue in it, while mitigating circumstances include, among others, the adoption and compliance with a specific antitrust compliance program, adequate and in line with European and national best practices453.</w:t>
      </w:r>
    </w:p>
    <w:p>
      <w:r>
        <w:t>529. In this case, the base amounts are adjusted to take into account an aggravating circumstance (on Exitone of the STI group) and a mitigating circumstance (on the applicant CNS).</w:t>
      </w:r>
    </w:p>
    <w:p>
      <w:r>
        <w:t>530. Regarding the aggravating circumstance, the STI group has been recognized as having a significant role in the organization of the multi-subjective infringement in question. For this group, in fact, the evidence on record shows the quantity and importance of the activity carried out by it to coordinate the conduct of competitors, carried out, among other things, through non-transparent methods of participation in the tender in question. As a result, and in accordance with the indications of points 20 and 21 of the Guidelines, Exitone is recognized an aggravating circumstance amounting to 15% of the base amount.</w:t>
      </w:r>
    </w:p>
    <w:p>
      <w:r>
        <w:t>531. Regarding the mitigating circumstance, CNS has adopted significant measures to promote a culture of competition in the sector, such as in particular the adoption and updating of an antitrust compliance program, approved by the new management in April 2016 (as part of a self-cleaning process initiated by CNS since mid-2015) and, therefore, prior to the initiation of the Procedure454. From the documentation provided on record, this program appears to be consistent with what is provided for in point 23 of the Guidelines (involvement of management, identification of the responsible person, adequate training activities, monitoring, and auditing), considering, in particular, the measures adopted by CNS in terms of: autonomy and independence of the Compliance Officer; allocation of resources for the implementation of the program; development of antitrust risk analyses; training activities; management system of processes and sanctions/incentives; auditing and review of the program. The compliance program of CNS thus appears adequate for the purpose but not fully effective, given that the Party submitted a leniency application only after the initiation of the Procedure and more than a year after its adoption. In consideration of the above and taking into account the case subject to this Procedure, CNS is recognized a mitigating circumstance amounting to 10% of the base amount.</w:t>
      </w:r>
    </w:p>
    <w:p>
      <w:r>
        <w:t>532. As a further adjustment to ensure the proportionality and effective deterrence of the sanction, pursuant to point 25 of the Guidelines, the Authority "may increase the sanction by up to 50% if the company responsible for the infringement has achieved in the last financial year closed prior to the notification of the warning a particularly high total worldwide turnover compared to the value of the sales of the goods or services subject to the infringement or belongs to a group of significant economic size."</w:t>
      </w:r>
    </w:p>
    <w:p>
      <w:r>
        <w:t>533. Both of the above circumstances apply in the case of Cofely. In particular, the company, its subsidiaries, and its parent company (Engie International) achieved a total worldwide turnover in 2017 (687 million euros) particularly high compared to the value of the sales of the goods or services subject to the infringement (82 million euros). Furthermore, Cofely belongs to a group of significant economic size (the French multinational group Engie – Gaz de France Suez). Therefore, to ensure the proportionality and effective deterrence of the sanction, pursuant to point 25 of the Guidelines, an increase of the sanction equal to 25% is considered for the case of Cofely.</w:t>
      </w:r>
    </w:p>
    <w:p>
      <w:r>
        <w:t>534. Finally, it should be noted that, pursuant to Article 15 of Law No. 287/90, the Authority "In cases of serious infringements, taking into account the severity and duration of the infringement, also orders the application of an administrative pecuniary sanction of up to ten percent of the turnover achieved by each company or entity in the last financial year closed prior to the notification."</w:t>
      </w:r>
    </w:p>
    <w:p>
      <w:r>
        <w:rPr>
          <w:b/>
        </w:rPr>
        <w:t>[Pages 157–159]</w:t>
      </w:r>
    </w:p>
    <w:p>
      <w:r>
        <w:t>BULLETIN NO. 19 OF MAY 13, 2019 159</w:t>
      </w:r>
    </w:p>
    <w:p>
      <w:r>
        <w:t>“of the warning.” In this regard, point 29 of the Guidelines specifies that: “The calculation base for the maximum fine is represented, in accordance with national jurisprudence, by the total turnover achieved worldwide in the last financial year closed prior to the notification of the warning, by each company participating in the infringement.” The use of worldwide turnover aims, in particular, to ensure a sufficient deterrent character of the fine, so that it takes into account the size and economic power of the company concerned, that is to say, the global resources of the infringer.</w:t>
      </w:r>
    </w:p>
    <w:p>
      <w:r>
        <w:t>535. In the specific case, the legal maximum threshold (maximum fine) is equal to 10% of the total turnover of the Parties for the year 2017. The turnover considered in this regard is that of the Parties and their subsidiaries in an antitrust sense, net of intercompany accounting items, according to the data provided by the Parties themselves. Furthermore, the value of the maximum fine is considered in terms of parental liability, that is to say, also computing the turnover of the parent companies of the Parties and the companies belonging to the same group to which the sanction is jointly attributed, as provided for in point 32 of the Guidelines. This particularly concerns the cases of: Cofely and Engie International; Exitone and the other companies of the STI group (Gestione Integrata, STI, and Finanziaria Bigotti); Kuadra and Esperia; Manital Consorzio and Manital; Romeo and Romeo Partecipazioni.</w:t>
      </w:r>
    </w:p>
    <w:p>
      <w:r>
        <w:t>536. Considering that the amounts of the sanctions as determined above exceed, for all the Parties in the Proceedings except for Cofely, the maximum limit provided for in Article 15, paragraph 1, of Law No. 287/90, they must be reduced to within that limit.</w:t>
      </w:r>
    </w:p>
    <w:p>
      <w:r>
        <w:t>537. Lastly, pursuant to point 30 of the Guidelines, in cases of application of a leniency program, the Authority may decide not to apply or to reduce the sanction in accordance with what is provided in the “Communication on non-imposition and reduction of sanctions pursuant to Article 15 of Law No. 287 of October 10, 1990.”</w:t>
      </w:r>
    </w:p>
    <w:p>
      <w:r>
        <w:t>538. In the specific case, for the reasons indicated in the relevant paragraphs of this Provision, in relation to the applicant CNS, the existence of the conditions for granting the benefit of partial immunity is recognized, that is to say, a reduction of the sanction by 50%.</w:t>
      </w:r>
    </w:p>
    <w:p>
      <w:r>
        <w:t>539. In their final memoranda, Exitone and Gestione Integrata highlighted their respective economic conditions, emphasizing that these should be adequately considered for the purposes of quantifying the sanction. The same considerations are also found in the final memoranda of the other companies of the STI group, particularly STI (which, in addition, emphasized that it has not participated in public procurement tenders for years); for its part, Finanziaria Bigotti, besides not participating directly in public procurement tenders, emphasized that the application of sanctions to multiple companies in the group “cannot but constitute duplication, triplication, etc. of the sanction itself in relation to the so-called ‘STI Group’.” Furthermore, in the final memoranda of Engie International and MFM, reference is made to the negative economic conditions in which they find themselves: in particular, Engie International, referring indeed to the subsidiary Cofely, reports the revenues and net result of the last three years; MFM requests a reduction of the sanction pursuant to Article 11 of Law 689/81 (in terms of the economic conditions of the agent) “in light of the difficult economic situation in which it finds itself.”</w:t>
      </w:r>
    </w:p>
    <w:p>
      <w:r>
        <w:t>Such requests cannot be accepted as none of the aforementioned companies has submitted a specific request adequately motivated and substantiated, as provided for in point 31 of the Guidelines (where it is expressly stated that “The Authority will not consider requests based solely on budget losses in recent years or on a generalized crisis in the affected sector”); in fact, the occurrence of any declines in turnover and/or operating losses are not in themselves significant elements for the recognition of a reduction of the sanction. As for Finanziaria Bigotti's observation regarding the alleged “duplication, triplication, etc.” of the sanction, it is recalled that the same sanction is jointly attributed to the companies of the group, without any duplication or triplication.</w:t>
      </w:r>
    </w:p>
    <w:p>
      <w:r>
        <w:t>540. Furthermore, in relation to the quantification of the severity percentage and entry fee, the circumstance highlighted by several Parties such as MFM, Romeo, Manital Consorzio, and Manital in their final memoranda - that, at present, the FM4 tender has not been concluded, as Consip has not yet proceeded with its award, and that, consequently, no prejudicial effect would have occurred (for Manital Consorzio also considering its exclusion from the tender decided by Consip) - cannot be relevant. In fact, at present, the procedure has only been suspended by the contracting authority. Moreover, in any case, the object of the established agreement and its concrete implementation are elements sufficient in themselves to justify the above-mentioned severity percentages and entry fee (which are still below the maximum provided, respectively equal to 30% and 25%). Regarding the exclusion of Manital Consorzio from the tender decided by the contracting authority for tax issues, it is recalled that this is a procedural event that occurred, like others, after the submission of offers and, therefore, after the commission of the antitrust infringement, certainly unforeseeable at the time; this circumstance remains, therefore, irrelevant for the purposes of this matter.</w:t>
      </w:r>
    </w:p>
    <w:p>
      <w:r>
        <w:t>541. Nor, for the reasons highlighted in the relevant section of this Provision, can the request of some Parties (final memoranda of MFM, Romeo) for the non-application of the entry fee and/or for the application of the severity percentage even below 15%, since the agreement would not be characterized by particular secrecy, be accepted. CSEL, Manital Consorzio, and Manital also argue in their final memoranda that the requirement of secrecy would not exist in this case, highlighting - with identical arguments - in particular the fact that the evidentiary elements are based on email exchanges that are “virtually ‘traceable’ and difficult to conceal.”</w:t>
      </w:r>
    </w:p>
    <w:p>
      <w:r>
        <w:t>In this regard, besides reiterating the secret nature of the emails on which the charges are based, it suffices to recall all the other documentary elements on file, extensively described previously, such as the handwritten note referred to as the pink slip (the manner of its drafting clearly indicates the secrecy and confidentiality of its content), or the agreements and drafts of agreements between the Parties, which are not public, or the “Summary of commercial agreements” containing figures and economic items between some Parties, also not public. Indeed, upon closer examination, considering also the emails related to meetings between competitors and meetings at professional association venues (Terotec), these are precisely all those elements indicated by Manital Consorzio and Manital as demonstrative of the requirement of secrecy (meetings, gatherings, codes, handwritten notes, professional screens).</w:t>
      </w:r>
    </w:p>
    <w:p>
      <w:r>
        <w:t>542. Likewise, the observation made by MFM, Romeo, Manital Consorzio, and Manital in their final memoranda, that the amount provided for each lot in the tender cannot be used as the initial amount for calculating the sanctions, as this value is a maximum ceiling that may never be reached, depending on the supply orders that will be issued, especially for accessory lots (MFM goes so far as to indicate the revenues derived from the execution of the previous FM3 agreement as an appropriate proxy, while Manital Consorzio and Manital the “actual revenue achieved, which in the case of Manital has been nonexistent”) is not worthy of acceptance. In fact, the approach proposed by the Parties to refer to the turnover that will actually be realized following the supply orders issued by the contracting public administrations would not be consistent with the criteria for calculating the base amount of the sanction outlined in the Guidelines, and would lead to referring to amounts entirely disconnected from the agreement, as the Parties planned their conduct in order to coordinate their respective participation strategies based on the amounts put to tender, the only ones available at the time of the realization of the agreement. As for the accessory lots, they constitute, evidently, an integral part of the performance object of the contract in question, thus falling within the consideration of the contract whose awarding procedure has been conditioned by the established collusive agreement between the Parties. The circumstance that, eventually, in</w:t>
      </w:r>
    </w:p>
    <w:p>
      <w:r>
        <w:rPr>
          <w:b/>
        </w:rPr>
        <w:t>[Pages 160–162]</w:t>
      </w:r>
    </w:p>
    <w:p>
      <w:r>
        <w:t>162 BULLETIN NO. 19 OF MAY 13, 2019</w:t>
        <w:br/>
        <w:t>for some lots the contract may not be fully activated, it is therefore, even if it were to occur in the future, irrelevant for the purposes at hand.</w:t>
      </w:r>
    </w:p>
    <w:p>
      <w:r>
        <w:t>In relation to the above, it should not be forgotten that, as provided by the Guidelines, the economic value of the lots set in the tender notice is not computed in full for sanctioning purposes, but only to the extent of the percentage established above based on the level of severity of the established agreement.</w:t>
      </w:r>
    </w:p>
    <w:p>
      <w:r>
        <w:t>543. Finally, none of the Parties effectively collaborated with the Authority during the Investigation Procedure beyond what was required by legal obligations; therefore, this mitigating factor, provided for in the Guidelines, cannot be applied to any of the subjects who requested it. Nor can the request from the final memorandum of Manital Consorzio and Manital468 be accepted to recognize mitigating circumstances due to the "entirely marginal role" played, which is contradicted by the evidence previously described and assessed in detail, or due to the "presence of a regulatory framework that favored the infringement." In this regard, it suffices to observe that the highlighted circumstances (increase in the lots put to tender compared to FM3, limit on the number of lots that can be awarded, and the valuation in terms of technical score of prior knowledge of the territory) pertain to the design of the tender decided by the contracting authority and cannot in any way be used as a basis for collusive conduct regarding the division of lots. In particular, as already noted, the limit on the lots that can be awarded does not in any way constrain the number of offers that can be submitted, in a physiological context of maximizing the chances of award (and, indeed, it is an element that reduces the number of guarantees that will be activated).</w:t>
      </w:r>
    </w:p>
    <w:p>
      <w:r>
        <w:t>544. As a result of all the above, the amounts of the sanctions are equal to those indicated in the table below.</w:t>
      </w:r>
    </w:p>
    <w:p>
      <w:r>
        <w:t>Sanction in application Benefit FINAL SANCTION</w:t>
        <w:br/>
        <w:t>COMPANY Maximum penalty (euro) of the Guidelines (%) (euro)</w:t>
        <w:br/>
        <w:t>CSEL 8,737,500 2,138,595.46 - 2,138,595.46</w:t>
        <w:br/>
        <w:t>Cofely 38,226,562.50 68,667,668.58 - 38,226,562.50</w:t>
        <w:br/>
        <w:t>Exitone 9,746,250 2,815,853.90 - 2,815,853.90</w:t>
        <w:br/>
        <w:t>Kuadra 31,781,250 4,469,500 - 4,469,500</w:t>
        <w:br/>
        <w:t>MFM 199,500,000 91,612,653.90 - 91,612,653.90</w:t>
        <w:br/>
        <w:t>Manital C. 248,250,000 33,396,928.71 - 33,396,928.71</w:t>
        <w:br/>
        <w:t>Romeo 228,375,000 21,917,673.35 - 21,917,673.35</w:t>
        <w:br/>
        <w:t>CNS 154,456,875 79,594,576.20 50% 39,797,288.10</w:t>
        <w:br/>
        <w:t>TOTAL 919,073,437.50 304,613,450.09 - 234,375,055.91</w:t>
      </w:r>
    </w:p>
    <w:p>
      <w:r>
        <w:t>468 Doc. M.3.</w:t>
      </w:r>
    </w:p>
    <w:p>
      <w:r>
        <w:t>BULLETIN NO. 19 OF MAY 13, 2019 163</w:t>
        <w:br/>
        <w:t>CONSIDERING that the companies C.N.S. Consorzio Nazionale Servizi Società Cooperativa, Consorzio Stabile Energie Locali S.c. a r.l., Engie Servizi S.p.a. (formerly Cofely Italia S.p.a.) jointly with the parent company Engie Energy Services International SA, Exitone S.p.a. jointly with the company Gestione Integrata S.r.l. and with the parent companies STI S.p.a. and Finanziaria Bigotti S.p.a., Kuadra S.r.l. in liquidation jointly with the parent company Esperia S.p.a., Manital Società Consortile per i Servizi Integrati per Azioni Consorzio Stabile - Manital S.c.p.a. jointly with the parent company Manitalidea S.p.a., Rekeep S.p.a. (formerly Manutencoop Facility Management S.p.a.) and Romeo Gestioni S.p.a. jointly with the parent company Romeo Partecipazioni S.p.a., have established a restrictive agreement of competition contrary to Article 101 of the Treaty on the Functioning of the European Union (TFEU), consisting of a unique, complex, and articulated agreement concerning the division of the lots put to tender in relation to the public procurement procedure for the provision throughout the national territory of facility management services (fourth edition, FM4 tender);</w:t>
      </w:r>
    </w:p>
    <w:p>
      <w:r>
        <w:t>CONSIDERING that in light of the investigative evidence, no sufficient elements have emerged to contest the companies Dussmann Service S.r.l., jointly with the parent company Dussmann Service Holding GMBH, and Siram S.p.a., jointly with the parent company Veolia Energie International SA, for an anticompetitive agreement concerning the conditioning of the FM4 tender;</w:t>
      </w:r>
    </w:p>
    <w:p>
      <w:r>
        <w:t>all of the above having been stated and considered,</w:t>
      </w:r>
    </w:p>
    <w:p>
      <w:r>
        <w:t>RESOLVES</w:t>
        <w:br/>
        <w:t>a) that the companies C.N.S. Consorzio Nazionale Servizi Società Cooperativa, Consorzio Stabile Energie Locali S.c. a r.l., Engie Servizi S.p.a. (formerly Cofely Italia S.p.a.) jointly with the parent company Engie Energy Services International SA, Exitone S.p.a. jointly with the company Gestione Integrata S.r.l. and with the parent companies STI S.p.a. and Finanziaria Bigotti S.p.a., Kuadra S.r.l. in liquidation jointly with the parent company Esperia S.p.a., Manital Società Consortile per i Servizi Integrati per Azioni Consorzio Stabile - Manital S.c.p.a. jointly with the parent company Manitalidea S.p.a., Rekeep S.p.a. (formerly Manutencoop Facility Management S.p.a.) and Romeo Gestioni S.p.a. jointly with the parent company Romeo Partecipazioni S.p.a., have established a restrictive agreement of competition contrary to Article 101 of the Treaty on the Functioning of the European Union (TFEU), consisting of a unique, complex, and articulated agreement concerning the division of the lots put to tender in relation to the public procurement procedure for the provision throughout the national territory of facility management services (fourth edition, FM4 tender);</w:t>
      </w:r>
    </w:p>
    <w:p>
      <w:r>
        <w:t>b) that, based on the available evidence, the reasons for intervention against the companies Dussmann Service S.r.l., jointly with the parent company Dussmann Service Holding GMBH, and Siram S.p.a., jointly with the parent company Veolia Energie International SA, in relation to the agreement concerning the conditioning of the FM4 tender have ceased;</w:t>
      </w:r>
    </w:p>
    <w:p>
      <w:r>
        <w:t>c) that the companies C.N.S. Consorzio Nazionale Servizi Società Cooperativa, Consorzio Stabile Energie Locali S.c. a r.l., Engie Servizi S.p.a. (formerly Cofely Italia S.p.a.) jointly with the parent company Engie Energy Services International SA, Exitone S.p.a. jointly with the company Gestione Integrata S.r.l. and with the parent companies STI S.p.a. and Finanziaria Bigotti S.p.a., Kuadra S.r.l. in liquidation jointly with the parent company Esperia S.p.a., Manital Società Consortile per i Servizi Integrati per Azioni Consorzio Stabile - Manital S.c.p.a. jointly with the parent company Manitalidea S.p.a., Rekeep S.p.a. (formerly Manutencoop Facility Management S.p.a.) and Romeo Gestioni S.p.a. jointly with the parent company Romeo Partecipazioni S.p.a., shall refrain in the future from engaging in behaviors similar to those subject to the established infringement referred to in point a);</w:t>
      </w:r>
    </w:p>
    <w:p>
      <w:r>
        <w:t>d) that, due to what is indicated in the reasoning, the company C.N.S. Consorzio Nazionale Servizi Società Cooperativa is granted the benefit of a reduction of the sanction by 50%, as per paragraph 2 of the Communication on non-imposition and reduction of sanctions pursuant to Article 15 of Law No. 287 of October 10, 1990;</w:t>
      </w:r>
    </w:p>
    <w:p>
      <w:r>
        <w:rPr>
          <w:b/>
        </w:rPr>
        <w:t>[Pages 163–165]</w:t>
      </w:r>
    </w:p>
    <w:p>
      <w:r>
        <w:t>BULLETIN NO. 19 OF MAY 13, 2019 165</w:t>
        <w:br/>
        <w:t>e) that, due to the severity of the violation referred to in point a), the companies listed in the table below shall be imposed administrative monetary penalties respectively and collectively equal to the amounts indicated therein:</w:t>
        <w:br/>
        <w:t>Company PENALTY (euros)</w:t>
        <w:br/>
        <w:t>Consorzio Stabile Energie Locali S.c. a r.l. 2,138,595.46</w:t>
        <w:br/>
        <w:t>Engie Servizi S.p.a. (formerly Cofely Italia S.p.a.) jointly and severally with the</w:t>
        <w:br/>
        <w:t>38,226,562.50</w:t>
        <w:br/>
        <w:t>parent company Engie Energy Services International SA</w:t>
        <w:br/>
        <w:t>Exitone S.p.a. jointly and severally with Gestione Integrata S.r.l. and with the</w:t>
        <w:br/>
        <w:t>2,815,853.90</w:t>
        <w:br/>
        <w:t>parent companies STI S.p.a. and Finanziaria Bigotti S.p.a.</w:t>
        <w:br/>
        <w:t>Kuadra S.r.l. in liquidation jointly and severally with the parent company Esperia S.p.a. 4,469,500</w:t>
        <w:br/>
        <w:t>Rekeep S.p.a. (formerly Manutencoop Facility Management S.p.a.) 91,612,653.90</w:t>
        <w:br/>
        <w:t>Manital Società Consortile per i Servizi Integrati per Azioni Consorzio</w:t>
        <w:br/>
        <w:t>Stabile - Manital S.c.p.a. jointly and severally with the parent company Manitalidea 33,396,928.71</w:t>
        <w:br/>
        <w:t>S.p.a.</w:t>
        <w:br/>
        <w:t>Romeo Gestioni S.p.a. jointly and severally with the parent company Romeo</w:t>
        <w:br/>
        <w:t>21,917,673.35</w:t>
        <w:br/>
        <w:t>Partecipazioni S.p.a.</w:t>
        <w:br/>
        <w:t>C.N.S. Consorzio Nazionale Servizi Società Cooperativa 39,797,288.10</w:t>
        <w:br/>
        <w:t>TOTAL 234,375,055.91</w:t>
        <w:br/>
        <w:t>The administrative monetary penalties referred to in point e) must be paid within ninety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collector for collection. In this case, the increase absorbs the late interest accrued during the same period.</w:t>
        <w:br/>
        <w:t>Notification of the payments made must be given immediately to the Authority, by sending a copy of the model certifying the payment made.</w:t>
      </w:r>
    </w:p>
    <w:p>
      <w:r>
        <w:t>166 BULLETIN NO. 19 OF MAY 13, 2019</w:t>
        <w:br/>
        <w:t>This Provision will be notified to the interested parties and published in the Bulletin of the Antitrust Authority.</w:t>
        <w:br/>
        <w:t>Against this Provision, an appeal may be submitted to the TAR of Lazio, pursuant to Article 135, paragraph 1, letter b), of the Code of Administrative Procedure (Legislative Decree of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br/>
        <w:t>THE SECRETARY GENERAL THE PRESIDENT f.f.</w:t>
        <w:br/>
        <w:t>Filippo Arena Gabriella Muscolo</w:t>
      </w:r>
    </w:p>
    <w:p>
      <w:r>
        <w:t>BULLETIN NO. 19 OF MAY 13, 2019 167</w:t>
        <w:br/>
        <w:t>I792C - TENDERS FOR OXYGEN THERAPY AND VENTILATION - NON-COMPLIANCE</w:t>
        <w:br/>
        <w:t>Provision No. 27653</w:t>
        <w:br/>
        <w:t>THE ANTITRUST AUTHORITY</w:t>
        <w:br/>
        <w:t>IN ITS MEETING of April 24, 2019;</w:t>
        <w:br/>
        <w:t>HEARD the Rapporteur Professor Michele Ainis;</w:t>
        <w:br/>
        <w:t>HAVING REGARD to Article 101 of the Treaty on the Functioning of the European Union (TFEU);</w:t>
        <w:br/>
        <w:t>HAVING REGARD to Law No. 287 of October 10, 1990;</w:t>
        <w:br/>
        <w:t>HAVING REGARD, in particular, to Article 15, paragraph 2, of the aforementioned Law, in the part where it provides that, in case of non-compliance with the warning referred to in paragraph 1 of the same article, the Authority applies the administrative monetary penalty of up to ten percent of the turnover or, in cases where the penalty referred to in paragraph 1 has been applied, an amount not less than double the penalty already applied with a maximum limit of ten percent of the turnover, also determining the deadline within which the payment of the penalty must be made;</w:t>
        <w:br/>
        <w:t>HAVING REGARD to the decree of the President of the Republic No. 217 of April 30, 1998;</w:t>
        <w:br/>
        <w:t>HAVING REGARD to Law No. 689 of November 24, 1981;</w:t>
        <w:br/>
        <w:t>HAVING REGARD to its resolution of October 17, 2018, with which the companies Linde Medicale S.r.l., Medicair Sud S.r.l., Magaldi Life S.r.l., Oxy Live S.r.l., Eubios S.r.l., Vitalaire Italia S.p.A. and Vivisol Napoli S.r.l. were contested for the violation referred to in Article 15, paragraph 2, of Law No. 287/90 for alleged non-compliance with the Authority's provision of December 21, 2016, in case I/792;</w:t>
        <w:br/>
        <w:t>HAVING REGARD to the "Summary of the instructional elements acquired during the procedure" sent to the Parties on February 25, 2019;</w:t>
        <w:br/>
        <w:t>HAVING REGARD to the acts of the procedure;</w:t>
        <w:br/>
        <w:t>CONSIDERED the following:</w:t>
        <w:br/>
        <w:t>I. THE PARTIES</w:t>
        <w:br/>
        <w:t>1. Linde Medicale S.r.l. (hereinafter also 'Linde') is an Italian law company operating in the supply of medicinal gases and related home therapeutic assistance services for patients suffering from respiratory problems. Linde is part of the medical division of the eponymous German group Linde, whose parent company is Linde AG, active in various sectors, including the production and marketing of technical and medical gases.</w:t>
        <w:br/>
        <w:t>2. Medicair Sud S.r.l. (hereinafter also 'Medicair Sud') is an Italian law company that is part of the Medicair group, active in the field of assistance services for the management of home healthcare therapies, particularly for respiratory diseases, including oxygen therapy, mechanical ventilation, and the diagnosis and treatment of obstructive sleep apnea syndrome. The company primarily offers healthcare assistance services in the central and southern regions of Italy.</w:t>
      </w:r>
    </w:p>
    <w:p>
      <w:r>
        <w:rPr>
          <w:b/>
        </w:rPr>
        <w:t>[Pages 166–168]</w:t>
      </w:r>
    </w:p>
    <w:p>
      <w:r>
        <w:t>168 BULLETIN NO. 19 OF MAY 13, 2019</w:t>
      </w:r>
    </w:p>
    <w:p>
      <w:r>
        <w:t>3. Magaldi Life S.r.l. (hereinafter also 'Magaldi') is an Italian company that operates in the provision of home therapeutic assistance services, primarily in the field of respiratory diseases, and offers, among others, home oxygen therapy and home mechanical ventilation services. The share capital of Magaldi is wholly owned by Medigas S.r.l., which is in turn controlled by the company Società Italiana Acetilene e Derivati S.I.A.D. S.p.A.</w:t>
      </w:r>
    </w:p>
    <w:p>
      <w:r>
        <w:t>4. Eubios S.r.l. (hereinafter also 'Eubios') is an Italian company active in the production and marketing of oxygen and medical equipment for home therapeutic services. Eubios, through the company Sapio Life S.r.l., which holds 51% of its share capital, is part of the Sapio group, active in the production, marketing, and distribution of technical and medicinal gases; the remaining part of the company's share capital is held by two individuals.</w:t>
      </w:r>
    </w:p>
    <w:p>
      <w:r>
        <w:t>5. OXY Live S.r.l. (hereinafter also 'OXY Live') is an Italian company active in the production and marketing of technical and medical gases, equipment for the use of medical gases, as well as in the provision of home therapeutic assistance services, such as oxygen therapy and ventilotherapy. It is also part of the Sapio group, as it is controlled by the company Sapio Life S.r.l., which holds 51% of its share capital, while the remaining part of the share capital is held by two individuals.</w:t>
      </w:r>
    </w:p>
    <w:p>
      <w:r>
        <w:t>6. Vivisol Napoli S.r.l. (hereinafter also 'Vivisol Napoli') is a company controlled by the Vivisol group, through Vivisol S.r.l. which holds 81% of its share capital, while the remaining part of the share capital is held by an individual. The company operates in the production and supply of gases for medicinal use, as well as in the provision of medical equipment for home respiratory therapies, primarily in Campania and Molise.</w:t>
      </w:r>
    </w:p>
    <w:p>
      <w:r>
        <w:t>7. Vitalaire Italia S.p.A. (hereinafter also 'Vitalaire Italia') is an Italian company active in the provision of complex long-term home therapeutic treatments. It is part of the multinational group Air Liquide, through Air Liquide Italia S.p.A. which holds 100% of its share capital. The Air Liquide group operates globally in the production and distribution of gases for industry, health, and the environment.</w:t>
      </w:r>
    </w:p>
    <w:p>
      <w:r>
        <w:t>8. So.Re.Sa. S.p.A. – Società Regionale per la Sanità (hereinafter also 'SORESA') is a company established by the Campania Region for the implementation of strategic actions aimed at rationalizing regional healthcare spending. To this end, the sole shareholder, the Campania Region, has entrusted SORESA, inter alia, with the role of purchasing center for products intended for the companies of the regional healthcare system.</w:t>
      </w:r>
    </w:p>
    <w:p>
      <w:r>
        <w:t>II. THE INSTRUCTION PROCEDURE</w:t>
      </w:r>
    </w:p>
    <w:p>
      <w:r>
        <w:t>a) The conclusion of the instruction procedure I792</w:t>
      </w:r>
    </w:p>
    <w:p>
      <w:r>
        <w:t>9. With provision no. 26316 of December 21, 2016 (hereinafter, "2016 provision"), the Authority had ascertained, with particular reference to the provision of home oxygen therapy (OTD) in Campania, the existence of extensive coordination activities among the companies Linde Medicale S.r.l. (hereinafter also 'Linde Medicale'), Medicair Sud S.r.l. (hereinafter also 'Medicair Sud'), Magaldi Life S.r.l. (hereinafter also 'Magaldi Life'), Oxy Live S.r.l. (hereinafter also 'Oxy Live'), Eubios S.r.l. (hereinafter also 'Eubios'), Ossigas S.r.l. (hereinafter also 'Ossigas'), Ter.Gas S.r.l. (hereinafter also 'Tergas'), Vitalaire Italia S.p.A. (hereinafter also 'Vitalaire Italia') and Vivisol Napoli S.r.l. (hereinafter also 'Vivisol Napoli'), aimed, among other things, at maintaining market positions and dividing the lots within the tender announced by SO.RE.SA. S.p.A. (hereinafter also 'SORESA') in 2014.</w:t>
      </w:r>
    </w:p>
    <w:p>
      <w:r>
        <w:t>10. In particular, the Authority, in the aforementioned procedure, had ascertained that on the occasion of the aforementioned tender announced by SORESA in 2014, the numerous contacts among the Parties – documented in the case file – had allowed them to divide the lots (through the submission of so-called "checkerboard" offers during the tender), thus maintaining their respective market positioning. The Authority's reconstruction was confirmed in the first instance by the administrative judge who identified the submission of checkerboard offers as a "typical case of a 'hard core' restrictive agreement in its object, including both market and customer allocation and the limitation of pricing policies"1.</w:t>
      </w:r>
    </w:p>
    <w:p>
      <w:r>
        <w:t>11. On that occasion, the Authority had warned the companies Eubios, Linde Medicale, Magaldi Life, Medicair Sud, Oxy Live, Vitalaire Italia, Vivisol Napoli, Ossigas, and Tergas to immediately cease the competition-distorting behaviors and to refrain in the future from engaging in similar behaviors to those subject to the established infringement2.</w:t>
      </w:r>
    </w:p>
    <w:p>
      <w:r>
        <w:t>b) The initiation of the non-compliance procedure</w:t>
      </w:r>
    </w:p>
    <w:p>
      <w:r>
        <w:t>12. SORESA, with determination of the General Director no. 113 of June 4, 2018, announced a tender for the assignment of the oxygen therapy service for home therapy in the Campania Region. The aforementioned tender, announced due to the conclusion of the assignments made following that announced in 2014, is characterized by the same object and has also been divided into 7 geographical lots, one for each ASL of the Region, with award through an open procedure and according to the criterion of the economically most advantageous offer, identified based on the best quality-price ratio.</w:t>
      </w:r>
    </w:p>
    <w:p>
      <w:r>
        <w:t>13. On July 27, 2018, a report was received from SORESA regarding this tender, in which the contracting authority stated that it had received, by the deadline, a single offer for each of the 7 tender lots from the previous service provider of OTD3.</w:t>
      </w:r>
    </w:p>
    <w:p>
      <w:r>
        <w:t>14. Therefore, on October 17, 2018, the Authority, considering that the highlighted circumstance whereby a single offer was submitted for each lot, received from the previous service provider of OTD, could constitute an indication of the persistence of a strategy aimed at market division and the alteration of competitive dynamics in public tenders, initiated a procedure to contest to the companies Eubios, Linde Medicale, Magaldi Life, Medicair Sud, Oxy Live, Vitalaire Italia, and Vivisol Napoli the violation of Article 15, paragraph 2, of Law no. 287/90 for non-compliance with the Authority's provision of December 21, 2016.</w:t>
      </w:r>
    </w:p>
    <w:p>
      <w:r>
        <w:t>15. In particular, the Authority considered that the anomaly of the submission of a single offer for each of the seven lots put to tender was corroborated by the circumstance that the companies participating in the tender subject to the report are the same that had engaged in the unlawful coordination of their commercial strategies regarding the previous tender procedure announced by SORESA in 20144, also for the assignment of the oxygen therapy service for home therapy in the Campania Region, as established during the aforementioned procedure I792.</w:t>
      </w:r>
    </w:p>
    <w:p>
      <w:r>
        <w:t>16. The companies that submitted the offers, moreover with almost identical compositions in RTI, are the current service providers of oxygen therapy as a result of the previous tender, announced by the same SORESA in June 2014 for the same local health authorities and for the same lots for which they had submitted offers, as illustrated in the table below (Table 1)5.</w:t>
      </w:r>
    </w:p>
    <w:p>
      <w:r>
        <w:t>Table 1 - Comparison of offers from the 2014 tender and the 2018 tender</w:t>
      </w:r>
    </w:p>
    <w:p>
      <w:r>
        <w:t>Territory of Lot Post-2014 tender providers 2018 tender offers</w:t>
        <w:br/>
        <w:t>reference</w:t>
        <w:br/>
        <w:t>1 ASL Napoli Centro1 RTI Eubios /Oxy Live/Ossigas RTI Eubios /Oxy Live</w:t>
        <w:br/>
        <w:t>2 ASL Napoli 2 Nord Vitalaire Italia Vitalaire Italia</w:t>
        <w:br/>
        <w:t>3 ASL Napoli 3 Sud RTI Medicair Sud /Linde RTI Medicair Sud /Linde</w:t>
        <w:br/>
        <w:t>4 ASL Avellino RTI Eubios /Oxy Live/Ossigas RTI Eubios /Oxy</w:t>
        <w:br/>
        <w:t>RTI Linde Medicale/</w:t>
        <w:br/>
        <w:t>5 ASL Benevento Linde Medicale</w:t>
        <w:br/>
        <w:t>Medicair Sud</w:t>
        <w:br/>
        <w:t>6 ASL Caserta RTI Magaldi /Vivisol Napoli RTI Magaldi /Vivisol Napoli</w:t>
        <w:br/>
        <w:t>7 ASL Salerno RTI Magaldi /Vivisol Napoli RTI Magaldi /Vivisol Napoli</w:t>
      </w:r>
    </w:p>
    <w:p>
      <w:r>
        <w:t>17. On October 24, 2018, inspection checks were carried out with the collaboration of the Special Antitrust Unit of the Guardia di Finanza and the Special Technological Fraud Unit of the Guardia di Finanza at the premises of the companies Eubios, Linde Medicale, Magaldi Life, Medicair Sud, Oxy Live, Vitalaire Italia, and Vivisol Napoli, acquiring abundant and relevant documentation.</w:t>
      </w:r>
    </w:p>
    <w:p>
      <w:r>
        <w:t>4 With respect to the aforementioned tender procedure of 2014, the company Ossigas S.r.l. was acquired by the company Rivoira Pharma S.r.l.</w:t>
        <w:br/>
        <w:t>5 The only differences concern the composition of the temporary business groupings of lots no. 1, 4, and 5, solely regarding the identity of the leading companies. In particular, the differences are represented by the absence of the company Ossigas, which in the 2014 procedure had participated in lots no. 1 and 4 as a leading company and during the instruction procedure was acquired by the company Rivoira Pharma, and by the participation of Medicair Sud as a leading company also in lot no. 5. Regarding lot 5, the 2018 tender specifications establish, inter alia, that companies participating in RTI cannot also participate individually and that the entity intending to participate in multiple lots is required to present itself, for all the lots it participates in, always in the same form, either individually or associated; therefore, Linde Medicale could not submit the same offer scheme as in 2014, participating in RTI with Medicair Sud in lot no. 3 and individually in lot no. 5.</w:t>
      </w:r>
    </w:p>
    <w:p>
      <w:r>
        <w:rPr>
          <w:b/>
        </w:rPr>
        <w:t>[Pages 169–171]</w:t>
      </w:r>
    </w:p>
    <w:p>
      <w:r>
        <w:t>BULLETIN NO. 19 OF MAY 13, 2019 171</w:t>
      </w:r>
    </w:p>
    <w:p>
      <w:r>
        <w:t>18. On November 14, 2018, the Authority, at the request of the Parties, extended until January 23, 2019, the deadline referred to in Article 18, paragraph 1, of Law No. 689/81, for the submission of initial writings and defensive documents and for requesting to be heard in a hearing.</w:t>
      </w:r>
    </w:p>
    <w:p>
      <w:r>
        <w:t>19. On December 14, 2018, the companies that are Parties to the proceedings exercised their right of access to the documents.</w:t>
      </w:r>
    </w:p>
    <w:p>
      <w:r>
        <w:t>20. The tender was awarded to SORESA by determination on December 19, 2018.</w:t>
      </w:r>
    </w:p>
    <w:p>
      <w:r>
        <w:t>21. On January 23, 2019, procedural memoranda were received from the companies Eubios, Oxy Live, and Medicair Sud6.</w:t>
      </w:r>
    </w:p>
    <w:p>
      <w:r>
        <w:t>22. On February 25, 2019, the Authority transmitted to the Parties a document containing the "Summary of the evidentiary elements acquired during the proceedings" (hereinafter also referred to as Summary). This document expressed the Offices' assessment regarding the results of the procedural activity, noting that "there are currently no sufficient elements to contest the Parties' failure to comply with the Authority's warning referred to in the repeatedly cited Authority provision No. 26316 of December 21, 2016."</w:t>
      </w:r>
    </w:p>
    <w:p>
      <w:r>
        <w:t>23. This document set the procedural deadline for concluding the evidence acquisition phase of the proceedings to April 2, 2019. By that date, observations were received from the companies Magaldi Life, Medicair Sud, Vivisol Napoli, and Vitalaire Italia7.</w:t>
      </w:r>
    </w:p>
    <w:p>
      <w:r>
        <w:t>III. EVIDENTIARY RESULTS</w:t>
      </w:r>
    </w:p>
    <w:p>
      <w:r>
        <w:t>24. As previously mentioned, on October 24, 2018, inspection checks were carried out at the premises of the companies Eubios, Linde Medicale, Magaldi Life, Medicair Sud, Oxy Live, Vitalaire Italia, and Vivisol Napoli.</w:t>
      </w:r>
    </w:p>
    <w:p>
      <w:r>
        <w:t>25. As a preliminary matter, it is noteworthy that the documentation in the records – relating to the technical and economic offers submitted during the tender, to the preparatory and preliminary documents for the same, and to the formation of the participating RTIs – does not show direct contacts between the Parties aimed at agreeing on the absence of competitive comparison on the various lots put to tender. The only testimonies of comparisons concern contacts that occurred within the RTIs.</w:t>
      </w:r>
    </w:p>
    <w:p>
      <w:r>
        <w:t>26. With reference to the technical offer, the documentation in the records reveals – in particular – the relevance, for the provision of the OTD service, of the times and methods of transition in the event of a change of supplier following the new tender procedure. According to the tender documents, the transition times – quantified at a maximum of 15 days – are relevant as a score within the technical offer. In particular, for this specific parameter, "Proposed transition plan. The operational and organizational methods for managing the transition proposed will be evaluated, in order to minimize the start-up times and limit possible critical issues," a maximum score of 2 is assigned, within the 35 points allocated to the organization of the service and the execution of the supply.</w:t>
      </w:r>
    </w:p>
    <w:p>
      <w:r>
        <w:t>27. With reference to the economic offers, the items and the respective auction bases that make up the service subject to the tender procedure are: i) cost of liquid oxygen per cubic meter (auction base €1.58); ii) fee per patient in therapy with liquid oxygen (auction base €0.62); iii) fee per patient in therapy with fixed concentrator (auction base €1.20); iv) fee per patient in therapy with portable concentrator (auction base €4.00).</w:t>
      </w:r>
    </w:p>
    <w:p>
      <w:r>
        <w:t>Table 2 – Results of the tender procedure</w:t>
      </w:r>
    </w:p>
    <w:p>
      <w:r>
        <w:t>Cost</w:t>
        <w:br/>
        <w:t>Operators Fee per Patient Fee per Patient Fee per Patient</w:t>
        <w:br/>
        <w:t>Territory of Liquid Oxygen</w:t>
        <w:br/>
        <w:t>Lot Awardees Liquid Oxygen Fixed Concentrators Portable Concentrators</w:t>
        <w:br/>
        <w:t>Reference Tender 2018 m3</w:t>
        <w:br/>
        <w:t>ASL Napoli RTI Eubios /</w:t>
        <w:br/>
        <w:t>1 €1.58 €0.62 €1.20 €3.99</w:t>
        <w:br/>
        <w:t>Centro1 Oxy Live</w:t>
        <w:br/>
        <w:t>ASL Napoli 2 Vitalaire</w:t>
        <w:br/>
        <w:t>2 €1.50 €0.47 €1.19 €3.70</w:t>
        <w:br/>
        <w:t>Nord Italia</w:t>
        <w:br/>
        <w:t>RTI Medicair</w:t>
        <w:br/>
        <w:t>ASL Napoli 3</w:t>
        <w:br/>
        <w:t>3 Sud/ Linde €1.49 €0.60 €1.00 €3.70</w:t>
        <w:br/>
        <w:t>Sud</w:t>
        <w:br/>
        <w:t>Medicale</w:t>
        <w:br/>
        <w:t>RTI Eubios /</w:t>
        <w:br/>
        <w:t>4 ASL Avellino €1.58 €0.62 €1.20 €3.99</w:t>
        <w:br/>
        <w:t>Oxy Live</w:t>
        <w:br/>
        <w:t>RTI Linde</w:t>
        <w:br/>
        <w:t>ASL</w:t>
        <w:br/>
        <w:t>5 Medicale/ €1.49 €0.60 €1.00 €3.70</w:t>
        <w:br/>
        <w:t>Benevento</w:t>
        <w:br/>
        <w:t>Medicair Sud</w:t>
        <w:br/>
        <w:t>RTI Magaldi /</w:t>
        <w:br/>
        <w:t>6 ASL Caserta €1.55 €0.61 €1.18 €3.92</w:t>
        <w:br/>
        <w:t>Vivisol Napoli</w:t>
        <w:br/>
        <w:t>RTI Magaldi /</w:t>
        <w:br/>
        <w:t>7 ASL Salerno €1.55 €0.61 €1.18 €3.92</w:t>
        <w:br/>
        <w:t>Vivisol Napoli</w:t>
      </w:r>
    </w:p>
    <w:p>
      <w:r>
        <w:t>28. Finally, it is noted that all Parties have already adopted and made operational antitrust compliance programs, also following the conduct of the I792 proceedings.</w:t>
      </w:r>
    </w:p>
    <w:p>
      <w:r>
        <w:t>IV. ARGUMENTS OF THE PARTIES</w:t>
      </w:r>
    </w:p>
    <w:p>
      <w:r>
        <w:t>29. As mentioned, on January 23, 2019, the companies Eubios, Oxy Live, and Medicair Sud submitted procedural defensive memoranda, while on April 2 of this year, memoranda were received from the companies Vitalaire Italia, Vivisol Napoli, Medicair Sud, and Magaldi Life.</w:t>
      </w:r>
    </w:p>
    <w:p>
      <w:r>
        <w:t>30. In the communications received, the companies – on the sidelines of the dispute that, since this is a new tender, the Authority should have initiated a new investigative procedure and not a non-compliance procedure – emphasized that the inspection checks did not report any qualified contacts or exchanges of information that occurred between the Parties that could prove the existence of illicit coordination.</w:t>
      </w:r>
    </w:p>
    <w:p>
      <w:r>
        <w:t>31. With reference to the choice to submit offers on only two lots, namely those in which the same Parties provided the OTD service as a result of the award of the tender announced in 2014, the companies also emphasized, on the one hand, that the tender specifications provided for a limit on the award of a maximum of two lots, and on the other hand, that this choice was determined by numerous economic and organizational reasons.</w:t>
      </w:r>
    </w:p>
    <w:p>
      <w:r>
        <w:t>BULLETIN NO. 19 OF MAY 13, 2019 173</w:t>
      </w:r>
    </w:p>
    <w:p>
      <w:r>
        <w:t>32. In particular, the companies represented that, also based on their own estimates and internal evaluations, the new amounts of the auction bases would not guarantee a level of profitability sufficient to participate in lots different from those already awarded, since they would be worse than the previous tender. It was also highlighted how the prevalence, in the scoring, of the technical offer over the economic one, effectively incentivized participation in RTIs.</w:t>
      </w:r>
    </w:p>
    <w:p>
      <w:r>
        <w:t>33. To further confirm the rationality and autonomy of their conduct, particularly with reference to the choice to submit offers exclusively for the lots already awarded, the Parties emphasized the relevance of the transition times in the management of the service and the advantages linked to already active and consolidated logistics. Furthermore, in terms of fact, it was highlighted that no operator other than those awarded the service participated in the tender; this underscores the low profitability of the offers for an operator called to bear the costs of transition from scratch.</w:t>
      </w:r>
    </w:p>
    <w:p>
      <w:r>
        <w:t>V. EVALUATIONS</w:t>
      </w:r>
    </w:p>
    <w:p>
      <w:r>
        <w:t>34. By resolution of October 17, 2018, the Authority initiated the present non-compliance procedure against the companies Eubios, Linde Medicale, Magaldi Life, Medicair Sud, Oxy Live, Vitalaire Italia, and Vivisol Napoli, believing that the conduct reported by SORESA in relation to the tender for the assignment of the oxygen therapy service for home therapy in the Campania Region, for which only one offer was submitted for each lot by the previous service provider of OTD, could constitute a non-compliance with the 2016 provision through the perpetuation of a strategy aimed at market sharing and the alteration of competitive dynamics in public tenders.</w:t>
      </w:r>
    </w:p>
    <w:p>
      <w:r>
        <w:t>35. Therefore, in the present procedure, the investigative activity was aimed at verifying whether the aforementioned conduct could constitute a violation of the Authority's warning ordering the Parties to refrain from engaging in behaviors similar to those subject to the infringement established by the 2016 provision.</w:t>
      </w:r>
    </w:p>
    <w:p>
      <w:r>
        <w:t>36. From the documentation collected during the investigation and referred to in the factual part of this provision, no sufficient elements emerged to confirm the existence of a common strategy regarding the SORESA 2018 tender, which could be configured as non-compliance with the 2016 provision, as hypothesized at the start of the investigation.</w:t>
      </w:r>
    </w:p>
    <w:p>
      <w:r>
        <w:t>37. Based on the evaluations and arguments reported above and the documentation in the case file, it is therefore believed that there are no sufficient elements in this case to contest the Parties' failure to comply with the Authority's warning referred to in the repeatedly cited 2016 provision.</w:t>
      </w:r>
    </w:p>
    <w:p>
      <w:r>
        <w:t>All of the above having been stated and considered;</w:t>
      </w:r>
    </w:p>
    <w:p>
      <w:r>
        <w:t>CONSIDERED, in light of the evidentiary results, that there are no conditions to contest the Parties with non-compliance with the repeatedly cited Authority provision No. 26316 of December 21, 2016;</w:t>
      </w:r>
    </w:p>
    <w:p>
      <w:r>
        <w:rPr>
          <w:b/>
        </w:rPr>
        <w:t>[Pages 172–174]</w:t>
      </w:r>
    </w:p>
    <w:p>
      <w:r>
        <w:t>174 BULLETIN NO. 19 OF MAY 13, 2019</w:t>
        <w:br/>
        <w:t>RESOLUTION</w:t>
        <w:br/>
        <w:t>a) that based on the available information, the reasons for intervention against the companies Linde Medicale S.r.l., Medicair Sud S.r.l., Magaldi Life S.r.l., Oxy Live S.r.l., Eubios S.r.l, Vitalaire Italia S.p.A. and Vivisol Napoli S.r.l., for the alleged violation referred to in Article 15, paragraph 2, of Law No. 287/90 for non-compliance with the Authority's resolution No. 26316 of December 21, 2016, in case I792, as hypothesized at the initiation of the proceedings, have ceased to exist;</w:t>
        <w:br/>
        <w:t>b) that there are no grounds for the imposition of a sanction pursuant to Article 15, paragraph 2, of Law No. 287/90 of October 10, 1990.</w:t>
        <w:br/>
        <w:t>This resolution will be notified to the interested parties and published in the Bulletin of the Competition and Market Authority.</w:t>
        <w:br/>
        <w:t>Against this resolution, an appeal may be submitted to the TAR of Lazio, pursuant to Article 135, paragraph 1, letter b), of the Code of Administrative Procedure (Legislative Decree No. 104 of July 2, 2010), within sixty days from the date of notification of the resolution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resolution itself.</w:t>
        <w:br/>
        <w:t>THE SECRETARY GENERAL THE PRESIDENT f.f.</w:t>
        <w:br/>
        <w:t>Filippo Arena Gabriella Muscolo</w:t>
      </w:r>
    </w:p>
    <w:p>
      <w:r>
        <w:t>BULLETIN NO. 19 OF MAY 13, 2019 175</w:t>
        <w:br/>
        <w:t>I821 - VARIOUS ASSIGNMENTS OF PRIVATE SECURITY SERVICES</w:t>
        <w:br/>
        <w:t>Resolution No. 27657</w:t>
        <w:br/>
        <w:t>THE COMPETITION AND MARKET AUTHORITY</w:t>
        <w:br/>
        <w:t>IN ITS MEETING of April 24, 2019;</w:t>
        <w:br/>
        <w:t>HEARD the Rapporteur Dr. Gabriella Muscolo;</w:t>
        <w:br/>
        <w:t>HAVING REGARD to Article 101 of the Treaty on the Functioning of the European Union (TFEU);</w:t>
        <w:br/>
        <w:t>HAVING REGARD to Law No. 287 of October 10, 1990;</w:t>
        <w:br/>
        <w:t>HAVING REGARD to Regulation No. 1/2003 of the Council of December 16, 2002, concerning the application of the competition rules set out in Articles 81 and 82 of the EC Treaty (now Articles 101 and 102 TFEU);</w:t>
        <w:br/>
        <w:t>HAVING REGARD to the D.P.R. No. 217 of April 30, 1998;</w:t>
        <w:br/>
        <w:t>HAVING REGARD to its resolution adopted on February 21, 2018, which initiated an investigation pursuant to Article 14 of Law No. 287/90, against the companies Coop service s. Coop.p.a., Allsystem S.p.A., Istituti di Vigilanza Riuniti S.p.A. and its parent companies SKIBS S.r.l. and Gruppo Biks S.p.A., Italpol Vigilanza Società a responsabilità limitata and its parent company MC Holding S.r.l., Sicuritalia S.p.A. and its parent company Lomafin SGH S.p.A.;</w:t>
        <w:br/>
        <w:t>HAVING REGARD to the resolution of May 29, 2018, extending the scope of the proceedings to the coordination activities in the provision of services to public and private entities, as well as to agreements concerning mutual service assignments between the parties;</w:t>
        <w:br/>
        <w:t>HAVING REGARD to all the acts of the proceedings;</w:t>
        <w:br/>
        <w:t>CONSIDERING the complexity of the case under analysis, also due to the abundance of documentation acquired in the records, with particular regard to the substantial volume and articulation of the documents recently acquired, the high number of parties involved, and the multiplicity of behaviors to be examined;</w:t>
        <w:br/>
        <w:t>CONSIDERING, therefore, the necessity to thoroughly process the information contained in the overall documentation acquired in the records of the Proceedings;</w:t>
        <w:br/>
        <w:t>HAVING REGARD, therefore, to the necessity to extend the deadline for the conclusion of the proceedings, currently set for May 31, 2019;</w:t>
      </w:r>
    </w:p>
    <w:p>
      <w:r>
        <w:t>176 BULLETIN NO. 19 OF MAY 13, 2019</w:t>
        <w:br/>
        <w:t>RESOLUTION</w:t>
        <w:br/>
        <w:t>to extend the deadline for the conclusion of the proceedings to July 31, 2019.</w:t>
        <w:br/>
        <w:t>This resolution will be notified to the interested parties and published in the Bulletin of the Competition and Market Authority.</w:t>
        <w:br/>
        <w:t>THE SECRETARY GENERAL THE PRESIDENT f.f.</w:t>
        <w:br/>
        <w:t>Filippo Arena Gabriella Muscolo</w:t>
      </w:r>
    </w:p>
    <w:p>
      <w:r>
        <w:rPr>
          <w:b/>
        </w:rPr>
        <w:t>[Pages 175–177]</w:t>
      </w:r>
    </w:p>
    <w:p>
      <w:r>
        <w:t>BULLETIN NO. 19 OF MAY 13, 2019 177</w:t>
      </w:r>
    </w:p>
    <w:p>
      <w:r>
        <w:t xml:space="preserve">A531 - RECYCLING OF PRIMARY PACKAGING/ABUSIVE CONDUCT COREPLA  </w:t>
        <w:br/>
        <w:t xml:space="preserve">Provision No. 27662  </w:t>
        <w:br/>
        <w:t xml:space="preserve">THE ANTITRUST AUTHORITY  </w:t>
        <w:br/>
        <w:t xml:space="preserve">IN ITS MEETING of April 30, 2019;  </w:t>
        <w:br/>
        <w:t xml:space="preserve">HEARD the Rapporteur Professor Michele Ainis;  </w:t>
        <w:br/>
        <w:t xml:space="preserve">HAVING REGARD to Law No. 287 of October 10, 1990;  </w:t>
        <w:br/>
        <w:t xml:space="preserve">HAVING REGARD to Presidential Decree No. 217 of April 30, 1998;  </w:t>
        <w:br/>
        <w:t xml:space="preserve">HAVING REGARD to Article 102 of the Treaty on the Functioning of the European Union (TFEU);  </w:t>
        <w:br/>
        <w:t xml:space="preserve">HAVING REGARD to Council Regulation (EC) No. 1/2003 of December 16, 2002, concerning the application of the competition rules laid down in Articles 81 and 82 of the EC Treaty (now Articles 101 and 102 TFEU);  </w:t>
        <w:br/>
        <w:t xml:space="preserve">HAVING REGARD to the report from the CORIPET consortium (Private Law Consortium for the Recycling of PET), received on February 11, 2019, which was supplemented several times between February and April 2019;  </w:t>
        <w:br/>
        <w:t xml:space="preserve">HAVING REGARD to the documents of the proceeding;  </w:t>
        <w:br/>
        <w:t>CONSIDERED the following:</w:t>
      </w:r>
    </w:p>
    <w:p>
      <w:r>
        <w:t xml:space="preserve">I. PREMISE  </w:t>
        <w:br/>
        <w:t xml:space="preserve">1. On February 11, 2019, the CORIPET consortium, an autonomous system in the sector of managing waste from primary plastic packaging (and more specifically PET1), recognized pursuant to Article 221 of Legislative Decree No. 152/06 (Consolidated Environmental Act, hereinafter also "TUA"), with a decree from the Ministry of the Environment and Protection of Land and Sea (hereinafter "MATTM") of April 24, 2018 (RIN-DEC No. 58), reported to the Authority certain conduct carried out by the National Packaging Consortium (hereinafter, "CONAI")2, by the National Consortium for the Collection, Recycling, and Recovery of Plastic Packaging Waste (hereinafter, "COREPLA"), as well as by ANCI (National Association of Italian Municipalities), in alleged violation of antitrust regulations.  </w:t>
        <w:br/>
        <w:t xml:space="preserve">1 Polyethylene Terephthalate.  </w:t>
        <w:br/>
        <w:t>2 The latter is a mandatory consortium by law, endowed with legal personality, non-profit, established by producers and users of packaging to pursue the objectives of recovery and recycling of packaging waste as provided by European legislation, through the use – among other things – of funds paid by member producers (the so-called CONAI Environmental Contribution or CAC) in compliance with the EPR obligations that weigh on them (see infra). CONAI was initially established by Legislative Decree No. 22/97 (so-called Ronchi Decree) and is now governed by Legislative Decree No. 152/06 (TUA). The activities of CONAI are specifically governed by the Statute, subject to ministerial approval, and by the consortium regulation. CONAI pursues the aforementioned objectives by directing and coordinating the activities of six supply chain consortia, each representing companies that produce packaging in steel (CNA), aluminum (CIAL), paper (COMIECO), wood (RILEGNO), glass (COREVE), and plastic (COREPLA). CONAI therefore carries out its activities also in favor of COREPLA, to which the proceeds of the CAC are transferred in proportion to the total quantity of plastic packaging placed on the market during the previous year by the companies consigned to it, and then subsequently used to support local administrations to finance the additional costs of urban separate collection (RDU). Furthermore, CONAI establishes the amount of the CAC to be applied to each ton of plastic packaging placed on the market by the members of COREPLA and consequently determines the overall amount of the proceeds with which COREPLA carries out its activities (see Article 224, paragraph 3, letter h), TUA).</w:t>
      </w:r>
    </w:p>
    <w:p>
      <w:r>
        <w:t xml:space="preserve">178 BULLETIN NO. 19 OF MAY 13, 2019  </w:t>
        <w:br/>
        <w:t xml:space="preserve">2. CORIPET has, in particular, reported a series of conducts, adopted after the ministerial recognition decree, that obstruct its operations by both ANCI, which would have unjustifiably extended the time of its agreement with CORIPET, necessary for the definitive recognition of said autonomous system, and by the CONAI-COREPLA supply chain system3. More precisely, as emerges from the analysis of the reported facts, COREPLA would have engaged in various behaviors with the specific aim of preventing the consortium's operations, denying it any possibility of accessing that part of the separate collection of PET containers attributable to the consumption of its members. Such conduct would have occurred despite the fact that the companies consigned to CORIPET, having identified the latter and no longer COREPLA as the entity to which to entrust the recycling activities in compliance with the obligations of Extended Producer Responsibility (“EPR”)4, since the beginning of 2019, pay the environmental contribution to CORIPET (the so-called CRC CORIPET recovery contribution), in accordance with what is provided for by the TUA (as will be seen better infra), with a corresponding cessation of the payment of the CAC - CONAI environmental contribution - in favor of CONAI/COREPLA.  </w:t>
        <w:br/>
        <w:t>3. On the same date, moreover, CORIPET requested the Authority to adopt precautionary measures, considering the alleged anticompetitive nature of the reported conducts, as well as the necessity to intervene promptly, given that, based on what is provided in the MATTM decree, the definitive recognition of the consortium system "is subject to the verification of the functioning of the system carried out under conditions of effective operation"5 in the first two years following the notification of the decree itself, one of which has already passed.</w:t>
      </w:r>
    </w:p>
    <w:p>
      <w:r>
        <w:t xml:space="preserve">II. THE PARTIES  </w:t>
        <w:br/>
        <w:t xml:space="preserve">4. CORIPET is a non-profit private law consortium that exclusively deals with the recovery and recycling of PET bottles for food use6 on behalf of its members in compliance with the EPR. The CORIPET members are primarily major bottling and selling companies of mineral water (including Ferrarelle S.p.A., San Pellegrino S.p.A., Lete S.p.A., Norda S.p.A., Acque Minerali d’Italia S.p.A., Drink Cup S.r.l., etc.), which are also self-producers of the plastic bottles used for their commercial activities; it also includes producers of other PET containers (milk marketing companies such as Granarolo S.p.A., Centrale del Latte di Brescia S.p.A., Parmalat S.p.A.) and some Italian PET recyclers (in particular, Aliplast S.p.A., Dentis S.r.l. and Valplastic S.p.A.). In April 2018, as already mentioned above, CoRiPET received from MATTM, pursuant to Article 221 of the TUA, a decree of provisional recognition (RIN-DEC No. 58).  </w:t>
        <w:br/>
        <w:t>5. COREPLA is a consortium for the recovery and recycling of plastic packaging, which is part of the supply chain system attributable to CONAI. It is mandatory for producers of raw materials (plastic) and plastic packaging to participate, who must take responsibility for the recycling of the packaging they place on the market, and optionally for users of plastic packaging, recyclers, and recoverers. The activities of the consortium are specifically governed by the Statute and the Regulation and consist of ensuring the recycling and energy recovery of plastic packaging, mainly so-called primary packaging, collected through the separate collection circuit, and to a lesser extent also of secondary and tertiary packaging. In light of the coordination between the waste management activities carried out by the various supply chain consortia and the public service of organized separate collection by the municipalities, ensured by CONAI through the so-called ANCI-CONAI agreement7, COREPLA operates applying the technical annex "plastic" of that agreement. In 2017, COREPLA's budget shows total revenues of 545.2 million euros, of which revenues from environmental contributions amount to 398.7 million and revenues from recycling sales amount to 104.3 million8.</w:t>
      </w:r>
    </w:p>
    <w:p>
      <w:r>
        <w:t xml:space="preserve">III. THE REGULATORY FRAMEWORK  </w:t>
        <w:br/>
        <w:t xml:space="preserve">i) General Principles  </w:t>
        <w:br/>
        <w:t xml:space="preserve">6. Pursuant to Articles 217 et seq. of the TUA, implementing Directive 94/62/EC9, as amended by Directive 2004/12/EC10, the regulation of the management of waste from packaging aims both to prevent and reduce environmental impact, ensuring a high level of protection thereof, and to guarantee the proper functioning of the market, avoiding the emergence of obstacles to trade and distortions of competition.  </w:t>
        <w:br/>
        <w:t xml:space="preserve">7. The entire regulation is centered on the principle of EPR already mentioned11, which, at the national level, has led the legislator to identify producers and users of packaging as the obligated parties to ensure the correct and effective environmental management of the packaging placed on the market and the related waste.  </w:t>
        <w:br/>
        <w:t xml:space="preserve">7 The ANCI-CONAI Agreement, currently in force, was signed on April 1, 2014. The Agreement and the Technical Annexes regulate the relationships between the supply chain consortia and the municipalities. In the case of adherence to the agreement, the local authority enters into specific individual agreements for each specific type of packaging waste with the individual supply chain consortia. For urban separate collection of plastic, the ANCI-COREPLA technical agreement is in force.  </w:t>
        <w:br/>
        <w:t xml:space="preserve">8 COREPLA, Management Report 2017.  </w:t>
        <w:br/>
        <w:t xml:space="preserve">9 See Directive 94/62/EC of the European Parliament and of the Council of December 20, 1994, on packaging and packaging waste in OJEC L365 of December 31, 1994.  </w:t>
        <w:br/>
        <w:t xml:space="preserve">10 See Directive 2004/12/EC of the European Parliament and of the Council of February 11, 2004, in OJEC L 47 of February 18, 2004.  </w:t>
        <w:br/>
        <w:t>11 See supra, note 4.</w:t>
      </w:r>
    </w:p>
    <w:p>
      <w:r>
        <w:rPr>
          <w:b/>
        </w:rPr>
        <w:t>[Pages 178–180]</w:t>
      </w:r>
    </w:p>
    <w:p>
      <w:r>
        <w:t>180 BULLETIN NO. 19 OF MAY 13, 2019</w:t>
      </w:r>
    </w:p>
    <w:p>
      <w:r>
        <w:t>ii) Environmental obligations arising from the TUA in relation to packaging</w:t>
      </w:r>
    </w:p>
    <w:p>
      <w:r>
        <w:t>8. The responsibility attributed to the obligated parties entails the necessity for them to resort to waste management systems for the waste generated from the packaging they produce, place on the market, and use, and to finance their activities.</w:t>
      </w:r>
    </w:p>
    <w:p>
      <w:r>
        <w:t>9. To this end, Article 221, paragraphs 2 and 3, of the TUA provides that producers and users must register with CONAI, unless the producers establish alternative management systems, namely a) organize an autonomous management system for their packaging waste, either individually or collectively; or b) create a deposit return system for packaging.</w:t>
      </w:r>
    </w:p>
    <w:p>
      <w:r>
        <w:t>a) The consortium system</w:t>
      </w:r>
    </w:p>
    <w:p>
      <w:r>
        <w:t>10. All packaging producers who choose the default option, namely adherence to the consortium system, pursuant to Article 223, paragraph 1, TUA, must mandatorily join both CONAI and the supply chain consortium, which in the case of plastics is COREPLA.</w:t>
      </w:r>
    </w:p>
    <w:p>
      <w:r>
        <w:t>11. Participation in the consortium system entails, pursuant to Article 224, paragraph 3, letter h), TUA, the payment to CONAI of the Environmental Contribution CONAI (hereinafter, "CAC"), due at the time of the "first transfer" of the packaging.</w:t>
      </w:r>
    </w:p>
    <w:p>
      <w:r>
        <w:t>b) Autonomous management systems</w:t>
      </w:r>
    </w:p>
    <w:p>
      <w:r>
        <w:t>12. Producers who intend not to join, or to withdraw from, the consortium system and establish an autonomous system (thus ceasing to pay the CAC) must submit an application to the Ministry of the Environment, Land and Sea requesting recognition of the management system project, according to the procedure outlined in Article 221, paragraph 5 of the TUA. This provision structures the recognition procedure as bifasic: the MATTM – also based on technical analyses formulated by ISPRA – when it finds prima facie the suitability of the autonomous management system to guarantee the legal objectives, proceeds to issue an ex ante authorization or provisional recognition, thus allowing the system to operate concretely, and then verify at a later stage the actual functioning of the same in the field and subsequently issue a definitive recognition to the autonomous system.</w:t>
      </w:r>
    </w:p>
    <w:p>
      <w:r>
        <w:t>13. The verification carried out by the administration aims to ascertain the existence of the requirements of efficiency, effectiveness, and cost-effectiveness of the system, the actual and autonomous functioning of the system, the achievement of the recovery and/or recycling objectives established by law and, finally, the information provided to users and end users of the packaging regarding the functioning of the system.</w:t>
      </w:r>
    </w:p>
    <w:p>
      <w:r>
        <w:t>14. In this case, the autonomous system in question operates in the recovery of so-called primary packaging, such as PET bottles; an activity in which, until the recognition – albeit provisional – of CORIPET, only the COREPLA consortium effectively operated exclusively, according to the methods illustrated below.</w:t>
      </w:r>
    </w:p>
    <w:p>
      <w:r>
        <w:t>IV. The management of plastic packaging within the CONAI system of supply chain consortia and the agreements of COREPLA WITH ANCI AND WITH SELECTORS</w:t>
      </w:r>
    </w:p>
    <w:p>
      <w:r>
        <w:t>15. In order to perform its function, COREPLA – that is, the consortium that manages the plastic supply chain within the CONAI system – has established agreements with the counterparts involved in the material execution of certain phases of the recycling of primary plastic packaging waste. On one hand, for separate collection, which is carried out under monopoly by the municipalities or entities designated by them, COREPLA has inserted itself into the aforementioned more general provisions of the ANCI-CONAI agreement, drafting a specific technical supply chain agreement ANCI-COREPLA; on the other hand, for the selection of materials resulting from such separate collection, it has entered into contracts with a network of selection platforms (about thirty throughout the national territory). As highlighted in the following paragraphs, COREPLA interprets the respective agreements as considering all plastic packaging waste from the separate collection of Italian municipalities to be exclusively available to it.</w:t>
      </w:r>
    </w:p>
    <w:p>
      <w:r>
        <w:t>16. Regarding the agreements with ANCI, it is noted that the operationality of the COREPLA consortium is definable starting from the Framework Agreement that regulates the relationships between ANCI and CONAI. According to the general principles contained in this agreement, the latest version of which, valid until the end of March 2019, has recently been extended to July 2019, on one hand, the municipalities, "even in an associated form, implement adequate separate collection systems through municipal regulations ..... adopting methods of collecting packaging waste in relation to the needs of subsequent recycling activities, and in any case according to criteria of efficiency, effectiveness, cost-effectiveness, and transparency of service management"; on the other hand, CONAI "ensures, through the supply chain consortia, the withdrawal of packaging waste from separate collection.... and possibly from other interception methods.... that present characteristics of effectiveness, efficiency, and cost-effectiveness, based on the General Program for the prevention and management of packaging and packaging waste referred to in Article 225 of Legislative Decree No. 152 of April 3, 2006". According to the Framework Agreement, CONAI "also undertakes to pay, through the supply chain consortia, based on the quantity and quality of the collected and delivered packaging waste, compensation for the additional costs for the separate collection of packaging waste".</w:t>
      </w:r>
    </w:p>
    <w:p>
      <w:r>
        <w:t>17. From an operational point of view, the Framework Agreement provides that each municipality "may request each supply chain consortium to sign an implementing agreement of this Agreement and the related technical annexes" also specifying that "The signing of agreements with a specific Consortium commits the Municipality to confer all packaging waste pertaining to that supply chain to the relevant Consortium according to the methods provided for in the specific technical annex, equally committing the supply chain consortia to withdraw the same waste and recognize the compensation for the additional costs of the separate collection of packaging waste. [...] The technical annexes to this Agreement regulate the other mutual commitments of the contracting parties, without prejudice to the provisions of this Agreement".</w:t>
      </w:r>
    </w:p>
    <w:p>
      <w:r>
        <w:t>18. As for the Technical Annex ANCI-COREPLA, Article 3, second sentence19, provides an obligation on the part of the contracting party (the municipality, or the waste collection management company if delegated) to confer all types of plastic packaging waste collected that pertain to COREPLA to the selection platforms agreed with it, while the same article provides that the contracting municipality may "not confer to COREPLA" the "plastic packaging waste from non-domestic collection circuits (...)". Furthermore, Article 5 – Ownership of packaging – of the standard local agreement between COREPLA and the contracting parties (municipality/manager)20 provides that COREPLA acquires ownership of the waste "for objective needs of certainty" and the subsequent Article 17, paragraph 4 establishes that "(...) the material is considered conferred by the Contracting Party to COREPLA upon completion of the unloading of the vehicle in the area equipped for this purpose at the CSS"21.</w:t>
      </w:r>
    </w:p>
    <w:p>
      <w:r>
        <w:t>19. As relevant for the purposes of this proceeding, it is noted that Article 11 of the Technical Annex ANCI-COREPLA (Plastic packaging not subject to CAC) explicitly contemplates the possibility that part of the separate collection of the contracting parties is not under COREPLA's competence, providing that "Packaging under the competence of already recognized autonomous management systems or that may be recognized in accordance with the law during the validity period of this Technical Annex are considered neutral fractions, without prejudice to the provisions of this Agreement".</w:t>
      </w:r>
    </w:p>
    <w:p>
      <w:r>
        <w:t>19 “The Contracting Party undertakes to organize the collection, its management, and the conferment of all types of plastic packaging waste collected that pertain to COREPLA to the platform defined with COREPLA itself. The Contracting Party also has the option not to confer to COREPLA the plastic packaging waste from non-domestic collection circuits [...]”.</w:t>
        <w:br/>
        <w:t>20 Doc. 1.3. “The Parties agree that, for objective needs of certainty regarding the ownership of the packaging subject to this Agreement in relation to the obligations of recovery and recycling, the Contracting Party acquires ownership of the same in accordance with what is specified in the Technical Annex (annex "A") and/or in Section II”.</w:t>
        <w:br/>
        <w:t>21 The acronym “CSS” indicates the “Selection Centers”, that is, the platforms to which the urban collection managers confer the materials resulting from separate collection, which the same CSS transform into bales of material suitable for recycling (“Secondary Raw Material”, MPS).</w:t>
      </w:r>
    </w:p>
    <w:p>
      <w:r>
        <w:rPr>
          <w:b/>
        </w:rPr>
        <w:t>[Pages 181–183]</w:t>
      </w:r>
    </w:p>
    <w:p>
      <w:r>
        <w:t>BULLETIN NO. 19 OF MAY 13, 2019 183</w:t>
      </w:r>
    </w:p>
    <w:p>
      <w:r>
        <w:t>any agreements between the managers of the autonomous systems and COREPLA, and also subject to what is provided by the ministerial decrees approving said autonomous systems.” It should be noted that, as becomes clearer in the following, this regulation is nevertheless interpreted by COREPLA as authorizing it to select and sell, as its own, also the packaging “not subject to CAC,” i.e., the so-called neutral fractions22.</w:t>
      </w:r>
    </w:p>
    <w:p>
      <w:r>
        <w:t>20. In this sense, it must be observed that the standard contract for the selection of packaging waste in plastic that COREPLA has entered into with the CSS provides in Article 3 (Delivery of Material – Collection of Products and By-products) and particularly in point 3.6, that: “Unless expressly authorized in writing by COREPLA, the CSS may not dispose of, sell, or transfer to third parties in any capacity, the incoming Material, Products, and By-products, which are exclusively available to COREPLA”23. This article effectively binds all selectors to carry out their activities related to urban RDU exclusively for the benefit of COREPLA.</w:t>
      </w:r>
    </w:p>
    <w:p>
      <w:r>
        <w:t>V. THE FACTS</w:t>
      </w:r>
    </w:p>
    <w:p>
      <w:r>
        <w:t>21. In April 2016, CORIPET submitted a request to the MATTM for the recognition of the System for the direct management of PET packaging for food liquids (CORIPET autonomous system) pursuant to letter a) of Article 221, paragraph 3, TUA. The CORIPET system provides for the collection of plastic PET bottles both through the so-called eco-compactors, installed at large-scale retail (or in other suitable locations), and through RDU (Urban Differentiated Collection). Eco-compactors are machines for collecting PET bottles that incentivize consumers to return them post-consumption, recognizing them, in exchange for such return, discount vouchers on purchases (or other economic benefits). According to the project of the Consortium approved by the Ministry, eco-compactors will be positioned in all areas of the Italian territory (north, center, and south), focusing mainly where differentiated collection is more lacking (and, therefore, essentially in the south). In operation, this system should cover about 30% of the consumption input of CORIPET members (and it is the only type of waste that can be directed to “bottle to bottle”24), while the remaining 70% of the consumption input for which it is responsible will end up in RDU, from which CORIPET, like COREPLA, must be able to draw material.</w:t>
      </w:r>
    </w:p>
    <w:p>
      <w:r>
        <w:t>22. Regarding the collection of bottles through urban differentiated collection, since this can only be carried out by the managers of the urban hygiene service exclusively on behalf of the municipalities or through the municipalities (if they carry it out themselves), the CORIPET project assumes that the municipalities/local managers of urban waste (RU) carry out traditional differentiated collection also on behalf of CORIPET concerning the portion of waste attributable to the consumption input of its members and, therefore, under its responsibility. In other words, the system assumes a “sharing” between COREPLA and CORIPET (and, in the future, any other autonomous management) of the plastic waste of respective competence arising from the differentiated collection carried out by managers in each local area, following what also occurs in other European countries where different EPR compliance systems coexist.</w:t>
      </w:r>
    </w:p>
    <w:p>
      <w:r>
        <w:t>23. Also with reference to the management of primary plastic packaging waste collected through RDU, it should be noted that in addition to the collection manager (and, therefore, the municipality), this method also involves other parties, namely the holders of the so-called “selection centers” (CSS). These, about 30 nationwide, are recipients in each local area of RDU, and therefore also of plastic waste. The collection manager, in fact, delivers the waste of plastic collected in a differentiated manner25 to the selection platforms that transform them into bales of secondary raw material (MPS)26 reusable as production input. A compliance system that wants to recycle the materials from RDU must, therefore, also have access to these operators, again, sharing their services with other existing systems (to date, only COREPLA).</w:t>
      </w:r>
    </w:p>
    <w:p>
      <w:r>
        <w:t>24. The request for authorization to operate submitted by CORIPET was provisionally accepted on April 24, 2018, with a decree from the MATTM (RIN-DEC no. 58). In this decree, the Ministry specified that the CORIPET system “is subject to verification of the functioning of the system carried out under conditions of actual operation in the first two years of operation starting from the date of notification of this provision.” And indeed, based on the prerequisites for the functioning of the autonomous system, particularly concerning the collection phase mentioned above, Article 2 of the MATTM decree conditions the definitive authorization of CORIPET on compliance with a series of obligations and prescriptions, functional to achieving recovery/recycling objectives27, among which, for what is most relevant here: a) “the definition and signing of agreements with ANCI, the municipalities, and other operators in the sector (…) in order to ensure coverage of the service throughout the national territory, within six months from the notification of this provision; such sector agreements must guarantee the correct interaction between the actors, through a collaborative action aimed at ensuring the effectiveness of the proposed system, as well as containing the costs of the collection system, in order to avoid a direct or indirect burden on citizens”; as well as b) “the resumption on the national territory of the packaging under the Consortium’s competence, wherever they are placed on the market, through the structuring of a collection system that invests all territorial contexts under its responsibility”; and finally, c) “the planned increase in the installation of eco-compactors, especially in areas where differentiated collection reaches lower levels”28.</w:t>
      </w:r>
    </w:p>
    <w:p>
      <w:r>
        <w:t>25. Sometimes previously pressed into bales at the district centers (CC).</w:t>
      </w:r>
    </w:p>
    <w:p>
      <w:r>
        <w:t>26. Pursuant to Article 184-ter, paragraph 1, TUA, a given substance can be considered secondary raw material when it is generated from a recovery operation that has been completed and that gives rise to a substance or material that can be reintroduced into the production cycle, provided that: a) the substance or object is commonly used for specific purposes; b) there is a market or demand for such substance or object; c) the substance or object meets the technical requirements for specific purposes and complies with existing regulations and standards applicable to products; and d) the use of the substance or object will not lead to overall negative impacts on the environment or human health.</w:t>
      </w:r>
    </w:p>
    <w:p>
      <w:r>
        <w:t>27. Article 3 of the MATTM decree provides for demonstrating: “achieving the minimum recovery and recycling target of 60% of PET plastic bottles placed on the market in the national territory in the year preceding the reference year, unless adjustments are made in case of changes to the relevant European legislation.”</w:t>
      </w:r>
    </w:p>
    <w:p>
      <w:r>
        <w:t>28. The Decree also provides for the achievement of another 4 monitoring and efficiency objectives for the PET collection and recycling system, not directly relevant to the issue at hand.</w:t>
      </w:r>
    </w:p>
    <w:p>
      <w:r>
        <w:t>BULLETIN NO. 19 OF MAY 13, 2019 185</w:t>
      </w:r>
    </w:p>
    <w:p>
      <w:r>
        <w:t>25. Following the recognition received, CORIPET immediately sought to negotiate an agreement with ANCI to gain access to the portion of Urban Differentiated Collection under its responsibility. The negotiations with ANCI, although initiated and carried forward with the competent technical offices at a certain point, did not lead to the conclusion of any agreement, and ANCI, repeatedly, indicated that it wanted to conduct negotiations in parallel with CORIPET and CONAI, whose framework agreement expiring at the end of March 2019 was then extended by the parties under the same economic conditions at the end of July 2019, on the assumption of concluding the ongoing negotiations by that date. ANCI, moreover, considered the revision of the agreements between COREPLA and the CSS, which, in the current situation, prevent the autonomous system from accessing the selection platforms as they are bound by exclusive contracts with COREPLA, undermining its operability29, as preliminary to its negotiation with CORIPET.</w:t>
      </w:r>
    </w:p>
    <w:p>
      <w:r>
        <w:t>26. Therefore, CORIPET, starting in January 2019, undertook other initiatives at its disposal to become operational as soon as possible, in order to meet the timelines and objectives indicated in the MATTM decree. In this sense, since January 2019, CORIPET members (packaging producers) have ceased to pay the CAC to CONAI (for about [20-25]* million euros) and have begun to pay the CORIPET Recycling Contribution (CRC), amounting to €188/ton30, in accordance with what is provided by the TUA (Article 221, paragraph 531). In order to immediately use these funds for the recycling of packaging waste in PET placed on the market by its members, pending the agreement with ANCI, CORIPET attempted to adopt a temporary solution by directly approaching COREPLA on December 24, 2018, to stipulate a “bridge agreement,” declaring itself “available to finance the activities of collection, selection, and withdrawal of the volumes under its responsibility based on the current system without therefore affecting the long-established and consolidated context referred to in the subject note (pending the possible hoped-for sector agreement)”32.</w:t>
      </w:r>
    </w:p>
    <w:p>
      <w:r>
        <w:t>27. With a letter dated January 31, 201933, COREPLA, however, responded negatively; in fact, while demonstrating a general willingness to technical meetings34, the consortium stated that</w:t>
      </w:r>
    </w:p>
    <w:p>
      <w:r>
        <w:t xml:space="preserve">29 Minutes of the ANCI Hearing at the Authority's offices on July 18, 2018. </w:t>
        <w:br/>
        <w:t xml:space="preserve">* In this version, some data are omitted, as there were deemed to be elements of confidentiality or secrecy of the information. </w:t>
        <w:br/>
        <w:t xml:space="preserve">30 The contribution will be fixed for the first 5 years of activity according to what was stated to La Stampa by the President of the consortium (https://www.lastampa.it/2016/04/19/scienza/rifiuti-acque-minerali-e-riciclatori-insieme-per-dare-nuova-vita-alle-bottiglie-wOlVGoyWzeFYbNFz7MxXDN/pagina.html). </w:t>
        <w:br/>
        <w:t xml:space="preserve">At the same time, CONAI from January 1, 2019, divided plastic packaging into four bands (before 2018 the contribution for plastic was unique and for 2018 the bands were 3: A, B, and C, and band B1 corresponding mostly to PET packaging provides that the CAC amounts to €208/ton. For the other bands, the contribution provided is: band A €150/ton; band B2 €263/ton; band C €369/ton. </w:t>
        <w:br/>
        <w:t xml:space="preserve">31 “The obligation to pay the environmental contribution referred to in Article 224, paragraph 3, letter h), is suspended following the recognition of the project based on suitable documentation and until the definitive provision that ascertains the functioning or non-functioning of the system and communicates it to the Consortium. To obtain recognition, producers must demonstrate that they have organized the system according to criteria of efficiency, effectiveness, and cost-effectiveness, that the system will be effectively and autonomously operational and that it will be able to achieve, within the activities carried out, the recovery and recycling objectives referred to in Article 220 [...]” </w:t>
        <w:br/>
        <w:t xml:space="preserve">32 Doc. 1.26. </w:t>
        <w:br/>
        <w:t xml:space="preserve">33 Doc. 1.25. </w:t>
        <w:br/>
        <w:t>34 “Although the decree of provisional recognition of the CORIPET Project does not provide for agreements with COREPLA, following the working table Anci/CORIPET/COREPLA of 22.10.18 convened by the MATTM, which highlighted the opportunity</w:t>
      </w:r>
    </w:p>
    <w:p>
      <w:r>
        <w:rPr>
          <w:b/>
        </w:rPr>
        <w:t>[Pages 184–186]</w:t>
      </w:r>
    </w:p>
    <w:p>
      <w:r>
        <w:t xml:space="preserve">186 BULLETIN NO. 19 OF MAY 13, 2019  </w:t>
        <w:br/>
        <w:t xml:space="preserve">“It is [instead] not possible for us to participate in a technical table concerning the mere withdrawal downstream of our collection and sorting activities of the packaging that you consider to be your responsibility and therefore the sole determination of the costs to be recognized to COREPLA for the management (by COREPLA itself "under the current system") of such packaging. It is evident, in fact, that the proposed solution completely contradicts the requirement of the autonomy of the systems, not coincidentally called autonomous, set forth by Legislative Decree No. 152/2006 and is also entirely incompatible with the same CORIPET Project (which, as you know, we believe is lacking, among other things, the requirement of autonomy) and the related provisional recognition decree, which provide for something entirely different. No table, technical or otherwise, can overcome these multiple and radical incompatibilities. Given these circumstances, the decision to suspend the payment of the CAC appears unjustified and strongly detrimental to environmental protection related to the management of plastic packaging waste, particularly with regard to the separate collection of municipalities and the related connected activities which, as you yourself indicate, need to have continuous access to resources to carry them out.”  </w:t>
        <w:br/>
        <w:t xml:space="preserve">28. Awaiting COREPLA's response, on January 23, 2019, CORIPET turned to ASSOSELE, the association of sorting platforms (CSS), proposing a framework agreement for the sorting of the volumes under its responsibility, for the purpose of acquiring PET materials to be sold to recyclers. ASSOSELE, however, in response to CORIPET's request, set as a preliminary condition the definition of an upstream agreement on urban RD35 and, in any case, has deemed the exclusivity clauses binding its members to COREPLA36 as an obstacle to date. Subsequently (in March 201937), CORIPET also approached individual sorting platforms to present the CORIPET software aimed at managing the volumes under its responsibility, receiving numerous refusals even to schedule a meeting, precisely due to the exclusivities currently binding the CSS to COREPLA.  </w:t>
        <w:br/>
        <w:t xml:space="preserve">29. On February 20 of this year, finally, CORIPET, as part of the initiatives taken to concretely begin its operations, auctioned the volumes of MPS in PET under its jurisdiction (approximately 5,000 tons) for the month of March. This initiative, already known prior to its execution, had been strongly opposed by COREPLA, which sent a warning to the autonomous consortium a few days before the auction: “It therefore seems that you intend to proceed with the sale of materials that not only are not in your possession but that you have no title to acquire in the absence, among other things, of an agreement between you and Anci and between you and the other economic operators, as there are contractual agreements that provide for the delivery to COREPLA of all the collected material. We therefore invite you to refrain from behaviors and initiatives that violate our rights and reserve all appropriate initiatives and actions in all competent venues”38. Following this letter, a second one was sent a few days later39, but still prior to the auction, stating: “[..] we reiterate that you have no title to proceed with the auction sale given, if nothing else, the lack of an agreement between you and Anci and between you and the other economic operators, agreements provided for this purpose by the provisional recognition decree. We also confirm that we foresee serious risks of paralysis of the system should you not withdraw from your intent: it is evident that, in the presence of disputes regarding who is responsible for the withdrawal of the selected waste in question, the operation of the sorting centers themselves risks being seriously compromised with evident repercussions on the possibility of collecting the separate waste.”  </w:t>
        <w:br/>
        <w:t xml:space="preserve">30. Following the auction held by CORIPET and the related award, COREPLA then wrote to all CSS indicating that: “This auction is entirely illegitimate as CORIPET has no title whatsoever to sell said PET. We therefore invite you, by virtue of the contract in question (contract for the selection of plastic packaging waste), not to deliver to anyone on behalf of CORIPET volumes of PET that are our property”40. Finally, on February 26, COREPLA auctioned the same volumes previously auctioned by CORIPET along with others under COREPLA's jurisdiction (for a total of 20,000 tons) resulting in a double award on the volumes corresponding to approximately 5,000 tons with overlapping of the winning companies. On March 9, 2019, finally, CORIPET canceled its auction due to force majeure, considering that the selectors had already communicated that they would not deliver the material to the winners of CORIPET's auctions42.  </w:t>
        <w:br/>
        <w:t xml:space="preserve">31. It should finally be noted that ASSOSELE communicated to the Authority, in a letter dated April 23, 2019, that it had received from COREPLA (on April 4, 2019) a note whereby the consortium would have effectively unilaterally imposed on the CSS an extension of the existing agreements by modifying some contractual aspects but “maintaining all penalties for the companies in the sector and the exclusivity clauses”43.  </w:t>
        <w:br/>
        <w:t xml:space="preserve">VI. EVALUATIONS  </w:t>
        <w:br/>
        <w:t xml:space="preserve">i) Premise  </w:t>
        <w:br/>
        <w:t xml:space="preserve">32. The subject of contestation of this provision is the behavior of COREPLA, which, currently the only active operator in the recycling of primary plastic packaging waste, seems to have acted by refusing any possible negotiation with CORIPET, which is essential for the acquisition of primary plastic packaging waste under its jurisdiction, or by placing other obstacles to access to the market by said autonomous system, recognized by ministerial provision and thus a potential competitor of the consortium system. Therefore, such behaviors, in light of the analysis of the relevant market and the dominant position held therein by COREPLA, as a whole appear to configure a case of abuse of a dominant position in violation of Article 102 TFEU.  </w:t>
        <w:br/>
        <w:t xml:space="preserve">ii) The relevant market  </w:t>
        <w:br/>
        <w:t xml:space="preserve">33. Plastic packaging waste is distinguished based on the collection circuit in which they flow, depending on their commodity characteristics and the use made of the packaging from which they derive: primary and secondary packaging assimilated44, after use, fall into the separate collection of municipal solid waste (hereinafter, “urban plastic packaging waste”), while non-assimilated secondary and tertiary packaging, once used, are collected directly at the private sites where they are transformed into waste (hereinafter, “special plastic packaging waste”).  </w:t>
        <w:br/>
        <w:t xml:space="preserve">34. Each operator that is active in offering the service of recycling primary plastic packaging waste (including the supply chain consortium), given the existence of a right of exclusivity in favor of the subjects entrusted with the management of urban separate collection, cannot carry out the collection of the packaging waste under its jurisdiction on its own and must therefore necessarily rely on the monopolistic collection activity in every local area. Conversely, the recycling of special plastic packaging waste can be organized by different subjects starting from the collection, which is not included under the exclusivity regime.  </w:t>
        <w:br/>
        <w:t xml:space="preserve">35. Therefore, the management of the recycling of urban plastic packaging waste and that of special plastic packaging waste form two separate markets. Within the primary plastic waste from RD, the recovery and recycling of only PET packaging could constitute a distinct relevant market. However, the exact definition of the market, at this stage of the proceedings, can be left open for subsequent investigative deepening since, however the market is defined, COREPLA's dominant position is not in doubt, as will be better seen below.  </w:t>
        <w:br/>
        <w:t>36. From a geographical perspective, the identified relevant market seems to possess a national dimension. Its extent, in fact, is closely linked to the scope of the regulatory provisions. The applicable national legislation has structured a system for fulfilling the obligation to manage packaging waste that is different from other European countries, which, moreover, also implies the application of environmental contributions set at different levels compared to those that operators from other Member States must pay for the packaging placed on the market there. This is sufficient for distinct competitive conditions to be created in the national market compared to those present in other areas of the European internal market, allowing us to assert that the relevant market extends only to the national territory. This conclusion also appears confirmed by the fact that the obligation to manage is subject to the requirement that the so-called “assimilated” waste is waste produced by small commercial, artisanal, and tertiary activities that, being qualitatively similar to domestic waste, below a certain size threshold (defined in terms of waste production by specific municipal regulations), are collected by the public service manager together with urban domestic waste.</w:t>
      </w:r>
    </w:p>
    <w:p>
      <w:r>
        <w:rPr>
          <w:b/>
        </w:rPr>
        <w:t>[Pages 187–189]</w:t>
      </w:r>
    </w:p>
    <w:p>
      <w:r>
        <w:t>BULLETIN NO. 19 OF MAY 13, 2019 189</w:t>
      </w:r>
    </w:p>
    <w:p>
      <w:r>
        <w:t>strictly linked to a criterion of territoriality, that is, to the placing on the market of packaging in the Italian territory, regardless of the geographical location of the operators.</w:t>
      </w:r>
    </w:p>
    <w:p>
      <w:r>
        <w:t>37. In conclusion, for the purposes of evaluating the conduct subject to the report, the relevant market can be identified as the market for the management of the recycling of primary plastic packaging functional to compliance with EPR obligations. In this market, on the demand side, there are producers of primary packaging subject to the obligation to recycle the waste resulting from such goods, while, on the supply side, only COREPLA45 is currently operational, although, pursuant to law, the service may also be offered by other entities, namely the autonomous systems provided for by the TUA; among these is the reporting entity CORIPET, which has already obtained a provisional recognition order under which it is authorized to operate in the market.</w:t>
      </w:r>
    </w:p>
    <w:p>
      <w:r>
        <w:t>iii) The dominant position of COREPLA</w:t>
      </w:r>
    </w:p>
    <w:p>
      <w:r>
        <w:t>38. In the market for the organization of the management of all waste from primary plastic packaging, including that from PET, adherence to the CONAI/COREPLA system has so far represented the only form of fulfilling the obligation to finance this activity, carried out in monopoly by COREPLA. Therefore, COREPLA holds a dominant position in this market.</w:t>
      </w:r>
    </w:p>
    <w:p>
      <w:r>
        <w:t>iv) The exclusionary strategy of COREPLA</w:t>
      </w:r>
    </w:p>
    <w:p>
      <w:r>
        <w:t>39. As a preliminary matter, it should be noted that the consortium CORIPET was established in implementation of Article 221 of the TUA, which allows producers of packaging to create their own autonomous system for the management of recycling in compliance with EPR obligations, ceasing to be part of the supply chain consortium. This project received recognition from the MATTM after a long investigative phase, which certified the existence of the requirements set by law and granted CORIPET two years, starting from April 2018, to achieve predefined effectiveness, efficiency, and self-sufficiency objectives.</w:t>
      </w:r>
    </w:p>
    <w:p>
      <w:r>
        <w:t>40. From January 1, 2019, some companies subject to EPR obligations have chosen to rely on CORIPET to fulfill these obligations and therefore finance through CORIPET (by paying the CRC contribution) the recycling of materials (primary packaging in PET) that they place on the market. On these materials, therefore, CORIPET, by virtue of the specific ministerial authorization, holds full competence and cannot therefore be unjustifiably prevented from acquiring them and taking responsibility for them. Any conduct by the incumbent operator aimed at preventing, without justified reason, CORIPET from operating or delaying the start of its operations is therefore likely to constitute an abusive conduct attributable to it.</w:t>
      </w:r>
    </w:p>
    <w:p>
      <w:r>
        <w:t>41. That said, it is believed prima facie that the conduct adopted by COREPLA and previously described is likely to constitute a single articulated exclusionary strategy aimed at hindering the entry of the CORIPET System into the market for the recycling of waste from primary plastic packaging, carried out through instrumental and obstructive behaviors, which appear capable of</w:t>
      </w:r>
    </w:p>
    <w:p>
      <w:r>
        <w:t>45 This recycling market, as far as COREPLA is concerned, is organized and financed by CONAI which, as seen above, carries out this financial management for all supply chains of packaging of different materials (including glass, steel, paper, aluminum, and wood).</w:t>
      </w:r>
    </w:p>
    <w:p>
      <w:r>
        <w:t>190 BULLETIN NO. 19 OF MAY 13, 2019</w:t>
      </w:r>
    </w:p>
    <w:p>
      <w:r>
        <w:t>preventing the operation of the new autonomous entrant system, thus compromising its definitive recognition.</w:t>
      </w:r>
    </w:p>
    <w:p>
      <w:r>
        <w:t>42. In this sense, COREPLA's systematic opposition to any attempt by CORIPET to take possession of the PET packaging waste attributable to the consumption placed by its members seems to be interpretable, an opposition that relies on the alleged exclusive availability, in favor of COREPLA, of all waste from primary plastic packaging from urban separate collection (RDU) and, therefore, also of the PET waste, which is part of it, although attributable to the consumption placed by CORIPET members.</w:t>
      </w:r>
    </w:p>
    <w:p>
      <w:r>
        <w:t>43. On this point, it should be noted that, precisely in light of the provisions of the TUA regarding the coexistence of autonomous systems with the supply chain consortium system, as well as in light of the same authorizing provisions for the operation of CORIPET issued by the MATTM, it does not even seem possible to invoke, as a basis for an alleged exclusive ownership by COREPLA of the waste from primary plastic packaging resulting from urban separate collection, any provision of the contractual discipline between ANCI and the CONAI/COREPLA system, which indeed, as seen, provides, in accordance with what is regulated by the TUA, that COREPLA may enter into agreements with the managers of autonomous systems, saving “also what is provided by the ministerial decrees approving said autonomous systems.”</w:t>
      </w:r>
    </w:p>
    <w:p>
      <w:r>
        <w:t>44. That said, COREPLA's conduct, consisting of the alleged exclusive availability of all plastic waste resulting from RDU, in refusing to negotiate a bridging agreement with CORIPET in order to allow the latter to acquire the plastic packaging waste in PET for which it is responsible (of which COREPLA holds the availability), in imposing exclusivity clauses in relations with the CSS and consequently putting up for auction quantities of plastic packaging waste attributable to producers who no longer pay the CAC to CONAI, appears likely to be qualified as intentionally aimed at excluding CORIPET from the market, prima facie without any objective justification, either legal or economic in nature.</w:t>
      </w:r>
    </w:p>
    <w:p>
      <w:r>
        <w:t>45. On the first point, in fact, it is noted that the circumstance that CORIPET has not concluded an agreement with ANCI cannot be considered a justification for the refusal to contract, which does not appear at all to be a precursor to a division of the RDU between the two operators, since the volumes of PET packaging waste attributable to each of the two consortia are calculated based on the consumption placed by producers who have entrusted CORIPET or COREPLA to manage the recovery and recycling in compliance with legal obligations (EPR), paying for this purpose the CRC or the CAC to the chosen consortium.</w:t>
      </w:r>
    </w:p>
    <w:p>
      <w:r>
        <w:t>46. On this point, conversely, it should be recalled that ANCI itself has identified among the obstacles to negotiating with CORIPET precisely the exclusive agreements that would bind the CSS to COREPLA. Finally, these agreements have also been denounced by the CSS association, ASSOSELE, whose members interpret the exclusivity constraint imposed on them by COREPLA as a limitation to their detriment.</w:t>
      </w:r>
    </w:p>
    <w:p>
      <w:r>
        <w:t>47. Nor does it seem in any way to fall within COREPLA's prerogatives an eventual negative assessment of the actual autonomy of the CORIPET system – invoked as a motivation for the refusal to enter into a bridging agreement46 – a matter that appears to be exclusively within the competence of the MATTM, which, moreover, has already expressed a positive opinion on this point at the time of the adoption of the provisional authorization.</w:t>
      </w:r>
    </w:p>
    <w:p>
      <w:r>
        <w:t>48. COREPLA's conduct, moreover, does not seem to present any economic rationality. In fact, on the volumes for which COREPLA does not receive the CAC from CONAI, because the consortia have entrusted the management to CORIPET by paying the environmental contribution to the latter, COREPLA is not in a position to pay the managers the contribution to cover the additional costs of urban separate collection, thus penalizing even the managers of the collection service; this results in the unreasonableness of the refusal of an agreement with CORIPET that provides for economic compensation for the costs to be incurred for these volumes of plastic packaging waste47.</w:t>
      </w:r>
    </w:p>
    <w:p>
      <w:r>
        <w:t>49. Finally, COREPLA's conduct cannot even be appreciated in relation to a possible lack of consensus between the parties on the terms of the agreement, given that the supply chain consortium has refused any willingness to initiate any negotiation with CORIPET.</w:t>
      </w:r>
    </w:p>
    <w:p>
      <w:r>
        <w:t>50. Conversely, COREPLA's behaviors appear likely to lead CORIPET members to decide not to rely on the project authorized by the MATTM anymore and to return to the supply chain consortium. This is, in fact, plausible to the extent that the impossibility of operating of the autonomous consortium jeopardizes its definitive recognition and exposes its members to the repayment of the unpaid CAC to CONAI, retroactively from the moment of cessation of payment.</w:t>
      </w:r>
    </w:p>
    <w:p>
      <w:r>
        <w:t>51. The described behaviors assume an antitrust significance to the extent that they appear capable of preventing the effective entry of the new operator into the relevant market, perpetuating the current monopoly of the supply chain consortium system. If, in fact, CORIPET were unable to demonstrate the requirements of effectiveness, efficiency, and self-sufficiency of the autonomous system, required by paragraph 5 of Article 221 TUA, it would be prevented from obtaining definitive recognition, to the detriment, moreover, of that part of the user base (the producers subject to EPR obligations) that has already decided not to use COREPLA anymore.</w:t>
      </w:r>
    </w:p>
    <w:p>
      <w:r>
        <w:t>52. From the above, it emerges that COREPLA may have acted to instrumentally create obstacles to the competitor's entry into the relevant market, also in order to avoid the significant loss of resources, in terms of “missed” CAC, coming from the companies producing primary plastic packaging that have joined CORIPET (about [20-25] million euros), and to protect its monopolistic position in the relevant market.</w:t>
      </w:r>
    </w:p>
    <w:p>
      <w:r>
        <w:t>46 Doc. 1.25: “It is [instead] not possible for us to participate in a technical table regarding the mere downstream withdrawal of our collection and sorting activities of the packaging that you consider to be your competence and therefore the sole determination of the costs to be recognized to COREPLA for the management (by COREPLA itself "under the current system") of such packaging. It is evident, in fact, that the proposed solution completely contradicts the requirement of the autonomy of the systems, not by chance called autonomous, set by Legislative Decree No. 152/2006 and is also completely incompatible with the same CORIPET Project (which, as you know, we believe is still lacking, among other things, the requirement of autonomy) and the related provisional recognition decree, which provides for quite the opposite.”</w:t>
      </w:r>
    </w:p>
    <w:p>
      <w:r>
        <w:t>47 It should be noted, moreover, that if COREPLA were to compensate the managers regardless of the receipt of the CAC, such conduct would also be likely to be qualified as abusive, as it would involve sums paid at a loss by an operator in a dominant position. On the other hand, moreover, COREPLA's refusal to negotiate with CORIPET deprives the latter of the possibility of contributing, through the funds derived from the CRC, to the additional costs of the RDU in favor of the urban hygiene service managers.</w:t>
      </w:r>
    </w:p>
    <w:p>
      <w:r>
        <w:rPr>
          <w:b/>
        </w:rPr>
        <w:t>[Pages 190–192]</w:t>
      </w:r>
    </w:p>
    <w:p>
      <w:r>
        <w:t>192 BULLETIN NO. 19 OF MAY 13, 2019</w:t>
      </w:r>
    </w:p>
    <w:p>
      <w:r>
        <w:t>53. This anticompetitive exclusion, moreover, would not only affect CORIPET, but, through a signaling effect, also all producers of primary plastic packaging who may intend to apply for recognition for other autonomous systems.</w:t>
      </w:r>
    </w:p>
    <w:p>
      <w:r>
        <w:t>54. COREPLA's exclusionary strategy, aimed at preventing the entry into the market of a new autonomous system for the management of waste from primary PET packaging, with an innovative collection system (installation of eco-compactors) and which applies to consortium producers an environmental contribution lower than that currently required by CONAI as a CAC for PET packaging (€188/ton compared to €208/ton of the CAC48), also appears capable of producing negative effects on final consumers, to the extent that the environmental contribution is passed on to the price of packaging and thus to the price of goods, so that, ultimately, it is the final consumers who purchase such products that effectively bear the financial burdens related to the management of packaging waste.</w:t>
      </w:r>
    </w:p>
    <w:p>
      <w:r>
        <w:t>v) The prejudice to intra-community trade</w:t>
      </w:r>
    </w:p>
    <w:p>
      <w:r>
        <w:t>55. The described behavior appears capable of prejudicing intra-community trade and, therefore, seems to constitute an infringement of Article 102 TFEU. This is considering that all the examined conducts seem to affect the entire national market. This conclusion is further supported by the fact that the conducts are likely to condition the possibility of establishing autonomous systems by foreign producers of plastic packaging interested in operating in Italy, who, pursuant to Article 221 TUA, are required to register with CONAI and pay the CAC when they place such products on the market in the national territory.</w:t>
      </w:r>
    </w:p>
    <w:p>
      <w:r>
        <w:t>It follows that the case in question is relevant under European law, and not under national law.</w:t>
      </w:r>
    </w:p>
    <w:p>
      <w:r>
        <w:t>VII. CAUTIONARY MEASURES</w:t>
      </w:r>
    </w:p>
    <w:p>
      <w:r>
        <w:t>56. With reference to the conducts carried out by COREPLA, the Authority believes that the conditions for a precautionary intervention exist, pursuant to Article 14-bis of Law No. 287/90, introduced by Law No. 248/06, which provides that: “In cases of urgency due to the risk of serious and irreparable harm to competition, the Authority may, ex officio, where it finds, upon a summary examination, the existence of an infringement, decide to adopt precautionary measures.”</w:t>
      </w:r>
    </w:p>
    <w:p>
      <w:r>
        <w:t>57. In particular, regarding the existence of fumus boni iuris, it is noted that the considerations made above highlight the likelihood of the existence of the abusive conducts carried out by COREPLA and their harmful effect on competition49.</w:t>
      </w:r>
    </w:p>
    <w:p>
      <w:r>
        <w:t>58. On the existence of periculum in mora, it is noted that the conducts carried out by COREPLA appear capable of also determining the risk of serious and irreparable harm to competition, as the passage of time without the consortium being able to effectively manage the waste from PET packaging under its responsibility undermines the achievement of the legal objectives50 that the consortium must demonstrate it is capable of achieving in the two years following the adoption of the provisional recognition decree for the purpose of obtaining definitive recognition and, therefore, actual market operation. This circumstance could also have the consequence of outright discouraging the submission of projects in the relevant market, resulting in the perpetuation of COREPLA's monopoly in providing compliance services to EPR in favor of producers of primary plastic packaging.</w:t>
      </w:r>
    </w:p>
    <w:p>
      <w:r>
        <w:t>59. Therefore, the Authority will assess, after hearing the Parties, whether the conditions exist for the adoption of a provisional measure aimed at preventing the continuation of the conducts attributable to COREPLA consisting of interpreting the ANCI-COREPLA agreement as encompassing all the RDU of plastic and the related claim of the validity of exclusivity clauses with selection platforms regarding all waste from primary plastic packaging, and in particular PET, which, upon a summary examination typical of precautionary proceedings, may be deemed abusive.</w:t>
      </w:r>
    </w:p>
    <w:p>
      <w:r>
        <w:t>CONSIDERING, therefore, that the behaviors carried out by COREPLA in the relevant market as identified above and consisting of the claimed exclusive availability of all plastic waste resulting from the RDU, in refusing to negotiate with CORIPET access to the primary packaging waste under its responsibility delivered to the consortium with the RDU of plastic, or in imposing exclusivity clauses in contracts with selectors regarding primary plastic packaging delivered by collection managers, for the reasons stated above, appear to constitute a violation of Article 102 TFEU;</w:t>
      </w:r>
    </w:p>
    <w:p>
      <w:r>
        <w:t>CONSIDERING, furthermore, that there is urgency to initiate a procedure aimed at the possible adoption of precautionary measures, in order to prevent the conducts carried out by COREPLA, consisting of the claimed exclusive availability of all plastic RDU and the related claim of the validity of exclusivity clauses with selection platforms regarding all waste from primary plastic packaging, from causing serious and irreparable harm during the time necessary for the conduct of the investigation;</w:t>
      </w:r>
    </w:p>
    <w:p>
      <w:r>
        <w:t>DECIDES</w:t>
      </w:r>
    </w:p>
    <w:p>
      <w:r>
        <w:t>a) to initiate the investigation, pursuant to Article 14 of Law No. 287/90, against the National Consortium for the Collection, Recycling and Recovery of Plastic Packaging (COREPLA), to ascertain the existence of violations of Article 102 TFEU;</w:t>
      </w:r>
    </w:p>
    <w:p>
      <w:r>
        <w:t>50 As already seen above, the recovery and/or recycling objectives are established in Annex E to the TUA, which for plastic provides that companies operating in the waste management sector must achieve: i) a minimum overall recovery level of 60% (by weight) of the packaging waste placed on the market; ii) a global recycling level between 55% and 80%; as well as iii) a minimum recycling level of 26%. Regarding CORIPET, Article 3 of the decree provides for demonstrating: “achieving the minimum recovery and recycling target of 60% of PET bottles placed on the market in the national territory in the year preceding the reference year, unless adjustments are made in case of changes to the relevant European legislation.”</w:t>
      </w:r>
    </w:p>
    <w:p>
      <w:r>
        <w:t>194 BULLETIN NO. 19 OF MAY 13, 2019</w:t>
      </w:r>
    </w:p>
    <w:p>
      <w:r>
        <w:t>b) to set a term of sixty days from the notification of this provision for the exercise by the legal representatives of the parties of the right to be heard, specifying that the request for a hearing must be received by the Energy and Basic Industry Directorate of the Directorate General for Competition of this Authority at least five days before the expiration of the above-mentioned term;</w:t>
      </w:r>
    </w:p>
    <w:p>
      <w:r>
        <w:t>c) to initiate the precautionary procedure, pursuant to Article 14-bis of Law No. 287/90, aimed at verifying the actual existence of the necessary requirements for the adoption of precautionary measures to restore and maintain competitive conditions in the relevant market;</w:t>
      </w:r>
    </w:p>
    <w:p>
      <w:r>
        <w:t>d) to set, within the procedure for the adoption of precautionary measures, a term of 20 days, starting from the date of notification of this provision for the submission, by the legal representatives of the Parties, or by persons delegated by them, of written statements and documents and the request for a hearing before the Board, specifying that the request for a hearing must be received by the Energy and Basic Industry Directorate of the Directorate General for Competition of this Authority at least five days before the expiration of the last indicated term;</w:t>
      </w:r>
    </w:p>
    <w:p>
      <w:r>
        <w:t>e) that the person responsible for the procedure is Dr. Vittoria Tesei;</w:t>
      </w:r>
    </w:p>
    <w:p>
      <w:r>
        <w:t>f) that the acts of the procedure can be viewed at the Energy and Basic Industry Directorate of the Directorate General for Competition of this Authority by the legal representatives of the parties, as well as by persons delegated by them;</w:t>
      </w:r>
    </w:p>
    <w:p>
      <w:r>
        <w:t>g) that the procedure must be concluded by April 30, 2020;</w:t>
      </w:r>
    </w:p>
    <w:p>
      <w:r>
        <w:t>This provision will be notified to the interested parties and published in the Bulletin of the Antitrust Authority.</w:t>
      </w:r>
    </w:p>
    <w:p>
      <w:r>
        <w:t>THE SECRETARY GENERAL THE PRESIDENT f.f. Filippo Arena Gabriella Muscolo</w:t>
      </w:r>
    </w:p>
    <w:p>
      <w:r>
        <w:rPr>
          <w:b/>
        </w:rPr>
        <w:t>[Pages 193–195]</w:t>
      </w:r>
    </w:p>
    <w:p>
      <w:r>
        <w:t>BULLETIN NO. 19 OF MAY 13, 2019 195</w:t>
      </w:r>
    </w:p>
    <w:p>
      <w:r>
        <w:t>ACTIVITY OF REPORTING AND CONSULTATION</w:t>
      </w:r>
    </w:p>
    <w:p>
      <w:r>
        <w:t>AS1582 - REGION OF SICILY - DETERMINATION OF SPENDING AGGREGATES FOR SPECIALIST ASSISTANCE FROM PRIVATE PROVIDERS - BIENNIUM 2018-2019</w:t>
      </w:r>
    </w:p>
    <w:p>
      <w:r>
        <w:t>Rome, January 29, 2019</w:t>
      </w:r>
    </w:p>
    <w:p>
      <w:r>
        <w:t>Region of Sicily</w:t>
      </w:r>
    </w:p>
    <w:p>
      <w:r>
        <w:t>The Antitrust Authority, in its meeting of January 23, 2019, resolved to express its opinion pursuant to Article 21-bis of Law No. 287 of October 10, 1990, as introduced by Decree-Law No. 201 of December 6, 2011, regarding the content of Assessoral Decree No. 2087 of November 9, 2018, published in the Official Gazette of the Region of Sicily on November 30, 2018, No. 51, titled “Determination of Spending Aggregates for Specialist Assistance from Private Providers – Biennium 2018-2019” (hereinafter also DA No. 2087/2018).</w:t>
      </w:r>
    </w:p>
    <w:p>
      <w:r>
        <w:t>DA No. 2087/2018 states in its preamble “the need to introduce corrective measures for the revision of the system, aimed at achieving a balance between the various conflicting interests, so as to gradually reach an effective equality of treatment among accredited subjects (…)”. Pending the revision of the criteria to arrive at a new model for the distribution of the budget, initiated in 2017, the Region of Sicily indicates that it will “immediately rely, for the distribution of resources, on the consolidated data that has the merit of ensuring the stability of relationships, allowing private providers to make investments to guarantee high standards for the services rendered, introducing, for the year 2019, qualitative/quantitative indicators to be used for the allocation of budgets to individual structures”.</w:t>
      </w:r>
    </w:p>
    <w:p>
      <w:r>
        <w:t>In fact, DA No. 2078/2018 establishes that “(…), the regional spending aggregate for specialist assistance from private providers, including services provided for extra-regional activities, for each year of the biennium 2018-2019, is determined at a total of € 445,595,000.00 net of the ticket and the fixed fee of € 10 per prescription for non-exempt subjects” (Article 1).</w:t>
      </w:r>
    </w:p>
    <w:p>
      <w:r>
        <w:t>In turn, the General Directors of the Provincial Health Authorities will allocate the budgets to the accredited specialist structures as follows (Article 2):</w:t>
      </w:r>
    </w:p>
    <w:p>
      <w:r>
        <w:t>“for the year 2018</w:t>
        <w:br/>
        <w:t>1. allocate 100% of the provincial spending aggregate for the branches of nephrology and radiotherapy (…) in proportion to the remunerated production of the services of “Hemodialysis” and the branch of “Radiotherapy” in the year 2017;</w:t>
      </w:r>
    </w:p>
    <w:p>
      <w:r>
        <w:t>196 BULLETIN NO. 19 OF MAY 13, 2019</w:t>
        <w:br/>
        <w:t>2. allocate 100% of the spending aggregate “ex GSA” and “Ambulatory Entities in GSA” (…) in relation to the respective contracts signed in the year 2017 for the provision of outpatient services;</w:t>
        <w:br/>
        <w:t>3. allocate 100% of the provincial spending aggregate by branch (excluding what is provided for in the previous points …), in relation to the individual budgets assigned in the year 2017”.</w:t>
      </w:r>
    </w:p>
    <w:p>
      <w:r>
        <w:t>For the year 2019, DA No. 2087/2018 fully confirms what is provided in the previous points 1 and 2, adjusting the values to those of 2018, while for the allocation of the provincial spending aggregate by branch (different from radiotherapy, nephrology, and GSA), the decree in question provides to:</w:t>
      </w:r>
    </w:p>
    <w:p>
      <w:r>
        <w:t>“3. allocate 95% of the provincial spending aggregate by branch (…), in relation to the individual budgets assigned in the year 2018;</w:t>
        <w:br/>
        <w:t>4. allocate the remaining 5% of the provincial aggregate by branch (…) based on the criteria and calculation mechanisms set out in Annex “C” to this decree. In particular, the 5% share will be allocated (…) based on the following criteria, the value of the indicators calculated for each structure and the weight of the structure on the provincial spending aggregate of the relevant branch, in relation to the weight assigned to the criteria and indicators (…)”. The identified criteria are represented by the composition of revenue, the reduction of waiting times, qualitative factors (for the purchase of equipment and the extent and type of employment relationships), possession of certifications, and the so-called “Restructuring of the offer”, that is, the presence of the structure in areas completely devoid or lacking in offer.</w:t>
      </w:r>
    </w:p>
    <w:p>
      <w:r>
        <w:t>The provision continues by establishing that the 5% of the provincial spending aggregate by branch is to be allocated, except for new entrants who already benefit from an entry contribution (usually equal to € 32,000), in proportion to the indicators of revenue, waiting times, and qualitative factors, “among the 50% of the structures that present the highest scores”, while for the other criteria (of certification and restructuring of the offer) “among all the structures that meet such criteria”.</w:t>
      </w:r>
    </w:p>
    <w:p>
      <w:r>
        <w:t>Annex C to the decree in question defines the details for the calculation of the above-mentioned indicators, along with the procedure that the ASPs must follow to allocate the budget items to be assigned.</w:t>
      </w:r>
    </w:p>
    <w:p>
      <w:r>
        <w:t>In relation to the 5% of the budget, each structure must submit (by March 31, 2019) the request for allocation with the appropriate declaration for the calculation of the indicators. The ASPs proceed, among other things, “to verify all the declarations submitted by the dedicated specialist structures, so that at least one third of the declarations related to the individual indicators are verified”.</w:t>
      </w:r>
    </w:p>
    <w:p>
      <w:r>
        <w:t>Furthermore, Annex C, Section C-1, provides that, for the purpose of assigning scores to each structure of competence, each ASP ranks the structures in descending order based on the value of each indicator, excludes “the 50% of the structures that present the lowest values” and calculates the total points available, assigning the corresponding score according to the formulas established in the same annex.</w:t>
      </w:r>
    </w:p>
    <w:p>
      <w:r>
        <w:t>The Authority intends to make the following considerations on this point.</w:t>
      </w:r>
    </w:p>
    <w:p>
      <w:r>
        <w:t>DA No. 2087/2018 introduces a transitional regime, in view of the overall restructuring of the system under study by the technical table, to “compose the interests at stake”, that is to apply pro-competitive criteria in the allocation of public resources to operators in the healthcare sector as hoped for by the Authority in previous advocacy interventions concerning similar acts of the</w:t>
      </w:r>
    </w:p>
    <w:p>
      <w:r>
        <w:t>BULLETIN NO. 19 OF MAY 13, 2019 197</w:t>
        <w:br/>
        <w:t>Region of Sicily for 2016 and 2017 (AS1387 and AS1524)1, without retroactively compromising the investments made with the application of new qualitative and performance-based criteria.</w:t>
      </w:r>
    </w:p>
    <w:p>
      <w:r>
        <w:t>However, the new decree applies, for 2018, the criterion of historical spending (referring to 2017) in the sense adopted by the Authority of automatic application of the spending aggregates detached from any qualitative/quantitative assessment of performance, to outpatient services (different from direct management and from radiotherapy and nephrology) which constitute those that absorb the majority of public resources2.</w:t>
      </w:r>
    </w:p>
    <w:p>
      <w:r>
        <w:t>In fact, therefore, the majority of the allocation criteria provided for the attribution of the 2018 budgets is still effectively based on the criterion of historical spending.</w:t>
      </w:r>
    </w:p>
    <w:p>
      <w:r>
        <w:t>At the same time, the decree in question introduces ex ante new performance criteria that exceed the criterion of historical spending, as highlighted by the Authority in opinion AS1524, but only in relation to the 5% of the budget.</w:t>
      </w:r>
    </w:p>
    <w:p>
      <w:r>
        <w:t>Despite the transitional nature of the regime in question and the fact that this percentage can be seen as the first step towards a “permanent” overcoming of the criterion of historical spending, in fact, the aggregate and the individual items of the biennium 2018-2019 deviate insignificantly from the values of 2016, either due to the joint effect of the full application of the historical data for 2018 (and indirectly for 2019), or due to the limited application of different criteria (only 5% for outpatient services).</w:t>
      </w:r>
    </w:p>
    <w:p>
      <w:r>
        <w:t>Another element of criticism lies in excluding from the allocation of the 5% budget the 50% of the structures that obtained the lowest scores, as it unduly restricts the pool of those who can access the allocation of public resources.</w:t>
      </w:r>
    </w:p>
    <w:p>
      <w:r>
        <w:t>This reduction, in fact, does not respect the principle of equal opportunity enunciated by administrative jurisprudence3, as it concerns operators in a similar situation, who have achieved the lowest scores, which are not identified based on predetermined and transparent criteria, neither regarding the selection of the half to be excluded, nor concerning the threshold beyond which to trigger the 50% reduction of operators.</w:t>
      </w:r>
    </w:p>
    <w:p>
      <w:r>
        <w:t>Similar considerations apply to the identification of at least one third of the applicants to be subjected to verification.</w:t>
      </w:r>
    </w:p>
    <w:p>
      <w:r>
        <w:t>In conclusion, DA No. 2087/2018 does not adequately implement the corrections hoped for by the recent advocacy activity of the Authority, conducted precisely regarding the same.</w:t>
      </w:r>
    </w:p>
    <w:p>
      <w:r>
        <w:t>1 The decree in question recalls in its preamble the reasoned opinion of the Authority (AS1387), relating to Assessoral Decree No. 2632/2016, which determined the spending aggregates for specialist assistance from private providers for 2016 according to the sole criterion of historical spending. Furthermore, DA No. 2087/2018 recalls Assessoral Decrees Nos. 2777/2017 and 743/2017, which were the subject of the opinion pursuant to Article 22 of Law No. 287/90 AS1524, which determined the spending ceilings for 2017, based on the budget assigned in 2016. In fact, DA No. 743/2018 had amended Article 2 of DA No. 2777/2017, reintroducing the full recourse to the criterion of historical spending of 2016, after the TAR Palermo had annulled the aforementioned Article 2 considering that, by applying retroactively a deviation of 3% from the historically assigned budget, it could expose the interested companies to bankruptcy, which had already incurred costs and investments in relation to the services already provided in 2017.</w:t>
      </w:r>
    </w:p>
    <w:p>
      <w:r>
        <w:t>2 Even in other cases, the decree in question allocates the entire budget based on criteria related to the previous year, but declined in terms of performance aspects, evaluated ex post, and concerning, respectively, the remunerated production, or only the services covered by public contributions and therefore not all the revenue produced, as well as the contracts signed in 2017.</w:t>
      </w:r>
    </w:p>
    <w:p>
      <w:r>
        <w:t>3 See TAR Palermo rulings, Section III, Nos. 167/2015, 203 and 204/2015, according to which “the principle of the applicants, accredited and non-contracted subjects, to obtain equal treatment with the subjects already included in the SSR must be accepted, also questioning the historical criterion of budget allocation”.</w:t>
      </w:r>
    </w:p>
    <w:p>
      <w:r>
        <w:rPr>
          <w:b/>
        </w:rPr>
        <w:t>[Pages 196–198]</w:t>
      </w:r>
    </w:p>
    <w:p>
      <w:r>
        <w:t>198 BULLETIN NO. 19 OF MAY 13, 2019</w:t>
        <w:br/>
        <w:t>The Region further postpones, at least until 2020, the "significant" overcoming of the historical spending criterion and effectively maintains the situation unchanged at the values defined for 2016. Therefore, as repeatedly noted, perpetuating the practice of allocating public funds to private accredited facilities based on "historical spending" constitutes a violation of the principles protecting competition insofar as, in the upstream choice of the criterion for allocating public resources, it eliminates any incentive to compete among accredited and contracted facilities with the SSN and grants companies already holding special rights an undue competitive advantage, in violation of Article 106 TFEU4. At the same time, excluding any operators from access to public resources in the absence of transparent and non-discriminatory selection criteria also violates Articles 41 and 117 of the Constitution. Pursuant to Article 21-bis, paragraph 2, of Law No. 287/90, the Region of Sicily must communicate to the Authority, within sixty days of receiving this opinion, the initiatives adopted to remove the aforementioned competition violation. If within the aforementioned period such initiatives do not prove to be compliant with the competition principles expressed above, the Authority may file an appeal within the subsequent thirty days. This opinion will be published in the Bulletin of the Competition and Market Authority.</w:t>
      </w:r>
    </w:p>
    <w:p>
      <w:r>
        <w:t>THE PRESIDENT f.f.</w:t>
        <w:br/>
        <w:t>Gabriella Muscolo</w:t>
        <w:br/>
        <w:t>_______________________________________________________________________</w:t>
        <w:br/>
        <w:t>Communication regarding the failure of the Region of Sicily to comply with the reasoned opinion expressed by the Authority pursuant to Article 21-bis of Law No. 287/1990 concerning the definition of spending ceilings for private specialist care for the biennium 2018/2019. In its meeting of January 23, 2019, the Authority resolved to send a reasoned opinion pursuant to Article 21-bis of Law No. 287 of October 10, 1990, published at the end of this communication, regarding the content of the Assessoral Decree No. 2087 of November 9, 2018, concerning "Determination of spending aggregates for private specialist assistance - biennium 2018-2019," and any other act presupposed, connected, and consequent to it. Following the receipt of said reasoned opinion, the Region of Sicily provided feedback with a communication dated March 25, 2019, highlighting, among other things, that an in-depth analysis of the matter is underway, at the conclusion of which "the results of the investigation conducted and the decisions subsequently taken will be communicated, with particular regard to the initiatives that 4 See Cons. Stato Sez. III, Sent. Nos. February 21, 2012, No. 921, March 7, 2012, Nos. 1289 and 1291, November 30, 2012, No. 6136; Tar Puglia-Lecce, Sent., March 7, 2012 No. 420 and Tar Catanzaro, Sent. No. 1373/2016 which confirmed the Authority's observations in the reasoned opinion AS1181 of December 19, 2014 and the previous ones mentioned therein, such as the report AS1021, of February 28, 2013, the report S2048 of August 7, 2014 and the report AS1137 of July 2, 2014.</w:t>
      </w:r>
    </w:p>
    <w:p>
      <w:r>
        <w:t>BULLETIN NO. 19 OF MAY 13, 2019 199</w:t>
        <w:br/>
        <w:t>the AGCM requests to adopt in order to remove the alleged violations of competition contained in DA No. 2087/2018. (…)". Acknowledging the failure of the administration to comply with the reasoned opinion of January 23 under Article 21-bis of Law No. 287/1990, the Competition and Market Authority, in its meeting of April 10, 2019, therefore ordered the appeal before the TAR Sicily – Palermo of the aforementioned Assessoral Decree and any other presupposed, connected, and consequent act.</w:t>
      </w:r>
    </w:p>
    <w:p>
      <w:r>
        <w:t>200 BULLETIN NO. 19 OF MAY 13, 2019</w:t>
        <w:br/>
        <w:t>UNFAIR TRADE PRACTICES</w:t>
        <w:br/>
        <w:t>PS11264 - MEVOSTORE CLICCATISSIMO-ONLINE SALES</w:t>
        <w:br/>
        <w:t>Notice of adoption of the closure of the proceeding</w:t>
        <w:br/>
        <w:t>COMPETITION AND MARKET AUTHORITY</w:t>
        <w:br/>
        <w:t xml:space="preserve">Notice of adoption of the closure of the proceeding,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PS11264. The publication of this notice in the weekly Bulletin of the Competition and Market Authority, followed by the closure of the proceeding with which the unfairness of the commercial practices was determined, is carried out pursuant to and for the effects of Article 19, paragraph 2 of the Regulation, given the lack of receipt of feedback to the attempt to transmit the sanctioning resolution No. 27650, adopted by the Authority in its meeting of April 17, 2019, transmitted to Cliccatissimo S.r.l.s. via PEC at the address cliccatissimo@pec.it on April 30, May 2, and May 6, 2019 (prot. No. 0033293). For any communication addressed to the Authority regarding the case in question, please refer to Directorate A of the General Directorate for Consumer Protection and reference PS11264. On the "Payment of sanctions" page within the Forms section (online services) of the website www.agcm.it, information regarding payment methods is provided. </w:t>
        <w:br/>
        <w:t>THE RESPONSIBLE OF THE PROCEEDING</w:t>
      </w:r>
    </w:p>
    <w:p>
      <w:r>
        <w:rPr>
          <w:b/>
        </w:rPr>
        <w:t>[Pages 199–201]</w:t>
      </w:r>
    </w:p>
    <w:p>
      <w:r>
        <w:t>BULLETIN NO. 19 OF MAY 13, 2019 201</w:t>
      </w:r>
    </w:p>
    <w:p>
      <w:r>
        <w:t xml:space="preserve">PS11264 - MEVOSTORE CLICCATISSIMO-ONLINE SALES  </w:t>
        <w:br/>
        <w:t xml:space="preserve">Provision No. 27650  </w:t>
        <w:br/>
        <w:t xml:space="preserve">THE ANTITRUST AUTHORITY  </w:t>
        <w:br/>
        <w:t xml:space="preserve">IN ITS MEETING of April 17, 2019;  </w:t>
        <w:br/>
        <w:t xml:space="preserve">HEARD the Rapporteur Professor Michele Ainis;  </w:t>
        <w:br/>
        <w:t xml:space="preserve">VIEWED Part II, Title III, and Part III,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its provision No. 27483 of December 12, 2018, with which the adoption of the precautionary measure was decided, pursuant to Article 27, paragraph 3, of the Consumer Code;  </w:t>
        <w:br/>
        <w:t>VIEWED the acts of the proceeding;</w:t>
      </w:r>
    </w:p>
    <w:p>
      <w:r>
        <w:t xml:space="preserve">I. THE PARTIES  </w:t>
        <w:br/>
        <w:t xml:space="preserve">1. The company Cliccatissimo S.r.l.s., VAT No. 13413841001 (hereinafter also, Cliccatissimo or the Party), in its capacity as a professional pursuant to Article 18, paragraph 1, letter b), of the Consumer Code. The company, with its registered office in Genzano di Roma (RM), has as its main activity consulting in the field of information technology, website creation, online server management, development of e-commerce management systems; it operated, at least until January 29, 2019, through the website identified by the domain http://www.mevostore.it/. From the latest surveys conducted on the database of the Business Register, Official Archive of the Chambers of Commerce, no financial statements of the company are available.  </w:t>
        <w:br/>
        <w:t xml:space="preserve">2. Federconsumatori – National Federation of Consumers and Users, in its capacity as a notifier.  </w:t>
        <w:br/>
        <w:t>3. A consumer, in its capacity as a notifier.</w:t>
      </w:r>
    </w:p>
    <w:p>
      <w:r>
        <w:t xml:space="preserve">II. THE COMMERCIAL PRACTICES  </w:t>
        <w:br/>
        <w:t xml:space="preserve">4. The proceeding concerns the unfairness of the commercial conduct carried out by the professional in the offer of products online through the website http://www.mevostore.it/ (hereinafter also the "Site"), consisting of:  </w:t>
        <w:br/>
        <w:t xml:space="preserve">i) the failure to deliver the products marketed online on the Site (attributable to the professional) and the omission of the refund of the amount paid by consumers upon specific request and/or the exercise of the right of withdrawal;  </w:t>
        <w:br/>
        <w:t xml:space="preserve">1 Date on which, based on the surveys conducted on the website http://www.mevostore.it/, the latter was still active. From further surveys conducted on the same website on February 21, 2019, the site is no longer reachable.  </w:t>
        <w:br/>
        <w:t>2 SOURCE: TELEMACO INFOCAMERE database.</w:t>
      </w:r>
    </w:p>
    <w:p>
      <w:r>
        <w:t xml:space="preserve">202 BULLETIN NO. 19 OF MAY 13, 2019  </w:t>
        <w:br/>
        <w:t>ii) the omission of certain pre-contractual information obligations incumbent on the professional in the case of distance negotiated contracts.</w:t>
      </w:r>
    </w:p>
    <w:p>
      <w:r>
        <w:t xml:space="preserve">III. THE FINDINGS OF THE PROCEEDING  </w:t>
        <w:br/>
        <w:t xml:space="preserve">1) The course of the proceeding  </w:t>
        <w:br/>
        <w:t xml:space="preserve">5. In relation to the conduct described above, on November 29, 2018, the Parties were notified of the initiation of investigative proceeding No. PS11264 against Cliccatissimo S.r.l.s. for possible violation of Articles 20, paragraph 2, 21, paragraph 1, letter b), 24 and 25, letter d), and 49, paragraph 1, letters h), n) and v), 54 and 56 of the Consumer Code.  </w:t>
        <w:br/>
        <w:t xml:space="preserve">6. Concurrently with the initiation communication, the professional was invited, pursuant to Article 8, paragraph 2, of the Regulation, to submit written statements and documents within ten days of receipt, for the purpose of assessing the existence of the prerequisites for the provisional suspension of the practices, pursuant to Article 27, paragraph 3, of the Consumer Code.  </w:t>
        <w:br/>
        <w:t xml:space="preserve">7. With provision No. 27483 of December 12, 2018, the Authority ordered the provisional suspension of any activity aimed at the marketing and sale of products not available or otherwise not actually ready for delivery through the website www.mevostore.it, based on the fact that, from the examination of the acts of the proceeding, elements emerged that supported the need to act with particular urgency in order to prevent the contested unfair commercial practices from continuing during the course of the substantive proceeding, considering the prerequisites of fumus boni iuris and periculum in mora to be present.  </w:t>
        <w:br/>
        <w:t xml:space="preserve">8. On February 6, 2019, a consumer was notified of the acceptance of the request to participate in the proceeding, submitted on January 30, 2018, pursuant to and for the effects of Article 10 of the Regulation.  </w:t>
        <w:br/>
        <w:t xml:space="preserve">9. On February 21, 2019, official surveys showed that the HTTP service associated with the domain www.mevostore.it was suspended.  </w:t>
        <w:br/>
        <w:t xml:space="preserve">10. On February 28, 2019, the Parties were notified of the conclusion date of the investigative phase pursuant to Article 16, paragraph 1, of the Regulation.  </w:t>
        <w:br/>
        <w:t>11. On March 18, 2019, a request for opinion was sent to the Authority for Guarantees in Communications, which was received on April 10, 2019.</w:t>
      </w:r>
    </w:p>
    <w:p>
      <w:r>
        <w:t xml:space="preserve">2) The evidence acquired  </w:t>
        <w:br/>
        <w:t xml:space="preserve">a) The notifications  </w:t>
        <w:br/>
        <w:t xml:space="preserve">12. With regard to the conduct referred to in the previous paragraph 4, sub i), during the period between May 2018 and March 2019, numerous notifications from consumers and their representative associations were received by the Authority, which complained that, following purchases made on the Site, despite the payment of the requested amount via bank transfer to the coordinates provided by the professional, the latter, despite receiving continuous reminders from consumers aimed at the shipment and delivery of the purchased goods, failed to fulfill its obligations even months after receiving the order, adopting dilatory techniques consisting of providing its customers with responses, particularly via email, that were entirely generic, evasive, and unsatisfactory.  </w:t>
        <w:br/>
        <w:t xml:space="preserve">13. The notifiers also highlighted that the professional, following the failure to deliver within the promised time (within 14 working days) of the purchased product, did not refund the amount due despite the communication of contract termination and refund request; moreover, in cases where the consumer left negative reviews (feedback) about the purchasing experience with Cliccatissimo, the latter proceeded to arbitrarily close the consumer's account (see subsequent Image No. 1 regarding the policy adopted by the professional on this point).  </w:t>
        <w:br/>
        <w:t xml:space="preserve">Image No. 1 – recorded on November 22, 2018, on the website www.mevostore.it/  </w:t>
        <w:br/>
        <w:t xml:space="preserve">14. Below, by way of example, some of the notifications received are reported:  </w:t>
        <w:br/>
        <w:t>- "on June 22, 2018, I entered into a distance sales contract with Cliccatissimo S.r.l. (on the website http://www.mevostore.it/), paying by bank transfer on the same date the sum of €164.94 for the item (...). The shipment of the order was unjustifiably delayed, forcing me to send a formal declaration of withdrawal via certified email, duly delivered on July 12, 2018. Since (...) the term referred to in Article 56 of Legislative Decree 206/2005, within which Cliccatissimo S.r.l. should have refunded the amount paid, has passed, I had my lawyer send a letter of formal notice, to which there has still been no response (...). On July 30, 2018, I left negative feedback on Google (with moderate and non-defamatory terms) and the company proceeded, the next day, to arbitrarily close my account. Problems encountered - 1. The company does not sell the products listed on its website directly (...): it acts, in fact, as a mere sales intermediary. This circumstance is in no way indicated to the consumer (...) [who] only becomes aware of this when the company sends the purchase receipt, (...). 2. The company indicates the presence in stock of the products sold (in my case, (...) it was an offer to</w:t>
      </w:r>
    </w:p>
    <w:p>
      <w:r>
        <w:rPr>
          <w:b/>
        </w:rPr>
        <w:t>[Pages 202–204]</w:t>
      </w:r>
    </w:p>
    <w:p>
      <w:r>
        <w:t>204 BULLETIN NO. 19 OF MAY 13, 2019</w:t>
        <w:br/>
        <w:t>limited time offer with immediate availability) only to delay deliveries by weeks, attributing such delays to "logistical problems." 3. The customer service - which only responds via email - is unable to provide any information regarding orders and shipping times, (..), even going so far as to deny, (..), having received communications sent via certified email (PEC) (which were duly delivered, (..). 4. The company does not comply with the 14 calendar days deadline to refund the amounts paid following a withdrawal. In the T.O.S., they require, moreover, that the deadline be 14 working days. 5. The company, in my opinion violating constitutionally guaranteed rights, punishes the publication of negative reviews on third-party sites (e.g. Google or TrustPilot) with the immediate closure of the account, even in the absence of defamatory or untrue expressions”5;</w:t>
        <w:br/>
        <w:t>5 Cf. report prot. no. 0057327 of 1.8.2018.</w:t>
        <w:br/>
        <w:t>In order to clarify the dilatory methods used by the professional towards consumers, the following email exchange - which took place between June 27 and July 27, 2018 - is reported as an example, which the reporting party attached to their complaint (this type of documentation is also found in numerous other reports attached by consumers and in the case file):</w:t>
        <w:br/>
        <w:t>June 27, 2018 - Consumer: Hello. I am writing regarding the order in question to know its status (..).</w:t>
        <w:br/>
        <w:t>info@cliccatissimo.it: Dear Luca, I see that your payment has not yet been confirmed. When did you make it? If you would like further information, please do not hesitate to reply to this email. (..).</w:t>
        <w:br/>
        <w:t>Consumer: (..). Indeed, not much time has passed, as I made the bank transfer last Friday (on the same date as the order). (..)</w:t>
        <w:br/>
        <w:t>info@cliccatissimo.it: Dear Luca, I can confirm that everything is okay for now, in the sense that sometimes the administration, given the volume of payments, can take more than two days to confirm a transfer. However, you will receive a communication as soon as it is confirmed, and we will then proceed with fulfilling the order. (..).</w:t>
        <w:br/>
        <w:t>Consumer: Hello. Since five working days have passed since the payment was registered, I would like to kindly ask about the shipping times (..).</w:t>
        <w:br/>
        <w:t>info@cliccatissimo.it: Your order has been taken over by logistics for shipping, you will soon receive tracking information (..).</w:t>
        <w:br/>
        <w:t>Consumer: Hello. I am writing again to know the status of the order, as today is the seventh working day since the payment was registered. (…), any further extension of the times would force me to ask you to cancel the order. (..).</w:t>
        <w:br/>
        <w:t>info@cliccatissimo.it: Dear Luca, your order is in the queue for fulfillment, we have already indicated the urgency to logistics. As soon as available, you will receive information about the shipment. At the moment we do not have tracking. (..).</w:t>
        <w:br/>
        <w:t>Consumer: Hello. Since another two working days have passed since my last email and I have not received any information from you, I wanted to inform you - as a precaution - that tomorrow, if I do not receive the shipping code by morning, I will be forced (against my will) to have my lawyer send a communication of withdrawal via PEC (..).</w:t>
        <w:br/>
        <w:t>info@cliccatissimo.it: Dear Luca, we replied to you on the 9th and unfortunately as of today we have no updates on the shipment. We are very sorry but it does not depend on us. (..).</w:t>
        <w:br/>
        <w:t>Consumer: Hello. From your last message, it seems that at least the goods have been shipped (although I do not understand how a seller cannot know the status of their own shipments). (..) can you at least provide me with the name of the courier with whom the shipment was made, so that I can contact them personally. (..).</w:t>
        <w:br/>
        <w:t>info@cliccatissimo.it: Actually, we wrote to you on July 9 that your order is in the queue for fulfillment, we have already indicated the urgency to logistics. As soon as available, you will receive information about the shipment. At the moment we do not have tracking. (..).</w:t>
        <w:br/>
        <w:t>Consumer: Good morning. So you are telling me that a product that is listed as in stock on your site and, indeed, on promotion (..), has still not been shipped ten working days after payment?! And above all that you cannot communicate with this phantom "logistics" about the times and methods of shipping (..). At this point, I demand the Amazon order number (if it is them who handle the "logistics" referred to), so that I can contact them personally and check the status of the order (..). If I do not see my request fulfilled by the end of today, I will take the most appropriate legal actions to protect my rights. (..).</w:t>
        <w:br/>
        <w:t>info@cliccatissimo.it: Dear Luca, I cannot meet your requests. If you want to proceed with cancellation and refund, I ask you to provide your bank details. (..).</w:t>
        <w:br/>
        <w:t>Consumer: I have just sent, via PEC (..), the declaration of withdrawal. (..).</w:t>
        <w:br/>
        <w:t>info@cliccatissimo.it: Okay, your request will be processed by the appropriate department. (..).</w:t>
        <w:br/>
        <w:t>Consumer: Good morning. To date, I have not yet received any feedback regarding the declaration of withdrawal sent, now, 7 days ago. On my personal page, the order still appears to be in progress. (…), I wanted to know when the refund will be made.</w:t>
      </w:r>
    </w:p>
    <w:p>
      <w:r>
        <w:t>BULLETIN NO. 19 OF MAY 13, 2019 205</w:t>
        <w:br/>
        <w:t>- “(...) I ordered a router (…) on 31/08/2018. Payment made via bank transfer on 03/09/2018. The goods were never delivered despite numerous emails and, after requesting withdrawal via certified mail, I requested the return of the amount I paid with further certified mail (..). The deadlines for the refund have long since passed, but to date no payment has been made. (…)”6;</w:t>
        <w:br/>
        <w:t>- [Report from Federconsumatori] “As reported to us, it appears (...) that users proceeded with the purchase of products sold by the company on the website, thus making the bank transfer to the bank details provided by the official seller. However, the purchased goods were neither shipped nor delivered (indicating unspecified logistical problems as the reason for the non-delivery), not even following numerous reminders made by consumers. Furthermore, considering the evident delays in delivery, users requested a refund of the amounts already paid from the online store, as provided for both by the general sales conditions and by law. However, the refund was never made7;</w:t>
        <w:br/>
        <w:t>- “Good evening, (...) on 22/07/2018 I purchased a children's playhouse on the website www.mevostore.it, which was listed as available. Once the purchase was made (paying (...) to Company: Cliccatissimo SRL (...) I discovered that the house was not immediately available, I waited for the times indicated by them and nothing...on 29/08/2018 discovering that no item had yet been shipped I requested a refund...to date 26/11/2018 after various contacts and excuses from them I have seen nothing, moreover I noticed that other users are in my situation. Contacts with them can only occur via messenger or email”8;</w:t>
        <w:br/>
        <w:t>the bank transfer; warning from now that, if I do not receive (..), I will be forced to take the most appropriate legal actions. (..).</w:t>
        <w:br/>
        <w:t>info@cliccatissimo.it: Hello Luca, please provide us with your bank details, perhaps you made a mistake but no refund request was submitted. (..).</w:t>
        <w:br/>
        <w:t>Consumer: Good evening. The Declaration of Withdrawal (containing the refund request and my IBAN), (..) was sent (..) via PEC, duly delivered. I attach, for your convenience, the delivery receipt of said PEC and the Declaration of Withdrawal contained therein. (..).</w:t>
        <w:br/>
        <w:t>I am writing again for the umpteenth time, having not received feedback to my last email and with the legal deadline of 14 days for the refund approaching. At this point, I would like you to (..), kindly provide me with proof of the bank transfer of € 164.94 in my favor. (..).</w:t>
        <w:br/>
        <w:t>info@cliccatissimo.it: We will do our best. (..).</w:t>
        <w:br/>
        <w:t>Consumer: Good morning. I hope you can provide me, by this morning, a copy of the receipt of the bank transfer in my favor, reminding you that today is the fourteenth (and last) day. (..).</w:t>
        <w:br/>
        <w:t>info@cliccatissimo.it: Good morning Luca, I checked your order and realized that I never received the PEC email you mentioned, from (…). Therefore, I inform you that I do not have your bank details to proceed with the refund. Please urgently provide them in response to this email. I am very sorry for the misunderstanding. (..).</w:t>
        <w:br/>
        <w:t>Consumer: Hello. On July 19, I had already sent you to this email address the delivery receipt of the PEC (..) (which is duly delivered, (..) to your address extracted from INIPEC) and a copy of my declaration of withdrawal, containing my IBAN (..). I am attaching my declaration again, for your convenience. Tomorrow I will proceed, if by tonight you do not send me proof of the bank transfer in my favor for € 164.94, to have a letter of formal notice sent by my lawyer, with legal fees at your expense. (..).</w:t>
        <w:br/>
        <w:t>info@cliccatissimo.it: Hello, we will try to provide as soon as possible. (..)</w:t>
        <w:br/>
        <w:t>July 27, 2018 - Consumer: Good morning. My lawyer has sent a formal letter of formal notice, on my behalf, to your PEC address. (..) which is duly delivered to your inbox. (..).</w:t>
        <w:br/>
        <w:t>6 Cf. report prot. no. 0072541 of 26.10.2018.</w:t>
        <w:br/>
        <w:t>7 Cf. report prot. no. 0072809 of 29.10.2018.</w:t>
        <w:br/>
        <w:t>8 Cf. report prot. no. 0078999 of 28.11.2018.</w:t>
      </w:r>
    </w:p>
    <w:p>
      <w:r>
        <w:t>206 BULLETIN NO. 19 OF MAY 13, 2019</w:t>
        <w:br/>
        <w:t>- “I made an online purchase from the website www.mevostore.it. They asked me to pay by bank transfer to the IBAN (…) of the company Cliccatissimo srl. (..). After waiting for more than two months, I requested a refund on 19/07/2018. On 08/11/2018 they told me that the refund had been made but to date I have not yet received my money. Searching online, I saw that many users are complaining about the same problem (…)”9;</w:t>
        <w:br/>
        <w:t>- “I purchased on 16/10/2018 from the e-commerce site MevoStore a coffee machine (..), paying by bank transfer made out to "Cliccatissimo srl", (..) the sum of € 280.66. On 09/11/2018, after several reminders I made for the delay in delivery of the goods, the customer service of MevoStore informed me via email that the goods were not available and that I could wait for restocking or cancel the order and request a refund of the amount paid via bank transfer. I immediately responded to the communication, (..), requesting the refund of the amount paid, canceling the order, and providing the bank account details for the refund. Since that date, I have repeatedly requested the refund, which (.) has not yet been made”10.</w:t>
        <w:br/>
        <w:t>- [Report from Unione Nazionale Consumatori] “We continue to receive various reports from consumers who complain about the non-delivery of products purchased on the Mevostore site and the omission of the refund of the amount paid by the consumer following the cancellation of the order or the exercise of the right of withdrawal. In particular, it seems that in response to numerous requests from unfortunate buyers regarding delivery times, the operator would respond that the products are awaiting shipment, leading them to believe that they are therefore available”11.</w:t>
        <w:br/>
        <w:t>b) The informational structure of the site</w:t>
        <w:br/>
        <w:t>15. Regarding the conduct referred to in the previous paragraph 4, sub ii), checks carried out on the website www.mevostore.it/ revealed that, particularly with regard to the right of withdrawal, Cliccatissimo has requested specific methods to exercise it (Registered letter, PEC, email to the address info@mevostore.it on the condition that the withdrawal communication is confirmed by registered letter within 48 hours) which are not in line with the provisions of Article 54 of the Consumer Code12. It also provided a maximum deadline of 30 days for making the refund, instead of the 14 indicated by Article 56 of the Consumer Code13 (see subsequent images nos. 2 and 3).</w:t>
        <w:br/>
        <w:t>9 Cf. report prot. no. 0083380 of 19.12.2018.</w:t>
        <w:br/>
        <w:t>10 Cf. report prot. no. 0011361 of 10.1.2019.</w:t>
        <w:br/>
        <w:t>11 Cf. report prot. no. 0016932 of 07.2.2019.</w:t>
        <w:br/>
        <w:t>12 Article 54. Exercise of the right of withdrawal - 1. Before the expiration of the withdrawal period, the consumer informs the professional of their decision to exercise the right of withdrawal from the contract. To this end, the consumer may: a) use the standard withdrawal form set out in Annex I, Part B; or b) submit any other explicit declaration of their decision to withdraw from the contract. 2. The consumer has exercised their right of withdrawal within the withdrawal period referred to in Article 52, paragraph 2, and Article 53 if the communication regarding the exercise of the right of withdrawal is sent by the consumer before the expiration of the withdrawal period. 3. The professional, in addition to the options referred to in paragraph 1, may offer the consumer the option to electronically complete and submit the standard withdrawal form set out in Annex I, Part B, or any other explicit declaration on the professional's website. (…).</w:t>
        <w:br/>
        <w:t>(underline added).-</w:t>
        <w:br/>
        <w:t>13 Article 56. Obligations of the professional in the case of withdrawal - 1. The professional refunds all payments received from the consumer, possibly including delivery charges, without undue delay and in any case within fourteen</w:t>
      </w:r>
    </w:p>
    <w:p>
      <w:r>
        <w:rPr>
          <w:b/>
        </w:rPr>
        <w:t>[Pages 205–207]</w:t>
      </w:r>
    </w:p>
    <w:p>
      <w:r>
        <w:t>BULLETIN NO. 19 OF MAY 13, 2019 207</w:t>
      </w:r>
    </w:p>
    <w:p>
      <w:r>
        <w:t xml:space="preserve">Image No. 2 – recorded on November 22, 2018 on the website www.mevostore.it/  </w:t>
        <w:br/>
        <w:t xml:space="preserve">Image No. 3 – recorded on November 22, 2018 on the website www.mevostore.it/  </w:t>
        <w:br/>
        <w:t xml:space="preserve">16. Furthermore, Article 49 of the Consumer Code provides that before the consumer is bound by a distance contract or a contract negotiated outside commercial premises or by a corresponding offer, the professional must provide the consumer with certain information in a clear and understandable manner.  </w:t>
        <w:br/>
        <w:t xml:space="preserve">17. In this case, Cliccatissimo did not make available on the website any form for exercising the right of withdrawal referred to in Annex I, Part B, of the Consumer Code (Article 49, paragraph 1, letter h), nor did it provide - particularly during the process of purchasing goods14 - a reminder of the existence of the legal warranty of conformity (Article 49, paragraph 1, letter n) and did not indicate any reference to the possibility of using an extrajudicial mechanism for resolving any disputes that may arise (Article 49, paragraph 1, letter v)15.  </w:t>
        <w:br/>
        <w:t xml:space="preserve">days from the day on which he is informed of the consumer's decision to withdraw from the contract pursuant to Article 54.  </w:t>
        <w:br/>
        <w:t xml:space="preserve">(….) (underline added).  </w:t>
        <w:br/>
        <w:t xml:space="preserve">14 See the minutes of Acquisition to the Records of 11/27/2018 Websites www.mevastore.it.  </w:t>
        <w:br/>
        <w:t>15 As is known, the procedure for alternative dispute resolution and the bodies that manage it are organically regulated at the community level by Directive EU 2013/11 (ADR Directive) and Regulation 524/2013 on online dispute resolution procedures (ODR Regulation). The Directive and Regulation introduce a coordinated and homogeneous set of rules and procedures for alternative dispute resolution through the use of a single online web platform (https://webgate.ec.europa.eu/odr/) for the entire EU.</w:t>
      </w:r>
    </w:p>
    <w:p>
      <w:r>
        <w:t xml:space="preserve">208 BULLETIN NO. 19 OF MAY 13, 2019  </w:t>
        <w:br/>
        <w:t xml:space="preserve">18. The evidence acquired shows that, at least until January 29, 2019, the website www.mevostore.it was still active, while there is no evidence of any modification suitable to overcome the alleged profiles of illegitimacy indicated in the communication initiating the investigative procedure, nor is there any compliance by Cliccatissimo regarding the numerous complaints from consumers who reported the failure to deliver the products ordered online and the failure to refund the amounts paid following the cancellation of the order or withdrawal.  </w:t>
        <w:br/>
        <w:t xml:space="preserve">19. Finally, the official investigations conducted and recorded on February 21, 2019, show that the website www.mevostore.it is currently inactive (see subsequent Image No. 4).  </w:t>
        <w:br/>
        <w:t xml:space="preserve">Image No. 4  </w:t>
        <w:br/>
        <w:t xml:space="preserve">Google Chrome  </w:t>
        <w:br/>
        <w:t>Internet Explorer</w:t>
      </w:r>
    </w:p>
    <w:p>
      <w:r>
        <w:t xml:space="preserve">BULLETIN NO. 19 OF MAY 13, 2019 209  </w:t>
        <w:br/>
        <w:t xml:space="preserve">Mozilla  </w:t>
        <w:br/>
        <w:t xml:space="preserve">3) The defensive arguments of the Party  </w:t>
        <w:br/>
        <w:t xml:space="preserve">20. Although all communications sent to Cliccatissimo16 were regularly delivered via certified email, the professional never appeared during the entire investigation, providing no response to the detailed request for information made concurrently with the communication initiating the investigative procedure17, nor did it submit any memorandum or, in particular, send any report regarding the order of the Authority referred to in precautionary measure No. 27483 of December 12, 2018.  </w:t>
        <w:br/>
        <w:t xml:space="preserve">IV. OPINION OF THE AUTHORITY FOR GUARANTEES IN COMMUNICATIONS  </w:t>
        <w:br/>
        <w:t xml:space="preserve">21. Since the commercial practice subject to this measure was disseminated via the internet, on March 18, 2019, the opinion was requested from the Authority for Guarantees in Communications, pursuant to Article 27, paragraph 6, of the Consumer Code.  </w:t>
        <w:br/>
        <w:t xml:space="preserve">22. In an opinion received on April 10, 2019, the aforementioned Authority, limiting its evaluations to the suitability of the specific means of communication used to disseminate the  </w:t>
        <w:br/>
        <w:t xml:space="preserve">16 The communication initiating the procedure, sent via certified email to the address cliccatissimo@pec.it on 11/29/2018 at 16:34:22 (prot. 0079379), is recorded as regularly delivered to the destination mailbox, as is the precautionary measure, decided on December 12, 2018, and delivered, also via certified email, on the subsequent December 21 (prot. 0083843).  </w:t>
        <w:br/>
        <w:t>17 In particular, Cliccatissimo S.r.l.s. was requested to provide the following information: 1. description of the online sales model adopted by the professional, with particular reference to the role of intermediation played by the Company between the consumer and Amazon, as well as indicating the methods of procurement of the marketed goods and the relationships with suppliers; 2. description of the purchasing process for the products sold through the website www.mevostore.it/; 3. number of orders received in the period January 1 - November 20, 2018 through the website www.mevostore.it/, broken down by month, indicating the total value; 4. number of goods actually delivered in relation to the purchase orders received in the period January 1 - October 31, 2018, broken down by month, indicating the average delivery time; 5. number of requests to exercise the right of withdrawal received in the period January 1 - November 20, 2018, broken down by month, indicating the methods and timing of management of such requests; 6. number of refund requests received in the period January 1 - November 20, 2018, broken down by month, indicating how many of them have been fulfilled, the average timing for the seller's performance (refund) and the methods of management of such requests; 7. number of complaints received in the period January 1 - November 20, 2018 for failure to deliver the ordered products, indicating, in particular, the number of order cancellation requests; 8. for the orders referred to in the previous points 5-6-7, provide, broken down by month: a) identifying data (name and surname) and contact details (address, phone number, email address, etc.) of the customers; b) product or products purchased, amount paid, broken down by each product, as well as the payment methods; 9. any other element deemed useful for the evaluation of the case in question.</w:t>
      </w:r>
    </w:p>
    <w:p>
      <w:r>
        <w:rPr>
          <w:b/>
        </w:rPr>
        <w:t>[Pages 208–210]</w:t>
      </w:r>
    </w:p>
    <w:p>
      <w:r>
        <w:t>210 BULLETIN NO. 19 OF MAY 13, 2019</w:t>
      </w:r>
    </w:p>
    <w:p>
      <w:r>
        <w:t>commercial practice to impact and amplify any incorrectness of the same practice, expressed its opinion that the inaccurate and incomplete information present on the professional's website regarding the exercise of the right of withdrawal may have led consumers to a commercial choice that they would not have otherwise made.</w:t>
      </w:r>
    </w:p>
    <w:p>
      <w:r>
        <w:t>23. Therefore, the Authority for Communications Guarantees deemed that, in this case, the Internet is a suitable tool to significantly influence the realization of the commercial practice subject to the request for opinion.</w:t>
      </w:r>
    </w:p>
    <w:p>
      <w:r>
        <w:t>V. CONCLUDING ASSESSMENTS</w:t>
      </w:r>
    </w:p>
    <w:p>
      <w:r>
        <w:t>Preliminary Observations</w:t>
      </w:r>
    </w:p>
    <w:p>
      <w:r>
        <w:t>24. The investigation in question concerns the e-commerce sector, a rapidly growing area characterized by intense competition, in which the depersonalization of the purchasing relationship effectively weakens the purchasing consumer and places them in a position of inevitable informational asymmetry compared to the professional. Hence the need to ensure the correctness of commercial relationships, primarily the fulfillment of the main obligations of the contract and, therefore, the delivery of the purchased goods, corresponding to those subject to promotion and offer. In the pre-purchase phase, it is therefore necessary to provide as precise and comprehensive an informational framework as possible regarding the essential characteristics of the products sold and the methods of execution of the related contractual regulation, in order to allow the consumer to verify the convenience of the transaction and the conformity of the goods/services provided to the professional's declarations. Moreover, given the characteristics and articulation via the Internet, greater detail in offering complete and exhaustive information, in a clear and understandable manner, from the first contact with the consumer regarding a commercial transaction does not entail any additional burden for the professional.</w:t>
      </w:r>
    </w:p>
    <w:p>
      <w:r>
        <w:t>25. Furthermore, it should be emphasized that, in the e-commerce sector, the informational obligations of the professional remain, albeit with different significance, even after the submission of an order; during the execution phase of the consumer relationship, not only the rapid execution of a transaction is relevant, but also the dissemination of correct information regarding the actual status and concrete developments of a purchase order. This is also because, given the high competition in the sector, if promptly and adequately informed about the possible impossibility of fulfilling the order under the proposed conditions, the consumer can easily replace the non-compliant professional with a direct competitor.</w:t>
      </w:r>
    </w:p>
    <w:p>
      <w:r>
        <w:t>Violations of the Consumer Code referred to in point II</w:t>
      </w:r>
    </w:p>
    <w:p>
      <w:r>
        <w:t>26. The behaviors described in point II of this communication appear to constitute distinct violations, also as unfair commercial practices, in violation of Articles 24 and 25, letter d), and 49, paragraph 1, letters h), n) and v), 54 and 56 of the Consumer Code, as they are contrary to professional diligence and capable of appreciably distorting the freedom of choice of consumers in relation to the professional's offer.</w:t>
      </w:r>
    </w:p>
    <w:p>
      <w:r>
        <w:t>27. With reference to the behaviors reported in the previous paragraph 4, sub i), although the professional did not respond to requests for information, based on numerous reports and the documentation attached to them and acquired in the records, clear profiles of aggressiveness emerge in the behaviors adopted by Cliccatissimo.</w:t>
      </w:r>
    </w:p>
    <w:p>
      <w:r>
        <w:t>28. In particular, the failure to deliver the goods regularly ordered and paid for by consumers is significant, as well as the obstacles posed and/or the total omission of the refund of the amount paid by the consumers themselves in the event of order cancellation or the exercise of the right of withdrawal following the delayed or completely omitted delivery of the goods purchased through the Site.</w:t>
      </w:r>
    </w:p>
    <w:p>
      <w:r>
        <w:t>29. The practice carried out by the professional is further aggravated by the circumstance that, only after making the purchase, the reporters learned of alleged problems in managing orders and delays in delivering the purchased products; this, moreover, through the use of dilatory techniques aimed at misleading consumers about the imminent successful outcome of the commercial transaction. Such behaviors therefore appear capable of limiting the freedom of choice of consumers, materializing in non-contractual obstacles to the exercise of rights provided in their favor by law and by sales contracts.</w:t>
      </w:r>
    </w:p>
    <w:p>
      <w:r>
        <w:t>30. In almost all cases, in fact, despite repeated reminders made in the time frame between the withdrawal from the contract and the request for a refund, it appears that the reporters did not obtain the refund, encountering significant obstacles in exercising their contractual rights.</w:t>
      </w:r>
    </w:p>
    <w:p>
      <w:r>
        <w:t>31. The described conduct – considered as a whole – is characterized as an aggressive commercial practice, due to the marked position of weakness in which consumers find themselves, also due to the informational asymmetries that characterize the tool used for concluding the purchase contract. Consumers, in fact, base their commercial choice not only on price but also on the presentation of the chosen product as available and, therefore, deliverable through simple shipping. It follows that the informational methods present on the site regarding the immediate availability of the products offered online are capable of misleading consumers, pushing them to make a commercial decision that they would not have otherwise made and, therefore, subsequently to the cancellation of the order and/or the resolution of the contract due to the delay in delivery, they are unable to obtain from the professional the refund of what was paid.</w:t>
      </w:r>
    </w:p>
    <w:p>
      <w:r>
        <w:t>32. Finally, from the perspective of undue conditioning, it is also relevant, at least until the Site was operational (January 29, 2019), the conduct carried out by the professional consisting of closing consumers' accounts following the mere publication of a negative comment regarding the modus operandi of Cliccatissimo.</w:t>
      </w:r>
    </w:p>
    <w:p>
      <w:r>
        <w:t>33. For the reasons stated above, the commercial practice must therefore be considered unfair pursuant to Articles 24 and 25 letter d) of the Consumer Code, as it is capable of appreciably distorting the freedom of choice of consumers in relation to the professional's offer and the misleading and obstructive indications implemented by Cliccatissimo.</w:t>
      </w:r>
    </w:p>
    <w:p>
      <w:r>
        <w:t>34. With reference to the behaviors reported in the previous paragraph 4, sub ii), the absence and/or incompleteness of the publication, on the professional's Site, of information regarding the timelines indicated for refunds in case of withdrawal and the procedural burdens provided, at the moment when consumers proceeded to exercise this right, consisting of the necessity to adopt the specific methods imposed by the company, as well as the omissions and inaccuracies found in the information present on the same website, regarding the absence of the standard form for exercising the right of withdrawal, the reminder regarding the legal warranty of conformity and the link to the platform for extrajudicial dispute resolution; such behaviors, for the reasons stated above, must be considered in violation of Articles 49, paragraph 1, letters h), n) and v), 54 and 56 of the Consumer Code.</w:t>
      </w:r>
    </w:p>
    <w:p>
      <w:r>
        <w:t>VI. QUANTIFICATION OF THE SANCTION</w:t>
      </w:r>
    </w:p>
    <w:p>
      <w:r>
        <w:t>35.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36.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37. With reference to the conduct referred to in the previous paragraph 4, sub i), carried out in violation of Articles 24 and 25, letter d), considering the severity of the violation, account is taken of the overall extent of the economic harm potentially resulting to consumers and the specificities of the e-commerce sector that place the purchasing consumer in a position of inevitable informational asymmetry compared to the professional, as well as the means used to convey informational content, namely the professional's corporate website, a tool capable of reaching a large number of consumers.</w:t>
      </w:r>
    </w:p>
    <w:p>
      <w:r>
        <w:t>38. Regarding the duration of the violation, from the elements available in the records, it appears that the practice was carried out from May 2018 and at least until January 29, 2019, the date on which the website www.mevostore.it was still active. Based on these elements, it is deemed appropriate to determine the administrative pecuniary sanction to be imposed on Cliccatissimo S.r.l.s. in the amount of €250,000 (two hundred fifty thousand euros).</w:t>
      </w:r>
    </w:p>
    <w:p>
      <w:r>
        <w:t>39. With regard to the violation of consumer rights in contracts, referred to in the previous paragraph 4, sub ii), for the violation of Articles 49, paragraph 1, letters h), n) and v), 54 and 56 of the Consumer Code, the elements indicated in the previous paragraph No. 37 are recalled while, for the duration, from the elements available in the records, it appears that the contested behaviors were carried out from May 2018 and at least until January 29, 2019, the date on which the website www.mevostore.it was still active. Based on these elements, it is deemed appropriate to determine the administrative pecuniary sanction to be imposed on Cliccatissimo S.r.l.s. in the amount of €50,000 (fifty thousand euros).</w:t>
      </w:r>
    </w:p>
    <w:p>
      <w:r>
        <w:rPr>
          <w:b/>
        </w:rPr>
        <w:t>[Pages 211–213]</w:t>
      </w:r>
    </w:p>
    <w:p>
      <w:r>
        <w:t>BULLETIN NO. 19 OF MAY 13, 2019 213</w:t>
      </w:r>
    </w:p>
    <w:p>
      <w:r>
        <w:t>CONSIDERING, based on the above considerations, that the commercial practice described in point II, sub i), of this provision, is deemed incorrect pursuant to Articles 24 and 25 letter d), of the Consumer Code, as it is contrary to professional diligence and capable of appreciably distorting the freedom of choice of the average consumer in relation to the offer of the professional and the misleading, omissive or obstructive indications provided by Cliccatissimo;</w:t>
      </w:r>
    </w:p>
    <w:p>
      <w:r>
        <w:t>CONSIDERING, based on the above considerations, that the behaviors described in the previous point II, sub ii), of this provision, constitute distinct violations of Articles 49, paragraph 1, letters h), n) and v), 54 and 56 of the Consumer Code, regarding the failure and/or incomplete publication on the professional's website of information related to the timing of refunds in case of withdrawal, the procedural burdens provided for exercising such right, as well as the absence of the standard form for exercising the right of withdrawal, the reminder regarding the legal guarantee of conformity and the link to the platform for extrajudicial dispute resolution;</w:t>
      </w:r>
    </w:p>
    <w:p>
      <w:r>
        <w:t>RESOLVES</w:t>
      </w:r>
    </w:p>
    <w:p>
      <w:r>
        <w:t>a) that the commercial practice described in point II, sub i), of this provision, carried out by the company Cliccatissimo S.r.l.s., constitutes, for the reasons and within the limits set out in the motivation, an unfair commercial practice pursuant to Articles 24 and 25, letter d), of the Consumer Code, and prohibits its dissemination or continuation;</w:t>
      </w:r>
    </w:p>
    <w:p>
      <w:r>
        <w:t>b) that the behaviors described in the previous point II, sub ii), of this provision, carried out by the company Cliccatissimo S.r.l.s., constitute, for the reasons and within the limits set out in the motivation, distinct violations of Articles 49, paragraph 1, letters h), n) and v), 54 and 56 of the Consumer Code, and prohibits their dissemination or continuation;</w:t>
      </w:r>
    </w:p>
    <w:p>
      <w:r>
        <w:t>c) that, with reference to the commercial practice referred to in letter a), a monetary administrative sanction of €250,000 (two hundred fifty thousand euros) be imposed on the company Cliccatissimo S.r.l.s.;</w:t>
      </w:r>
    </w:p>
    <w:p>
      <w:r>
        <w:t>d) that, with reference to the behaviors referred to in letter b), a monetary administrative sanction of €50,000 (fifty thousand euros) be imposed on the company Cliccatissimo S.r.l.s.;</w:t>
      </w:r>
    </w:p>
    <w:p>
      <w:r>
        <w:t>e) that the professional communicates to the Authority, within sixty days from the notification of this provision, the initiatives taken in compliance with the injunctions referred to in letters a) and b).</w:t>
      </w:r>
    </w:p>
    <w:p>
      <w:r>
        <w:t>The imposed administrative sanctions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t>Pursuant to Article 27, paragraph 12, of the Consumer Code, in case of non-compliance with the provision, the Authority applies a monetary administrative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twenty days from the date of notification of the provision itself.</w:t>
      </w:r>
    </w:p>
    <w:p>
      <w:r>
        <w:t>THE SECRETARY GENERAL THE PRESIDENT f.f.</w:t>
        <w:br/>
        <w:t>Filippo Arena Gabriella Muscolo</w:t>
      </w:r>
    </w:p>
    <w:p>
      <w:r>
        <w:t>BULLETIN NO. 19 OF MAY 13, 2019 215</w:t>
      </w:r>
    </w:p>
    <w:p>
      <w:r>
        <w:t>PS11279 – MY CAR NO COST</w:t>
        <w:br/>
        <w:t>Notice of initiation of investigative procedure</w:t>
        <w:br/>
        <w:t>ANTITRUST AUTHORITY</w:t>
      </w:r>
    </w:p>
    <w:p>
      <w:r>
        <w:t>Notice of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Authority's resolution of April 1, 2015, in relation to procedure PS11279.</w:t>
      </w:r>
    </w:p>
    <w:p>
      <w:r>
        <w:t>I. THE PARTIES</w:t>
      </w:r>
    </w:p>
    <w:p>
      <w:r>
        <w:t>VANTAGE GROUP S.r.l., as a professional pursuant to Article 18, letter b), of Legislative Decree No. 206 of September 6, 2005 and subsequent amendments, containing the "Consumer Code". The company engages in intermediation activities for the purchase of vehicles and the sale of advertising space on them.</w:t>
      </w:r>
    </w:p>
    <w:p>
      <w:r>
        <w:t>AECI, European Association of Independent Consumers, Lazio Regional Section, Lecce Section, Rome Section; ADUC, Association for the Rights of Users and Consumers, as reporters.</w:t>
      </w:r>
    </w:p>
    <w:p>
      <w:r>
        <w:t>II. THE COMMERCIAL PRACTICES</w:t>
      </w:r>
    </w:p>
    <w:p>
      <w:r>
        <w:t>The company VANTAGE GROUP S.r.l., according to information acquired for the application of the Consumer Code and numerous reports from consumers and their representative associations, received by the Authority during the period from February 2016 to March 2019, in carrying out its intermediation activity for the purchase of vehicles and the sale of advertising space on them, would have engaged in certain behaviors that could constitute instances of unfair commercial practices pursuant to the Consumer Code.</w:t>
      </w:r>
    </w:p>
    <w:p>
      <w:r>
        <w:t>In particular, the Professional advertises a commercial offer, called "My Car No Cost," which would allow the purchase of cars "at zero cost" (or significantly reduced), committing to pay participants a monthly refund – as remuneration for the provision of an advertising service on the cars carried out through so-called wrapping (i.e., the application of films depicting the advertising message) – in an amount sufficient to fully (or almost) cover the corresponding installment of the financing related to the purchase cost of the vehicle, as well as a portion of the monthly expenses incurred for fuel and car insurance.</w:t>
      </w:r>
    </w:p>
    <w:p>
      <w:r>
        <w:t>In relation to this offer, potentially misleading behaviors have been reported, such as the false representation of the complete reimbursement of all financing installments, the charging of costs for services intended not to be provided, and the pyramid-like nature;</w:t>
      </w:r>
    </w:p>
    <w:p>
      <w:r>
        <w:rPr>
          <w:b/>
        </w:rPr>
        <w:t>[Pages 214–215]</w:t>
      </w:r>
    </w:p>
    <w:p>
      <w:r>
        <w:t>216 BULLETIN NO. 19 OF MAY 13, 2019</w:t>
      </w:r>
    </w:p>
    <w:p>
      <w:r>
        <w:t>- potentially aggressive conduct related to the execution phase of the relationship, such as the unjustified non-fulfillment of obligations by the Professional, which would then have hindered the exercise of the consequent rights and remedies by consumers</w:t>
      </w:r>
    </w:p>
    <w:p>
      <w:r>
        <w:t>III. NOTICE</w:t>
      </w:r>
    </w:p>
    <w:p>
      <w:r>
        <w:t>Through this notice, interested parties who have submitted a request for intervention pursuant to Article 4 of the Regulation are informed that, with communication dated April 3, 2019, Prot. No. 0028048, an investigative procedure has been initiated against the Professional, aimed at ascertaining any violation of Articles 20, 21, paragraph 1, letters b), c) and d), 22, 23, letter p), 24 and 25 of the Consumer Code.</w:t>
      </w:r>
    </w:p>
    <w:p>
      <w:r>
        <w:t>It is also informed that interested parties have the right to intervene in the ongoing procedure by submitting a specific act, duly signed, containing the elements indicated in Article 10 of the Regulation.</w:t>
      </w:r>
    </w:p>
    <w:p>
      <w:r>
        <w:t>For any communication addressed to the Authority regarding the procedure in question, please cite the Directorate A - Primary Industry, Energy, Transport and Trade of the Directorate General for Consumer Protection and the reference PS11279.</w:t>
      </w:r>
    </w:p>
    <w:p>
      <w:r>
        <w:t>THE RESPONSIBLE OFFICER OF THE PROCEDURE</w:t>
      </w:r>
    </w:p>
    <w:p>
      <w:r>
        <w:t>Antitrust Authority Weekly Bulletin</w:t>
        <w:br/>
        <w:t>of Competition and Market Year XXIX - No. 19 - 2019</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