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https://www.agcm.it/dotcmsdoc/bollettini/2023/19-23.pdf</w:t>
      </w:r>
    </w:p>
    <w:p>
      <w:r>
        <w:t>Pages translated : 61</w:t>
      </w:r>
    </w:p>
    <w:p/>
    <w:p>
      <w:r>
        <w:rPr>
          <w:b/>
        </w:rPr>
        <w:t>[Pages 1–3]</w:t>
      </w:r>
    </w:p>
    <w:p>
      <w:r>
        <w:t>BULLETIN</w:t>
        <w:br/>
        <w:t>Weekly</w:t>
        <w:br/>
        <w:t>Year XXXIII - No. 19</w:t>
        <w:br/>
        <w:t>Published on the website www.agcm.it</w:t>
        <w:br/>
        <w:t>May 22, 2023</w:t>
        <w:br/>
        <w:t>New version of July 10, 2023</w:t>
      </w:r>
    </w:p>
    <w:p>
      <w:r>
        <w:t>SUMMARY(*)</w:t>
        <w:br/>
        <w:t>AGREEMENTS AND ABUSE OF DOMINANT POSITION 5</w:t>
        <w:br/>
        <w:t>A444 - AKRON-CELLULOSE-BASED URBAN WASTE MANAGEMENT</w:t>
        <w:br/>
        <w:t>Measure No. 30621 5</w:t>
        <w:br/>
        <w:t>A540 - ABUSIVE CONDUCT ITALGAS/ATEM VENICE 1</w:t>
        <w:br/>
        <w:t>Measure No. 30622 8</w:t>
        <w:br/>
        <w:t>I847 - TENDER PROCEDURES ISSUED BY THE TARANTO MILITARY NAVY ARSENAL</w:t>
        <w:br/>
        <w:t>Measure No. 30626 10</w:t>
        <w:br/>
        <w:t>I859 - PROCUREMENT AND SUPPLY OF RADIOPHARMACEUTICALS</w:t>
        <w:br/>
        <w:t>Measure No. 30627 12</w:t>
        <w:br/>
        <w:t>CONCENTRATION OPERATIONS 13</w:t>
        <w:br/>
        <w:t>C12533 - AZIMUT LIBERA IMPRESA SGR/NEXT IMAGING</w:t>
        <w:br/>
        <w:t>Measure No. 30623 13</w:t>
        <w:br/>
        <w:t>C12534 - EURIZON CAPITAL REAL ASSET SGR-SARAFIN/ZAFFIRO GROUP</w:t>
        <w:br/>
        <w:t>Measure No. 30624 17</w:t>
        <w:br/>
        <w:t>C12537 - ARTEMIS LUX BIDCO/CUMULUS</w:t>
        <w:br/>
        <w:t>Measure No. 30625 21</w:t>
        <w:br/>
        <w:t>UNFAIR COMMERCIAL PRACTICES 26</w:t>
        <w:br/>
        <w:t>PS12093 - SALT-GRUPPO ASTM/DISRUPTIONS ON THE MOTORWAY NETWORK</w:t>
        <w:br/>
        <w:t>Measure No. 30628 26</w:t>
        <w:br/>
        <w:t>VARIOUS 56</w:t>
        <w:br/>
        <w:t>APPLICATION OF ARTICLE 14-QUATER OF LAW NO. 287 OF OCTOBER 10, 1990</w:t>
        <w:br/>
        <w:t>Measure No. 30629 56</w:t>
        <w:br/>
        <w:t>(*) In this version of Bulletin No. 19/2023, measure No. 30628 of May 2, 2023 is published in the corrected version following resolution No. 30677 of June 19, 2023.</w:t>
      </w:r>
    </w:p>
    <w:p>
      <w:r>
        <w:t>BULLETIN NO. 19 OF MAY 22, 2023 5</w:t>
        <w:br/>
        <w:t>AGREEMENTS AND ABUSE OF DOMINANT POSITION</w:t>
        <w:br/>
        <w:t>A444 - AKRON-CELLULOSE-BASED URBAN WASTE MANAGEMENT</w:t>
        <w:br/>
        <w:t>Measure No. 30621</w:t>
        <w:br/>
        <w:t>THE COMPETITION AND MARKET AUTHORITY</w:t>
        <w:br/>
        <w:t>IN ITS MEETING of May 2, 2023;</w:t>
        <w:br/>
        <w:t>HEARD the Rapporteur, Professor Elisabetta Iossa;</w:t>
        <w:br/>
        <w:t>HAVING REGARD TO Law No. 287 of October 10, 1990;</w:t>
        <w:br/>
        <w:t>HAVING REGARD TO Law No. 689 of November 24, 1981;</w:t>
        <w:br/>
        <w:t>HAVING REGARD TO its own measure No. 24819 of February 27, 2014, closing the investigation A444, by which it was resolved that the companies HERA S.p.A. and Herambiente S.p.A. had engaged in an abuse of dominant position contrary to Article 3, Law No. 287/90, consisting of having exclusively assigned, to the subsidiary Akron S.p.A., without any fair, transparent, and non-discriminatory comparison and at a price lower than the market price, the urban waste from joint collection of HERA S.p.A., resulting in a higher level of the tariff/tax for urban hygiene services in the municipalities where HERA S.p.A. is the Manager and excluding the competitors of Akron S.p.A. from access to an essential input for the production of pulp 1.02;</w:t>
        <w:br/>
        <w:t>HAVING REGARD TO the fact that, for the established violation, a joint administrative monetary fine of €1,898,700 was imposed on the companies HERA S.p.A. and Herambiente S.p.A., due to the seriousness and duration of the infractions referred to in point a) of the resolution;</w:t>
        <w:br/>
        <w:t>HAVING REGARD TO the ruling of the Council of State of March 1, 2023 No. 2114 (hereinafter also referred to as "the ruling"), which partially accepted the appeal filed by the Competition and Market Authority for the reform of the rulings of the Administrative Court for Lazio No. 13886/2020 and No. 13888/2020 and, as a result, redefined the sanction imposed in measure No. 24819 of February 27, 2014;</w:t>
        <w:br/>
        <w:t>HAVING REGARD TO, in particular, the reasoning of the cited ruling, whereby the Council of State, in partial acceptance of the appeal filed by the Parties in the first instance, considered that: "The Authority applied a severity percentage for the purpose of determining the base amount of the sanction at 20% and considered a three-year duration of the infringement. In consideration of the seriousness and duration of the infringement, the base amount of the sanction was determined at €1,898,700; valuing the Group's willingness to implement competitive procedures in the future, the Authority recognized a reduction to the base amount of 20%; in order to ensure a deterrent effect of the sanction, however, a 20% increase was applied to the above-mentioned base amount of the sanction. These assessments are not entirely correct and the amount of the sanction that resulted appears disproportionate to the actual violation committed in the specific context of reference. Regarding the recognized severity, the appellant's observation appears shareable, from</w:t>
      </w:r>
    </w:p>
    <w:p>
      <w:r>
        <w:rPr>
          <w:b/>
        </w:rPr>
        <w:t>[Pages 4–6]</w:t>
      </w:r>
    </w:p>
    <w:p>
      <w:r>
        <w:t>6 BULLETIN NO. 19 OF MAY 22, 2023</w:t>
        <w:br/>
        <w:t>the moment that the Authority does not seem to have adequately considered the specific case, which is characterized by the presence of a nonetheless peculiar market; similarly, with reference to the duration, "it is sufficient to note that only in the two-year period 2012-13 and 2013-14 was the direct conferment to Akron implemented, that is, the conduct on which the contested measure is centered. This is confirmed by the fact that in the defense writings the same Authority states that the Hera group only starting from "2012 did not consider any possible alternative to the direct and complete conferment to Akron";</w:t>
      </w:r>
    </w:p>
    <w:p>
      <w:r>
        <w:t>HAVING REGARD TO the parameters for quantification for the recalculation of the amount of the pecuniary sanction imposed, as identified by the administrative judge in the reasoning part of the aforementioned ruling: 1) "Also in application of Article 134, paragraph 1, letter c), of the Administrative Procedure Code, it seems appropriate to set this percentage [of the severity of the base sanction] at 5% to be applied to the turnover as identified by the Authority"; 2) "In acceptance of the company's objections, the amount of the sanction must therefore be parameterized to a two-year duration, and not three years".</w:t>
      </w:r>
    </w:p>
    <w:p>
      <w:r>
        <w:t>HAVING REGARD TO the communication of March 30, 2023 (prot. 32845) from HERA S.p.A. and Herambiente S.p.A. concerning "return of the recalculated sanction amount";</w:t>
      </w:r>
    </w:p>
    <w:p>
      <w:r>
        <w:t>CONSIDERING that the criteria identified by the Council of State in exercising its jurisdiction on the merits for the recalculation of the sanction imposed jointly on HERA S.p.A. and Herambiente S.p.A. are precise, objective, and of automatic application and leave no discretionary margin in the implementation of the conforming obligation arising from the judgment to be executed;</w:t>
      </w:r>
    </w:p>
    <w:p>
      <w:r>
        <w:t>THEREFORE CONSIDERED, to proceed, in compliance with the aforementioned judgment of the Council of State and in accordance with the indications and parameters outlined therein, to the concrete recalculation of the sanction imposed by measure No. 24819 of February 27, 2014 against the Parties;</w:t>
      </w:r>
    </w:p>
    <w:p>
      <w:r>
        <w:t>HAVING REGARD TO all the acts of the procedure;</w:t>
      </w:r>
    </w:p>
    <w:p>
      <w:r>
        <w:t>CONSIDERING that:</w:t>
        <w:br/>
        <w:t>1. In accordance with the severity percentage recalculated by the administrative judge at 5% of the relevant turnover, the base sanction related to the severity factor is equal to 158,225 euros;</w:t>
        <w:br/>
        <w:t>2. Furthermore, considering the two-year duration of the offense instead of three years, the base amount of the sanction is equal to 316,450 euros;</w:t>
        <w:br/>
        <w:t>3. The Authority's assessments in the contested measure regarding the reduction of the base amount of the sanction by 20% and the increase of the same amount by 20% in order to ensure a deterrent effect of the sanction remain unchanged;</w:t>
        <w:br/>
        <w:t>4. Such percentages being of equal magnitude and opposite sign cancel each other out, therefore the final sanction is equal to 316,450 euros;</w:t>
        <w:br/>
        <w:t>5. In application of the aforementioned quantification parameters defined by the judgment of the Council of State of March 1, 2023, No. 2114, the final amount of the sanction to be imposed jointly on HERA S.p.A. and Herambiente S.p.A. for the conduct established by measure No. 24819 of February 27, 2014 is equal to 316,450 euros. All this having been stated and considered;</w:t>
      </w:r>
    </w:p>
    <w:p>
      <w:r>
        <w:t>BULLETIN NO. 19 OF MAY 22, 2023 7</w:t>
        <w:br/>
        <w:t>RESOLVES</w:t>
        <w:br/>
        <w:t>that the administrative pecuniary sanction to be applied jointly to HERA S.p.A. and Herambiente S.p.A. for the behavior attributed to them in the Authority's measure No. 24819 of February 27, 2014, is recalculated at the amount of 316,450 € (three hundred sixteen thousand four hundred fifty euros).</w:t>
      </w:r>
    </w:p>
    <w:p>
      <w:r>
        <w:t>The administrative pecuniary sanction must be paid within thirty days from the notification of this measure, using the tax codes indicated in the attached F24 model with identifying elements, pursuant to Legislative Decree No. 241/1997.</w:t>
      </w:r>
    </w:p>
    <w:p>
      <w:r>
        <w:t>Payment must be made electronically by debiting one's bank or postal account, through the home banking and CBI services provided by banks or by Poste Italiane S.p.A., or by using the telematic services of the Revenue Agency, available on the website www.agenziaentrate.gov.it. Payment can be made, for operators with legal headquarters abroad, via bank transfer (in euros), in favor of the State Budget, using the IBAN code IT04A0100003245348018359214 (BIC code: BITAITRRENT), which corresponds to the accounting number 18/3592/14.</w:t>
      </w:r>
    </w:p>
    <w:p>
      <w:r>
        <w:t>Immediate communication of the payment must be given to the Authority, by sending a copy of the model certifying the payment made.</w:t>
      </w:r>
    </w:p>
    <w:p>
      <w:r>
        <w:t>Against this measure, an appeal may be submitted to the TAR of Lazio, pursuant to Article 135, paragraph 1, letter b), of the Administrative Procedure Code (Legislative Decree July 2, 2010, No. 104),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November 24, 1971, No. 1199, within one hundred twenty days from the date of notification of the measure itself.</w:t>
      </w:r>
    </w:p>
    <w:p>
      <w:r>
        <w:t>This measure will be notified to the interested party and published in the Bulletin of the Competition and Market Authority.</w:t>
      </w:r>
    </w:p>
    <w:p>
      <w:r>
        <w:t>THE SECRETARY GENERAL THE PRESIDENT</w:t>
        <w:br/>
        <w:t>Guido Stazi Roberto Rustichelli</w:t>
      </w:r>
    </w:p>
    <w:p>
      <w:r>
        <w:t>8 BULLETIN NO. 19 OF MAY 22, 2023</w:t>
        <w:br/>
        <w:t>A540 - ABUSIVE CONDUCT ITALGAS/ATEM VENEZIA 1</w:t>
        <w:br/>
        <w:t>Measure No. 30622</w:t>
        <w:br/>
        <w:t>THE COMPETITION AND MARKET AUTHORITY</w:t>
        <w:br/>
        <w:t>IN ITS MEETING of May 2, 2023;</w:t>
        <w:br/>
        <w:t>HEARD the Rapporteur Professor Elisabetta Iossa;</w:t>
        <w:br/>
        <w:t>HAVING REGARD TO Law No. 287 of October 10, 1990;</w:t>
        <w:br/>
        <w:t>HAVING REGARD TO Presidential Decree No. 217 of April 30, 1998;</w:t>
        <w:br/>
        <w:t>HAVING REGARD TO its own resolution No. 28249 of May 27, 2020, by which an investigation was initiated pursuant to Article 14 of Law No. 287/90 (A540 Abusive Conduct Italgas/Atem Venezia 1), against Italgas Reti S.p.A. to ascertain the existence of any violations of Article 102 TFEU in the market for the management of the gas distribution service and, in particular, in the provision by the incumbent of the necessary information for the preparation of the tender for the new procedure for the assignment of the natural gas distribution service in ATEM Venezia 1;</w:t>
      </w:r>
    </w:p>
    <w:p>
      <w:r>
        <w:t>HAVING REGARD TO its own resolution No. 28585 of February 23, 2021, by which, at the conclusion of the investigation, the commitments presented by Italgas Reti S.p.A. pursuant to Article 14-ter, paragraph 1, of Law No. 287/90 were made mandatory;</w:t>
      </w:r>
    </w:p>
    <w:p>
      <w:r>
        <w:t>HAVING REGARD TO the request for partial revocation of the commitments, submitted by Italgas Reti S.p.A. on December 6, 2022, due to the amendment of Article 14 of Legislative Decree No. 164/00 with the introduction of the new paragraph 7 bis, by Law No. 118/2022 of August 5, 2022 (Annual Law for the Market and Competition 2021);</w:t>
      </w:r>
    </w:p>
    <w:p>
      <w:r>
        <w:t>HAVING REGARD TO the acts of the procedure and the documentation acquired during the investigation;</w:t>
      </w:r>
    </w:p>
    <w:p>
      <w:r>
        <w:t>CONSIDERING that the new formulation of paragraph 7 bis of Legislative Decree No. 164/00, introduced by the Annual Law for the Market and Competition 2021, by which: "The outgoing operator is required to provide the local authority with all the necessary information to prepare the tender, within a deadline set by the same authority based on the amount of information requested, in any case not exceeding sixty days. If the outgoing operator, without justified reason, fails to provide the requested information or provides inaccurate or misleading information or fails to provide the information within the established deadline, the local authority may impose an administrative pecuniary sanction, the amount of which may reach up to 1 percent of the total turnover achieved during the previous financial year, and assess the behavior of the outgoing operator for the purposes of applying Article 80, paragraph 5, letter c-bis), of the Public Contracts Code, pursuant to Legislative Decree April 18, 2016, No. 50", renders unnecessary commitment No. 4 undertaken by Italgas Reti in the context of procedure A540, limited to the provisions relating to the preparation and sending of detailed planning and the transmission deadlines provided therein;</w:t>
      </w:r>
    </w:p>
    <w:p>
      <w:r>
        <w:t>CONSIDERING, in fact, that the new regulatory provision applies with reference to "all the necessary information to prepare the tender" setting a certain and favorable timing for the local authority/contracting station;</w:t>
      </w:r>
    </w:p>
    <w:p>
      <w:r>
        <w:t>THEREFORE CONSIDERED that the conditions exist for the partial revocation of the commitments made binding by the Authority with resolution No. 28585 of February 23, 2021;</w:t>
      </w:r>
    </w:p>
    <w:p>
      <w:r>
        <w:rPr>
          <w:b/>
        </w:rPr>
        <w:t>[Pages 7–9]</w:t>
      </w:r>
    </w:p>
    <w:p>
      <w:r>
        <w:t>BULLETIN NO. 19 OF MAY 22, 2023 9</w:t>
        <w:br/>
        <w:t>CONSIDERED, finally, that all other commitments made by Italgas Reti S.p.A. pursuant to Article 14-ter, paragraph 1, of Law No. 287/90 and made mandatory by the Authority with resolution No. 28585 of February 23, 2021, remain valid;</w:t>
        <w:br/>
        <w:t>All of the above having been stated and considered:</w:t>
        <w:br/>
        <w:t>RESOLVES</w:t>
        <w:br/>
        <w:t>a) to accept the request for revocation submitted by the company Italgas Reti S.p.A. on December 6, 2022;</w:t>
        <w:br/>
        <w:t>b) the partial revocation of the commitments made binding by the Authority with resolution No. 28585 of February 23, 2021, with exclusive reference to: (i) the preparation and submission of detailed planning and the transmission deadlines provided for in commitment No. 4, to which the provisions of paragraph 7 bis of Article 14, Legislative Decree No. 164/00 as introduced by Law No. 118/2022 of August 5, 2022 (Annual Law for the Market and Competition 2021) became applicable as of its entry into force; (ii) the semi-annual submission referred to in letter c) of the resolution concerning the "report that accounts for the detailed planning."</w:t>
        <w:br/>
        <w:t>This measure will be notified to the interested parties and published in the Bulletin of the Competition and Market Authority.</w:t>
        <w:br/>
        <w:t>Against this measure, an appeal may be submitted to the TAR of Lazio, pursuant to Article 135, paragraph 1, letter b), of the Code of Administrative Procedure (Legislative Decree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November 24, 1971, No. 1199, within the term of one hundred and twenty days from the date of notification of the measure itself.</w:t>
        <w:br/>
        <w:t>THE SECRETARY GENERAL THE PRESIDENT</w:t>
        <w:br/>
        <w:t>Guido Stazi Roberto Rustichelli</w:t>
      </w:r>
    </w:p>
    <w:p>
      <w:r>
        <w:t>10 BULLETIN NO. 19 OF MAY 22, 2023</w:t>
        <w:br/>
        <w:t>I847 - PROCUREMENT PROCEDURES ISSUED BY THE MILITARY NAVY ARSENAL OF TARANTO</w:t>
        <w:br/>
        <w:t>Measure No. 30626</w:t>
        <w:br/>
        <w:t>THE COMPETITION AND MARKET AUTHORITY</w:t>
        <w:br/>
        <w:t>IN ITS MEETING of May 2, 2023;</w:t>
        <w:br/>
        <w:t>HEARD the Rapporteur Professor Elisabetta Iossa;</w:t>
        <w:br/>
        <w:t>HAVING REGARD TO Article 101 of the Treaty on the Functioning of the European Union (TFEU);</w:t>
        <w:br/>
        <w:t>HAVING REGARD TO Law No. 287 of October 10, 1990;</w:t>
        <w:br/>
        <w:t>HAVING REGARD TO Council Regulation No. 1/2003 of December 16, 2002, concerning the application of the competition rules laid down in Articles 81 and 82 of the EC Treaty (now Articles 101 and 102 TFEU);</w:t>
        <w:br/>
        <w:t>HAVING REGARD TO Presidential Decree No. 217 of April 30, 1998;</w:t>
        <w:br/>
        <w:t>HAVING REGARD TO its own measure of July 13, 2021, No. 29759, by which an investigation was initiated pursuant to Article 14 of Law No. 287/90, against the companies Co.m.e.r.i.n. S.r.l., COMES S.p.A., Electra S.r.l., IMET di IAIA Pierpaolo, Manutenzione Impianti e Bonifiche Meridionali S.r.l., Maren S.r.l., Officine Jolly S.r.l., Omega Engineering Marine S.r.l., Ricerca, Innovazione, Tecnologie (R.I.T.) S.r.l., Technomont Taranto S.r.l., TPS Taranto S.r.l., S.I.P.L.E.S S.r.l., Consorzio Chio.me, Chiome S.r.l. and Consorzio Navalmeccanico Taranto C.N.T., to ascertain the existence, at least since 2018, of a collusive agreement among these companies, such as to limit competitive confrontation in participating in a series of procurement procedures issued by the Taranto Arsenal, in violation of Article 101 TFEU;</w:t>
        <w:br/>
        <w:t>HAVING REGARD TO its own measure No. 30105 of April 5, 2022, by which a subjective extension of the investigation was decided, pursuant to Article 14 of Law No. 287/90, against the company IMET S.r.l. to ascertain the existence of violations of the competition protection regulations pursuant to Article 101 of the TFEU;</w:t>
        <w:br/>
        <w:t>HAVING REGARD TO its own measure No. 30420 of December 13, 2022, by which it was decided to extend the deadline for closing the procedure to June 30, 2023;</w:t>
        <w:br/>
        <w:t>HAVING REGARD TO the Communication of Investigative Findings, sent to the Parties on April 5, 2023;</w:t>
        <w:br/>
        <w:t>HAVING REGARD TO the request of the company Comes S.p.A., submitted on April 13, 2023, for an extension of the deadline for closing the investigative phase, in order to ensure the right of defense citing the complexity of the case and the large volume of documents on which to exercise the right to contradict;</w:t>
        <w:br/>
        <w:t>HAVING REGARD TO all the acts of the procedure;</w:t>
        <w:br/>
        <w:t>CONSIDERING the necessity to ensure the broadest exercise of the right of defense and contradiction;</w:t>
        <w:br/>
        <w:t>CONSIDERING that the extension of the intra-procedural deadline for closing the investigative phase also necessitates an extension of the deadline for concluding the procedure;</w:t>
        <w:br/>
        <w:t>THEREFORE CONSIDERED necessary to extend the deadline for concluding the procedure currently set for June 30, 2023;</w:t>
      </w:r>
    </w:p>
    <w:p>
      <w:r>
        <w:t>BULLETIN NO. 19 OF MAY 22, 2023 11</w:t>
        <w:br/>
        <w:t>RESOLVES</w:t>
        <w:br/>
        <w:t>to extend the deadline for concluding the procedure to July 18, 2023.</w:t>
        <w:br/>
        <w:t>This measure will be notified to the interested parties and published in the Bulletin of the Competition and Market Authority.</w:t>
        <w:br/>
        <w:t>THE SECRETARY GENERAL THE PRESIDENT</w:t>
        <w:br/>
        <w:t>Guido Stazi Roberto Rustichelli</w:t>
      </w:r>
    </w:p>
    <w:p>
      <w:r>
        <w:rPr>
          <w:b/>
        </w:rPr>
        <w:t>[Pages 10–12]</w:t>
      </w:r>
    </w:p>
    <w:p>
      <w:r>
        <w:t>12 BULLETIN NO. 19 OF MAY 22, 2023</w:t>
        <w:br/>
        <w:t>I859 - PROCUREMENT AND SUPPLY OF RADIOPHARMACEUTICALS</w:t>
        <w:br/>
        <w:t>Measure No. 30627</w:t>
        <w:br/>
        <w:t>THE COMPETITION AND MARKET AUTHORITY</w:t>
        <w:br/>
        <w:t>IN ITS MEETING of May 2, 2023;</w:t>
        <w:br/>
        <w:t>HEARD the Rapporteur President Roberto Rustichelli;</w:t>
        <w:br/>
        <w:t>HAVING REGARD TO Article 101 of the Treaty on the Functioning of the European Union (TFEU);</w:t>
        <w:br/>
        <w:t>HAVING REGARD TO Council Regulation No. 1/2003 of December 16, 2002, concerning the implementation of the competition rules laid down in Articles 101 and 102 of the TFEU;</w:t>
        <w:br/>
        <w:t>HAVING REGARD TO Law No. 287 of October 10, 1990;</w:t>
        <w:br/>
        <w:t>HAVING REGARD TO Presidential Decree No. 217 of April 30, 1998;</w:t>
        <w:br/>
        <w:t>HAVING REGARD TO its own measure of March 29, 2022, No. 30089, by which an investigation was initiated, pursuant to Article 14 of Law No. 287/90, against the companies Novartis AG, Advanced Accelerator Applications S.r.l., Curium Netherlands Holding B.V., Curium Italy S.r.l., ITEL Telecomunicazioni S.r.l., GE Healthcare International B.V., GE Healthcare Italia S.r.l., ACOM - Advanced Center Oncology Macerata – S.r.l. and the Italian Association of Nuclear Medicine and Molecular Imaging (AIMN), to ascertain the existence of any violations of Article 101 TFEU;</w:t>
        <w:br/>
        <w:t>HAVING REGARD TO all the acts of the proceeding;</w:t>
        <w:br/>
        <w:t>CONSIDERING the complexity of the case under analysis and the need to carry out further investigative deepening, as well as the necessity to proceed with a complete analysis of the numerous evidence collected;</w:t>
        <w:br/>
        <w:t>CONSIDERING the necessity to guarantee the Parties the broadest exercise of their rights of defense and contradiction;</w:t>
        <w:br/>
        <w:t>THEREFORE CONSIDERED necessary to defer the deadline for the conclusion of the proceeding, currently set for May 31, 2023;</w:t>
        <w:br/>
        <w:t>RESOLVES</w:t>
        <w:br/>
        <w:t>to extend the deadline for the conclusion of the proceeding to November 30, 2023.</w:t>
        <w:br/>
        <w:t>This measure will be notified to the interested parties and published in the Bulletin of the Competition and Market Authority.</w:t>
        <w:br/>
        <w:t>THE SECRETARY GENERAL THE PRESIDENT</w:t>
        <w:br/>
        <w:t>Guido Stazi Roberto Rustichelli</w:t>
      </w:r>
    </w:p>
    <w:p>
      <w:r>
        <w:t>BULLETIN NO. 19 OF MAY 22, 2023</w:t>
        <w:br/>
        <w:t>CONCENTRATION OPERATIONS</w:t>
        <w:br/>
        <w:t>C12533 - AZIMUT LIBERA IMPRESA SGR/NEXT IMAGING</w:t>
        <w:br/>
        <w:t>Measure No. 30623</w:t>
        <w:br/>
        <w:t>THE COMPETITION AND MARKET AUTHORITY</w:t>
        <w:br/>
        <w:t>IN ITS MEETING of May 2, 2023;</w:t>
        <w:br/>
        <w:t>HEARD the Rapporteur Professor Elisabetta Iossa;</w:t>
        <w:br/>
        <w:t>HAVING REGARD TO Regulation (EC) No. 139/2004;</w:t>
        <w:br/>
        <w:t>HAVING REGARD TO Law No. 287 of October 10, 1990;</w:t>
        <w:br/>
        <w:t>HAVING REGARD TO Presidential Decree No. 217 of April 30, 1998;</w:t>
        <w:br/>
        <w:t>HAVING REGARD TO the communication from Azimut Libera Impresa SGR S.p.A., received on April 7, 2023;</w:t>
        <w:br/>
        <w:t>HAVING REGARD TO the documentation on file;</w:t>
        <w:br/>
        <w:t>CONSIDERING as follows:</w:t>
        <w:br/>
        <w:t>I. THE PARTIES</w:t>
        <w:br/>
        <w:t>1. Azimut Libera Impresa SGR S.p.A. (hereinafter "Azimut Libera Impresa") is a company wholly owned by Azimut Holding S.p.A. (hereinafter "Azimut Holding"), a company whose shareholding is 80% floating and approximately 20% distributed among managers, consultants, and employees united in a shareholders' agreement. The companies of the Azimut group (hereinafter "Azimut Group") are active in the management of mutual funds and private capital funds. In particular, Azimut Libera Impresa is an integrated platform of products and services dedicated to entrepreneurs and small and medium enterprises on one side and investors/savers on the other, with the aim of promoting the injection of liquidity into the real economy to stimulate its growth and make it sustainable over time, while offering opportunities for returns and value creation to savers/investors. In 2022, the consolidated revenue generated worldwide by the Azimut Group was approximately [1-2]* billion euros, of which approximately [700-1,000] million euros were generated in Italy.</w:t>
        <w:br/>
        <w:t>2. Next Imaging S.p.A. (hereinafter "Next Imaging") is a platform active in the distribution of products for the acquisition and electronic processing of images (imaging and machine vision). In particular, Next Imaging operates as an intermediary between the manufacturers of the components of such products and the operators who integrate the individual production factor into the final product. The share capital of Next Imaging is currently held by (i) Topco 29 S.r.l. ("Topco 29"), a company wholly owned by the fund managed by Ambienta SGR S.p.A. ("Ambienta"), for 77.7%; (ii) Image S Holding S.r.l. ("Image S Holding"), vehicle of the founding partners with managerial roles in the Group, for 19.7%; (iii) Leoisa XP UG ("Leoisa"), for 1.4%; and (iv) an individual for 1.3%. (hereinafter together with Leoisa and Image S Holding, the "Minority Shareholders"). In 2022, Next Imaging generated a consolidated revenue of [32-100] million euros worldwide, and, more specifically, [32-100] million euros at the national level.</w:t>
        <w:br/>
        <w:t>II. DESCRIPTION OF THE OPERATION</w:t>
        <w:br/>
        <w:t>3. The notified operation consists of the acquisition by Azimut Libera Impresa, indirectly through the Azimut Demos 1 and AZIMUT ELTIF – Private Equity Ophelia funds (respectively "Azimut Libera Impresa" and the "Azimut Funds"), of exclusive control over Next Imaging.</w:t>
        <w:br/>
        <w:t>4. In particular, for the purposes of the operation, Azimut Libera Impresa will create [omitted]. Upon completion of the operation, Azimut Libera Impresa will indirectly acquire [omitted] and directly from the Minority Shareholders (see above), the entire share capital of Next Imaging. [Omitted].</w:t>
        <w:br/>
        <w:t>5. At the same time, as part of the operation, it is expected that the Minority Shareholders will re-enter the capital of [omitted] by subscribing to a specific capital increase and obtaining a share of less than [10-20%]. A [omitted] is also being defined.</w:t>
        <w:br/>
        <w:t>6. Finally, the Minority Shareholders will subscribe to [omitted] non-competition and non-solicitation obligations [omitted] for a maximum of [omitted].</w:t>
        <w:br/>
        <w:t>III. QUALIFICATION OF THE OPERATION</w:t>
        <w:br/>
        <w:t>7. The notified operation, as aimed at acquiring exclusive control of a company, constitutes a concentration pursuant to Article 5, paragraph 1, letter b), of Law No. 287/90. It falls within the scope of application of Law No. 287/90 as the conditions of Article 1 of EC Regulation 139/2004 are not met, and it is subject to the prior notification obligation established by Article 16, paragraph 1, of the same law as the total revenue generated, in the last financial year at the national level, by the group of companies involved was over 532 million euros and the total revenue generated, in the last financial year at the national level, by at least two of the companies involved was over 32 million euros1.</w:t>
        <w:br/>
        <w:t>8. The obligations of non-competition and non-solicitation described above constitute a restriction directly connected and necessary for the realization of the operation, as it is functional to safeguarding the value of the acquired company2.</w:t>
        <w:br/>
        <w:t>IV. EVALUATION OF THE CONCENTRATION</w:t>
        <w:br/>
        <w:t>9. The Operation concerns, based on the operational scope of the acquired company, the economic sector of the distribution of products and systems for the acquisition and electronic processing of images (so-called imaging and machine vision), namely industrial cameras, lenses for industrial automation, frame grabbers, LED lighting, and industrial vision and image analysis software, scanners, and components for diagnostic imaging.</w:t>
        <w:br/>
        <w:t>1 See the updated revenue thresholds in measure No. 30507 of March 14, 2023 in Bulletin No. 12 of March 27, 2023.</w:t>
        <w:br/>
        <w:t>2 See Commission Communication on restrictions directly connected and necessary to concentrations (2005/C 56/03).</w:t>
      </w:r>
    </w:p>
    <w:p>
      <w:r>
        <w:rPr>
          <w:b/>
        </w:rPr>
        <w:t>[Pages 13–15]</w:t>
      </w:r>
    </w:p>
    <w:p>
      <w:r>
        <w:t xml:space="preserve">BULLETIN NO. 19 OF MAY 22, 2023 15  </w:t>
        <w:br/>
        <w:t xml:space="preserve">10. The Azimut group is not active – directly or through companies in which it has a stake – in the market for the distribution of products and systems for the acquisition and electronic processing of images.  </w:t>
        <w:br/>
        <w:t xml:space="preserve">The relevant sector and market  </w:t>
        <w:br/>
        <w:t xml:space="preserve">11. The relevant sector is that of the distribution of products and systems for the acquisition and electronic processing of images. Within this sector, Next Imaging distributes numerous components that cover every phase of the image acquisition process, from lighting to processing, and includes cameras and lenses, cables, software, scanners, and components for diagnostic imaging, etc. These various components must then be configured and optimized according to the specific requirements of the customer and the industry in which that customer operates. For example, in industries characterized by high productivity and high precision requirements (such as the automotive sector or robotics), components for the acquisition and electronic processing of images are usually assembled into quality control systems, in order to identify any defective products and discard them before they reach the market.  </w:t>
        <w:br/>
        <w:t xml:space="preserve">12. On the demand side, the parties interested in products and systems for the acquisition and electronic processing of images are potentially active in any industrial sector.  </w:t>
        <w:br/>
        <w:t xml:space="preserve">13. Specifically, buyers of electronic image acquisition products and services can be distinguished into three categories:  </w:t>
        <w:br/>
        <w:t xml:space="preserve">– original equipment manufacturers, who purchase components to integrate into imaging and machine vision systems for specific sectors (such as for the production of machinery for magnetic resonance imaging);  </w:t>
        <w:br/>
        <w:t xml:space="preserve">– system integrators, who purchase multiple components to create a complete image acquisition and processing system (which will in turn be resold);  </w:t>
        <w:br/>
        <w:t xml:space="preserve">– end customers, active in various sectors and who use imaging and machine vision systems for various purposes.  </w:t>
        <w:br/>
        <w:t xml:space="preserve">14. On the supply side, in this market – in addition to parties like Next Imaging, which are exclusively active in the distribution of imaging and machine vision components and systems – there are also integrated operators (such as Teledyne and Basler), who directly distribute the components and systems they produce themselves. Azimut Libera Impresa is not active in this market.  </w:t>
        <w:br/>
        <w:t xml:space="preserve">15. From a geographical perspective, it is noted that the main operators present in the distribution of products and systems for the acquisition and electronic processing of images are active on an international scale and customers can easily purchase the products and systems in question from manufacturers and distributors established abroad. The market in question appears prima facie to have a size at least equal to the European Economic Area.  </w:t>
        <w:br/>
        <w:t xml:space="preserve">16. In any case, given the absence of competitive issues arising from the operation in question, the exact definition of the product market and the geographical scope of the relevant market can be left open.  </w:t>
        <w:br/>
        <w:t xml:space="preserve">The effects of the operation  </w:t>
        <w:br/>
        <w:t xml:space="preserve">17. Regarding the effects of the operation, Next Imaging holds a market share within the global market for the distribution of products and systems for the acquisition and electronic processing of images of approximately [less than 1%]. The market share of the target company is estimated at approximately [less than 1%], considering a geographical dimension equal to the European Economic Area, and [1-5%] within the Italian market. As described, the Azimut group is not present in the relevant market.  </w:t>
        <w:br/>
        <w:t xml:space="preserve">18. At the same time, there are no critical profiles even from the perspective of vertical relationships. As for the non-coordinated effects in the upstream market, Next Imaging does not appear to have either the ability or the incentive to restrict access to its services to favor the companies of the Azimut group.  </w:t>
        <w:br/>
        <w:t xml:space="preserve">19. In conclusion, considering the market shares held by the parties involved and the presence of significant competitors, in the absence of significant entry barriers, the operation in question does not appear to be capable of establishing or strengthening a dominant position or significantly altering the competitive conditions in the relevant market.  </w:t>
        <w:br/>
        <w:t xml:space="preserve">IT IS THEREFORE CONSIDERED that the operation in question does not significantly impede effective competition in the relevant market, pursuant to Article 6, paragraph 1, of Law No. 287/90, and does not lead to the establishment or strengthening of a dominant position;  </w:t>
        <w:br/>
        <w:t xml:space="preserve">IT IS ALSO CONSIDERED that the non-competition and non-solicitation obligations are ancillary to this operation, and that the Authority reserves the right to evaluate, where the conditions exist, such clauses to the extent that they are realized beyond the duration indicated by the parties;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the Minister of Enterprises and Made in Italy.  </w:t>
        <w:br/>
        <w:t xml:space="preserve">This measure will be published in the Bulletin of the Competition and Market Authority.  </w:t>
        <w:br/>
        <w:t xml:space="preserve">THE SECRETARY GENERAL THE PRESIDENT  </w:t>
        <w:br/>
        <w:t>Guido Stazi Roberto Rustichelli</w:t>
      </w:r>
    </w:p>
    <w:p>
      <w:r>
        <w:t xml:space="preserve">BULLETIN NO. 19 OF MAY 22, 2023 17  </w:t>
        <w:br/>
        <w:t xml:space="preserve">C12534 - EURIZON CAPITAL REAL ASSET SGR-SARAFIN/ZAFFIRO GROUP  </w:t>
        <w:br/>
        <w:t xml:space="preserve">Measure No. 30624  </w:t>
        <w:br/>
        <w:t xml:space="preserve">THE COMPETITION AND MARKET AUTHORITY  </w:t>
        <w:br/>
        <w:t xml:space="preserve">IN ITS MEETING of May 2, 2023;  </w:t>
        <w:br/>
        <w:t xml:space="preserve">HEARD the Rapporteur Professor Elisabetta Iossa;  </w:t>
        <w:br/>
        <w:t xml:space="preserve">HAVING REGARD TO Council Regulation (EC) No. 139/2004 of January 20, 2004, on the control of concentrations between undertakings;  </w:t>
        <w:br/>
        <w:t xml:space="preserve">HAVING REGARD TO Law No. 287 of October 10, 1990;  </w:t>
        <w:br/>
        <w:t xml:space="preserve">HAVING REGARD TO Presidential Decree No. 217 of April 30, 1998;  </w:t>
        <w:br/>
        <w:t xml:space="preserve">HAVING REGARD TO the act of the companies Eurizon Capital Real Asset SGR S.p.A. and Sarafin S.p.A., received on April 7, 2023;  </w:t>
        <w:br/>
        <w:t xml:space="preserve">HAVING REGARD TO the documentation on file;  </w:t>
        <w:br/>
        <w:t xml:space="preserve">CONSIDERING the following:  </w:t>
        <w:br/>
        <w:t xml:space="preserve">I. THE PARTIES  </w:t>
        <w:br/>
        <w:t xml:space="preserve">1. Eurizon Capital Real Asset SGR S.p.A. (hereinafter, ECRA) is an asset management company controlled by Eurizon Capital SGR S.p.A., which is part of the ISP Group.  </w:t>
        <w:br/>
        <w:t xml:space="preserve">2. In 2021, the ISP Group achieved a consolidated worldwide turnover of approximately [90-100]* billion euros, of which approximately [80-90] billion euros from sales in the European Union and approximately [70-80] billion euros from sales in Italy.  </w:t>
        <w:br/>
        <w:t xml:space="preserve">3. Sarafin S.p.A. (hereinafter, Sarafin) is a holding company, active, through its controlled companies, in multiple sectors: RSA management, construction (contracts), real estate (rentals and sales), food &amp; beverage, ancillary services (accounting and payroll, debt collection, document archiving).  </w:t>
        <w:br/>
        <w:t xml:space="preserve">4. Sarafin is controlled by a natural person (hereinafter, the Sarafin Controller).  </w:t>
        <w:br/>
        <w:t xml:space="preserve">5. In 2021, Sarafin achieved a turnover of approximately [32-100] million euros, entirely generated in Italy.  </w:t>
        <w:br/>
        <w:t xml:space="preserve">6. Gruppo Zaffiro S.r.l. (hereinafter, Zaffiro or Target) is a holding company, at the head of a corporate group mainly active in the sectors: (i) the provision of care and social-health services, through the management of nursing homes for the elderly; and (ii) the development and construction of properties functional to the activities under (i). As for the activities referred to in point (i), they are entirely carried out in the regions of Friuli Venezia Giulia, Liguria, Lombardy, Marche, Piedmont, Tuscany.  </w:t>
        <w:br/>
        <w:t>* In this version, some data are omitted, as elements of confidentiality or secrecy of the information were deemed to exist.</w:t>
      </w:r>
    </w:p>
    <w:p>
      <w:r>
        <w:rPr>
          <w:b/>
        </w:rPr>
        <w:t>[Pages 16–18]</w:t>
      </w:r>
    </w:p>
    <w:p>
      <w:r>
        <w:t xml:space="preserve">18 BULLETIN NO. 19 OF MAY 22, 2023  </w:t>
        <w:br/>
        <w:t xml:space="preserve">7. The share capital of Zaffiro is held 60% by Mittel S.p.A. (hereinafter, Mittel) and 40% by Blustone S.r.l. (hereinafter, Blustone). The share capital of Blustone is wholly owned by Sarafin.  </w:t>
        <w:br/>
        <w:t xml:space="preserve">8. In 2021, Zaffiro generated revenue of approximately [32-100] million euros, entirely realized in Italy.  </w:t>
        <w:br/>
        <w:t xml:space="preserve">II. DESCRIPTION OF THE OPERATION  </w:t>
        <w:br/>
        <w:t xml:space="preserve">9. The Operation consists of the acquisition by ECRA, possibly through Newco, on one side, and Sarafin on the other side, of the joint control of Zaffiro.  </w:t>
        <w:br/>
        <w:t xml:space="preserve">10. On March 31, 2023, ECRA, Blustone, the Controlling Party Sarafin, and Sarafin concluded the Framework Agreement, under which it is provided that, following its execution, ECRA will come to own, directly or indirectly, a stake equal to 55% of the share capital of Zaffiro, and Sarafin will come to own a stake equal to 45%.  </w:t>
        <w:br/>
        <w:t xml:space="preserve">11. The Framework Agreement also provides that on the date of completion of the Operation, a Shareholders' Agreement will be signed between ECRA (or, if designated, Newco) and Sarafin containing provisions related to the governance of Zaffiro, including: (i) a right of appointment by Sarafin concerning a minority of the members of the board of directors of Zaffiro; and (ii) the necessity of the favorable vote of at least one of the directors designated by Sarafin for the approval of certain resolutions on strategic matters, including the modification/approval of the business plan and the annual budget.  </w:t>
        <w:br/>
        <w:t xml:space="preserve">12. Finally, the Framework Agreement provides for certain non-competition commitments, for the duration of the investment of the parent companies in Zaffiro, between them and the joint venture. In particular, “[omitted]”.  </w:t>
        <w:br/>
        <w:t xml:space="preserve">III. QUALIFICATION OF THE OPERATION  </w:t>
        <w:br/>
        <w:t xml:space="preserve">13. The communicated operation, as it involves the acquisition of joint control of a company, constitutes a concentration pursuant to Article 5, paragraph 1, letter b), of Law No. 287/1990.  </w:t>
        <w:br/>
        <w:t xml:space="preserve">14. It falls within the scope of application of Law No. 287/1990, as the conditions set out in Article 1 of EC Regulation No. 139/2004 do not apply, and it is subject to the obligation of prior notification provided for by Article 16, paragraph 1, of the same law, as the total revenue generated in the last financial year at the national level by the group of companies involved was over 532 million euros and the revenue generated individually at the national level by at least two of the companies involved was over 32 million euros.  </w:t>
        <w:br/>
        <w:t>15. The non-competition agreements described above can be qualified as ancillary to the communicated concentration to the extent that they contain restrictions directly related to the realization of the operation and necessary for it. In particular, in this case, the non-competition commitments between the parent companies and Zaffiro respond to the need to ensure the maintenance of the actual value of the company being acquired, provided that such agreements are limited in terms of products related to the acquired company, geographically to the area of activity of the acquired company, and temporally for the duration of the joint venture.</w:t>
      </w:r>
    </w:p>
    <w:p>
      <w:r>
        <w:t xml:space="preserve">BULLETIN NO. 19 OF MAY 22, 2023  </w:t>
        <w:br/>
        <w:t xml:space="preserve">IV. EVALUATION OF THE CONCENTRATION  </w:t>
        <w:br/>
        <w:t xml:space="preserve">The relevant market  </w:t>
        <w:br/>
        <w:t xml:space="preserve">16. Considering the activity of the company being acquired, the operation concerns the market for the provision of care and socio-health services, of a local geographical dimension, particularly regional.  </w:t>
        <w:br/>
        <w:t xml:space="preserve">Effects of the operation  </w:t>
        <w:br/>
        <w:t xml:space="preserve">17. In the market for the provision of care and socio-health services, Zaffiro is active in the regions of Friuli Venezia Giulia, Liguria, Lombardia, Marche, Piemonte, and Toscana, Sarafin is active only in the Friuli Venezia Giulia region, while ECRA is not active. In particular, in the Friuli Venezia Giulia region, Zaffiro holds a share of [5-10%] in terms of total beds and [5-10%] in terms of authorized beds, while Sarafin holds a share of [1-5%] in terms of total beds and [1-5%] in terms of authorized beds (2021 data).  </w:t>
        <w:br/>
        <w:t xml:space="preserve">18. Numerous and qualified competitors are present in this market.  </w:t>
        <w:br/>
        <w:t xml:space="preserve">19. In light of the above considerations, the concentration under examination does not appear to significantly hinder effective competition in the relevant market and does not lead to the establishment or strengthening of a dominant position.  </w:t>
        <w:br/>
        <w:t xml:space="preserve">THEREFORE, it is deemed that the operation under examination does not significantly hinder effective competition in the relevant market pursuant to Article 6, paragraph 1, of Law No. 287/1990 and does not involve the establishment or strengthening of a dominant position;  </w:t>
        <w:br/>
        <w:t xml:space="preserve">IT IS ALSO DEEMED that the non-competition obligations between the parties are ancillary to the present operation only to the limits described above and that the Authority reserves the right to evaluate the aforementioned agreements that occur beyond the indicated limits;  </w:t>
        <w:br/>
        <w:t xml:space="preserve">RESOLVES  </w:t>
        <w:br/>
        <w:t xml:space="preserve">not to initiate the investigation referred to in Article 16, paragraph 4, of Law No. 287/1990.  </w:t>
        <w:br/>
        <w:t xml:space="preserve">The above conclusions will be communicated, pursuant to Article 16, paragraph 4, of Law No. 287/1990, to the companies involved and to the Minister of Enterprises and Made in Italy.  </w:t>
        <w:br/>
        <w:t xml:space="preserve">1 See AGCM measure No. 20756 of February 4, 2010, C10428 – Residenze Anni Azzurri/Melograno – San Rocco, in Bulletin No. 5/2010.  </w:t>
        <w:br/>
        <w:t xml:space="preserve">2 Total beds consist of the total number of beds available at market facilities and are given by the sum of authorized beds and unauthorized beds.  </w:t>
        <w:br/>
        <w:t xml:space="preserve">3 Authorized beds consist of the beds, within the total beds, that meet the authorization requirements defined by regional regulations of the residences; unauthorized beds consist of beds not yet subject to authorization under regional regulations of the residences.  </w:t>
        <w:br/>
        <w:t>4 It is also specified that based on the data for the year 2022, to be considered provisional and subject to possible changes, in the Friuli Venezia Giulia region, Zaffiro holds a share of [5-10%] in terms of total beds and [5-10%] in terms of authorized beds, while Sarafin holds a share of [1-5%] in terms of total beds and [1-5%] in terms of authorized beds.</w:t>
      </w:r>
    </w:p>
    <w:p>
      <w:r>
        <w:t xml:space="preserve">20 BULLETIN NO. 19 OF MAY 22, 2023  </w:t>
        <w:br/>
        <w:t xml:space="preserve">This measure will be published in the Bulletin of the Competition and Market Authority.  </w:t>
        <w:br/>
        <w:t xml:space="preserve">THE SECRETARY GENERAL THE PRESIDENT  </w:t>
        <w:br/>
        <w:t>Guido Stazi Roberto Rustichelli</w:t>
      </w:r>
    </w:p>
    <w:p>
      <w:r>
        <w:rPr>
          <w:b/>
        </w:rPr>
        <w:t>[Pages 19–21]</w:t>
      </w:r>
    </w:p>
    <w:p>
      <w:r>
        <w:t xml:space="preserve">BULLETIN NO. 19 OF MAY 22, 2023  </w:t>
        <w:br/>
        <w:t xml:space="preserve">C12537 - ARTEMIS LUX BIDCO/CUMULUS  </w:t>
        <w:br/>
        <w:t xml:space="preserve">Measure No. 30625  </w:t>
        <w:br/>
        <w:t xml:space="preserve">THE COMPETITION AND MARKET AUTHORITY  </w:t>
        <w:br/>
        <w:t xml:space="preserve">IN ITS MEETING of May 2, 2023;  </w:t>
        <w:br/>
        <w:t xml:space="preserve">HEARD the Rapporteur Professor Elisabetta Iossa;  </w:t>
        <w:br/>
        <w:t xml:space="preserve">HAVING REGARD TO Regulation (EC) No. 139/2004;  </w:t>
        <w:br/>
        <w:t xml:space="preserve">HAVING REGARD TO Law No. 287 of October 10, 1990;  </w:t>
        <w:br/>
        <w:t xml:space="preserve">HAVING REGARD TO Presidential Decree No. 217 of April 30, 1998;  </w:t>
        <w:br/>
        <w:t xml:space="preserve">HAVING REGARD TO the communication from the company Artemis Lux Bidco S.à.r.l. (hereinafter, Artemis), received on April 13, 2023;  </w:t>
        <w:br/>
        <w:t xml:space="preserve">HAVING REGARD TO the communication from Artemis, received on April 17, 2023, containing the correction of some values indicated in the form;  </w:t>
        <w:br/>
        <w:t xml:space="preserve">HAVING REGARD TO the documentation on file;  </w:t>
        <w:br/>
        <w:t xml:space="preserve">CONSIDERING the following:  </w:t>
        <w:br/>
        <w:t xml:space="preserve">I. THE PARTIES  </w:t>
        <w:br/>
        <w:t xml:space="preserve">1. Artemis is a Luxembourg holding company indirectly controlled by Brookfield Corporation through Brookfield Infrastructure Fund V, created specifically for the purpose of the transaction under examination. Brookfield is an asset management fund operating globally in the provision of public and private investments and related services, listed on the New York and Toronto Stock Exchanges. Brookfield's investments focus on renewable energy and transition, infrastructure, private equity, real estate, credit, and insurance. None of the companies in Brookfield's portfolio operating in Italy engage in activities overlapping with those carried out by the Target.  </w:t>
        <w:br/>
        <w:t xml:space="preserve">In 2021, the Brookfield Group recorded a global revenue of approximately [80-90]* billion euros, of which almost [532-700] million euros at the national level.  </w:t>
        <w:br/>
        <w:t xml:space="preserve">2. Cumulus SA (hereinafter “Cumulus” or “Target”) is a Luxembourg company active in the management and development of data centers and related activities. The company is currently owned by Cirrus SCA and private individuals. Cirrus SCA exclusively controls Cumulus and is the only entity holding more than 25% of Cumulus's share capital. Cirrus SCA is controlled by AXA Real Estate Investment Managers SGP.  </w:t>
        <w:br/>
        <w:t xml:space="preserve">In 2021, Cumulus achieved a global revenue of [100-532] million euros, of which [32-100] million euros at the national level.  </w:t>
        <w:br/>
        <w:t>* In this version, some data are omitted, as there were deemed to be elements of confidentiality or secrecy of the information.</w:t>
      </w:r>
    </w:p>
    <w:p>
      <w:r>
        <w:t xml:space="preserve">II. DESCRIPTION OF THE TRANSACTION  </w:t>
        <w:br/>
        <w:t xml:space="preserve">3. The notified transaction concerns the acquisition by Artemis, and thus the Brookfield group, of exclusive control of Cumulus and its subsidiaries. Following the transaction, Brookfield will acquire exclusive indirect control over the Target. To this end, on April 12, 2023, Artemis and the shareholders of Cumulus (the “Sellers”) signed an Acquisition Agreement. Pursuant to this agreement, the Sellers undertake to sell, and Artemis undertakes to purchase, the shares representing the entire share capital of Cumulus under the terms and conditions established in the Agreement.  </w:t>
        <w:br/>
        <w:t xml:space="preserve">4. The transaction, in addition to being notified to the Authority pursuant to Article 16 of Law No. 287/90, will be notified in accordance with the rules on the control of concentrations in France and in accordance with the procedures for the control of foreign direct investments (so-called FDI) in Italy, Spain, and France. The completion of the transaction is subject to obtaining the necessary antitrust and FDI authorizations.  </w:t>
        <w:br/>
        <w:t>5. The Agreement contains, in clause 6, an obligation of [omissis]. This obligation of [omissis] is qualified by the notifying party as a restriction directly connected and necessary to the transaction: it aims to preserve the value of the investment made by Brookfield. [Omissis].</w:t>
      </w:r>
    </w:p>
    <w:p>
      <w:r>
        <w:t xml:space="preserve">III. QUALIFICATION OF THE TRANSACTION  </w:t>
        <w:br/>
        <w:t xml:space="preserve">6. The notified transaction, as it involves the acquisition of control of a company, constitutes a concentration pursuant to Article 5, paragraph 1, letter b), of Law No. 287/90.  </w:t>
        <w:br/>
        <w:t xml:space="preserve">7. It falls within the scope of application of Law No. 287/90 as the conditions of Article 1 of Regulation EC 139/2004 are not met, and is subject to the obligation of prior notification provided for by Article 16, paragraph 1, of the same law, as the total revenue achieved, in the last financial year for which data is available, by the group of companies involved, was over 532 million euros and the total revenue achieved, in the last financial year for which data is available, by at least two of the companies involved, was over 32 million euros.  </w:t>
        <w:br/>
        <w:t>8. The obligation [omissis] described above constitutes a restriction directly connected and necessary for the realization of the transaction, as it is functional to safeguarding the value of the acquired company1.</w:t>
      </w:r>
    </w:p>
    <w:p>
      <w:r>
        <w:t xml:space="preserve">IV. ASSESSMENT OF THE CONCENTRATION  </w:t>
        <w:br/>
        <w:t xml:space="preserve">9. The transaction concerns certain markets for ICT services (Information and Communication Technology), particularly with reference to data center and cloud computing services. The services encompass a wide range of economic activities, characterized by a significant process of technological evolution, due to which the cost structure, barriers to entry, and preferences of consumers and clients tend to change relatively frequently.  </w:t>
        <w:br/>
        <w:t xml:space="preserve">10. Cumulus's main activity is the management and development of data center services and related activities. In particular, the Target provides "housing services," meaning it offers energy and cooled space (dedicated) along with standardized and carrier-neutral connectivity2. Connectivity services are provided to connect operators and Internet Service Providers (ISPs) to end customers or to connect different hosting areas to each other.  </w:t>
        <w:br/>
        <w:t xml:space="preserve">In Italy, the Target provides data center services through its subsidiary Data 4 Services Italy S.p.A.  </w:t>
        <w:br/>
        <w:t xml:space="preserve">The Target also engages in activities related to co-location data services, operated primarily for the benefit of other companies in the group.  </w:t>
        <w:br/>
        <w:t xml:space="preserve">11. Therefore, the relevant product market for the transaction is that of data center and cloud computing services.  </w:t>
        <w:br/>
        <w:t xml:space="preserve">12. With reference to data center (co-location/housing) and cloud computing services, in its previous decisions3, the Authority has considered leaving the definition of the market open from a product perspective. In particular, the question of whether it is possible to distinguish a narrower product market, relating only to co-location/housing services provided by data centers, from cloud computing services has been left open.  </w:t>
        <w:br/>
        <w:t xml:space="preserve">13. In this case, even if one were to consider the narrower market (data center services), the fact that only one of the Parties (i.e., the Target, through Data 4 Services Italy S.p.A.) is active in this market, the limited market shares held by it in the relevant geographic market, and finally, the presence of competitors with higher market shares still render the exact definition of the market unnecessary as the transaction under examination does not raise any competitive concerns.  </w:t>
        <w:br/>
        <w:t xml:space="preserve">14. Even in this case, therefore, similarly to what the Authority has noted in its previous decisions, the exact definition of the product market can be left open. In fact, the transaction under examination does not appear to be capable of raising competitive concerns, regardless of the possibility of identifying distinct markets for data center services and for cloud computing services.  </w:t>
        <w:br/>
        <w:t xml:space="preserve">15. From a geographic perspective, in the Authority's previous decisions, it has been considered that data center and cloud computing services exhibit certain economic characteristics that suggest a local definition of the relevant market, corresponding to an area around the metropolitan area where the data processing centers are located4. Therefore, the geographic dimension  </w:t>
        <w:br/>
        <w:t xml:space="preserve">2 A data processing center is defined as carrier-neutral when it is not owned or managed by a telecommunications operator. When it is owned or managed by telecommunications service providers, it is defined as a telco data center. In practice, the services related to Cumulus's data center can be purchased by all interested connectivity operators.  </w:t>
        <w:br/>
        <w:t xml:space="preserve">3 See measure No. 27414 of November 14, 2018, case C12184 – IRIDEOS/CLOUDITALIA TELECOMUNICAZIONI, measure No. 26741 of September 14, 2017, case C12106 – F2I/SGR/INFRACOM ITALIA, and measure No. 30328 of November 22, 2022, case C12476 – MARBLES/IRIDEOS.  </w:t>
        <w:br/>
        <w:t>4 A market study conducted in 2012 by the European Commission as part of the assessment procedure for the concentration operation M.6166 – Deutsche Börse/NYSE Euronext found that end customers typically procure ICT services within a territory not exceeding 50 kilometers from the center of the relevant urban area. The proximity of the user company to the hosting data processing site was a factor in the decision to procure data center services. Customers of ICT operators require a signal latency level that does not exceed certain thresholds and the ability to reach the data processing center in a short time, in order to carry out on-site activities on the hosted computing equipment. ICT operators</w:t>
      </w:r>
    </w:p>
    <w:p>
      <w:r>
        <w:rPr>
          <w:b/>
        </w:rPr>
        <w:t>[Pages 22–24]</w:t>
      </w:r>
    </w:p>
    <w:p>
      <w:r>
        <w:t>24 BULLETIN NO. 19 OF MAY 22, 2023</w:t>
        <w:br/>
        <w:t>of the market for data center and cloud computing services has been defined as an area within a radius of 50 kilometers from the center of the urban area where the data processing centers are located.</w:t>
      </w:r>
    </w:p>
    <w:p>
      <w:r>
        <w:t>16. More recently, it has emerged that market operators offer their services at a national level, but the location of data centers is generally concentrated in a few locations; in particular, in Italy, data centers are concentrated in the Milan area and the surrounding provinces and, to a lesser extent, in Rome. Users of co-location/housing and cloud computing services can instead be located at significant distances (usually on the order of hundreds of kilometers) from the reference data center. Factors have also been identified in the choice of co-location/housing service providers that favor the distance of data centers from customer locations, for example, for international customers and for disaster recovery solutions.</w:t>
      </w:r>
    </w:p>
    <w:p>
      <w:r>
        <w:t>17. Finally, it should be noted that cloud computing services are inherently detached from a territorial logic, which reinforces the argument that proximity between data centers and user locations is not relevant. In fact, the demand for co-location/data center services from cloud computing operators constitutes the most significant component of the overall demand for co-location/data center services. In light of the evidence presented, the Authority has deemed that the geographical dimension of the relevant market can be identified in the macro-areas of North and Central-South, taking into account, in particular, the concentration of data centers in the areas of Milan and the surrounding provinces and Rome, while leaving the exact definition of the geographical market open. Due to the modest impact of the operation on the relevant market, in this case, the exact definition of the geographical scope can be left open, in continuity with the Authority's more recent precedents.</w:t>
      </w:r>
    </w:p>
    <w:p>
      <w:r>
        <w:t>18. Following the operation, there will be no increase in the market share held by the Target in the relevant market. The operation does not give rise to any horizontal overlap or vertical relationship in this market as the Brookfield group does not operate in this market. In particular, regarding the market position of the Target, in the macro-area of Northern Italy, the market share of the Target for the Milan area alone is estimated to be approximately [20-25%]. Based on this estimate, the market share in the macro-area of Northern Italy can be assessed as below [10-15%], with no significant changes in the last three years.</w:t>
      </w:r>
    </w:p>
    <w:p>
      <w:r>
        <w:t>19. Also with reference to the Northern Italy area, there are several qualified competitors active in the market (including Aruba, STACK Infrastructure, Equinix, Retelit, and Irideos). Stack Infrastructure holds a market share of [20-25%] in 2021, in line with the previous two years, while the second active operator, namely Retelit/Irideos, has a share of [15-20%], also in line with previous years. Cumulus is thus the third operator in the market. Following closely are two other significant competitors such as Aruba (share of [10-15%]) and Equinix (share of [10-15%]).</w:t>
      </w:r>
    </w:p>
    <w:p>
      <w:r>
        <w:t>CONSIDERING, therefore, that the operation in question does not entail, pursuant to Article 6, paragraph 1, of Law No. 287/90, the establishment or strengthening of a dominant position in the market for data center and cloud computing services, such as to eliminate or substantially and durably reduce competition;</w:t>
      </w:r>
    </w:p>
    <w:p>
      <w:r>
        <w:t>CONSIDERING, furthermore, that the obligation of [omitted] is ancillary to this operation, and that the Authority reserves the right to evaluate, where the conditions exist, such clause to the extent that it is realized beyond the duration indicated by the Parties;</w:t>
      </w:r>
    </w:p>
    <w:p>
      <w:r>
        <w:t>RESOLVES</w:t>
        <w:br/>
        <w:t>not to initiate the investigation referred to in Article 16, paragraph 4, of Law No. 287/90. The above conclusions will be communicated, pursuant to Article 16, paragraph 4, of Law No. 287/90, to the interested companies and to the Minister of Enterprises and Made in Italy. This measure will be published in the Bulletin of the Competition and Market Authority.</w:t>
      </w:r>
    </w:p>
    <w:p>
      <w:r>
        <w:t>THE SECRETARY GENERAL THE PRESIDENT</w:t>
        <w:br/>
        <w:t>Guido Stazi Roberto Rustichelli</w:t>
      </w:r>
    </w:p>
    <w:p>
      <w:r>
        <w:t>26 BULLETIN NO. 19 OF MAY 22, 2023</w:t>
        <w:br/>
        <w:t>UNFAIR COMMERCIAL PRACTICES</w:t>
        <w:br/>
        <w:t>PS12093 - SALT-GRUPPO ASTM/DISRUPTIONS ON THE MOTORWAY NETWORK</w:t>
        <w:br/>
        <w:t>Measure No. 30628*</w:t>
      </w:r>
    </w:p>
    <w:p>
      <w:r>
        <w:t>THE COMPETITION AND MARKET AUTHORITY</w:t>
        <w:br/>
        <w:t>IN ITS MEETING of May 2, 2023;</w:t>
        <w:br/>
        <w:t>HEARD the Rapporteur President Roberto Rustichelli;</w:t>
        <w:br/>
        <w:t>HAVING REGARD TO Part II, Title III, of Legislative Decree September 6, 2005, No. 206, containing the "Consumer Code"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No. 25411;</w:t>
        <w:br/>
        <w:t>HAVING REGARD TO its decisions of December 20, 2022, and April 4, 2023, by which, pursuant to Article 7, paragraph 3, of the Regulation, the extension of the deadline for concluding the procedure for specific investigative needs was ordered, respectively, for sixty and thirty days, considering the need to examine the findings in the records for the assessment of the case subject to the procedure, as well as to ensure the Party an adequate adversarial process and guarantee the Professional the full exercise of the right of defense;</w:t>
      </w:r>
    </w:p>
    <w:p>
      <w:r>
        <w:t>HAVING REGARD TO the acts of the procedure;</w:t>
      </w:r>
    </w:p>
    <w:p>
      <w:r>
        <w:t>I. THE PARTY</w:t>
        <w:br/>
        <w:t>1. SALT Società Autostrade Ligure Toscana p.a. (hereinafter "SALT" or "the Professional" or "the Company"), in its capacity as Professional, pursuant to Article 18, letter b), of the Consumer Code, with registered office in Lido di Camaiore (LU). In the northwestern Tyrrhenian area, SALT manages, with the Ligurian Tuscan Trunk, the motorway sections A12 from Sestri Levante to Livorno, A11 from Viareggio to Lucca, and A15 from Fornola to La Spezia, and, with the Autocisa Trunk, the A15 section from the interconnection with A12 in La Spezia to the interconnection with A1 in Parma.</w:t>
      </w:r>
    </w:p>
    <w:p>
      <w:r>
        <w:t>Based on the latest available financial statements for the financial year 2021, the Company generated revenues from motorway management of over 280 million euros - an increase compared to previous years.</w:t>
      </w:r>
    </w:p>
    <w:p>
      <w:r>
        <w:rPr>
          <w:b/>
        </w:rPr>
        <w:t>[Pages 25–27]</w:t>
      </w:r>
    </w:p>
    <w:p>
      <w:r>
        <w:t>BULLETIN NO. 19 OF MAY 22, 2023 27</w:t>
        <w:br/>
        <w:t>for the year 2020 (approximately 225 million euros) - recording an operating profit of approximately 49 million euros.</w:t>
        <w:br/>
        <w:t>Specifically regarding the Ligurian Tuscan Trunk, the revenues from highway management amounted to over 180 million euros in 2021 (approximately 144 million euros in 2020), of which € 175,165,000 represent net toll revenues (€ 140,508,000 in 2020).</w:t>
      </w:r>
    </w:p>
    <w:p>
      <w:r>
        <w:t>II. THE COMMERCIAL PRACTICE</w:t>
        <w:br/>
        <w:t>2. The proceeding concerns the behaviors carried out by the Professional regarding the services offered to consumers, during the critical traffic conditions encountered on the Sestri Levante/La Spezia motorway section managed by SALT - and persistent on the A/12 in both directions of travel (hereinafter the Ligurian Trunk) - which created significant inconveniences for consumers and substantially increased travel times, in the absence of adjustment/reduction/suspension of the fee requested as toll.</w:t>
        <w:br/>
        <w:t>In fact, on the aforementioned route, during the period from January 2020 to May 2021, long stretches of lane reductions/closures and/or specific limitations on the maximum speed allowed along such infrastructures (normally equal to 100-110 km/h) were observed.</w:t>
        <w:br/>
        <w:t>3. These issues were mainly attributable to the upgrading interventions of the tunnels located on the route to comply with the safety regulations set forth in Legislative Decree No. 264 of October 5, 2006, an upgrade that was also provided for in the draft agreement signed with the granting authority and in the supplementary act of September 8, 2017. However, consumers, in light of the payment of the requested fee, expected the provision of a service (in terms of travel speed) that did not correspond to what was actually experienced.</w:t>
      </w:r>
    </w:p>
    <w:p>
      <w:r>
        <w:t>III. THE OUTCOMES OF THE PROCEEDING</w:t>
        <w:br/>
        <w:t>1) The procedure process</w:t>
        <w:br/>
        <w:t>4. Based on the report of a consumer, received on March 26, 2021, as well as other documentary evidence - in particular: i) the responses to requests for information, made on June 7 and October 27, 2021, and received from the Company on August 4 and November 26, 2021, respectively; ii) the response to the invitation to remove possible profiles of unfairness in commercial conduct, sent to SALT on February 23, 2022, received on June 23, 2022; iii) the documentation acquired ex officio on August 17, 2022 - on September 6, 2022, the Professional was notified of the initiation of the PS12093 investigative proceeding, in which the existence of unfair commercial practices was hypothesized in alleged violation of Articles 20, 24, and 25 of the Consumer Code.</w:t>
        <w:br/>
        <w:t>5. On September 16, 2022, the Professional accessed the documents of the investigative file.</w:t>
        <w:br/>
        <w:t>6. On October 12, 2022, the Professional submitted a memorandum, simultaneously responding to the request for information made during the communication of the initiation of the investigative proceeding.</w:t>
        <w:br/>
        <w:t>7. On November 17, 2022, SALT was heard in a hearing.</w:t>
        <w:br/>
        <w:t>8. On December 21, 2022, and April 5, 2023, the Professional was notified of the extension, respectively of sixty and thirty days of the deadline for concluding the proceeding, for specific investigative needs, considering the necessity to examine the findings in the documents for the assessment of the case subject to the proceeding, as well as to ensure the Party an adequate contradiction and guarantee the Professional the full exercise of the right of defense.</w:t>
        <w:br/>
        <w:t>9. On January 25, 2023, the Party was notified of the conclusion date of the investigative phase, pursuant to Article 16, paragraph 1, of the Regulation, setting it for February 14, 2023. This deadline was subsequently extended, at the request of the Party, to February 21, 2023.</w:t>
        <w:br/>
        <w:t>10. On February 21, 2023, the final memorandum of SALT was received.</w:t>
        <w:br/>
        <w:t>11. On February 22, 2023, a request was made, pursuant to Article 27, paragraph 1-bis of the Consumer Code, for the opinion of the Transport Regulatory Authority (ART), which was subsequently received on March 23, 2023.</w:t>
      </w:r>
    </w:p>
    <w:p>
      <w:r>
        <w:t>2) The evidence acquired</w:t>
        <w:br/>
        <w:t>A. The context emerged from the investigation into the causes of traffic disruptions</w:t>
        <w:br/>
        <w:t>15. From the findings in the documents, it emerged that, during the reference period (January 2020 – May 2021), SALT ordered the temporary closure or various limitations on vehicular traffic on the motorway routes of the Ligurian Tuscan Trunk, as confirmed by the tables relating to the ordinances issued in 2020 and the first five months of 2021 (a total of approximately one hundred eighty Ordinances, of which 21 concerning section closures).</w:t>
        <w:br/>
        <w:t>16. The causes of the limitations/closures, indicated by the Professional, show that they were due, for the almost totality, to the upgrading interventions of the tunnels to comply with safety regulations and to ordinary and extraordinary maintenance interventions (replacement and modernization of safety barriers, installation of noise barriers, maintenance and upgrading of viaducts, fencing networks, etc.).</w:t>
        <w:br/>
        <w:t>17. Below is an excerpt of the ordinances issued (Table No. 1), produced by SALT, relating to the installation of construction sites lasting more than five days.</w:t>
      </w:r>
    </w:p>
    <w:p>
      <w:r>
        <w:rPr>
          <w:b/>
        </w:rPr>
        <w:t>[Pages 28–30]</w:t>
      </w:r>
    </w:p>
    <w:p>
      <w:r>
        <w:t xml:space="preserve">30 BULLETIN NO. 19 OF MAY 22, 2023  </w:t>
        <w:br/>
        <w:t xml:space="preserve">Table No. 1 - Extract from the table of ordinances issued regarding construction sites &gt; 5 days  </w:t>
        <w:br/>
        <w:t xml:space="preserve">18. The aforementioned ordinances, some of which have been extended multiple times, specify the nature of the intervention measures adopted and the extent of the inconveniences caused to users in terms of traffic flow on the motorway that would objectively arise from them, due to the long - overall - period expected for the execution of the works, the partialization of the roadway by diverting traffic onto the corresponding section of the opposite lane, lacking an emergency lane, equipped for two-way traffic, the prohibition of passage for vehicles wider than 3.30 meters in both directions, as well as the reduction of the permanent maximum speed limit from 110 and/or 100 km/h to 60 km/h.  </w:t>
        <w:br/>
        <w:t xml:space="preserve">19. With respect to these needs, it is noted that SALT is fully aware of the adjustment interventions to be implemented at least since the Resolution of May 13, 2010 concerning the "Single Convention Scheme between Anas S.p.a. and Società Autostrada Ligure Toscano (SALT) S.p.a. (Resolution No. 16/2010)." The additional act to the convention of September 2017 further detailed the plan for the adjustment interventions of the tunnels - completed and to be initiated - in the section under SALT's jurisdiction which “[…] sees the presence of 13 tunnels with two arches exceeding 500 meters and therefore falling within the scope of application of the regulation.”  </w:t>
        <w:br/>
        <w:t xml:space="preserve">20. Furthermore, regarding the works to be carried out, in the resolution of the Permanent Commission for Tunnels (CPG) of November 27, 2018, as well as in that of February 6, 2020, the CPG warned the operator to promptly bring seventeen tunnels (twelve of which are located precisely on the A12 and, in any case, all situated within the Liguria Region) into compliance that were non-compliant at that date and noted, among other things, that regarding the tunnels subject to resolution No. 6/2020, SALT had not complied with the provisions of Article 3, paragraphs 1 and 2 of Legislative Decree 264/2006 by the deadline of April 30, 2019.  </w:t>
        <w:br/>
        <w:t xml:space="preserve">21. SALT, in its response to the aforementioned warning from the CPG, committed to ensuring compliance with the temporary operational restrictions prescribed by the CPG, communicating that it had immediately begun their implementation, without adopting any form of toll adjustment.  </w:t>
        <w:br/>
        <w:t xml:space="preserve">B. Average Travel Times  </w:t>
        <w:br/>
        <w:t xml:space="preserve">22. Both in the phase prior to the initiation of the investigation and during it, the Professional provided the requested data regarding the Average Travel Times (TMP) recorded on a monthly, daily, and hourly basis in the period January-December 2020 and January-May 2021 on the sections managed by it, as well as those recorded under free-flow conditions (without construction sites), for the same periods.  </w:t>
        <w:br/>
        <w:t xml:space="preserve">23. SALT announced that the TMP were calculated using toll data (OD Origin Destination), which record the entry and exit time from the motorway of each vehicle, from toll booth to toll booth.  </w:t>
        <w:br/>
        <w:t xml:space="preserve">24. Regarding the TMP provided by the Professional, the following evidence shows the traffic conditions and, in particular, the slowdowns encountered in the elementary sections of the route between Sestri Levante - La Spezia (micro-sections Sestri Levante &gt; Devia Marina &gt; Carrodano &gt; Brugnato &gt; La Spezia) and vice versa. It is, therefore, along these micro-sections that the analysis is conducted to assess the impact on consumers who, upon entering the toll booth and paying the fee, expected to benefit from a specific service in terms of travel speed.  </w:t>
        <w:br/>
        <w:t xml:space="preserve">25. The analysis is based, first of all, on a benchmark provided by SALT itself, which stated that “[…] the analyses carried out by the Company confirm that on the A12 between Sestri Levante and La Spezia, where the construction sites referred to in the AGCM's complaint were installed, the speed limit is 100 km/h (and not 130 km/h as on the rest of the motorway network) and the average speed under free-flow conditions is 91 km/h.”  </w:t>
        <w:br/>
        <w:t xml:space="preserve">26. Secondly, the following analyses were conducted based on the data provided by the Professional (see subsequent Tables 2 and 3 for the years 2020-2021):  </w:t>
        <w:br/>
        <w:t xml:space="preserve">(i) the average travel speed (on the analyzed route) was calculated based on the data of the average monthly travel times provided by the Party with and without construction sites;  </w:t>
        <w:br/>
        <w:t xml:space="preserve">(ii) the differentials between the average travel speed referred to in point (i) and the theoretical speed at 91 km were calculated.  </w:t>
        <w:br/>
        <w:t xml:space="preserve">27. It is noted that it was not possible to calculate the differential between the average travel speed with construction sites and without construction sites since the party did not separately provide the TMP with construction sites (but only the data of TMP under free flow and those TMP with and without construction sites).  </w:t>
        <w:br/>
        <w:t xml:space="preserve">28. Furthermore, regarding these data, it is observed that the TMP with construction sites appear to be underestimated as they also include nighttime transits which, plausibly, should allow for maintaining higher average travel speeds considering the lower traffic flow during those time slots.  </w:t>
        <w:br/>
        <w:t xml:space="preserve">33 SALT has stated that this section of the A12 motorway is characterized by a plano-altimetric configuration of "mountain motorway" in terms of slopes and curvature radii. The motorway crosses a sparsely urbanized area, lacks emergency lanes, features numerous tunnels and viaducts, and is crossed by a limited number of transits.  </w:t>
        <w:br/>
        <w:t xml:space="preserve">34 See page 11 of doc. No. 29.  </w:t>
        <w:br/>
        <w:t xml:space="preserve">35 The tables do not include data related to the Deiva Marina - Sestri Levante section since the destination toll booth is not managed by SALT but by Autostrade per l’Italia S.p.A.  </w:t>
        <w:br/>
        <w:t xml:space="preserve">36 See doc. No. 10, as per the index of the file and the file named “PS12093_II RFI_draft_25.XI.21,” attached to doc. No. 9.  </w:t>
        <w:br/>
        <w:t xml:space="preserve">37 In this regard, it is noted that from the comparison between the files provided by the Party attached to doc. No. 9, as per the index of the file, relating to TMP 2020 and 2021 and TMP with free flow transits 2020 and 2021, it is evident that they concern, on the one hand, the TMP recorded in the presence of construction sites and without construction sites, i.e., mixed flow (and not, as stated by SALT, only the transits with construction sites) and, on the other hand, the TMP only under free flow (FL). In fact, the data provided by SALT, relating to the time slots of various days on various sections, highlight perfect coincidences in the number of transits indicated as TMP and as TMP under free flow, which means that in the former (TMP) transits without construction sites are also included, otherwise, they would have to be indicated as n/a in the TMP under free flow.  </w:t>
        <w:br/>
        <w:t xml:space="preserve">By way of example, it is noted that, on July 7, 2020, on the La Spezia – Brugnato section, the number of transits is the same in both the file “Attachment No. 1 TMP 2020” and in the file “Attachment No. 3 TMP with free flow transits 2020” (301 transits) as it is equal in each of the time slots of the same day; this means that they can only be transits in the absence of construction sites (otherwise, as stated, the value at FL would have been n/a). Further confirmation of the above is that the number of transits reported in the files “Attachment No. 1 [and 2] TMP 2020 [and 2021]” is always greater than and/or equal to the corresponding number of transits reported in the files “Attachment No. 3 [and 4] TMP with free flow transits 2020 [and 2021].”  </w:t>
        <w:br/>
        <w:t>In light of the above, what was stated by the Professional in his final memorandum (see in doc. No. 38, note No. 15 and what is reported on page 15, third paragraph) is not corroborated.</w:t>
      </w:r>
    </w:p>
    <w:p>
      <w:r>
        <w:rPr>
          <w:b/>
        </w:rPr>
        <w:t>[Pages 31–33]</w:t>
      </w:r>
    </w:p>
    <w:p>
      <w:r>
        <w:t>BULLETIN NO. 19 OF MAY 22, 2023 33</w:t>
        <w:br/>
        <w:t>Table No. 2</w:t>
        <w:br/>
        <w:t>YEAR: 2020 - (A/12) Monthly TMP from Sestri Levante to La Spezia</w:t>
        <w:br/>
        <w:t>A B C D E F G</w:t>
        <w:br/>
        <w:t>length TMP V e l o c i t à Average Delta Delta lesser</w:t>
        <w:br/>
        <w:t>SECTION section km with and without construction sites TMP at 91 Km/h greater TMP Average speed</w:t>
        <w:br/>
        <w:t>(C-E) (D-91 km/h)</w:t>
        <w:br/>
        <w:t>SESTRI LEVANTE - DEIVA MARINA (dir. SOUTH) 11.8 10 70.80 7.78 2.22 -20.20</w:t>
        <w:br/>
        <w:t>DEIVA MARINA - CARRODANO (dir. SOUTH) 9.6 10 57.60 6.33 3.67 -33.40</w:t>
        <w:br/>
        <w:t>CARRODANO - DEIVA MARINA (dir. NORTH) 9.6 10 57.60 6.33 3.67 -33.40</w:t>
        <w:br/>
        <w:t>CARRODANO - BRUGNATO (dir. SOUTH) 5.7 7 48.86 3.76 3.24 -42.14</w:t>
        <w:br/>
        <w:t>BRUGNATO - CARRODANO (dir. NORTH) 5.7 8 42.75 3.76 4.24 -48.25</w:t>
        <w:br/>
        <w:t>BRUGNATO - LA SPEZIA (dir. SOUTH) 18.6 13 85.85 12.26 0.74 -5.15</w:t>
        <w:br/>
        <w:t>LA SPEZIA - BRUGNATO (dir. NORTH) 18.6 15 74.40 12.26 2.74 -16.60</w:t>
        <w:br/>
        <w:t>SESTRI LEVANTE - DEIVA MARINA (dir. SOUTH) 11.8 10 70.80 7.78 2.22 -20.20</w:t>
        <w:br/>
        <w:t>DEIVA MARINA - CARRODANO (dir. SOUTH) 9.6 10 57.60 6.33 3.67 -33.40</w:t>
        <w:br/>
        <w:t>CARRODANO - DEIVA MARINA (dir. NORTH) 9.6 11 52.36 6.33 4.67 -38.64</w:t>
        <w:br/>
        <w:t>CARRODANO - BRUGNATO (dir. SOUTH) 5.7 7 48.86 3.76 3.24 -42.14</w:t>
        <w:br/>
        <w:t>BRUGNATO - CARRODANO (dir. NORTH) 5.7 8 42.75 3.76 4.24 -48.25</w:t>
        <w:br/>
        <w:t>BRUGNATO - LA SPEZIA (dir. SOUTH) 18.6 13 85.85 12.26 0.74 -5.15</w:t>
        <w:br/>
        <w:t>LA SPEZIA - BRUGNATO (dir. NORTH) 18.6 14 79.71 12.26 1.74 -11.29</w:t>
        <w:br/>
        <w:t>SESTRI LEVANTE - DEIVA MARINA (dir. SOUTH) 11.8 12 59.00 7.78 4.22 -32.00</w:t>
        <w:br/>
        <w:t>DEIVA MARINA - CARRODANO (dir. SOUTH) 9.6 10 57.60 6.33 3.67 -33.40</w:t>
        <w:br/>
        <w:t>CARRODANO - DEIVA MARINA (dir. NORTH) 9.6 11 52.36 6.33 4.67 -38.64</w:t>
        <w:br/>
        <w:t>CARRODANO - BRUGNATO (dir. SOUTH) 5.7 7 48.86 3.76 3.24 -42.14</w:t>
        <w:br/>
        <w:t>BRUGNATO - CARRODANO (dir. NORTH) 5.7 9 38.00 3.76 5.24 -53.00</w:t>
        <w:br/>
        <w:t>BRUGNATO - LA SPEZIA (dir. SOUTH) 18.6 14 79.71 12.26 1.74 -11.29</w:t>
        <w:br/>
        <w:t>LA SPEZIA - BRUGNATO (dir. NORTH) 18.6 14 79.71 12.26 1.74 -11.29</w:t>
        <w:br/>
        <w:t>SESTRI LEVANTE - DEIVA MARINA (dir. SOUTH) 11.8 12 59.00 7.78 4.22 -32.00</w:t>
        <w:br/>
        <w:t>DEIVA MARINA - CARRODANO (dir. SOUTH) 9.6 11 52.36 6.33 4.67 -38.64</w:t>
        <w:br/>
        <w:t>CARRODANO - DEIVA MARINA (dir. NORTH) 9.6 11 52.36 6.33 4.67 -38.64</w:t>
        <w:br/>
        <w:t>CARRODANO - BRUGNATO (dir. SOUTH) 5.7 8 42.75 3.76 4.24 -48.25</w:t>
        <w:br/>
        <w:t>BRUGNATO - CARRODANO (dir. NORTH) 5.7 11 31.09 3.76 7.24 -59.91</w:t>
        <w:br/>
        <w:t>BRUGNATO - LA SPEZIA (dir. SOUTH) 18.6 14 79.71 12.26 1.74 -11.29</w:t>
        <w:br/>
        <w:t>LA SPEZIA - BRUGNATO (dir. NORTH) 18.6 14 79.71 12.26 1.74 -11.29</w:t>
        <w:br/>
        <w:t>SESTRI LEVANTE - DEIVA MARINA (dir. SOUTH) 11.8 11 64.36 7.78 3.22 -26.64</w:t>
        <w:br/>
        <w:t>DEIVA MARINA - CARRODANO (dir. SOUTH) 9.6 11 52.36 6.33 4.67 -38.64</w:t>
        <w:br/>
        <w:t>CARRODANO - DEIVA MARINA (dir. NORTH) 9.6 10 57.60 6.33 3.67 -33.40</w:t>
        <w:br/>
        <w:t>CARRODANO - BRUGNATO (dir. SOUTH) 5.7 7 48.86 3.76 3.24 -42.14</w:t>
        <w:br/>
        <w:t>BRUGNATO - CARRODANO (dir. NORTH) 5.7 12 28.50 3.76 8.24 -62.50</w:t>
        <w:br/>
        <w:t>BRUGNATO - LA SPEZIA (dir. SOUTH) 18.6 14 79.71 12.26 1.74 -11.29</w:t>
        <w:br/>
        <w:t>LA SPEZIA - BRUGNATO (dir. NORTH) 18.6 14 79.71 12.26 1.74 -11.29</w:t>
        <w:br/>
        <w:t>*The value is sometimes "N/A" because during that period the section was always characterized by the presence of construction sites. See page 2, response to the request for information received on November 26, 2021 - prot. No. 0088700)</w:t>
        <w:br/>
        <w:t>Continues table No. 2</w:t>
        <w:br/>
        <w:t>OIANNEG</w:t>
        <w:br/>
        <w:t>OIARBBEF</w:t>
        <w:br/>
        <w:t>OZRAM</w:t>
        <w:br/>
        <w:t>ELIRPA</w:t>
        <w:br/>
        <w:t>OIGGAM</w:t>
        <w:br/>
        <w:t>ONGUIG</w:t>
      </w:r>
    </w:p>
    <w:p>
      <w:r>
        <w:t>34 BULLETIN NO. 19 OF MAY 22, 2023</w:t>
        <w:br/>
        <w:t>YEAR: 2020 - (A/12) Monthly TMP from Sestri Levante to La Spezia</w:t>
        <w:br/>
        <w:t>A B C D E F G</w:t>
        <w:br/>
        <w:t>length TMP V e l o c i t à Average Delta Delta lesser</w:t>
        <w:br/>
        <w:t>SECTION section km with and without construction sites TMP at 91 Km/h greater TMP Average speed</w:t>
        <w:br/>
        <w:t>(C-E) (D-91 km/h)</w:t>
        <w:br/>
        <w:t>SESTRI LEVANTE - DEIVA MARINA (dir. SOUTH) 11.8 10 70.80 7.78 2.22 -20.20</w:t>
        <w:br/>
        <w:t>DEIVA MARINA - CARRODANO (dir. SOUTH) 9.6 10 57.60 6.33 3.67 -33.40</w:t>
        <w:br/>
        <w:t>CARRODANO - DEIVA MARINA (dir. NORTH) 9.6 10 57.60 6.33 3.67 -33.40</w:t>
        <w:br/>
        <w:t>CARRODANO - BRUGNATO (dir. SOUTH) 5.7 8 42.75 3.76 4.24 -48.25</w:t>
        <w:br/>
        <w:t>BRUGNATO - CARRODANO (dir. NORTH) 5.7 9 38.00 3.76 5.24 -53.00</w:t>
        <w:br/>
        <w:t>BRUGNATO - LA SPEZIA (dir. SOUTH) 18.6 13 85.85 12.26 0.74 -5.15</w:t>
        <w:br/>
        <w:t>LA SPEZIA - BRUGNATO (dir. NORTH) 18.6 14 79.71 12.26 1.74 -11.29</w:t>
        <w:br/>
        <w:t>SESTRI LEVANTE - DEIVA MARINA (dir. SOUTH) 11.8 9 78.67 7.78 1.22 -12.33</w:t>
        <w:br/>
        <w:t>DEIVA MARINA - CARRODANO (dir. SOUTH) 9.6 10 57.60 6.33 3.67 -33.40</w:t>
        <w:br/>
        <w:t>CARRODANO - DEIVA MARINA (dir. NORTH) 9.6 9 64.00 6.33 2.67 -27.00</w:t>
        <w:br/>
        <w:t>CARRODANO - BRUGNATO (dir. SOUTH) 5.7 7 48.86 3.76 3.24 -42.14</w:t>
        <w:br/>
        <w:t>BRUGNATO - CARRODANO (dir. NORTH) 5.7 7 48.86 3.76 3.24 -42.14</w:t>
        <w:br/>
        <w:t>BRUGNATO - LA SPEZIA (dir. SOUTH) 18.6 13 85.85 12.26 0.74 -5.15</w:t>
        <w:br/>
        <w:t>LA SPEZIA - BRUGNATO (dir. NORTH) 18.6 14 79.71 12.26 1.74 -11.29</w:t>
        <w:br/>
        <w:t>SESTRI LEVANTE - DEIVA MARINA (dir. SOUTH) 11.8 10 70.80 7.78 2.22 -20.20</w:t>
        <w:br/>
        <w:t>DEIVA MARINA - CARRODANO (dir. SOUTH) 9.6 11 52.36 6.33 4.67 -38.64</w:t>
        <w:br/>
        <w:t>CARRODANO - DEIVA MARINA (dir. NORTH) 9.6 10 57.60 6.33 3.67 -33.40</w:t>
        <w:br/>
        <w:t>CARRODANO - BRUGNATO (dir. SOUTH) 5.7 8 42.75 3.76 4.24 -48.25</w:t>
        <w:br/>
        <w:t>BRUGNATO - CARRODANO (dir. NORTH) 5.7 11 31.09 3.76 7.24 -59.91</w:t>
        <w:br/>
        <w:t>BRUGNATO - LA SPEZIA (dir. SOUTH) 18.6 13 85.85 12.26 0.74 -5.15</w:t>
        <w:br/>
        <w:t>LA SPEZIA - BRUGNATO (dir. NORTH) 18.6 14 79.71 12.26 1.74 -11.29</w:t>
        <w:br/>
        <w:t>SESTRI LEVANTE - DEIVA MARINA (dir. SOUTH) 11.8 10 70.80 7.78 2.22 -20.20</w:t>
        <w:br/>
        <w:t>DEIVA MARINA - CARRODANO (dir. SOUTH) 9.6 10 57.60 6.33 3.67 -33.40</w:t>
        <w:br/>
        <w:t>CARRODANO - DEIVA MARINA (dir. NORTH) 9.6 10 57.60 6.33 3.67 -33.40</w:t>
        <w:br/>
        <w:t>CARRODANO - BRUGNATO (dir. SOUTH) 5.7 9 38.00 3.76 5.24 -53.00</w:t>
        <w:br/>
        <w:t>BRUGNATO - CARRODANO (dir. NORTH) 5.7 9 38.00 3.76 5.24 -53.00</w:t>
        <w:br/>
        <w:t>BRUGNATO - LA SPEZIA (dir. SOUTH) 18.6 14 79.71 12.26 1.74 -11.29</w:t>
        <w:br/>
        <w:t>LA SPEZIA - BRUGNATO (dir. NORTH) 18.6 15 74.40 12.26 2.74 -16.60</w:t>
        <w:br/>
        <w:t>*The value is sometimes "N/A" because during that period the section was always characterized by the presence of construction sites. See page 2, response to the request for information received on November 26, 2021 - prot. No. 0088700)</w:t>
        <w:br/>
        <w:t>OILGUL</w:t>
        <w:br/>
        <w:t>OTSOGA</w:t>
        <w:br/>
        <w:t>ERBMETTES</w:t>
        <w:br/>
        <w:t>ERBOTTO</w:t>
        <w:br/>
        <w:t>ERBMEVON</w:t>
        <w:br/>
        <w:t>ERBMECID</w:t>
      </w:r>
    </w:p>
    <w:p>
      <w:r>
        <w:t>BULLETIN NO. 19 OF MAY 22, 2023 35</w:t>
        <w:br/>
        <w:t>Table No. 3</w:t>
        <w:br/>
        <w:t>A B C D E F G</w:t>
        <w:br/>
        <w:t>SECTION length k z m za section co c n a T n e M t s i P e e n r i z a c o n V e e l o s c e i n t à z a M c e a d n i t a ie r i TMP at 91 Km/h De T lt M a P m (a C g - g E i) ori V D e (D e lo l - t 9 c a i 1 t m à k m m in / o e h d r) e ia</w:t>
        <w:br/>
        <w:t>SESTRI LEVANTE - DEIVA MARINA (dir. SOUTH) 11.8 10 70.80 7.78 2.22 -20.20</w:t>
        <w:br/>
        <w:t>DEIVA MARINA - CARRODANO (dir. SOUTH) 9.6 11 52.36 6.33 4.67 -38.64</w:t>
        <w:br/>
        <w:t>CARRODANO - DEIVA MARINA (dir. NORTH) 9.6 11 52.36 6.33 4.67 -38.64</w:t>
        <w:br/>
        <w:t>CARRODANO - BRUGNATO (dir. SOUTH) 5.7 8 42.75 3.76 4.24 -48.25</w:t>
        <w:br/>
        <w:t>BRUGNATO - CARRODANO (dir. NORTH) 5.7 13 26.31 3.76 9.24 -64.69</w:t>
        <w:br/>
        <w:t>BRUGNATO - LA SPEZIA (dir. SOUTH) 18.6 14 79.71 12.26 1.74 -11.29</w:t>
        <w:br/>
        <w:t>LA SPEZIA - BRUGNATO (dir. NORTH) 18.6 14 79.71 12.26 1.74 -11.29</w:t>
        <w:br/>
        <w:t>SESTRI LEVANTE - DEIVA MARINA (dir. SOUTH) 11.8 10 70.80 7.78 2.22 -20.20</w:t>
        <w:br/>
        <w:t>DEIVA MARINA - CARRODANO (dir. SOUTH) 9.6 12 48.00 6.33 5.67 -43.00</w:t>
        <w:br/>
        <w:t>CARRODANO - DEIVA MARINA (dir. NORTH) 9.6 12 48.00 6.33 5.67 -43.00</w:t>
        <w:br/>
        <w:t>CARRODANO - BRUGNATO (dir. SOUTH) 5.7 8 42.75 3.76 4.24 -48.25</w:t>
        <w:br/>
        <w:t>BRUGNATO - CARRODANO (dir. NORTH) 5.7 16 21.38 3.76 12.24 -69.63</w:t>
        <w:br/>
        <w:t>BRUGNATO - LA SPEZIA (dir. SOUTH) 18.6 14 79.71 12.26 1.74 -11.29</w:t>
        <w:br/>
        <w:t>LA SPEZIA - BRUGNATO (dir. NORTH) 18.6 15 74.40 12.26 2.74 -16.60</w:t>
        <w:br/>
        <w:t>SESTRI LEVANTE - DEIVA MARINA (dir. SOUTH) 11.8 11 64.36 7.78 3.22 -26.64</w:t>
        <w:br/>
        <w:t>DEIVA MARINA - CARRODANO (dir. SOUTH) 9.6 11 52.36 6.33 4.67 -38.64</w:t>
        <w:br/>
        <w:t>CARRODANO - DEIVA MARINA (dir. NORTH) 9.6 11 52.36 6.33 4.67 -38.64</w:t>
        <w:br/>
        <w:t>CARRODANO - BRUGNATO (dir. SOUTH) 5.7 9 38.00 3.76 5.24 -53.00</w:t>
        <w:br/>
        <w:t>BRUGNATO - CARRODANO (dir. NORTH) 5.7 9 38.00 3.76 5.24 -53.00</w:t>
        <w:br/>
        <w:t>BRUGNATO - LA SPEZIA (dir. SOUTH) 18.6 14 79.71 12.26 1.74 -11.29</w:t>
        <w:br/>
        <w:t>LA SPEZIA - BRUGNATO (dir. NORTH) 18.6 15 74.40 12.26 2.74 -16.60</w:t>
        <w:br/>
        <w:t>SESTRI LEVANTE - DEIVA MARINA (dir. SOUTH) 11.8 13 54.46 7.78 5.22 -36.54</w:t>
        <w:br/>
        <w:t>DEIVA MARINA - CARRODANO (dir. SOUTH) 9.6 12 48.00 6.33 5.67 -43.00</w:t>
        <w:br/>
        <w:t>CARRODANO - DEIVA MARINA (dir. NORTH) 9.6 10 57.60 6.33 3.67 -33.40</w:t>
        <w:br/>
        <w:t>CARRODANO - BRUGNATO (dir. SOUTH) 5.7 9 38.00 3.76 5.24 -53.00</w:t>
        <w:br/>
        <w:t>BRUGNATO - CARRODANO (dir. NORTH) 5.7 9 38.00 3.76 5.24 -53.00</w:t>
        <w:br/>
        <w:t>BRUGNATO - LA SPEZIA (dir. SOUTH) 18.6 14 79.71 12.26 1.74 -11.29</w:t>
        <w:br/>
        <w:t>LA SPEZIA - BRUGNATO (dir. NORTH) 18.6 16 69.75 12.26 3.74 -21.25</w:t>
        <w:br/>
        <w:t>29. Proceeding, therefore, to the analysis of the data reported above, it emerges that, in several months of the reference period (January 2020 – May 2021), the average speeds recorded on the Ligurian Trunk, even in the presence of construction sites, were significantly lower than those normally expected on an infrastructure such as the motorway. In fact, compared to the theoretical speed of 91 km/h, indicated by the same Professional as "average speed in free flow conditions," speed reductions of up to -69 km/h were observed (month of February 2021 – section Brugnato-Carrodano).</w:t>
        <w:br/>
        <w:t>30. In particular, in over forty cases in 2020 and in about twenty cases in the period January-May 2021, there are situations where the monthly average speeds are below 60 km/h, reaching minimum peaks, in some circumstances, just above 20 km/h (data highlighted in bold in the previous Tables).</w:t>
        <w:br/>
        <w:t>31. It is noted, moreover, that even considering as indicated by SALT – differently from the criterion normally adopted from toll booth to toll booth that delineates the boundaries of the start and end of the service for which the consumer pays the toll – the distance traveled on the ramps and access ramps from the toll booth to the motorway strip, which the Professional himself indicates as "on average [n] in the order of 1 km," the average speeds that would be recorded on the sections under observation</w:t>
        <w:br/>
        <w:t>38 See note No. 18 of the concluding memorandum of SALT, doc. No. 38, of which in the index of the file.</w:t>
        <w:br/>
        <w:t>OIANNEG</w:t>
        <w:br/>
        <w:t>YEAR: 2021 - (A/12) Monthly TMP from Sestri Levante to La Spezia</w:t>
        <w:br/>
        <w:t>OIARBBEF</w:t>
        <w:br/>
        <w:t>OZRAM</w:t>
        <w:br/>
        <w:t>ELIRPA</w:t>
        <w:br/>
        <w:t>OIGGAM</w:t>
        <w:br/>
        <w:t>*The value is sometimes "N/A" because during that period the section was always characterized by the presence of construction sites. See page 2, response to the request for information received on November 26, 2021 - prot. No. 0088700)</w:t>
      </w:r>
    </w:p>
    <w:p>
      <w:r>
        <w:rPr>
          <w:b/>
        </w:rPr>
        <w:t>[Pages 34–36]</w:t>
      </w:r>
    </w:p>
    <w:p>
      <w:r>
        <w:t>36 BULLETIN NO. 19 OF MAY 22, 2023</w:t>
        <w:br/>
        <w:t>during the reference period are still well below the benchmark of 91 Km/h.</w:t>
      </w:r>
    </w:p>
    <w:p>
      <w:r>
        <w:t>32. Thirdly, the travel times were analyzed on a daily basis, from which low average speeds of travel also emerged in this case.</w:t>
      </w:r>
    </w:p>
    <w:p>
      <w:r>
        <w:t>33. Based on this last analysis in terms of the differential between the TMP at 91 Km and those recorded in some days, an estimate of the delays experienced by users was made. It is noted that on some of these days, these delays reached peaks of over twenty minutes.</w:t>
      </w:r>
    </w:p>
    <w:p>
      <w:r>
        <w:t>34. By way of example, for some of the sections under examination, the subsequent Table No. 4 highlights the TMP recorded on certain days in 2020 and 2021 in the presence of construction sites. The analyzed days took into account: 1) the number of daily transits that can be considered significant for the specific section; 2) the period following the lockdown for the epidemiological emergency (March 9 – May 18, 2020), excluding periods of objectively reduced traffic.</w:t>
      </w:r>
    </w:p>
    <w:p>
      <w:r>
        <w:t>Table No. 4</w:t>
        <w:br/>
        <w:t>a b c d e f g h i l</w:t>
        <w:br/>
        <w:t>delta TMP speed</w:t>
        <w:br/>
        <w:t>length Tot. Trn. Tot. Trn. TMP minutes TMP at 91</w:t>
        <w:br/>
        <w:t>SECTION month day minutes m average of</w:t>
        <w:br/>
        <w:t>section km Month Day day Km/h</w:t>
        <w:br/>
        <w:t>(g-h) day</w:t>
        <w:br/>
        <w:t>SESTRI LEVANTE - DEIVA MARINA 11.8 May-21 2656 26/05/2021 106 17 7.78 9.22 41.65</w:t>
        <w:br/>
        <w:t>SESTRI LEVANTE - DEIVA MARINA 11.8 May-21 2656 21/05/2021 113 21 7.78 13.22 33.71</w:t>
        <w:br/>
        <w:t>DEIVA MARINA - CARRODANO (southbound) 9.6 Sep-20 1015 01/09/2020 31 16 6.33 9.67 36.00</w:t>
        <w:br/>
        <w:t>CARRODANO - DEIVA MARINA (northbound) 9.6 Sep-20 1086 09/09/2020 48 11 6.33 4.67 52.36</w:t>
        <w:br/>
        <w:t>CARRODANO - DEIVA MARINA (northbound) 9.6 Feb-21 519 01/02/2021 22 11 6.33 4.67 52.36</w:t>
        <w:br/>
        <w:t>CARRODANO - BRUGNATO (southbound) 5.7 Dec-20 926 13/12/2020 13 12 3.76 8.24 28.50</w:t>
        <w:br/>
        <w:t>CARRODANO - BRUGNATO (southbound) 5.7 Jun-20 1307 22/06/2020 43 11 3.76 7.24 31.09</w:t>
        <w:br/>
        <w:t>BRUGNATO - CARRODANO (northbound) 5.7 Jun-20 1225 18/06/2020 57 16 3.76 12.24 21.38</w:t>
        <w:br/>
        <w:t>BRUGNATO - CARRODANO (northbound) 5.7 Sep-20 959 01/09/2020 31 14 3.76 10.24 24.43</w:t>
        <w:br/>
        <w:t>BRUGNATO - CARRODANO (northbound) 5.7 Feb-21 682 22/02/2021 35 24 3.76 20.24 14.25</w:t>
      </w:r>
    </w:p>
    <w:p>
      <w:r>
        <w:t>39. A similar finding is obtained with reference to the Brugnato - Carrodano section assuming, as indicated by SALT in its final memorandum, an average speed in free flow conditions equal to 78 km/h. In this regard, it is noted that this assumption appears to be in contrast with what emerges from ordinance No. 1831 of July 21, 2020 concerning "Works for the adaptation of the tunnels, 'Bordigona', 'Costa di Roverano', 'Madonna del Poggiolo' and 'Del Soggio'. New phase. Speed limit," with which SALT communicates that, "for the execution of the works in question, from 00:00 on 22/07/2020 until 12:00 on 14/09/2020, in the A12 Brugnato - Carrodano section of the north lane (direction Genoa), in the area affected by tunnel works and in the surrounding areas, a speed limit of 90 km/h will be imposed on the maximum speed of vehicles, from km 74+543 to km 69+600." From the imposition of this limit, which, among other things, affects almost the entire section (motorway strip) Brugnato-Carrodano, equal to 5.7 km, it is deduced that normally on this section the allowed speed - and reached - is higher than 90 km/h.</w:t>
      </w:r>
    </w:p>
    <w:p>
      <w:r>
        <w:t>It is also noted that, in any case, SALT's assertion presupposes that on the other sections of the Sestri Levante - La Spezia route the average speed is still above 91 km/h.</w:t>
      </w:r>
    </w:p>
    <w:p>
      <w:r>
        <w:t>40. For the selected days, the corresponding tables provided by SALT regarding the average speeds in free flow indeed show the value "n/a".</w:t>
      </w:r>
    </w:p>
    <w:p>
      <w:r>
        <w:t>BULLETIN NO. 19 OF MAY 22, 2023</w:t>
      </w:r>
    </w:p>
    <w:p>
      <w:r>
        <w:t>35. The evidence shows, therefore, that even on a daily basis, cases of average travel speeds on the sections of the Ligurian Trunk, during the reference period, range between 20 and 55 km/h, which represent, objectively, very low levels and below 91 Km (speed, as reported above, which the same Party indicated as the average speed in free flow). Similar results are also reached by considering, as suggested by the Party, the distance traveled on the interchanges and access ramps from the toll booth to the motorway strip, which, as mentioned, averages 1 Km.</w:t>
      </w:r>
    </w:p>
    <w:p>
      <w:r>
        <w:t>36. It is further specified, with reference to anomalous transits, that these are - by definition - isolated cases that empirically, overall, do not materially change the analysis carried out.</w:t>
      </w:r>
    </w:p>
    <w:p>
      <w:r>
        <w:t>37. In fact, if, by way of example, in the previous Table No. 4, the data relating to the Sestri Levante - Deiva Marina section, of the day May 26 (1st row), the time slots without transits and all those in which the TMP are greater than twenty minutes are excluded, assuming them to be anomalous, the daily average settles at about fourteen minutes, with an average speed of 55.4 km/h (including in the calculation also the average distance traveled on the interchanges and access ramps which, as mentioned, the Party indicates as averaging 1 km), well below the reference parameter of 91 km/h (see Table No. 5). A similar result is obtained by excluding, in addition to the time slots without transits, all those in which the TMP are greater than fifteen minutes.</w:t>
      </w:r>
    </w:p>
    <w:p>
      <w:r>
        <w:t>41. According to SALT, a transit is defined as anomalous if it refers to a user stopped for any reason or to a vehicle stopped on the motorway because involved in maintenance activities or works. In any case, the anomalous transit would not be attributable to the presence of the construction site. Furthermore, according to SALT, the weight of an anomalous transit would be evident, which will be greater the less frequented the section in question is. Anomalous transits, in fact, would strongly modify, distorting them, the TMP.</w:t>
      </w:r>
    </w:p>
    <w:p>
      <w:r>
        <w:t>42. A similar reasoning applies to force majeure events.</w:t>
      </w:r>
    </w:p>
    <w:p>
      <w:r>
        <w:t>Table No. 5</w:t>
        <w:br/>
        <w:t>h SECTION Tot. Trn. Tot. Trn.FL Average</w:t>
        <w:br/>
        <w:t>00 0 0 0</w:t>
        <w:br/>
        <w:t>01 0 0 0</w:t>
        <w:br/>
        <w:t>02 0 0 0</w:t>
        <w:br/>
        <w:t>03 0 0 0</w:t>
        <w:br/>
        <w:t>04 0 0 0</w:t>
        <w:br/>
        <w:t>05 0 0 0</w:t>
        <w:br/>
        <w:t>06 3 0 10</w:t>
        <w:br/>
        <w:t>07 3 0 19</w:t>
        <w:br/>
        <w:t>08 11 0 19</w:t>
        <w:br/>
        <w:t>09 5 0 33</w:t>
        <w:br/>
        <w:t>10 9 0 14</w:t>
        <w:br/>
        <w:t>11 6 0 23</w:t>
        <w:br/>
        <w:t>12 6 0 17</w:t>
        <w:br/>
        <w:t>13 6 0 17</w:t>
        <w:br/>
        <w:t>14 11 0 21</w:t>
        <w:br/>
        <w:t>15 11 0 15</w:t>
        <w:br/>
        <w:t>16 6 0 16</w:t>
        <w:br/>
        <w:t>17 13 0 12</w:t>
        <w:br/>
        <w:t>18 3 0 12</w:t>
        <w:br/>
        <w:t>19 6 0 11</w:t>
        <w:br/>
        <w:t>20 3 0 10</w:t>
        <w:br/>
        <w:t>21 3 0 11</w:t>
        <w:br/>
        <w:t>22 1 0 11</w:t>
        <w:br/>
        <w:t>23 0 0 0 average speed of the day</w:t>
        <w:br/>
        <w:t>extraction TMP &gt; 15 min 52 0 11.78 65.21</w:t>
        <w:br/>
        <w:t>extraction TMP &gt; 20 min 81 0 13.86 55.42</w:t>
      </w:r>
    </w:p>
    <w:p>
      <w:r>
        <w:t>38. Moreover, also regarding the data on average daily travel times, they appear to be underestimated as, on various sections of the route under examination, for several months of the reference period, the free flow TMP indicated by SALT report values equal to "n/a".</w:t>
      </w:r>
    </w:p>
    <w:p>
      <w:r>
        <w:t>39. Such delays, even over a few minutes, significantly impact the transit speed on sections of a few kilometers. By way of example, if we consider the Brugnato - Carrodano section (see subsequent Table No. 6), in both directions of travel (with a length of 5.7 km), delays ranging from two to five minutes imply a considerable reduction in average speed ranging from 39 to 59 km/h.</w:t>
      </w:r>
    </w:p>
    <w:p>
      <w:r>
        <w:t>40. See, by way of example, what is reported in the Tables provided by SALT: for 2020, the months of March, April, May, November, and December, and for 2021, the months of February, April, and May.</w:t>
      </w:r>
    </w:p>
    <w:p>
      <w:r>
        <w:t>41. This circumstance is substantially confirmed by the Professional when he states, with reference to the rounding carried out in the indication of the TMP, that “[...] a travel time of 6 minutes (without decimal figures) could be equal to 5.6 minutes or 6.4 minutes. Such rounding, over short travel distances, generates significant variations in speed [...]” (see note No. 21 of the final memorandum, doc. No. 38, of which in the index of the file).</w:t>
      </w:r>
    </w:p>
    <w:p>
      <w:r>
        <w:t>42. Similar results are obtained for the specific section if the average increase of 1 km on the length (including ramps and interchanges) is applied; delays ranging from two to five minutes imply a reduction in average speed ranging from 42 to 62 km/h.</w:t>
      </w:r>
    </w:p>
    <w:p>
      <w:r>
        <w:rPr>
          <w:b/>
        </w:rPr>
        <w:t>[Pages 37–39]</w:t>
      </w:r>
    </w:p>
    <w:p>
      <w:r>
        <w:t>BULLETIN NO. 19 OF MAY 22, 2023 39</w:t>
        <w:br/>
        <w:t>Table No. 6</w:t>
        <w:br/>
        <w:t>length section TMP average speed</w:t>
        <w:br/>
        <w:t>km minutes km/h</w:t>
        <w:br/>
        <w:t>11.8 7.78 91.00 average speed in free flow conditions 91 km/h</w:t>
        <w:br/>
        <w:t>11.8 8.78 80.64 1 min delay compared to Free Flow TMP</w:t>
        <w:br/>
        <w:t>11.8 9.78 72.39 2 min delay compared to Free Flow TMP</w:t>
        <w:br/>
        <w:t>11.8 10.78 65.68 3 min delay compared to Free Flow TMP</w:t>
        <w:br/>
        <w:t>11.8 11.78 60.10 4 min delay compared to Free Flow TMP</w:t>
        <w:br/>
        <w:t>11.8 12.78 55.40 5 min delay compared to Free Flow TMP</w:t>
        <w:br/>
        <w:t>km minutes km/h</w:t>
        <w:br/>
        <w:t>9.6 6.33 91.00 average speed in free flow conditions 91 km/h</w:t>
        <w:br/>
        <w:t>9.6 7.33 78.58 1 min delay</w:t>
        <w:br/>
        <w:t>9.6 8.33 69.15 2 min delay</w:t>
        <w:br/>
        <w:t>9.6 9.33 61.74 3 min delay</w:t>
        <w:br/>
        <w:t>9.6 10.33 55.76 4 min delay compared to Free Flow TMP</w:t>
        <w:br/>
        <w:t>9.6 11.33 50.84 5 min delay compared to Free Flow TMP</w:t>
        <w:br/>
        <w:t>km minutes km/h</w:t>
        <w:br/>
        <w:t>5.7 3.76 91.00 average speed in free flow conditions 91 km/h</w:t>
        <w:br/>
        <w:t>5.7 4.76 71.85 1 min delay compared to Free Flow TMP</w:t>
        <w:br/>
        <w:t>5.7 5.76 59.38 2 min delay compared to Free Flow TMP</w:t>
        <w:br/>
        <w:t>5.7 6.76 50.59 3 min delay compared to Free Flow TMP</w:t>
        <w:br/>
        <w:t>5.7 7.76 44.07 4 min delay compared to Free Flow TMP</w:t>
        <w:br/>
        <w:t>5.7 8.76 39.04 5 min delay compared to Free Flow TMP</w:t>
        <w:br/>
        <w:t>km minutes km/h</w:t>
        <w:br/>
        <w:t>18.6 12.26 91.00 average speed in free flow conditions 91 km/h</w:t>
        <w:br/>
        <w:t>18.6 13.26 84.16 1 min delay compared to Free Flow TMP</w:t>
        <w:br/>
        <w:t>18.6 14.26 78.26 2 min delay compared to Free Flow TMP</w:t>
        <w:br/>
        <w:t>18.6 15.26 73.13 3 min delay compared to Free Flow TMP</w:t>
        <w:br/>
        <w:t>18.6 16.26 68.63 4 min delay compared to Free Flow TMP</w:t>
        <w:br/>
        <w:t>18.6 17.26 64.66 5 min delay compared to Free Flow TMP</w:t>
        <w:br/>
        <w:t>40. Even considering the data provided by SALT itself, the macro section Sestri Levante – La Spezia (tables No. 7 and 8) shows a significant number of time slots (both in absolute value and percentage) where the travel time was found to be greater than the average free flow time. This macro section, in fact, records the highest percentage of time slots with delays exceeding 15 minutes (i.e., 847 out of a total of over 86,000 time slots attributable to it), equal to 0.98%; this percentage rises to over 3% when considering the number of time slots affected by delays starting from five minutes, which, as demonstrated by the previous Table No. 6, appear to be quite significant given the short length of the sections of the Ligurian Trunk.</w:t>
        <w:br/>
        <w:t>Table No. 7 – Number of time slots with construction sites causing delays from one to fifteen minutes in absolute value compared to Free Flow TMP</w:t>
      </w:r>
    </w:p>
    <w:p>
      <w:r>
        <w:t>40 BULLETIN NO. 19 OF MAY 22, 2023</w:t>
        <w:br/>
        <w:t>Table No. 8 – Percentage of time slots with construction sites causing delays from one to fifteen minutes compared to Free Flow TMP</w:t>
        <w:br/>
        <w:t>41. From the preceding Table No. 8, it is evident that, for some of the examined sections, the time slots with construction sites causing delays from one to fifteen minutes compared to Free Flow TMP represent about ¼ (25%) of the total reference time slots.</w:t>
        <w:br/>
        <w:t>42. The data reported above and the analyses conducted on the information provided by the Party therefore show: 1) a significant reduction in the monthly TMP on the Ligurian Trunk (compared to the times considered at free flow averaging 91 Km/h); 2) an even more significant reduction of such TMP on specific days; 3) a consequent delay in terms of minutes of travel affecting the user; 4) a corresponding effect of speed reduction on short sections for each minute of delay.</w:t>
        <w:br/>
        <w:t>43. It should be noted that, in light of such events, the consumer has always paid the same toll to the Company for transit on the sections affected by the aforementioned delays.</w:t>
        <w:br/>
        <w:t>C. Initiatives for reducing/eliminating tolls</w:t>
        <w:br/>
        <w:t>44. From the documents acquired during the investigation, as confirmed by the same Professional, no structured procedure has emerged from SALT regarding tariff concessions (elimination/reduction/suspension of tolls) and/or refunds to users, aimed at adequately managing the episodes of discomfort caused and, therefore, to proportionately adjust the amount of the motorway toll in all cases of deterioration in service quality.</w:t>
        <w:br/>
        <w:t>45. According to SALT, the concessionaire is not obliged to bear the reduced revenue resulting from the reduction of tolls in the absence of liability and, in any case, “any tariff concession must be agreed in advance with the grantor (ANAS/MIMS) and that the burden that SALT might have to bear to make refunds to users should find recognition within the modalities currently provided by the regulatory system […]”.</w:t>
        <w:br/>
        <w:t>46. See doc. No. 29, p. 10.</w:t>
        <w:br/>
        <w:t xml:space="preserve">47. See doc. No. 5, as per the index of the file, in which the Professional states that: “SALT has not issued measures regarding reductions/suspensions of tolls as a result of any traffic disruptions.” </w:t>
        <w:br/>
        <w:t>48. See the minutes of the hearing of June 9, 2022, doc. No. 19, as per the index of the file.</w:t>
      </w:r>
    </w:p>
    <w:p>
      <w:r>
        <w:t>BULLETIN NO. 19 OF MAY 22, 2023 41</w:t>
        <w:br/>
        <w:t>D. Complaints</w:t>
        <w:br/>
        <w:t>46. The Professional provided copies of complaints related to the inconveniences caused by construction sites lasting both more than and less than five days present on the Ligurian Tuscan Trunk - for the years 2020-2021 (respectively twenty and thirty), as well as the specific responses provided to users.</w:t>
        <w:br/>
        <w:t>47. Below is a summary of some of them - and their respective responses - that are particularly significant.</w:t>
        <w:br/>
        <w:t>- Complaint RTS05 of July 3, 2020 – “[...], the situation has become UNACCEPTABLE. The entire stretch between Savona and Carrodano is blocked, traffic is moving in a single lane due to repeated construction sites that I have seen open for too long and too often there is no sign of "work in progress". [...]” - Response – “In this case, we are well aware of the construction sites present on our stretch (from Livorno to Sestri Levante), particularly related to the tunnels, and the inevitable inconveniences they cause for drivers. However, managing a motorway makes many works necessary and unavoidable: [...], while understanding the inconveniences that these inevitably cause to motorists [...]. The adjustments currently being made require complex activities, impossible to carry out in the presence of traffic and therefore require the alternating activation of lane changes. [...]. It should also be noted that the Sestri Levante - La Spezia stretch has no alternatives other than the Aurelia, [...].”</w:t>
        <w:br/>
        <w:t xml:space="preserve">- Complaint RTS13 of July 27, 2020 – “I would like to file a complaint regarding the construction sites on the A12 between km 0 and km 75 in both directions. On Friday, July 17, I traveled this stretch of motorway [...], finding 42 km of construction sites with a single lane on 75 km of motorway, lane changes, speed limits. [...]” - Response similar to Complaint RTS05 “[…]. In response to your request, we inform you that at the moment no tariff concessions/refunds are planned.” </w:t>
        <w:br/>
        <w:t>- Complaint RTS07 of June 30, 2020 – “Over the past year, I have seen an increase in construction sites along the stretch and consequently the inconvenience (both in terms of time and danger). To date, it takes an average of 25/30 minutes longer than expected to travel the stretch in question [Carrara/Chiavari stretch], [...]. I would like to know if there are plans to reduce the number of ongoing construction sites along the stretch, [...]. I also wonder if discounts are planned for those, like me, who travel this stretch every day, considering that the cost is €8.20!!!” - Response similar to Complaint RTS13.</w:t>
        <w:br/>
        <w:t>- Complaint RTS01 of January 20, 2021 – “[(…]. since November we have had the Deiva Marina - Moneglia and Moneglia - Sestri Levante tunnels closed for lighting maintenance and another alternative is to take the Deiva Marina - Sestri Levante stretch of motorway which costs €2.40 per trip to cover 15 km practically in a single lane with two lane changes with danger lurking [...] and this has been going on for months if not years [...] at least make the stretch free and not charge €2.40 per trip... [...] we want the service that has been missing for months [...] you cannot go at 40 km/h on the motorway because there is a single lane and lane changes everywhere [...]” - Response – “The civil and structural adjustments to EU standards specifically concerning the tunnels, in</w:t>
        <w:br/>
        <w:t>49. See attachment No. 7 to doc. No. 9, as per the index of the file.</w:t>
        <w:br/>
        <w:t>50. SALT noted that, among the complaints received, there are several for which, either due to the generality of the content (“continuous presence of construction sites”) or because they involve travelers who have covered a motorway stretch that often goes beyond the stretch managed by SALT, it would not be possible, on the one hand, to attribute the complaint specifically to SALT (or others) and, on the other hand, it would be impossible for SALT itself to provide a clarification or a specific response.</w:t>
      </w:r>
    </w:p>
    <w:p>
      <w:r>
        <w:rPr>
          <w:b/>
        </w:rPr>
        <w:t>[Pages 40–42]</w:t>
      </w:r>
    </w:p>
    <w:p>
      <w:r>
        <w:t>42 BULLETIN NO. 19 OF MAY 22, 2023</w:t>
        <w:br/>
        <w:t>the ongoing construction along the sections managed by Salt requires complex activities, impossible to complete in the presence of traffic and therefore necessitating the alternating activation of lane changes. These construction sites follow a scheduling over time aimed at reducing, as much as possible, the inconveniences to users. […].”</w:t>
        <w:br/>
        <w:t>- Complaint RTS03 of February 9, 2021 – “[…] almost daily for work reasons for about a year and a half I travel the Lavagna (GE)-Versilia (LU) route, I ask if it is possible and if it is planned considering that in recent months there have been numerous roadworks on the route causing several inconveniences to the so-called motorway commuters to have a refund […].” - Response “[…] we specify that the area you traveled in the Ligurian section is affected by significant upgrading works pursuant to Legislative Decree 264/2006, the completion of which is expected by June. Regarding the toll issue, we regret to inform you that no discounts or subscription forms are provided at the discretion of the Concessionaire Company, which are only possible following an approval process by the Ministry of Infrastructure and Transport.”.</w:t>
        <w:br/>
        <w:t>- Complaint RTS13 of March 26, 2021 – “[…] after four years of uninterrupted construction nothing has changed [nothing] [...]. Sestri-Brugnato a single construction site […]” - Response – “we regret the ongoing inconveniences experienced […]. We confirm that important upgrading works on the tunnels pursuant to Legislative Decree 264/2006 are still ongoing from Brugnato to Sestri Levante […]. It should also be noted that the Sestri Levante - La Spezia route has no alternatives other than the Aurelia, […]. The planimetric and altimetric characteristics of the motorway route in question are an indispensable factor that has affected the methods and timing of the work progress. Given the significant drop in traffic due to the Covid emergency, we have scheduled a high number of maintenance works […], while still maintaining good travel times along the route.”.</w:t>
        <w:br/>
        <w:t>- Complaint RTS15 of April 23, 2021 – “as a frequent user of your motorways I am disgusted! construction sites, queues, construction sites, queues, construction sites, queues, but then you want the toll!!!!!!! it is not possible to have a motorway network of this kind! SHAME” – Response similar to Complaint RTS13.</w:t>
        <w:br/>
        <w:t>- Complaint RTS18 of April 28, 2021 – “I am a commuter on the Sestri Levante – La Spezia A/R route. For a year now, travel on this stretch has been significantly slowed down due to the works. I believe that a discount on the route is due in respect of the motorists who travel it every day during a time of economic crisis in the country.” – Response - Similar to Complaint RTS13 “[…]. We inform you that currently the tariff concessions provided concern the routes between Deiva Marina and La Spezia for residents in the municipalities of the mountain community of the Spezzina Riviera […] and between Carrodano Levanto and La Spezia for residents in the municipalities of the mountain communities of the upper-middle-lower Vara valley […]”.</w:t>
        <w:br/>
        <w:t>- Complaint RTS22 of May 14, 2021 – “I regularly travel the route (round trip) at least monthly for many years. In recent years, the Ligurian stretch (particularly but not only) has been constantly and completely occupied by maintenance works, causing continuous lane changes, strong slowdowns, and queues. The situation causes serious delays in travel, stress for users constantly under tension, and objective situations of danger. I find it profoundly unfair that I must continue to pay the full transit fee under these highly inconvenient and dangerous conditions and therefore request compensation of at least 50% and a corresponding reduction of the fee for future trips until the end of the works.” – Response similar to Complaint RTS15 “Regarding the toll issue, we inform you that no refunds, subscriptions, or forms of discount are provided at the discretion of the Concessionaire Company.”.</w:t>
      </w:r>
    </w:p>
    <w:p>
      <w:r>
        <w:t>BULLETIN NO. 19 OF MAY 22, 2023 43</w:t>
        <w:br/>
        <w:t>48. Finally, further evidence regarding the inconveniences in motorway traffic caused to users would be found in the report of March 26, 202151, received by the Authority from a consumer who reported the lack of reduction/exemption of the toll on the motorway stretch between Sestri Levante and La Spezia, which would have been, at the time of the request for intervention, continuously affected by works with numerous and long lane changes affecting almost the entire route. The consumer therefore complains about the absence of toll concessions and the absolutely excessive costs thereof compared to those charged by other motorway concessionaires.</w:t>
        <w:br/>
        <w:t>3) The Defensive Arguments of the Professional</w:t>
        <w:br/>
        <w:t>49. As a preliminary matter, SALT noted that the procedure would have been initiated based on a generic report from a user and that some of the complaints in the case file, provided by the same Professional, would be, on the one hand, generic and, on the other hand, inadequate to support the charges as they relate to sections managed by multiple concessionaires.</w:t>
        <w:br/>
        <w:t>50. First of all, SALT points out that the procedure was opened on September 6, 2022, and therefore beyond the peremptory terms of ninety days pursuant to Article 14 of Law No. 689/1981 or, alternatively, one hundred eighty days pursuant to Article 6, paragraph 1, of the Regulation. This would be true whether considering the date of the report of March 26, 2021, or if the terms were counted from November 26, 2021, that is, from when SALT received the last request for information sent by the Offices before the opening of the moral suasion phase.</w:t>
        <w:br/>
        <w:t>51. According to SALT, the lack of provisions for refund mechanisms cannot be considered an aggressive commercial practice, as it lacks the necessary prerequisite of coercion exercised on the consumer by the Professional, as it cannot be deemed that the payment of the full toll amount in the presence of construction sites is a circumstance “suitable to considerably limit, through undue conditioning, the freedom of choice or behavior of consumers.”</w:t>
        <w:br/>
        <w:t>52. According to the Professional, just as the lack of toll refunds does not constitute an aggressive commercial practice, it should also be excluded that the contested conduct is not in line with the standard of professional diligence required by the Consumer Code, since: (i) no significant traffic inconveniences were recorded during the reference period; (ii) the construction sites would have been installed to comply with specific legal obligations and their scheduling managed with the utmost diligence respecting the highest standards of quality and safety; (iii) the information to users and the rational planning of the construction sites would have always been diligently taken care of.</w:t>
        <w:br/>
        <w:t>53. Regarding the absence of traffic inconveniences on the routes subject to this measure, SALT argued that in determining the TMP, the conventional mileage should not be referenced but should also include the distance traveled from the exits and access ramps to the motorway as well as consider anomalous transits and force majeure events. According to the Professional, once these variables are introduced, the elaborations made by him and submitted as an attachment to his final memorandum would demonstrate that there is virtually no difference between the time required to travel the stretch in the presence of construction sites and under free-flow conditions.</w:t>
        <w:br/>
        <w:t>51 See doc. No. 1, listed in the case file index.</w:t>
      </w:r>
    </w:p>
    <w:p>
      <w:r>
        <w:t>44 BULLETIN NO. 19 OF MAY 22, 2023</w:t>
        <w:br/>
        <w:t>54. Furthermore, the Professional clarified that the indication he provided regarding the fact that “the average speed in free-flow conditions is 91 km/h” should be understood as referring to the entire macro stretch Sestri Levante - La Spezia and should not apply to all the micro stretches included in that route since the average speeds in free-flow conditions would often be lower due to the orographic characteristics of the motorway.</w:t>
        <w:br/>
        <w:t>55. The motorway stretches subject to the procedure would then be the only option for the consumer who wants to quickly reach some of the served destinations, as there are no effectively practicable alternative roads to shorten travel times, which would always be significantly longer than those taken to travel the motorway even in the presence of construction sites or in case of slowdowns or queues on the motorway stretch52.</w:t>
        <w:br/>
        <w:t>56. The alleged “poor quality of service” would then derive not from maintenance deficits but from compliance with specific legal and regulatory obligations by SALT from which the Company could not in any way exempt itself.</w:t>
        <w:br/>
        <w:t>57. SALT represented that the procedural process related to the approval and implementation of the upgrading interventions of the tunnels prescribed by Directive 2004/54/EC (the Directive), transposed into Italian law by Legislative Decree 264/2006 (the Decree), would have been particularly complex and characterized by the complexity of the interventions to be carried out, as well as by the uncertainty of the regulatory framework. This process would have involved numerous discussions with state administrations (CPG and MIT) and even with the European Commission, which lasted for a period of about eight years (2013-2021).</w:t>
        <w:br/>
        <w:t>58. The Professional then emphasized that he has always acted diligently in the timely submission of intervention plans and their execution, also remedying the inertia of the administration and acting in full compliance with the prescriptions provided by the CPG and the granting authority.</w:t>
        <w:br/>
        <w:t>59. In any case, SALT: (i) would have completed, by April 30, 2019, the adjustments to the “mandatory” requirements referred to in point 1.2.2 of Annex I to the Directive (corresponding to point 1.2.2 of Annex 2 to the Decree); (ii) from May 1, 2019, until the complete adjustment of each arch, would have adopted management and plant measures to ensure the level of safety equivalent to the execution of all the requirements provided by the Directive (and the Decree).</w:t>
        <w:br/>
        <w:t>60. During the procedure, SALT has repeatedly stated that it considers itself responsible towards users only for the information on the conditions of the road and the rational planning of the construction sites53, illustrating in its memoranda the main measures that it would organize according to the indications of Annex A to Resolution No. 59/2022 ART. In particular, SALT would ensure to: i) plan construction sites during periods characterized by lower vehicle traffic; ii) take care of the communication of the presence of construction sites on the route; iii) remove or not open construction sites during peak travel periods and on weekends; iv) prepare an intervention plan for emergency vehicles and, in areas of construction sites deemed to have a greater impact, maintain a presence of dedicated mechanical rescue vehicles; v) has signed a specific agreement with the Fire Brigade to maintain a presence in the stretches with a higher presence of construction sites (particularly in the Ligurian stretch); vi) schedule work in 24-hour shifts on stretches with higher traffic intensity; vii) suspend work in conditions of heavy traffic; viii) schedule work only during nighttime hours on stretches near major urban areas and limit daytime work to only low traffic volume moments on the remaining stretches; ix) plan the management</w:t>
      </w:r>
    </w:p>
    <w:p>
      <w:r>
        <w:rPr>
          <w:b/>
        </w:rPr>
        <w:t>[Pages 43–45]</w:t>
      </w:r>
    </w:p>
    <w:p>
      <w:r>
        <w:t>BULLETIN NO. 19 OF MAY 22, 2023</w:t>
      </w:r>
    </w:p>
    <w:p>
      <w:r>
        <w:t>45</w:t>
        <w:br/>
        <w:t>would ensure full information to the user regarding the current traffic disruptions and would allow the user to know the traffic conditions and, therefore, to avoid paying the toll for sections traveled at speeds lower than expected.</w:t>
      </w:r>
    </w:p>
    <w:p>
      <w:r>
        <w:t>61. Finally, SALT highlighted that the reimbursement of the toll would not be a required behavior to comply with the diligence standard when there is no responsibility attributable to the concessionaire since it would not have failed to meet its regulatory obligations, its duties towards consumers, and its good faith obligations through complete information to users and the planning and rationalization of construction sites. In summary, SALT believes that: (i) the imposition of obligations related to the elimination/reduction of motorway tolls would not find a basis in Directive No. 2005/29/EC; (ii) such obligations could not arise in enforcement proceedings but should only be imposed by law or through a set of rules, containing sector-specific provisions, the application of which, in Italy, is currently entrusted to the ART.</w:t>
      </w:r>
    </w:p>
    <w:p>
      <w:r>
        <w:t>62. In conclusion, SALT believes it has no responsibility regarding the alleged delays suffered by users of the motorway and, consequently, should not be subject to any sanctioning measure. In any case, since determining the amount of administrative monetary penalties must take into account "the actions taken by the agent to eliminate or mitigate the consequences of the violation," it emphasizes that the activities carried out are such that they would lead to the application of a minor fine.</w:t>
      </w:r>
    </w:p>
    <w:p>
      <w:r>
        <w:t>IV. OPINION OF THE TRANSPORT REGULATORY AUTHORITY</w:t>
      </w:r>
    </w:p>
    <w:p>
      <w:r>
        <w:t>63. Since the commercial practice subject to this measure concerns the road transport sector, on February 22, 2023, an opinion was requested from the Transport Regulatory Authority (ART), pursuant to and for the effects of Article 27, paragraph 1-bis, of the Consumer Code, introduced by Article 1, paragraph 6, letter a), of Legislative Decree No. 21/2014.</w:t>
      </w:r>
    </w:p>
    <w:p>
      <w:r>
        <w:t>64. In the opinion received on March 23, 2023, the aforementioned Authority, after preliminarily stating what competencies are attributed to it by Article 37, paragraph 2, of the more complex construction sites so that, during peak traffic periods, a double lane in the direction of prevailing traffic is always guaranteed.</w:t>
      </w:r>
    </w:p>
    <w:p>
      <w:r>
        <w:t>54 The measures adopted by SALT in the organization and management of construction sites would be such as to ensure maximum safety of the infrastructure and the least impact of the works for the benefit of users. These measures are: i) Operational Control Center that records the times, direction, starting and ending mileage of queues and informs the radio broadcasters belonging to the ASTM Group partner circuit; ii) variable message panels (VMP) (in transit and at access points to toll booths) that specify the location and extent of queues and that, depending on their location, would guarantee users the possibility of leaving the motorway section in time; iii) the publication of travel times on the company website both in desktop and mobile versions, making them accessible also through the Telegram channel. Furthermore, SALT is preparing software, called Sincro, to allow, shortly, the semi-automatic publication of travel times on the VMP.</w:t>
      </w:r>
    </w:p>
    <w:p>
      <w:r>
        <w:t>55 The reference is: (i) to the joint protocol between the Technical Directorate and the Operating Directorate of SALT, already in force and concerning the optimization of construction sites also regarding the impact on traffic; (ii) to the semi-automatic publication of travel times on the VMP through the Sincro software and (iii) to the strengthening of SALT points to assist users also on the specific topic of information on traffic conditions, the construction site situation, and, more generally, the planning of works.</w:t>
      </w:r>
    </w:p>
    <w:p>
      <w:r>
        <w:t>56 See doc. No. 39, as per the index of the file.</w:t>
      </w:r>
    </w:p>
    <w:p>
      <w:r>
        <w:t>57 See doc. No. 42, as per the index of the file.</w:t>
      </w:r>
    </w:p>
    <w:p>
      <w:r>
        <w:t>46 BULLETIN NO. 19 OF MAY 22, 2023</w:t>
      </w:r>
    </w:p>
    <w:p>
      <w:r>
        <w:t>of Legislative Decree 201/2011, it announced that Legislative Decree No. 109/2018 has extended to existing concessions the Authority's competencies regarding the definition of the toll tariff system.</w:t>
      </w:r>
    </w:p>
    <w:p>
      <w:r>
        <w:t>65. Specifically, the ART highlighted that all tariff systems adopted by the Authority provide mechanisms that have a direct impact on the annual update of tariffs, correlating them to the levels of service provided to users, focused on the following qualitative factors: (i) average travel times and levels of availability of infrastructures, related to toll collection and especially to maintenance works (periods, duration, scheduling, etc.); (ii) use of "Smart Road" technologies that represent best practices in the motorway sector (such as free flow electronic toll collection systems, Intelligent Transportation Systems, connectivity services); (iii) dynamic updating of information through variable message panels; (iv) customer satisfaction regarding overall service levels and specific areas of interest defined by the grantor.</w:t>
      </w:r>
    </w:p>
    <w:p>
      <w:r>
        <w:t>66. That said, regarding the Convention signed between ANAS and SALT on September 2, 2009, the ART, with resolution No. 119/2019, approved, for the purposes of initiating the tender procedure under the competence of the MIT, the elements for defining the concession scheme and the related toll tariff system for certain motorway sections, including the A12, Sestri Levante-Livorno, which provides for both some penalty/reward mechanisms, with reference to the evaluation of the quality of services offered to users, and the principles that the grantor will be required to apply to evaluate the performance of the motorway concessionaire.</w:t>
      </w:r>
    </w:p>
    <w:p>
      <w:r>
        <w:t>67. For what is of specific interest, the Authority noted that as a result of the application of the tariff system that will be defined by it, users will be able to benefit from an adjustment of the toll in the event of any inconveniences suffered due to the unavailability of the infrastructure, detected during the annual monitoring of the quality service indicators and the related objectives, as identified by the grantor within the thematic areas defined by the Authority.</w:t>
      </w:r>
    </w:p>
    <w:p>
      <w:r>
        <w:t>68. Furthermore, the ART stated that it had initiated, with resolution No. 59/2022 of April 14, 2022, an exploratory investigation aimed at starting a procedure to define the minimum content of the specific rights that users can demand from motorway concessionaires and operators of service areas of motorway networks, within which it is highlighted, among other things, that "the slowdown of vehicular traffic, caused by the presence of construction sites on the roadway, contrasts with the functional connotation of the motorway infrastructure which distinguishes it from other roads in that it ensures not so much the right to mobility, this latter right being guaranteed by all road networks, but the right to materially reach the destination in the shortest possible time and in the safest possible ways."</w:t>
      </w:r>
    </w:p>
    <w:p>
      <w:r>
        <w:t>69. The ART then observed that "[w]ith regard to construction sites, motorway concessionaires should ensure management standards aimed at mitigating or eliminating the inconvenience for users. [...]"</w:t>
      </w:r>
    </w:p>
    <w:p>
      <w:r>
        <w:t>58 Legislative Decree of December 6, 2011, No. 201, containing "Urgent provisions for growth, equity, and consolidation of public accounts." in G.U.R.I. General Series No. 284 of 06-12-2011 – Ordinary Supplement No. 251), converted with amendments by Law No. 214 of December 22 (in G.U.R.I. General Series No. 300 - Ordinary Supplement No. 276).</w:t>
      </w:r>
    </w:p>
    <w:p>
      <w:r>
        <w:t>59 Legislative Decree of September 28, 2018, No. 109, containing: "Urgent provisions for the city of Genoa, the safety of the national network of infrastructures and transport, the seismic events of 2016 and 2017, work, and other emergencies." (in G.U.R.I. General Series No. 226 of 28-09-2018), converted with amendments by Law No. 16 of November 16, 2018, in G.U.R.I. General Series No. 269 – Ordinary Supplement No. 55).</w:t>
      </w:r>
    </w:p>
    <w:p>
      <w:r>
        <w:t>BULLETIN NO. 19 OF MAY 22, 2023</w:t>
      </w:r>
    </w:p>
    <w:p>
      <w:r>
        <w:t>70. Finally, in the exploratory investigation document, the ART focused on the need to identify "possible protections in the event that the user is forced to pay a higher toll due to circumstances beyond their control" and "any rights, including compensatory rights, in the event of lack/timely/inadequate information."</w:t>
      </w:r>
    </w:p>
    <w:p>
      <w:r>
        <w:t>V. CONCLUDING EVALUATIONS</w:t>
      </w:r>
    </w:p>
    <w:p>
      <w:r>
        <w:t>Preliminary Issues</w:t>
      </w:r>
    </w:p>
    <w:p>
      <w:r>
        <w:t>71. The Professional, in his final memorandum, argued that the Procedure would have been opened beyond the peremptory terms of ninety days pursuant to Article 14 of Law No. 689/1981 or, alternatively, one hundred eighty days pursuant to Article 6, paragraph 1, of the Regulation. This would be true whether considering the date of the report of March 26, 2021, as the starting point or if the terms were counted from November 26, 2021, when SALT responded to the last request for information sent before the opening of the moral suasion phase.</w:t>
      </w:r>
    </w:p>
    <w:p>
      <w:r>
        <w:t>72. In this regard, it is noted that from the receipt of the report of March 26, 2021, the Authority forwarded a first request for information to SALT (June 7, 2021) and, following the response from the Professional (August 5, 2021), a second request for information (October 27, 2021) to which SALT, after requesting an extension - granted by the Authority - responded on November 26, 2021. All requests for information made by the Authority were therefore transmitted, contrary to what was claimed by the Party, within ninety days of the reports/responses received.</w:t>
      </w:r>
    </w:p>
    <w:p>
      <w:r>
        <w:t>73. The pre-investigation phase continued with the invitation to SALT (so-called moral suasion) to remove the profiles of unfairness of the commercial practice (February 23, 2022), also in this case within a time frame of less than ninety days. The report from SALT containing the proposed measures to respond to the moral suasion was received on June 23, 2023, after the Authority accepted the three-month extension request submitted by SALT.</w:t>
      </w:r>
    </w:p>
    <w:p>
      <w:r>
        <w:t>74. Not considering that the measures proposed by the Professional were suitable to overcome all the critical issues expressed in the aforementioned moral suasion act, the Authority deemed the pre-investigation phase concluded, communicating, on September 6, 2022 (within a time frame of less than ninety days).</w:t>
      </w:r>
    </w:p>
    <w:p>
      <w:r>
        <w:rPr>
          <w:b/>
        </w:rPr>
        <w:t>[Pages 46–48]</w:t>
      </w:r>
    </w:p>
    <w:p>
      <w:r>
        <w:t>48 BULLETIN NO. 19 OF MAY 22, 2023</w:t>
        <w:br/>
        <w:t>days) the initiation of the investigation procedure. Therefore, the argument regarding the terms put forward by the Professional is unfounded.</w:t>
      </w:r>
    </w:p>
    <w:p>
      <w:r>
        <w:t>75. Similarly, the objection by SALT regarding the fact that the procedure would have been initiated based on a generic report from a user and that some of the complaints in the case file would be unsuitable to support the charges as they relate to sections managed by multiple concessionaires appears irrelevant.</w:t>
      </w:r>
    </w:p>
    <w:p>
      <w:r>
        <w:t>76. On this point, it should be noted, first of all, that the investigative activity can be initiated ex officio, thus even in the absence of reports from third parties. Furthermore, as widely confirmed by case law, the insignificance of the reports – even just one – does not affect the potentially harmful nature of the conduct. The Authority indeed has broad discretionary power regarding the decision to initiate a sanctioning procedure and, for the purposes of establishing the illegality of the Professional's conduct, it is not necessary to identify a concrete harm. It is, in fact, the very potential for harm that allows the conduct to be classified within the framework of the "mere danger" offense, as it is intrinsically capable of configuring the consequences that the Consumer Code intended to avert.</w:t>
      </w:r>
    </w:p>
    <w:p>
      <w:r>
        <w:t>77. Regarding the impossibility of establishing liability on the part of SALT concerning some of the complaints - which were provided by the same Professional - it is noted that they nonetheless concerned sections managed by the same entity and that SALT, called into question by consumers, did not deny its competence and responsibility regarding the complaints received.</w:t>
      </w:r>
    </w:p>
    <w:p>
      <w:r>
        <w:t>Merit Assessments</w:t>
        <w:br/>
        <w:t>78. This measure concerns the behaviors carried out by SALT, starting from January 2020, consisting of having provided consumers, who had paid the full amount of the motorway toll, with a service that did not meet expectations in terms of travel times due to significant delays that emerged. In particular, this was observed following the reduction of traffic lanes and/or specific limitations on the maximum speed allowed - for long stretches - on the motorway route Sestri Levante/La Spezia managed by the Professional and located on the A/12 - in both directions of travel - resulting in significant service disruptions and inconveniences to consumers.</w:t>
      </w:r>
    </w:p>
    <w:p>
      <w:r>
        <w:t>79. The objective increases in travel times - as emerged (i) from the numerous orders establishing work sites in the last two years, (ii) from the measurement of TMP during the considered period, and (iii) from the complaints acquired in the case file - resulted in the consumer paying amounts for services of a different quality than those expected without the Professional providing for the elimination/reduction/suspension of what was requested as a toll.</w:t>
      </w:r>
    </w:p>
    <w:p>
      <w:r>
        <w:t>80. In fact, the context described in this measure and, in particular, the evidence acquired, have allowed for the identification of significant inconveniences in traffic and the regular flow of circulation caused to users of the Ligurian Trunk arising precisely from the substantial number of work sites whose opening became necessary due to the need to adapt the compliance of tunnels over five hundred meters to Legislative Decree No. 264/2006 affecting this route.</w:t>
      </w:r>
    </w:p>
    <w:p>
      <w:r>
        <w:t>The Orders and the Concessionaire's Activity</w:t>
        <w:br/>
        <w:t>81. Consumers appear to have paid the toll for a service characterized by continuous inconveniences attributable to the ordinary and extraordinary maintenance activities carried out by SALT in the last two years, in a period subsequent to the initially scheduled deadline set by the Directive and the Decree for the completion of the adaptation works (April 30, 2019).</w:t>
      </w:r>
    </w:p>
    <w:p>
      <w:r>
        <w:t>82. It is noteworthy that the Company does not consider itself responsible for the delays recorded on its network during the reference period (January 2020-May 2021) as the works carried out, which caused the reported inconveniences, would not derive from its responsibility, but would have been imposed by the aforementioned legal provisions, at the request of the regulator (MIMS).</w:t>
      </w:r>
    </w:p>
    <w:p>
      <w:r>
        <w:t>83. In this regard, it is noted that Resolution No. 16 of May 13, 2010 (Draft of the single agreement between Anas S.p.a. and Società autostrada ligure toscana S.p.a.) and the additional act of September 8, 2017, provided for the adaptation of the infrastructure to the safety regulations referred to in Legislative Decree No. 264/2006, invoked by the Professional in support of its defensive position.</w:t>
      </w:r>
    </w:p>
    <w:p>
      <w:r>
        <w:t>84. The installation of work sites necessary for the aforementioned adaptation is therefore contemplated in the agreement signed with the granting authority. As emerged during the investigation, the adaptation interventions actually extended beyond this deadline and were concretely carried out between January 2020 and May 2021.</w:t>
      </w:r>
    </w:p>
    <w:p>
      <w:r>
        <w:t>85. That said, in this case, from a consumer protection perspective, the relationship between the concessionaire of a public service such as SALT and the user of the motorway infrastructure is more significant than the necessity invoked by the Professional to comply with specific legal obligations.</w:t>
      </w:r>
    </w:p>
    <w:p>
      <w:r>
        <w:t>86. The consequences arising from the installation of work sites, which consist of the established inconveniences resulting from a reduced quality of service, should not impose burdens - in terms of extended travel times - on users who, in exchange for a motorway toll, expect to be able to enjoy an adequate service.</w:t>
      </w:r>
    </w:p>
    <w:p>
      <w:r>
        <w:t>87. In fact, the activity of the concessionaire must be guided by compliance - in addition to the Agreement - with the provisions of the Consumer Code and, therefore, also with professional diligence which, in this case, consists of the obligation to maintain the motorway network safely, in accordance with current regulations and the obligations arising from the agreement, as well as providing consumers with a service appropriate to the nature of the managed infrastructure, requiring an amount as a toll proportionate to the quality of the services provided to users for motorway transits.</w:t>
      </w:r>
    </w:p>
    <w:p>
      <w:r>
        <w:t>88. This principle renders the Professional's assertion, according to which the concessionaire would not be required to bear the reduced revenue resulting from the reduction of tolls in the absence of liability, without merit. In this regard, it is highlighted that the ART, in the document attached to Resolution 59/2022, considers that “[…] the slowdown of vehicular traffic, caused by the presence of work sites on the roadway, contrasts with the functional characterization of the motorway infrastructure which distinguishes it from other roads in that it ensures, not so much the right to mobility, this latter right being guaranteed by all road networks, but the right to the material reaching of the destination in the shortest possible time and in the safest possible manner.”</w:t>
      </w:r>
    </w:p>
    <w:p>
      <w:r>
        <w:t>89. The same Regulatory Authority, moreover, in point 5 of the aforementioned investigation, refers to the new public contracts code from which it emerges that, in the case of management concessions for services - which also include motorway services - the concessionaire assumes the economic risks of service management, remunerating the services through the revenues collected from the end users. In contrast to this assumption, SALT has conditioned consumers to pay the toll believing that reimbursement or its elimination is not a behavior owed by it.</w:t>
      </w:r>
    </w:p>
    <w:p>
      <w:r>
        <w:t>90. Although the Professional has claimed that there are no obligations on the part of the Concessionaire regarding delays in motorway travel and that toll rates are not determined based on the time factor, it should be highlighted that: (i) the same concession act provides that SALT shall “maintain the functionality of the granted motorway sections through timely maintenance and repair of the same” and (ii) the Service Charter of SALT (for the year 2022, in the section dedicated to “Fundamental Principles”, under the headings “Continuity, Participation, and Efficiency and Effectiveness”) provides that the Professional commits to providing its activities efficiently so as to maintain and improve the services offered.</w:t>
      </w:r>
    </w:p>
    <w:p>
      <w:r>
        <w:t>Travel Times and Consumer Inconveniences</w:t>
        <w:br/>
        <w:t>91. The investigative evidence shows that, during the period January 2020-May 2021, there was a significant slowdown in travel times and therefore a service provided by SALT on the Ligurian Trunk, for the same toll paid by consumers, characterized by significant inconveniences in traffic and the regular flow of circulation.</w:t>
      </w:r>
    </w:p>
    <w:p>
      <w:r>
        <w:t>92. Such inconveniences are measurable in higher average travel times and significantly lower speeds, both compared to those allowed by the orographic characteristics of the route (100/110 km/h) and compared to the average free-flow speeds, equal to 91 km/h (as indicated by the Professional itself).</w:t>
      </w:r>
    </w:p>
    <w:p>
      <w:r>
        <w:t>93. From the analysis of the data provided by SALT, it emerged that in several months of the reference period (January 2020 – May 2021), the average speeds on the Ligurian Trunk in the presence of work sites were significantly lower than those allowed by the characteristics of the route.</w:t>
      </w:r>
    </w:p>
    <w:p>
      <w:r>
        <w:rPr>
          <w:b/>
        </w:rPr>
        <w:t>[Pages 49–51]</w:t>
      </w:r>
    </w:p>
    <w:p>
      <w:r>
        <w:t>BULLETIN NO. 19 OF MAY 22, 2023 51</w:t>
        <w:br/>
        <w:t>construction sites have been lower than those normally expected. In fact, compared to the theoretical speed of 91 km/h, speed reductions of up to 69 km/h were recorded (February 2021 – Brugnato-Carrodano section). Moreover, as reported in the facts, there are situations where the average monthly speeds are below 60 km/h, reaching minimum peaks, in some circumstances, of 20 km/h.</w:t>
        <w:br/>
        <w:t>94. Furthermore, due to the presence of these construction sites, closures and/or lane restrictions and/or imposition of speed limits, the monthly TMP, as well as the daily ones, have shown delays exceeding 15/20 minutes on very short sections and therefore a considerable reduction in speed compared to that normally expected on the motorway.</w:t>
        <w:br/>
        <w:t>95. It has also been noted that, by analyzing the data on a daily basis, cases of average travel speeds on the sections of the Ligurian Trunk, during the reference period, between 20 and 55 km/h have been found, which objectively represent very low levels and are significantly lower than 91 km/h (speed, as previously reported, that the same Party indicated as the average speed at free flow). Similar results are also reached by considering, as suggested by the Party, the distance traveled on the interchanges and access ramps from the toll booth to the motorway.</w:t>
        <w:br/>
        <w:t>96. In fact, it is noted that the specific objection of the Professional, who intends, on the one hand, to include in the calculation of the TMP the distance traveled on the interchanges and access ramps from the toll booth to the motorway, and on the other hand, to exclude from the calculation of the TMP the sporadic cases of anomalies in the recorded transits, does not appear to be worthy of acceptance.</w:t>
        <w:br/>
        <w:t>97. The investigative evidence has shown that the average speeds recorded on the sections under observation during the reference period, even including the distances related to the interchanges and access ramps to the motorway that the Professional himself indicates as “on average [n] in the order of 1 km,” are still well below the benchmark of 91 km/h.</w:t>
        <w:br/>
        <w:t>98. As for the anomalous transits, it is noted that they represent isolated cases that, overall, empirically do not alter the results of the analyses carried out, given that the reference parameter of 91 km/h is itself an average figure that, as such, has the effect of compensating/neutralizing - relative to the entire reference time frame (January 1, 2020 – May 31, 2021) - the extreme cases of very low and/or very high speeds.</w:t>
        <w:br/>
        <w:t>99. The analysis of the data provided by the party, considering the macro section Sestri Levante – La Spezia, also shows a significant number of time slots (both in absolute value and percentage) whose travel time was found to be greater than the average free-flow time; a percentage exceeding 3% when considering the number of time slots affected by delays starting from five minutes (relevant delays given the short length of the Ligurian Trunk sections).</w:t>
        <w:br/>
        <w:t>100. Regarding the data on the aforementioned delays, the defense of the Professional appears irrelevant where it claims that travel times on alternative roads would always be higher – even significantly so – than those taken to travel the motorway (which is why it would always be convenient to use the motorway section even in the presence of construction sites), given that ordinary roads do not require payment of any fee and that, conversely, the toll charged by SALT should still be proportionate to the level of quality provided.</w:t>
        <w:br/>
        <w:t>101. Rather, it is precisely the absence of alternatives to motorway traffic, in the Professional's interpretation, who states that “[…] the Ligurian-Tuscan Trunk is the only option for users in the area who want to quickly reach the destinations served by the motorway, as there are no actually practicable alternative roads to shorten travel times in case of slowdowns or traffic jams on the motorway section,” confirms the circumstance that consumers are effectively forced to pay the full toll in cases of confirmed critical traffic conditions - and therefore of poor quality of service rendered compared to expectations - in the absence of valid alternatives to reach the predetermined destination.</w:t>
        <w:br/>
        <w:t>102. Finally, it is worth noting that SALT was fully aware of the inconveniences caused, given the complaints received from consumers using the affected sections. As emerges from the evidence on record, the aforementioned complaints show, on the one hand, the persistence of the serious inconveniences suffered for a long time by users of the Sestri Levante – La Spezia route and vice versa, and on the other hand, SALT's full awareness that, in some responses to consumers, it declares to be “well aware of the construction sites present on our route (from Livorno to Sestri Levante), particularly related to the tunnels, and the inevitable inconveniences they cause for those driving.”</w:t>
        <w:br/>
        <w:t>103. In this context, in light of the aforementioned deterioration in the usability of the motorway infrastructures under investigation, it does not appear that SALT has established any structured procedure regarding tariff concessions aimed at providing for a reduction/elimination of the toll to be activated promptly in circumstances where serious criticalities in circulation manifest, such as those recorded on the motorway sections subject to this measure; nor has it emerged that the Professional has taken action, aware of the inconvenience caused to users as resulting from the complaints, to ensure compensations, proportionally adjusting the amount of the motorway toll in all cases of deterioration in the quality of service on the Ligurian Trunk.</w:t>
        <w:br/>
        <w:t>104. In this regard, it should also be noted that in the concession act, SALT is expressly granted the authority, for commercial purposes, to collect or optimize the use of the motorway and, while maintaining the average weighted tariff per kilometer, to “articulate the tariff system referred to in Annex A by introducing differentiated basic tariffs, if necessary, according to the route, the characteristics of the road, the type of vehicles, the period and the payment methods” (Article 14.3).</w:t>
        <w:br/>
        <w:t>105. From the set of these provisions, it follows that the possible adoption of measures to adjust the toll, in terms of exemptions/reductions of the related amount, falls within SALT's discretion, in light of the powers attributed to it in the concession act.</w:t>
        <w:br/>
        <w:t>106. The conduct subject to verification in this measure therefore consists in having conditioned consumers to pay the toll to travel the motorway section, with the expectation of enjoying a service in terms of circulation speed, which instead was characterized by significant delays. This in the absence of the Professional's adjustment of the amount requested as a motorway toll despite the significant deterioration in the quality of service rendered to users and the inconveniences caused to the traffic of the Ligurian Trunk.</w:t>
        <w:br/>
        <w:t>107. In light of the above, SALT's conduct appears suitable to constitute an unfair commercial practice, pursuant to Articles 20, 24, and 25 of the Consumer Code, as consumers were induced to pay an amount for a service - transit on motorway sections with the expectation of being able to enjoy it in terms of travel speed - which turned out not to correspond to what was expected due to the inconveniences arising from the persistence of construction sites. The Professional did not, therefore, provide the expected service in terms of the quality of the performance actually rendered, characterized, indeed, by an increase in travel times inconsistent with the conditions of normal usability of the motorway network, failing to implement those behaviors that derive from the application of the more general principle of good faith to which the entire discipline for the protection of consumers is inspired.</w:t>
        <w:br/>
        <w:t>108. Moreover, in this case, motorists were not left with any alternative possibility compared to the full payment of the toll, lacking valid alternatives to travel the same sections.</w:t>
        <w:br/>
        <w:t>VI. QUANTIFICATION OF THE SANCTION</w:t>
        <w:br/>
        <w:t>109. Pursuant to Article 27, paragraph 9, of the Consumer Code, with the measure that prohibits the unfair commercial practice, the Authority orders the application of an administrative pecuniary sanction from €5,000 to €10,000,000, taking into account the severity and duration of the violation and also the economic and asset conditions of the Professional.</w:t>
        <w:br/>
        <w:t>110. Regarding the quantification of the sanction, account must be taken, as applicable, of the criteria identified by Article 11 of Law No. 689/1981, by virtue of the reference provided for in Article 27, paragraph 13, of the Consumer Code: in particular, the severity of the violation, the actions taken by the company to eliminate or mitigate the infringement, the personality of the agent, as well as the economic conditions of the company itself.</w:t>
        <w:br/>
        <w:t>111. With regard to the severity of the violation, account is taken, in the case at hand: (i) of the economic size of the Professional - the entity holding the ANAS concession and managing the sections of the Ligurian/Tuscan Trunk, characterized for this trunk by revenues from motorway management of over €180 million in 2021 (about €144 million in 2020), of which €175,165,000 represent net toll revenues (€140,508,000 in 2020) and an EBITDA of over €90 million (data from the last approved financial statement in 2021); (ii) of the prevalence of the unfair commercial practice affecting a significant motorway trunk related to the Liguria region; (iii) of its suitability to cause significant harm to consumers who - assuming homogeneous flows of transits at all hours and considering that in 3% of the time slots they recorded delays exceeding five minutes - paid tolls amounting to net revenues exceeding €1.55 million in 2021.</w:t>
        <w:br/>
        <w:t>112. In this context, the consequent damages to the economy should not be overlooked, in particular, to the secondary and tertiary sectors such as, by way of mere example: those caused to the</w:t>
        <w:br/>
        <w:t>82 The joint-stock company “SALT” manages under a construction and operation concession for the Ligurian Tuscan Trunk the following sections: A12 Sestri Levante – Livorno for 125.6 km; A11/12 Viareggio – Lucca for 21.5 km; A15 branch for La Spezia for 7.8 km.</w:t>
        <w:br/>
        <w:t>83 Amounts net of the fee/surcharge to be paid to ANAS.</w:t>
        <w:br/>
        <w:t>84 See the 2021 financial statement, provided by SALT in the attached document deposited via SharePoint link, to doc. n. 29, of which in the index of the file and acquired in the records with the minutes of October 12, 2022.</w:t>
        <w:br/>
        <w:t>85 It is specified: 1) the assumption of homogeneous transits in the various time slots is a prudent estimate and in favor of the Party since the delays were recorded in time slots with higher traffic and not at night; 2) the net toll revenues on the Ligurian section, amounting to over €51 million, subject to the procedure, have been calculated considering the net toll revenues per km starting from the Ligurian-Tuscan trunk (corresponding to 154.9 km) and subsequently related to the 45.7 km of the Ligurian trunk only. Moreover, the net revenue data is related only to 2021 and, therefore, for a time frame shorter than that subject to this measure.</w:t>
      </w:r>
    </w:p>
    <w:p>
      <w:r>
        <w:rPr>
          <w:b/>
        </w:rPr>
        <w:t>[Pages 52–54]</w:t>
      </w:r>
    </w:p>
    <w:p>
      <w:r>
        <w:t>54 BULLETIN NO. 19 OF MAY 22, 2023</w:t>
        <w:br/>
        <w:t>transport companies for the increased travel times of operators and the related effects on the companies receiving the goods.</w:t>
      </w:r>
    </w:p>
    <w:p>
      <w:r>
        <w:t>113. Regarding the duration of the violation, from the available evidence in the records, it appears that the commercial practice has been in place at least since January 2020 - as evidenced by the inconveniences for motorway users due to the ordinary and extraordinary maintenance interventions carried out and the complaints from consumers - and that it is still ongoing given the absence of a standardized procedure aimed at reducing/eliminating tolls in case of traffic disruptions.</w:t>
      </w:r>
    </w:p>
    <w:p>
      <w:r>
        <w:t>114. Based on these elements, it is deemed appropriate to determine the amount of the administrative pecuniary sanction applicable to SALT Società Autostrade Ligure Toscana p.a. in the amount of €700,000 (seven hundred thousand euros) (corresponding to about 40% of the potential harm to consumers).</w:t>
      </w:r>
    </w:p>
    <w:p>
      <w:r>
        <w:t>CONSIDERING, therefore, taking into account the opinion of the Transport Regulatory Authority, based on the aforementioned considerations, that the commercial practice in question is deemed unfair pursuant to Articles 20, 24, and 25 of the Consumer Code, as it is contrary to professional diligence and capable, through undue conditioning, of appreciably distorting the economic behavior of the average consumer in relation to the motorway service provided by the Professional;</w:t>
      </w:r>
    </w:p>
    <w:p>
      <w:r>
        <w:t>RESOLVES</w:t>
        <w:br/>
        <w:t>a) that the commercial practice described in point II of this measure, carried out by SALT Società Autostrade Ligure Toscana p.a., constitutes, for the reasons and within the limits stated in the motivation, an unfair commercial practice pursuant to Articles 20, 24, and 25 of the Consumer Code, and prohibits its dissemination or continuation;</w:t>
        <w:br/>
        <w:t>b) to impose on SALT Società Autostrade Ligure Toscana p.a. an administrative pecuniary sanction of €600,000 (six hundred thousand euros);</w:t>
        <w:br/>
        <w:t>c) that the Professional shall communicate to the Authority, within ninety days from the notification of this measure, the initiatives taken in compliance with the injunction referred to in point a).</w:t>
      </w:r>
    </w:p>
    <w:p>
      <w:r>
        <w:t>The imposed administrative sanction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689/1981, the amount due for the imposed sanction is increased by one-tenth for each semester starting from the day following the payment deadline until the role is transmitted to the concessionaire for collection; in this case, the increase absorbs the late payment interest accrued during the same period.</w:t>
      </w:r>
    </w:p>
    <w:p>
      <w:r>
        <w:t>Immediate communication of the payment must be given to the Authority by sending the documentation certifying the payment made.</w:t>
      </w:r>
    </w:p>
    <w:p>
      <w:r>
        <w:t>This measure will be notified to the interested parties and published in the Bulletin of the Competition and Market Authority.</w:t>
      </w:r>
    </w:p>
    <w:p>
      <w:r>
        <w:t>Pursuant to Article 27, paragraph 12, of the Consumer Code, in case of non-compliance with the measure, the Authority applies an administrative pecuniary sanction from €10,000 to €10,000,000. In cases of repeated non-compliance, the Authority may order the suspension of business activities for a period not exceeding thirty days.</w:t>
      </w:r>
    </w:p>
    <w:p>
      <w:r>
        <w:t>Against this measure, an appeal may be submitted to the TAR of Lazio, pursuant to Article 135, paragraph 1, letter b), of the Administrative Procedure Code (Legislative Decree July 2, 2010, No. 104),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November 24, 1971, No. 1199, within one hundred and twenty days from the date of notification of the measure itself.</w:t>
      </w:r>
    </w:p>
    <w:p>
      <w:r>
        <w:t>THE SECRETARY GENERAL THE PRESIDENT</w:t>
        <w:br/>
        <w:t>Guido Stazi Roberto Rustichelli</w:t>
      </w:r>
    </w:p>
    <w:p>
      <w:r>
        <w:t>56 BULLETIN NO. 19 OF MAY 22, 2023</w:t>
        <w:br/>
        <w:t>VARIOUS</w:t>
        <w:br/>
        <w:t>APPLICATION OF ARTICLE 14-QUATER OF LAW NO. 287 OF OCTOBER 10, 1990</w:t>
        <w:br/>
        <w:t>Measure No. 30629</w:t>
        <w:br/>
        <w:t>THE COMPETITION AND MARKET AUTHORITY</w:t>
        <w:br/>
        <w:t>IN ITS MEETING of May 16, 2023;</w:t>
        <w:br/>
        <w:t>HAVING REGARD TO Law No. 287 of October 10, 1990;</w:t>
        <w:br/>
        <w:t>HAVING REGARD TO Article 34 of Law No. 118 of August 5, 2022, containing the Annual Law for the Market and Competition 2021, which introduced Article 14-quater (transaction procedure) into Law No. 287 of October 10, 1990;</w:t>
        <w:br/>
        <w:t>CONSIDERING the need to define the rules governing the transaction procedure, pursuant to the provisions of Article 14-quater, paragraph 5, of Law No. 287 of October 10, 1990;</w:t>
        <w:br/>
        <w:t>HAVING REGARD TO the observations received during the public consultation;</w:t>
        <w:br/>
        <w:t>DEEMING it appropriate to adopt the "Communication regarding the application of Article 14-quater of Law No. 287 of October 10, 1990," the text of which is attached and forms an integral part of this measure;</w:t>
      </w:r>
    </w:p>
    <w:p>
      <w:r>
        <w:t>RESOLVES</w:t>
        <w:br/>
        <w:t>to adopt the "Communication regarding the application of Article 14-quater of Law No. 287 of October 10, 1990," the text of which is attached and forms an integral part of this measure.</w:t>
      </w:r>
    </w:p>
    <w:p>
      <w:r>
        <w:t>This measure and the related Communication will be published in the Bulletin of the Competition and Market Authority.</w:t>
      </w:r>
    </w:p>
    <w:p>
      <w:r>
        <w:t>THE SECRETARY GENERAL THE PRESIDENT</w:t>
        <w:br/>
        <w:t>Guido Stazi Roberto Rustichelli</w:t>
      </w:r>
    </w:p>
    <w:p>
      <w:r>
        <w:rPr>
          <w:b/>
        </w:rPr>
        <w:t>[Pages 55–57]</w:t>
      </w:r>
    </w:p>
    <w:p>
      <w:r>
        <w:t>BULLETIN NO. 19 OF MAY 22, 2023 57</w:t>
        <w:br/>
        <w:t>ANNEX</w:t>
        <w:br/>
        <w:t>COMMUNICATION REGARDING THE APPLICATION OF ARTICLE 14-quater</w:t>
        <w:br/>
        <w:t>OF LAW NO. 287 OF OCTOBER 10, 1990</w:t>
        <w:br/>
        <w:t>A. Premise</w:t>
        <w:br/>
        <w:t>With this Communication, the Authority defines, in accordance with the European Union legal framework, the procedural rules governing the submission and evaluation of settlement proposals as well as the extent of the reduction of the sanction to be applied in case of successful completion of the procedure provided for by Article 14-quater of Law No. 287 of October 10, 1990 (“l. 287/1990”) introduced by Article 34, paragraph 1, of Law No. 118 of August 5, 2022.</w:t>
        <w:br/>
        <w:t>Article 34, paragraph 1, of Law No. 118 of August 5, 2022, indeed provides that after Article 14-ter of l. 287/1990, the following shall be inserted: “Art. 14-quater. (Settlement Procedure). 1. During the investigation opened pursuant to Article 14, paragraph 1, the Authority may set a deadline within which the interested companies may express in writing their willingness to participate in discussions aimed at the possible submission of settlement proposals. 2. The Authority may inform the parties participating in settlement discussions about: a) the charges it intends to bring against them; b) the evidence used to establish the charges it intends to bring; c) non-confidential versions of any specific accessible document listed in the file at that time, to the extent that the party's request is justified in order to allow it to ascertain its position regarding a time period or any other specific aspect of the cartel; d) the range of potential fines. Such information is confidential with respect to third parties unless the Authority has explicitly authorized its disclosure. 3. In the event of a favorable outcome of such discussions, the Authority may set a deadline within which the interested companies may commit to follow the settlement procedure by submitting settlement proposals that reflect the results of the discussions held and in which they acknowledge their participation in a violation of Articles 2 and 3 of this law or Articles 101 and 102 of the Treaty on the Functioning of the European Union, as well as their respective liability. 4. The Authority may decide at any time to completely terminate the discussions aimed at a settlement, even with respect to one or more specific parties, if it believes that the effectiveness of the procedure is compromised. Before the Authority sets a deadline for the submission of settlement proposals, the interested parties have the right to be provided in due time, upon request, with the information specified in paragraph 2. The Authority is not obliged to consider settlement proposals received after the expiration of the aforementioned deadline. 5. The Authority defines, with its own general measure, in accordance with the European Union legal framework and ensuring the right to adversarial proceedings, the procedural rules governing the submission and evaluation of settlement proposals referred to in this article and the extent of the reduction of the sanction referred to in Article 15, paragraph 1-bis, to be granted in case of successful completion of the procedure.”</w:t>
      </w:r>
    </w:p>
    <w:p>
      <w:r>
        <w:t>58 BULLETIN NO. 19 OF MAY 22, 2023</w:t>
        <w:br/>
        <w:t>B. Procedure</w:t>
        <w:br/>
        <w:t>(i) Initiation of the procedure and exploratory phases regarding the settlement</w:t>
        <w:br/>
        <w:t>1. During the proceedings initiated pursuant to Article 14 of Law No. 287/90 (the “law”), aimed at ascertaining a violation of Articles 101 or 102 of the Treaty on the Functioning of the European Union (the “TFEU”) and/or Articles 2 or 3 of the law, the Authority, after the deadline referred to in Article 14-ter, paragraph 1, of the law, may verify the interest of the parties in a possible settlement.</w:t>
        <w:br/>
        <w:t>2. The initiative to proceed with such verification lies exclusively with the Authority. The request made by the parties in the proceeding before the communication referred to in point 4 is inadmissible.</w:t>
        <w:br/>
        <w:t>3. In exercising its discretion, the Authority will particularly assess the likelihood of quickly reaching a resolution of the proceeding, successfully completing the settlement procedure with respect to all interested parties, also considering their number.</w:t>
        <w:br/>
        <w:t>4. If the Authority believes that the proceeding may, in principle, be suitable for resolution through a settlement, it invites in writing the parties against whom it intends to bring charges to express their interest in participating in discussions aimed at a possible settlement within a deadline of no less than 15 days. This communication may occur at any stage of the proceeding, up to the communication of the investigation results.</w:t>
        <w:br/>
        <w:t>5. The parties express in writing their interest in participating in discussions aimed at a possible settlement within the deadline referred to in point 4. This written declaration does not imply the parties' acknowledgment of participation in a violation nor of assuming related liability.</w:t>
        <w:br/>
        <w:t>6. Where the proceeding initiated by the Authority involves multiple legal entities attributable to the same controlling center, and if they intend to participate in discussions to reach a settlement, such entities must designate common representatives duly authorized to act on their behalf, communicating this designation to the Authority by the deadline referred to in point 4. The designation of common representatives aims solely to facilitate discussions aimed at the settlement and does not prejudice the attribution of liability for the violation to the different parties.</w:t>
        <w:br/>
        <w:t>7. As of the receipt of the communication referred to in point 4, it is no longer possible to request the benefit of non-application of sanctions pursuant to Article 15-bis of the law: this is because the initiation of the settlement procedure presupposes the suitability of the documentary evidence collected by the Authority to prove the violation. However, it is possible, where the prerequisites exist, to request the benefit of a reduction of sanctions pursuant to Article 15-ter of the law until the expiration of the deadline set forth in point 4. Without prejudice to the deadline referred to in Article 14-ter, paragraph 1, of the law, as a rule, the Authority will not examine commitments submitted following the receipt of the communication referred to in point 4. The rejection of commitments submitted prior to the receipt of the communication referred to in point 4 does not preclude the parties from accessing the settlement procedure.</w:t>
      </w:r>
    </w:p>
    <w:p>
      <w:r>
        <w:t>BULLETIN NO. 19 OF MAY 22, 2023 59</w:t>
        <w:br/>
        <w:t>(ii) Initiation of the procedure: discussions to reach a settlement</w:t>
        <w:br/>
        <w:t>8. If some parties in the proceeding express their interest in initiating settlement discussions, the Authority may decide to initiate the settlement procedure through bilateral contacts between the Authority itself and each of the candidates for the settlement.</w:t>
        <w:br/>
        <w:t>9. There is no obligation for the Authority to initiate or continue discussions to reach a settlement, particularly when not all parties in the proceeding express an interest in this regard or a concrete willingness to agree on the scope of the charges. In any case, the Authority may decide to terminate discussions aimed at a settlement if the parties in the proceeding attempt to alter or destroy evidence relevant to the determination of the violation, part of it, or the calculation of the applicable sanction.</w:t>
        <w:br/>
        <w:t>10. The Authority maintains a margin of discretion to assess the appropriateness and frequency of bilateral settlement discussions with individual companies, with particular regard to the order and sequence of bilateral settlement discussions, in light of the progress made in general in the settlement procedure.</w:t>
        <w:br/>
        <w:t>11. The purpose of the discussions is to reach a shared definition of the content and scope of the charges that the interested companies are willing to accept in exchange for the reduction of the sanction referred to in points 25 and 26. During the settlement procedure, the Authority does not negotiate either the existence of the violation or the amount of the applicable sanction.</w:t>
        <w:br/>
        <w:t>12. In any case, during the discussions, the parties will be informed about the essential elements considered up to that point, such as the contested facts, their classification, the severity and duration of the alleged violation, the attribution of liability, an estimate of the range of applicable sanctions, as well as the evidence used to support the potential charges. Upon reasoned request, as the settlement discussions progress, the Authority may allow the parties to review non-confidential versions of accessible documents contained in the investigation file, necessary to enable them to clarify their position regarding any aspect of the unlawful conduct.</w:t>
        <w:br/>
        <w:t>13. Where the Authority believes that the procedure allows for a consensus regarding the scope of the potential charges and the range of probable fines, it sets a deadline of no less than 15 days for the companies to submit a settlement proposal. In exceptional cases, based on a reasoned and timely request from the interested companies, the Authority may extend the aforementioned deadline.</w:t>
        <w:br/>
        <w:t>14. The parties in the proceeding may not disclose to anyone the content of the discussions or the documents to which they have had access for the purposes of the settlement, without prior express authorization from the Authority. Any violation of this principle may lead the Authority to terminate the settlement procedure at any time. Such disclosure may also constitute an aggravating circumstance pursuant to point 21 of the Guidelines on the calculation of sanctions and may be considered a violation of the cooperation duties provided for by Article 15-quater of the law. The prohibition on disclosure does not apply in the case of multiple legal entities attributable to the same controlling center.</w:t>
        <w:br/>
        <w:t>15. If the interested parties do not submit a settlement proposal, the procedure for adopting the final decision regarding them follows the general provisions, rather than those governing the settlement procedure.</w:t>
      </w:r>
    </w:p>
    <w:p>
      <w:r>
        <w:rPr>
          <w:b/>
        </w:rPr>
        <w:t>[Pages 58–60]</w:t>
      </w:r>
    </w:p>
    <w:p>
      <w:r>
        <w:t xml:space="preserve">60 BULLETIN NO. 19 OF MAY 22, 2023  </w:t>
        <w:br/>
        <w:t xml:space="preserve">(iii) Transaction Proposals  </w:t>
        <w:br/>
        <w:t xml:space="preserve">16. Parties opting for a transaction procedure must submit a formal request for a transaction in the form of a transaction proposal. The transaction proposal contains:  </w:t>
        <w:br/>
        <w:t xml:space="preserve">a) a clear and unequivocal acknowledgment of the parties' liability for the infringement, briefly described regarding the subject matter, any implementation, the main facts, their legal qualification, including the role of the parties, the attribution of liability, and the duration of their participation in the infringement in accordance with the results of the transaction discussions;  </w:t>
        <w:br/>
        <w:t xml:space="preserve">b) an indication of the maximum amount of the sanction that the parties anticipate will be imposed on them by the Authority and that they would accept within the framework of a transaction procedure;  </w:t>
        <w:br/>
        <w:t xml:space="preserve">c) the parties' confirmation that they have been sufficiently informed of the charges that the Authority intends to bring against them and that they have been sufficiently granted the opportunity to express their views to the Authority;  </w:t>
        <w:br/>
        <w:t xml:space="preserve">d) the parties' confirmation that, in consideration of the above, they waive the right to access the file solely for the purposes of the proceedings, to submit briefs, and to request the hearing referred to in Article 14 of Presidential Decree No. 217/98, unless the communication of the investigative findings or the Authority's decision does not reflect their transaction proposal.  </w:t>
        <w:br/>
        <w:t xml:space="preserve">17. At the request of the interested company, the Authority may accept that transaction proposals be presented orally. Oral transaction proposals will be recorded and transcribed at the Authority's premises. Companies presenting oral transaction proposals are granted the opportunity to verify the technical accuracy of the recording, which will be available at the Authority's premises, as well as to promptly correct the content of their oral transaction proposals and the accuracy of the transcription.  </w:t>
        <w:br/>
        <w:t xml:space="preserve">18. Transaction proposals cannot be unilaterally revoked by the parties that submitted them unless the Authority accepts them. A transaction proposal is considered not accepted by the Authority if its content is not reflected in the communication of the investigative findings and, subsequently, in the final decision. The communication of the investigative findings corresponds to the transaction proposals if it reflects the content regarding the elements indicated in point 16, letter a). Furthermore, to consider that the final decision reflects the transaction proposals, the imposed sanction must not exceed the maximum amount indicated therein.  </w:t>
        <w:br/>
        <w:t xml:space="preserve">(iv) Communication of Investigative Findings and Response of the Parties  </w:t>
        <w:br/>
        <w:t xml:space="preserve">19. If the communication of the investigative findings reflects the parties' transaction proposal, the interested parties respond to said communication within a period of at least fifteen days set by the Authority, simply confirming (in unequivocal terms) that the communication of the investigative findings corresponds to the content of their transaction proposals and that they therefore maintain their commitment to follow the transaction procedure, waiving the right to access the file solely for the purposes of the proceedings, to submit briefs, and to request the hearing referred to in Article 14 of Presidential Decree No. 217/98. In the absence of such a response, the Authority will acknowledge the violation committed by the party of its commitment and may terminate the transaction procedure.  </w:t>
        <w:br/>
        <w:t xml:space="preserve">20. The Authority retains the right to adopt a communication of investigative findings that does not reflect the parties' transaction proposal in any case. In this case, the general procedural provisions will apply again. The admissions made by the parties in the transaction proposal are deemed withdrawn and cannot be used as evidence against any party in the proceedings.  </w:t>
        <w:br/>
        <w:t xml:space="preserve">(v) Authority's Decision and Reduction of the Sanction as a Result of the Transaction  </w:t>
        <w:br/>
        <w:t xml:space="preserve">21. Once the parties have confirmed in their response to the communication of the investigative findings what is indicated in point 19 of this communication, the Authority may proceed, without further procedural stages, to adopt the final decision, subject to the acquisition of the opinions required by law.  </w:t>
        <w:br/>
        <w:t xml:space="preserve">22. The Authority retains the right to adopt a final decision that deviates from the position expressed in the communication of the investigative findings that reports the parties' transaction proposals. If it decides to act in this manner, the Authority informs the parties and notifies them of a new communication of the investigative findings to ensure their exercise of the right to defense and participation in the proceedings according to the applicable general procedural rules. The admissions made by the parties in their transaction proposal are deemed withdrawn and cannot be used as evidence against any of the parties in the proceedings.  </w:t>
        <w:br/>
        <w:t xml:space="preserve">23. The final amount of the sanction is established in the decision in which the Authority ascertains the infringement and imposes a sanction pursuant to Article 15 of the law.  </w:t>
        <w:br/>
        <w:t xml:space="preserve">24. In accordance with the Authority's practice, the fact that a company or an association of companies has cooperated within the framework of this communication during the administrative procedure will be indicated in the final decision, in order to explain the reasons justifying the level of the sanction. The greater cooperation that the parties necessarily provide in the context of the transaction procedure does not constitute an independent mitigating circumstance for the purposes of quantifying the sanction.  </w:t>
        <w:br/>
        <w:t xml:space="preserve">25. If the transaction procedure concludes positively in a proceeding that does not concern a secret cartel, the Authority will reduce the amount of the sanction to be imposed by 20% once the maximum of 10% established by Article 15, paragraph 1-bis, of the law has been applied, if necessary.  </w:t>
        <w:br/>
        <w:t xml:space="preserve">26. If the transaction procedure concludes positively in a proceeding that concerns a secret cartel, the Authority will reduce the amount of the sanction to be imposed by 10% once the maximum of 10% established by Article 15, paragraph 1-bis, of the law has been applied, if necessary.  </w:t>
        <w:br/>
        <w:t xml:space="preserve">27. If the Authority's transaction decision concerns companies that may also benefit from favorable treatment under the leniency program, the reduction of the sanction granted to them as part of the transaction will be added to the reduction of the sanction granted to them as part of favorable treatment.  </w:t>
        <w:br/>
        <w:t xml:space="preserve">C. General Considerations  </w:t>
        <w:br/>
        <w:t xml:space="preserve">28. This communication applies to all investigative proceedings initiated after its publication in the Authority's Bulletin, as well as to ongoing investigative proceedings for which the communication of the investigative findings has not yet been transmitted.  </w:t>
        <w:br/>
        <w:t xml:space="preserve">29. Access to transaction proposals is granted only to the recipients of the communication of the investigative findings who have not submitted a transaction proposal, provided they commit not to copy by any mechanical or electronic means any information contained in the transaction proposals to which they are granted access and to use the information obtained from the transaction proposals solely for the purposes of judicial or administrative proceedings for the application of national and community competition rules relevant to the respective proceedings. No other participant in the proceedings is granted access to the transaction proposals.  </w:t>
        <w:br/>
        <w:t xml:space="preserve">30. Where provided, transaction proposals submitted under this communication are transmitted solely to the Commission and to the other competition authorities in the Member States, pursuant to Article 12 of Regulation (EC) No. 1/2003.  </w:t>
        <w:br/>
        <w:t>31. The Authority reserves the right to modify or supplement this communication after one year from the date of its publication in light of practical experience.</w:t>
      </w:r>
    </w:p>
    <w:p>
      <w:r>
        <w:rPr>
          <w:b/>
        </w:rPr>
        <w:t>[Pages 61–61]</w:t>
      </w:r>
    </w:p>
    <w:p>
      <w:r>
        <w:t xml:space="preserve">Competition and Market Authority Weekly Bulletin  </w:t>
        <w:br/>
        <w:t xml:space="preserve">Year XXXIII - No. 19 - 2023  </w:t>
        <w:br/>
        <w:t xml:space="preserve">Editorial Coordination Giulia Antenucci  </w:t>
        <w:br/>
        <w:t xml:space="preserve">Editorial Staff Valerio Ruocco, Manuela Villani  </w:t>
        <w:br/>
        <w:t xml:space="preserve">Competition and Market Authority  </w:t>
        <w:br/>
        <w:t xml:space="preserve">Document Management, Protocol and Statistical Services Directorate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