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https://www.agcm.it/dotcmsdoc/bollettini/2026/2-26.pdf</w:t>
      </w:r>
    </w:p>
    <w:p>
      <w:r>
        <w:t>Pages translated : 112</w:t>
      </w:r>
    </w:p>
    <w:p/>
    <w:p>
      <w:r>
        <w:rPr>
          <w:b/>
        </w:rPr>
        <w:t>[Pages 1–3]</w:t>
      </w:r>
    </w:p>
    <w:p>
      <w:r>
        <w:t xml:space="preserve">Bulletin  </w:t>
        <w:br/>
        <w:t xml:space="preserve">Weekly  </w:t>
        <w:br/>
        <w:t xml:space="preserve">Year XXXVI - No. 2  </w:t>
        <w:br/>
        <w:t xml:space="preserve">Published on the website www.agcm.it  </w:t>
        <w:br/>
        <w:t>January 12, 2026</w:t>
      </w:r>
    </w:p>
    <w:p>
      <w:r>
        <w:t xml:space="preserve">SUMMARY  </w:t>
        <w:br/>
        <w:t xml:space="preserve">AGREEMENTS AND ABUSE OF DOMINANT POSITION 5  </w:t>
        <w:br/>
        <w:t xml:space="preserve">A528 - FBA AMAZON  </w:t>
        <w:br/>
        <w:t xml:space="preserve">Measure No. 31776 5  </w:t>
        <w:br/>
        <w:t xml:space="preserve">A507D - AVIATION FUEL SUPPLY SERVICE BERGAMO AIRPORT - REVIEW OF COMMITMENTS  </w:t>
        <w:br/>
        <w:t xml:space="preserve">Measure No. 31790 7  </w:t>
        <w:br/>
        <w:t xml:space="preserve">I857C - TIM-DAZN SERIES A AGREEMENT 2021/2024 - REDETERMINATION OF THE DURATION OF THE INFRINGEMENT  </w:t>
        <w:br/>
        <w:t xml:space="preserve">Measure No. 31798 9  </w:t>
        <w:br/>
        <w:t xml:space="preserve">CONCENTRATION OPERATIONS 58  </w:t>
        <w:br/>
        <w:t xml:space="preserve">C12779 - BUSITALIA-SITA NORD/F.LLI MADDII  </w:t>
        <w:br/>
        <w:t xml:space="preserve">Measure No. 31791 58  </w:t>
        <w:br/>
        <w:t xml:space="preserve">C12780 - STIRLING SQUARE CAPITAL PARTNERS MANAGEMENT/BETTER DECISIONS  </w:t>
        <w:br/>
        <w:t xml:space="preserve">Measure No. 31792 67  </w:t>
        <w:br/>
        <w:t xml:space="preserve">C12781 - EUROCAR TECH/PWP  </w:t>
        <w:br/>
        <w:t xml:space="preserve">Measure No. 31793 71  </w:t>
        <w:br/>
        <w:t xml:space="preserve">C12783 - ILLIMITY ASSET MANAGEMENT/NOBERASCO  </w:t>
        <w:br/>
        <w:t xml:space="preserve">Measure No. 31794 76  </w:t>
        <w:br/>
        <w:t xml:space="preserve">C12784 - K2-SOFINO TRUST AND AUDIT COMPANY/NPO BIDCO  </w:t>
        <w:br/>
        <w:t xml:space="preserve">Measure No. 31795 80  </w:t>
        <w:br/>
        <w:t xml:space="preserve">C12785 - GREEN ARROW CAPITAL/DEA CAPITAL ALTERNATIVE FUNDS SGR  </w:t>
        <w:br/>
        <w:t xml:space="preserve">Measure No. 31796 85  </w:t>
        <w:br/>
        <w:t xml:space="preserve">C12786 - EDIF/THE ELECTRIC  </w:t>
        <w:br/>
        <w:t xml:space="preserve">Measure No. 31797 90  </w:t>
        <w:br/>
        <w:t xml:space="preserve">INFORMATION INVESTIGATIONS 93  </w:t>
        <w:br/>
        <w:t xml:space="preserve">IC57 - SCHOOL PUBLISHING  </w:t>
        <w:br/>
        <w:t xml:space="preserve">Measure No. 31808 93  </w:t>
        <w:br/>
        <w:t xml:space="preserve">REPORTING AND CONSULTATIVE ACTIVITIES 95  </w:t>
        <w:br/>
        <w:t xml:space="preserve">AS2131 - AGCOM - VERIFICATION OF THE EXISTENCE OF WHOLESALE ONLY OPERATOR CONDITIONS FOR FIBERCOP 95  </w:t>
        <w:br/>
        <w:t xml:space="preserve">AS2132 - MUNICIPALITY OF GAETA (LT) - MARITIME STATE CONCESSIONS FOR TOURIST RECREATIONAL PURPOSES - RESOLUTION JUNE 2025 98  </w:t>
        <w:br/>
        <w:t xml:space="preserve">AS2133 - BASILICATA REGION - ISSUES REGARDING HEALTHCARE SPENDING CEILINGS 103  </w:t>
        <w:br/>
        <w:t xml:space="preserve">AS2134 - PAGOPA - EUROPEAN OPEN PROCEDURE TENDER FOR THE AWARD OF POSTAL SERVICES 106  </w:t>
        <w:br/>
        <w:t>AS2135 - SCHOOL PUBLISHING IN ITALY 109</w:t>
      </w:r>
    </w:p>
    <w:p>
      <w:r>
        <w:t xml:space="preserve">BULLETIN NO. 2 OF JANUARY 12, 2026 5  </w:t>
        <w:br/>
        <w:t xml:space="preserve">AGREEMENTS AND ABUSE OF DOMINANT POSITION  </w:t>
        <w:br/>
        <w:t xml:space="preserve">A528 - FBA AMAZON  </w:t>
        <w:br/>
        <w:t xml:space="preserve">Measure No. 31776  </w:t>
        <w:br/>
        <w:t xml:space="preserve">THE COMPETITION AND MARKET AUTHORITY  </w:t>
        <w:br/>
        <w:t xml:space="preserve">IN ITS MEETING of December 16, 2025;  </w:t>
        <w:br/>
        <w:t xml:space="preserve">HEARD the Rapporteur, President Roberto Rustichelli;  </w:t>
        <w:br/>
        <w:t xml:space="preserve">HAVING REGARD to Law No. 287 of October 10, 1990;  </w:t>
        <w:br/>
        <w:t xml:space="preserve">HAVING REGARD to Presidential Decree No. 217 of April 30, 1998;  </w:t>
        <w:br/>
        <w:t xml:space="preserve">HAVING REGARD to its resolution of February 25, 2025, which adopted the Guidelines on the application of the criteria for quantifying administrative monetary penalties imposed by the Authority in application of Article 15, paragraph 1-bis, of Law No. 287/1990 (hereinafter, briefly, Guidelines on penalties);  </w:t>
        <w:br/>
        <w:t xml:space="preserve">HAVING REGARD to its measure of November 20, 2021, No. 29925 (hereinafter, Measure) by which the Authority found that Amazon Europe Core S.à r.l., Amazon Services Europe S.à r.l., Amazon EU S.à r.l., Amazon Italia Services S.r.l. and Amazon Italia Logistica S.r.l. had engaged in an abuse of dominant position in violation of Article 102 of the Treaty on the Functioning of the European Union, consisting of conditioning the obtaining by third-party sellers on the e-commerce platform &lt;www.amazon.it&gt; of a set of advantages in terms of visibility of offers and growth of sales of the sellers' offers, on the purchase of the logistics service offered by Amazon, called Amazon Logistics (or Fulfillment by Amazon);  </w:t>
        <w:br/>
        <w:t xml:space="preserve">HAVING REGARD that for this infringement Amazon Europe Core S.à r.l., Amazon Services Europe S.à r.l., Amazon EU S.à r.l., Amazon Italia Services S.r.l. and Amazon Italia Logistica S.r.l. were ordered to pay, jointly, an overall administrative monetary penalty of €1,128,596,156.33;  </w:t>
        <w:br/>
        <w:t xml:space="preserve">HAVING REGARD to the ruling of the Lazio Regional Administrative Court, Section I, of September 2, 2025, No. 15919 (hereinafter also the "Ruling"), which, in partial acceptance of the appeal filed by Amazon Europe Core S.à r.l., Amazon Services Europe S.à r.l., Amazon EU S.à r.l., Amazon Italia Services S.r.l. and Amazon Italia Logistica S.r.l., annulled the Measure only in the part relating to the determination of the penalty imposed on the aforementioned companies;  </w:t>
        <w:br/>
        <w:t xml:space="preserve">HAVING REGARD, in particular, to the reasoning part of the Ruling in which the Lazio TAR considered that "the measure referred to the amount of the total turnover of the appellants, a prerequisite for the application of the increase, but did not adequately account for the reasons why it was applied at the maximum level and the proportion of it in relation to the circumstances of the specific case, all the more necessary given the amount of the penalty imposed";  </w:t>
        <w:br/>
        <w:t>CONSIDERING that the Lazio TAR, in exercising its jurisdiction on the merits, ordered the "redetermination of the penalty at the base amount identified by the Authority, without the application of the 50% increase referred to in point 25 of the Guidelines";</w:t>
      </w:r>
    </w:p>
    <w:p>
      <w:r>
        <w:rPr>
          <w:b/>
        </w:rPr>
        <w:t>[Pages 4–6]</w:t>
      </w:r>
    </w:p>
    <w:p>
      <w:r>
        <w:t xml:space="preserve">6 BULLETIN NO. 2 OF JANUARY 12, 2026  </w:t>
        <w:br/>
        <w:t xml:space="preserve">CONSIDERING that this criterion for re-determination is precise, objective, and automatically applicable, leaving no discretionary margin in the implementation of the conforming obligation arising from the judgment to be executed;  </w:t>
        <w:br/>
        <w:t xml:space="preserve">THEREFORE, CONSIDERED necessary to proceed, in compliance with the Judgment and in accordance with the indications and criteria outlined therein, to re-determine the sanction imposed, jointly, on Amazon Europe Core S.à r.l., Amazon Services Europe S.à r.l., Amazon EU S.à r.l., Amazon Italia Services S.r.l. and Amazon Italia Logistica S.r.l.;  </w:t>
        <w:br/>
        <w:t xml:space="preserve">CONSIDERING that, in accordance with the parameters indicated in the Judgment, the sanction to be imposed, jointly, on Amazon Europe Core S.à r.l., Amazon Services Europe S.à r.l., Amazon EU S.à r.l., Amazon Italia Services S.r.l. and Amazon Italia Logistica S.r.l. amounts to 752,397,437.55 euros;  </w:t>
        <w:br/>
        <w:t xml:space="preserve">CONSIDERING that the aforementioned re-determination does not constitute acquiescence to the Judgment and, therefore, all determinations by the Authority remain unaffected pending the outcome of the appeal that it reserves the right to file against the Judgment;  </w:t>
        <w:br/>
        <w:t xml:space="preserve">CONSIDERING that, consequently, the sanction that can be imposed, jointly, on Amazon Europe Core S.à r.l., Amazon Services Europe S.à r.l., Amazon EU S.à r.l., Amazon Italia Services S.r.l. and Amazon Italia Logistica S.r.l. amounts to 752,397,437.55 euros;  </w:t>
        <w:br/>
        <w:t xml:space="preserve">RESOLVES  </w:t>
        <w:br/>
        <w:t xml:space="preserve">that the administrative pecuniary sanction to be applied to the companies Amazon Europe Core S.à r.l., Amazon Services Europe S.à r.l., Amazon EU S.à r.l., Amazon Italia Services S.r.l. and Amazon Italia Logistica S.r.l., jointly, for the behavior attributed to them in the Authority's measure of November 20, 2021, no. 29925, is re-determined in the amount of 752,397,437.55 € (seven hundred fifty-two million three hundred ninety-seven thousand four hundred thirty-seven/55).  </w:t>
        <w:br/>
        <w:t xml:space="preserve">Against this measure, an appeal may be filed with the TAR of Lazio, pursuant to Article 135, paragraph 1, letter b), of the Code of Administrative Procedure (Legislative Decree No. 104 of July 2,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measure itself.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BULLETIN NO. 2 OF JANUARY 12, 2026 7  </w:t>
        <w:br/>
        <w:t xml:space="preserve">A507D - AVIATION FUEL SUPPLY SERVICE AT BERGAMO AIRPORT - REVIEW OF COMMITMENTS  </w:t>
        <w:br/>
        <w:t xml:space="preserve">Measure no. 31790  </w:t>
        <w:br/>
        <w:t xml:space="preserve">THE COMPETITION AND MARKET AUTHORITY  </w:t>
        <w:br/>
        <w:t xml:space="preserve">IN ITS MEETING of December 22, 2025;  </w:t>
        <w:br/>
        <w:t xml:space="preserve">HEARD the Rapporteur, President Roberto Rustichelli;  </w:t>
        <w:br/>
        <w:t xml:space="preserve">HAVING REGARD to Law No. 287 of October 10, 1990;  </w:t>
        <w:br/>
        <w:t xml:space="preserve">HAVING REGARD to its resolution of March 14, 2018, no. 27089, which made mandatory the commitments presented by Società per l’Aeroporto civile di Bergamo Orio al Serio S.p.A. - SACBO S.p.A. and Levorato Marcevaggi S.r.l. in the terms attached to the same resolution, and, at the same time, closed the procedure without establishing the infringement, pursuant to Article 14-ter, paragraph 1, of Law No. 287/1990;  </w:t>
        <w:br/>
        <w:t xml:space="preserve">HAVING REGARD to the request of SACBO S.p.A., manager of Bergamo Orio al Serio airport, received on October 8, 2025, aimed at obtaining a re-evaluation, for the purpose of revocation or revision of the commitment made mandatory by resolution no. 27089 of 2018, in the terms attached to the aforementioned resolution, and consisting in particular in the construction of a new centralized storage facility of greater capacity "within 16 months of the approval of the new Airport Development Plan (PSA) scheduled for spring 2019," thus, by summer 2020;  </w:t>
        <w:br/>
        <w:t xml:space="preserve">CONSIDERING that the request is mainly based on the evolution of the sector concerned in the years since the closure of the investigation and, in particular, on the circumstance that, over time, the market has shown little interest in the existing spaces and that, even in the absence of the new storage facility, no access problems to storage services and into-plane services at Bergamo Orio al Serio airport have emerged;  </w:t>
        <w:br/>
        <w:t xml:space="preserve">THEREFORE, CONSIDERED necessary to verify whether such an evolution of the sector concerned is such as to justify the revocation or revision of the commitment made mandatory by resolution no. 27089 of 2018 and considered that the evaluation of the request, having as its object the revocation or revision of the commitment made mandatory pursuant to Article 14-ter, paragraph 1, of Law No. 287/1990, should be carried out in contradiction with the Party and any interested third parties;  </w:t>
        <w:br/>
        <w:t xml:space="preserve">RESOLVES  </w:t>
        <w:br/>
        <w:t xml:space="preserve">a) to initiate a procedure to evaluate the request for revocation or revision concerning the commitment consisting in the construction of a new centralized storage facility of greater capacity "within 16 months of the approval of the new Airport Development Plan (PSA) scheduled for spring 2019," made mandatory by resolution of March 14, 2018, no. 27089;  </w:t>
        <w:br/>
        <w:t xml:space="preserve">b) to set a deadline of thirty days, starting from the date of notification of this measure, for the exercise by the legal representatives of SACBO S.p.A. or by persons delegated by them, of the right to be heard, pursuant to Article 14, paragraph 1, of Law No. 287/1990, specifying that the request for a hearing must be received by the Transport Energy and Environment Directorate of the Competition Department - 2 of this Authority at least five days before the expiration of the aforementioned deadline;  </w:t>
        <w:br/>
        <w:t xml:space="preserve">c) that the person responsible for the procedure is Dr. Chiara de Mari;  </w:t>
        <w:br/>
        <w:t xml:space="preserve">d) that the documents of the procedure can be viewed at the Transport Energy and Environment Directorate of the Competition Department - 2 of this Authority by the legal representatives of the party or by persons delegated by them;  </w:t>
        <w:br/>
        <w:t xml:space="preserve">e) that the procedure must be concluded by July 31, 2026.  </w:t>
        <w:br/>
        <w:t xml:space="preserve">This measure will be notified to the interested parties and published in the Bulletin of the Competition and Market Authority.  </w:t>
        <w:br/>
        <w:t xml:space="preserve">THE SECRETARY GENERAL THE PRESIDENT  </w:t>
        <w:br/>
        <w:t>Guido Stazi Roberto Rustichelli</w:t>
      </w:r>
    </w:p>
    <w:p>
      <w:r>
        <w:rPr>
          <w:b/>
        </w:rPr>
        <w:t>[Pages 7–9]</w:t>
      </w:r>
    </w:p>
    <w:p>
      <w:r>
        <w:t xml:space="preserve">BULLETIN NO. 2 OF JANUARY 12, 2026 9  </w:t>
        <w:br/>
        <w:t xml:space="preserve">I857C - TIM-DAZN SERIES A AGREEMENT 2021/2024 - DETERMINATION OF THE DURATION OF THE INFRINGEMENT  </w:t>
        <w:br/>
        <w:t xml:space="preserve">Measure no. 31798  </w:t>
        <w:br/>
        <w:t xml:space="preserve">THE COMPETITION AND MARKET AUTHORITY  </w:t>
        <w:br/>
        <w:t xml:space="preserve">IN ITS MEETING of December 22, 2025;  </w:t>
        <w:br/>
        <w:t xml:space="preserve">HEARD the Rapporteur, President Roberto Rustichelli;  </w:t>
        <w:br/>
        <w:t xml:space="preserve">HAVING REGARD to Article 101 of the Treaty on the Functioning of the European Union (hereinafter, “TFEU”);  </w:t>
        <w:br/>
        <w:t xml:space="preserve">HAVING REGARD to Council Regulation (EC) No. 1/2003 of December 16, 2002;  </w:t>
        <w:br/>
        <w:t xml:space="preserve">HAVING REGARD to Law No. 287 of October 10, 1990;  </w:t>
        <w:br/>
        <w:t xml:space="preserve">HAVING REGARD to Presidential Decree No. 217 of April 30, 1998;  </w:t>
        <w:br/>
        <w:t xml:space="preserve">HAVING REGARD to its measure no. 30699, adopted by the Authority in the meeting of June 28, 2023, concluding the investigation procedure I857 - TIM-DAZN Series A Agreement 2021/2024, which established the existence of a restrictive agreement of competition, in violation of Article 101, paragraph 1, TFEU, carried out by Telecom Italia S.p.A. (hereinafter also “TIM”) and DAZN Limited/DAZN Media Services S.r.l.;  </w:t>
        <w:br/>
        <w:t xml:space="preserve">HAVING REGARD to the ruling of the Lazio Regional Administrative Court, Section I, of May 11, 2024, no. 9315, which fully rejected the appeals of Telecom Italia S.p.A. and the two companies of the DAZN group, DAZN Limited and DAZN Media Services S.r.l., concerning measure no. 30699 of June 28, 2023;  </w:t>
        <w:br/>
        <w:t xml:space="preserve">HAVING REGARD to the same ruling of the Lazio Regional Administrative Court no. 9315/2024, which partially accepted the consolidated appeals of Fastweb S.p.A. and Sky Italia S.r.l., limited to the determination of the duration of the infringement;  </w:t>
        <w:br/>
        <w:t xml:space="preserve">HAVING REGARD to the order of the Council of State no. 3669 of October 4, 2024;  </w:t>
        <w:br/>
        <w:t xml:space="preserve">HAVING REGARD to its resolution of November 12, 2024, no. 31372, with which the Authority initiated the procedure aimed at redetermining the duration of the infringement (I857C) against Telecom Italia S.p.A. and the companies DAZN Limited and DAZN Media Services S.r.l. (hereinafter “Parties”) as well as the reporting and intervening parties in the I857 procedure, namely the companies Fastweb S.p.A., Vodafone Italia S.p.A., Wind Tre S.p.A., Sky Italia S.r.l., Open Fiber S.p.A., Colt Technology Services S.p.A., Retelit Digital Services S.p.A. (formerly Irideos S.p.A.), Iliad Italia S.p.A., Tiscali Italia S.p.A., the Italian Internet Providers Association, Federconsumatori - APS, Codacons - Coordination of associations for the protection of the environment and the rights of users and consumers;  </w:t>
        <w:br/>
        <w:t xml:space="preserve">HAVING REGARD to the ruling of the Council of State no. 5357 of June 19, 2025, which fully rejected the appeal of Telecom Italia S.p.A. against the ruling of the Lazio Regional Administrative Court no. 9315/2024;  </w:t>
        <w:br/>
        <w:t xml:space="preserve">HAVING REGARD to the same ruling of the Council of State no. 5357/2025, in the part where it accepted the appeal of DAZN Media Services S.r.l., in partial reform of the appealed ruling and consequently annulled in part the contested measure regarding the participation of DAZN Media Services S.r.l. in the agreement under examination;  </w:t>
        <w:br/>
        <w:t>HAVING REGARD to the same ruling of the Council of State no. 5357/2025, in the part where it partially accepted the appeal of DAZN Limited, limited to the determination of the sanctioning treatment;</w:t>
      </w:r>
    </w:p>
    <w:p>
      <w:r>
        <w:t xml:space="preserve">10 BULLETIN NO. 2 OF JANUARY 12, 2026  </w:t>
        <w:br/>
        <w:t xml:space="preserve">HAVING REGARD to its resolution of June 24, 2025, no. 31593, with which the deadline for concluding the procedure was extended to December 31, 2025, in order to take into account the provisions of the ruling of the Council of State no. 5357/2025 mentioned above;  </w:t>
        <w:br/>
        <w:t xml:space="preserve">HAVING REGARD to the Communication of the Investigative Findings sent to the Parties on September 24, 2025, pursuant to Article 14 of Presidential Decree no. 217/1998;  </w:t>
        <w:br/>
        <w:t xml:space="preserve">HAVING REGARD to the final submissions presented by Wind Tre S.p.A. on October 28, 2025, those filed on October 31 by TIM S.p.A., DAZN Limited and DAZN Media Services S.r.l., Iliad Italia S.p.A., Fastweb S.p.A., Sky Italia S.r.l. and those presented on November 3, 2025, by Vodafone Italia S.p.A.;  </w:t>
        <w:br/>
        <w:t xml:space="preserve">HAVING REGARD to the communications sent by the Parties on October 31, 2025, in which they expressed their willingness to waive the right to be heard in the final hearing;  </w:t>
        <w:br/>
        <w:t xml:space="preserve">HAVING REGARD to the documents of the procedure and the documentation acquired during the investigation;  </w:t>
        <w:br/>
        <w:t xml:space="preserve">HAVING REGARD to the opinion of the Authority for Communications Guarantees, received on December 18, 2025;  </w:t>
        <w:br/>
        <w:t xml:space="preserve">CONSIDERING the following:  </w:t>
        <w:br/>
        <w:t xml:space="preserve">I. PREMISE  </w:t>
        <w:br/>
        <w:t xml:space="preserve">1. In light of the Ruling of the Lazio Regional Administrative Court no. 9315/2024 (hereinafter, the “TAR Ruling”) and the order of the Council of State of October 4, 2024, no. 3669, the Authority initiated the present procedure, with resolution no. 31372 of November 12, 2024, in order to redetermine the duration of the infringement established - with measure no. 30699 of June 28, 2023 (the “Final Measure”) - in violation of Article 101 TFEU, against Telecom Italia S.p.A. (“TIM”), DAZN Limited (hereinafter “DAZN”) and DAZN Media (hereinafter “DAZN Media”) concerning the agreement for the distribution of football content and the technological support for its transmission, called Deal Memo Distribution1. The Lazio Regional Administrative Court, in fact, while confirming the existence of the restrictive agreement of competition established in the Final Measure, partially annulled it, limited to the duration of the infringement.  </w:t>
        <w:br/>
        <w:t xml:space="preserve">2. Subsequently, the Council of State, with Ruling no. 5357/2025 (hereinafter, the “CdS Ruling”), confirmed the legitimacy of the Authority's finding of the restrictive agreement of competition related to the Deal Memo, qualifying it as a restriction by object, and confirmed the TAR Ruling regarding the need for the Authority to proceed with the re-exercise of its assessment power, redetermining the duration of the infringement. Furthermore, the Council of State accepted the appeal of DAZN Media, stating the absence of evidence attributing the agreement to it and thus excluding the liability of DAZN Media in the commission of the offense. For a different aspect, the CdS Ruling annulled the sanction imposed by the Measure on DAZN, ruling that DAZN's direct sales (i.e., those that DAZN made independently of the criticized agreement with TIM) should not be considered in the calculation base of the sanction, unless it can be demonstrated that there is a direct relationship between the performance of the revenues of such sales (“where there is”) and the unlawful restrictions of the Deal Memo.  </w:t>
        <w:br/>
        <w:t>1 DC10135 Doc. Preistr. 31 - Response to the information request of 27/5/2021. A copy of the same agreement was also filed by DAZN Limited and DAZN Media Services S.r.l. (Doc. DC.34 - Response to the information request of 27/5/2021). The accessible versions of the Deal Memo are contained in docs. istr. 478-479 and in docs. 476 and 477.</w:t>
      </w:r>
    </w:p>
    <w:p>
      <w:r>
        <w:t xml:space="preserve">BULLETIN NO. 2 OF JANUARY 12, 2026 11  </w:t>
        <w:br/>
        <w:t xml:space="preserve">3. Following the CdS Ruling, the Authority, with resolution no. 31593 of June 24, 2025, therefore extended the deadline of the present procedure and redefined its investigative scope, more correctly relating not only to the duration of the infringement but also to the assessment of the prerequisites for including DAZN's direct sales in the calculation of the sanction, according to the interpretative parameters provided by the aforementioned CdS Ruling.  </w:t>
        <w:br/>
        <w:t xml:space="preserve">4. In this context, subsequently, after identifying the Parties to the procedure and the intervening parties and briefly recalling the various phases of the procedure, the investigative findings will be reported which - while maintaining the finding of the offense in the original procedure - are based on the documents of that procedure, complete with the pre-investigative phase, and on the documentation acquired during the present procedure. In the next section, final assessments will then be made, in light of the TAR and CdS rulings and in accordance with the principles stated therein, regarding the re-exercise of the power to ascertain the duration of the infringement contested against TIM and DAZN Limited and the redetermination of the sanction applied to DAZN Limited in relation to the impact of the Deal Memo on DAZN's direct sales.  </w:t>
        <w:br/>
        <w:t xml:space="preserve">II. THE PARTIES  </w:t>
        <w:br/>
        <w:t xml:space="preserve">5. Telecom Italia S.p.A. (hereinafter, also “TIM” - VAT No. 00488410010) is a company historically active in the installation and provision of telecommunications infrastructures, as well as in the offering of related services. As of July 1, 2024, TIM transferred its network to FiberCop S.p.A. and remains active solely in the provision of retail services. TIM is controlled by Poste Italiane S.p.A.  </w:t>
        <w:br/>
        <w:t xml:space="preserve">6. DAZN Limited (hereinafter, also “DAZN” – VAT No. 11510910968) is a company with its registered office in London and a secondary office in Italy, active in the distribution of video and television programs.  </w:t>
        <w:br/>
        <w:t xml:space="preserve">7. DAZN Media Services S.r.l. (hereinafter, also “DAZN Media” – VAT No. 07066340964) is a company active in the production and marketing of multimedia content related to sports and entertainment events on behalf of rights holders and media owners and in the sale of digital editorial products as well as video and audio through any technological platform.  </w:t>
        <w:br/>
        <w:t xml:space="preserve">The aforementioned companies (DAZN and DAZN Media) are part of the eponymous group (DAZN Group Limited) active worldwide in the distribution of audiovisual content of live sports events on internet platforms. The control of DAZN Group Limited is exercised by Access Holding.  </w:t>
        <w:br/>
        <w:t xml:space="preserve">II.1 The Intervening Parties  </w:t>
        <w:br/>
        <w:t xml:space="preserve">8. Fastweb S.p.A. (hereinafter, also “Fastweb”) provides electronic communication services. Fastweb is 100% controlled by Swisscom Italia S.r.l., which is in turn controlled by Swisscom AG, a company based in Switzerland that provides telecommunications services for residential and business customers and represents the incumbent operator in the Swiss market.  </w:t>
        <w:br/>
        <w:t>9. Vodafone Italia S.p.A. (hereinafter, “Vodafone” or “Vodafone Italia”) is a company active in providing electronic communication services, on fixed and mobile networks. Vodafone is controlled by Swisscom Italia S.r.l.</w:t>
      </w:r>
    </w:p>
    <w:p>
      <w:r>
        <w:rPr>
          <w:b/>
        </w:rPr>
        <w:t>[Pages 10–12]</w:t>
      </w:r>
    </w:p>
    <w:p>
      <w:r>
        <w:t xml:space="preserve">12 BULLETIN NO. 2 OF JANUARY 12, 2026  </w:t>
        <w:br/>
        <w:t xml:space="preserve">10. Wind Tre S.p.A. (hereinafter, "Wind Tre") is a company that provides electronic communication services over fixed and mobile networks, whose exclusive control is held by CK Hutchison Holdings Ltd.  </w:t>
        <w:br/>
        <w:t xml:space="preserve">11. Sky Italia S.r.l. (hereinafter, "SI", "Sky" or "Sky Italia") is a television operator active in offering pay TV services provided through various transmission means and, in particular, via satellite (DTH 1) and through digital terrestrial (DTT 2), as well as via cable and internet and in offering free television services. SI is controlled by Sky Italian Holdings S.p.A. SI has also obtained the general authorization pursuant to Article 25 of Legislative Decree No. 259 of August 1, 2003 ("Electronic Communications Code") for the provision of electronic communication services.  </w:t>
        <w:br/>
        <w:t xml:space="preserve">12. Open Fiber S.p.A. (hereinafter, "OF" or "Open Fiber") is a company active in the installation, provision, and operation of ultra-broadband electronic communication networks. The company is under the joint control of Cassa Depositi e Prestiti Equity S.p.A. and Macquarie Infrastructure and Real Assets (Europe) Limited.  </w:t>
        <w:br/>
        <w:t xml:space="preserve">13. Colt Technology Services S.p.A. (hereinafter, also "Colt") is a company active in providing ultra-broadband services and in the wholesale local access telecommunications services market and in the retail telecommunications services market over fixed networks.  </w:t>
        <w:br/>
        <w:t xml:space="preserve">14. Retelit Digital Service S.p.A., formerly Irideos S.p.A. (hereinafter, also "Retelit") is a company active in the market for electronic communication infrastructures and services (fixed and mobile). Among the fixed network services provided by Irideos, in addition to those offered to end customers, there are those in favor of so-called resellers: these are third-party operators who purchase "white label" services and resell them to their end customers (business or residential) with their brand and additional services.  </w:t>
        <w:br/>
        <w:t xml:space="preserve">15. Iliad Italia S.p.A. (hereinafter, "Iliad") is a company that provides electronic communication services over fixed and mobile networks, controlled by Iliad S.A., a fixed and mobile telecommunications operator active in France.  </w:t>
        <w:br/>
        <w:t xml:space="preserve">16. Linkem S.p.A. (hereinafter, "Linkem") is a company active, until 2022, in fixed electronic communication services and FWA (Fixed Wireless Access). As of October 7, 2022, Tiscali S.p.A. (hereinafter, also "Tiscali") has taken over Linkem's position as intervenor following the purchase of the business unit related to the retail communication services it provides, continuing to use the Linkem brand.  </w:t>
        <w:br/>
        <w:t xml:space="preserve">17. Associazione Italiana Internet Provider (hereinafter, also "AIIP") is an association that brings together companies active in the provision of broadband and ultra-broadband communication networks and services.  </w:t>
        <w:br/>
        <w:t xml:space="preserve">18. Federconsumatori – APS (hereinafter, also "Federconsumatori"), established in 1988 with the support of Cgil, is a non-profit association whose primary objectives are the information and protection of consumers and users3.  </w:t>
        <w:br/>
        <w:t xml:space="preserve">19. Codacons - Coordination of Associations for the Protection of the Environment and the Rights of Users and Consumers (hereinafter, also "CODACONS")4 is an association founded in 1986 as the "heir" of previous campaigns defending consumers and users.  </w:t>
        <w:br/>
        <w:t xml:space="preserve">III. THE PROCEEDING  </w:t>
        <w:br/>
        <w:t xml:space="preserve">20. As mentioned, on November 12, 2024, in light of the aforementioned TAR Judgment and in order to redefine the duration of the unlawful agreement between DAZN and TIM regarding the viewing of matches of the Serie A football championship for the three-year period 2021/2024, the Authority decided to initiate the present proceeding, pursuant to Article 14 of Law No. 287/1990, against TIM, DAZN, DAZN Media as well as the other parties intervening in the original proceeding, listed above.  </w:t>
        <w:br/>
        <w:t xml:space="preserve">21. With a subsequent measure dated June 24, 2025, following the CdS Judgment, the Authority, considering the need to take into account, in the exercise of its power, the provisions contained therein, decided to extend the deadline for closing the proceeding, originally set for June 30, 2025, to December 31, 2025, and redefined the scope of the subject of the present proceeding.  </w:t>
        <w:br/>
        <w:t xml:space="preserve">22. During the proceeding, the following companies were heard in a hearing: TIM5 on February 20, 2025, DAZN6 on February 25, 2025, Wind Tre7 on April 4, 2025, Iliad8 on May 9, 2025, and finally, Sky9 on May 29, 2025. Following the CdS Judgment, another hearing with DAZN was also held on September 17, 2025.  </w:t>
        <w:br/>
        <w:t xml:space="preserve">23. Furthermore, during the proceeding, the following submissions were received: on December 12, 2024, and June 6, 2025, the submissions from Wind Tre10; on January 30, 2025, the submission from Fastweb11; on March 19, 2025, the submission from DAZN12; on June 6, 2025, the submission from Vodafone13; on July 25, 2025, the submission from TIM14.  </w:t>
        <w:br/>
        <w:t xml:space="preserve">24. Except for Iliad, which did not request it, all operators exercised at one or more times the right of access15 to the file of the present proceeding and to the file of the original proceeding, which is an integral part of the present proceeding.  </w:t>
        <w:br/>
        <w:t xml:space="preserve">25. On July 18, 202516, a request for information was made to DAZN in order to acquire useful elements for the evaluation of the case in question, to which the aforementioned company responded on August 14, 202517.  </w:t>
        <w:br/>
        <w:t xml:space="preserve">26. On September 23, 202518, the Authority decided on the non-manifestly unfounded nature of the investigative findings (hereinafter, "CRI") which were therefore transmitted to the parties with communications dated September 24, 2025.  </w:t>
        <w:br/>
        <w:t xml:space="preserve">27. Within the deadlines set by the CRI, the Parties and the following intervening companies: Wind Tre, Fastweb, Iliad, Sky, and Vodafone communicated their willingness to be heard in a hearing before the College and also submitted their final submissions19. However, on October 31, 2025, TIM and DAZN communicated their waiver of the right to be heard in a hearing before the College and, therefore, on November 4, 2025, it was communicated to the intervenors who had requested a hearing that it would not take place.  </w:t>
        <w:br/>
        <w:t xml:space="preserve">IV. THE INVESTIGATIVE FINDINGS  </w:t>
        <w:br/>
        <w:t xml:space="preserve">Premises  </w:t>
        <w:br/>
        <w:t xml:space="preserve">28. With Measure No. 30699 of June 28, 2023, the Authority ascertained the existence of an agreement by object in violation of Article 101 TFEU between TIM, DAZN, and DAZN Media, consisting of some of the clauses contained in the Deal Memo signed on January 27, 2021, namely those clauses that, by guaranteeing TIM an exclusivity in the marketing of TV rights related to the Serie A football championship, limited DAZN commercially and technically in offering the same and hindered competing telecommunications operators from undertaking similar commercial initiatives with DAZN.  </w:t>
        <w:br/>
        <w:t xml:space="preserve">29. The restrictive clauses of competition were contained in particular in letter F) of the Deal Memo and provided through an articulated regulation20:  </w:t>
        <w:br/>
        <w:t xml:space="preserve">˗ the exclusivity in favor of TIM as the only telecommunications operator and audiovisual media operator authorized by DAZN to sell the DAZN service in a joint mode ("hard bundle") or with an à la carte offer;  </w:t>
        <w:br/>
        <w:t xml:space="preserve">˗ the prohibition for DAZN to formulate offers in partnership with other competing operators for the entire duration of the contractual relationship, in particular providing that DAZN could not, either directly or indirectly, authorize other telecommunications or audiovisual media operators to offer jointly or à la carte DAZN services. The operators were identified by name in Schedule 1 (audiovisual media operators) and Schedule 2 (Telco operators);  </w:t>
        <w:br/>
        <w:t>˗ limits to the direct distribution by DAZN of its services, establishing that DAZN: (i) could not offer its service on platforms other than the internet or include it in other channels or services; (ii) could not sub-license sports rights except for the three Serie A matches in co-exclusivity; (iii) could not allow, from July 1, 2021, the DAZN app and the DAZN 1 channel to be available on the Sky Q devices of residential Sky users or in any other service or device for Sky customers (for example, Now TV stick);</w:t>
      </w:r>
    </w:p>
    <w:p>
      <w:r>
        <w:rPr>
          <w:b/>
        </w:rPr>
        <w:t>[Pages 13–15]</w:t>
      </w:r>
    </w:p>
    <w:p>
      <w:r>
        <w:t xml:space="preserve">BULLETIN NO. 2 OF JANUARY 12, 2026 15  </w:t>
        <w:br/>
        <w:t xml:space="preserve">- reduction or complete elimination of previous commercial and contractual relationships with other operators other than TIM.  </w:t>
        <w:br/>
        <w:t xml:space="preserve">30. That said, the investigative activity carried out in the context of this proceeding concerned:  </w:t>
        <w:br/>
        <w:t xml:space="preserve">i) the lack of involvement of DAZN Media in the unlawful conduct; ii) the duration of the competitive restriction established in the final measure of the original proceeding; iii) the sanctioning treatment of DAZN. As illustrated below, the investigative findings of this proceeding lead to a modification, limited only to the three aspects just mentioned, of the Final Measure, particularly in the assessments and the deliberation, consistently with the partial annulment of the same as per the judgments of the administrative judges of the first and second instance.  </w:t>
        <w:br/>
        <w:t xml:space="preserve">IV.1 On the involvement of DAZN Media  </w:t>
        <w:br/>
        <w:t xml:space="preserve">31. It is emphasized, preliminarily, that, in light of what was established in the judgment of the Council of State, DAZN Media does not appear to be subjectively affected by the present investigative findings as it cannot be attributed with participation in the agreement related to the Deal Memo TIM/DAZN.  </w:t>
        <w:br/>
        <w:t xml:space="preserve">IV.2 On the duration of the infringement  </w:t>
        <w:br/>
        <w:t xml:space="preserve">32. The logical-legal premise for determining the actual duration of the agreement is the identification of the start date and the end date of the unlawful act. Below are the investigative findings that derive both from a new examination of the evidentiary elements acquired in the original investigation, complete with the pre-investigative phase, and from the positions of the Parties and the Interveners regarding the aspect of the duration of the infringement.  </w:t>
        <w:br/>
        <w:t xml:space="preserve">a) On the start date  </w:t>
        <w:br/>
        <w:t xml:space="preserve">33. Regarding the start date, from the analyzed evidentiary elements, it emerges that, on January 27, 2021, TIM and DAZN signed the Deal Memo. Specifically, from the examination of the Deal Memo, it appears that from that date DAZN was deprived of the possibility to:  </w:t>
        <w:br/>
        <w:t xml:space="preserve">i. enter into distributive partnerships with operators other than TIM, selectively identified in the Deal Memo as the so-called Telco Operators21;  </w:t>
        <w:br/>
        <w:t xml:space="preserve">ii. extend the non-exclusive distribution contract with another operator22*, being able only to offer the product to already acquired customers or on an à la carte basis23, in this case with economic penalties at its expense24, (omitted);  </w:t>
        <w:br/>
        <w:t xml:space="preserve">21 DC10135, Doc. Preistr. 31 – Deal Memo, Section F – Exclusivity: “DAZN shall not directly or indirectly authorize any Telco Operator and/or VPD Operator to Hard Bundle. and/or offer on an a la carte basis the DAZN Service in the Territory during the Period to residential customers”.  </w:t>
        <w:br/>
        <w:t xml:space="preserve">22 DC10135, Doc. Preistr. 31 - Deal Memo “A. (i)DAZN does not extend or renew such agreement (save to the extent (and only to such extent) required in order to achieve (ii) below); and (ii)(omitted) shall not be entitled to offer or promote (whether as part of a bundle and/or on an a la carte basis) the DAZN Service and/or accept any new subscriber of the DAZN Service during the Period, save that subscribers who will have already signed up to the DAZN Service via (omitted) prior to the Launch Date shall continue to have access to the DAZN Service (including via the (omitted) STB until 31 August 2022) for the duration of their subscription, with (omitted) being entitled to provide billing services to DAZN in respect of the same subscribers until and no later than 31 August 2022”.  </w:t>
        <w:br/>
        <w:t xml:space="preserve">* In this version, some data are omitted, as elements of confidentiality or secrecy of the information were deemed to exist.  </w:t>
        <w:br/>
        <w:t xml:space="preserve">23 DC10135 Doc. Preistr. 31 – Deal Memo, Section F “No later than the Launch Date, DAZN makes the Non-Rights Service available to (omitted) only on an à la carte basis under the (omitted) Agreement (including via the (omitted) STB).”  </w:t>
        <w:br/>
        <w:t xml:space="preserve">24 DC10135 Doc. Preistr. 31 – Deal Memo, Section F “In circumstances where DAZN elects to pursue this option B, (a) DAZN shall, subject to its existing contractual obligations, take commercially reasonable steps, compliant with applicable law, to seek to respect the exclusivity granted to TIM under this section F; and (b) subscribers shall be entitled to sign up to the Non-Rights Service pursuant to the (omitted) Agreement until 31 August 2022 (and may be billed by (omitted) for such subscriptions) (the “(omitted) Subscribers”) without DAZN being in breach of this section F and: […] (ii) the Annual MG in respect of each relevant contract year shall be reduced by an amount equal to any revenues (exclusive of VAT) received by DAZN in respect of (omitted) Subscribers (the “(omitted) Revenues”) in that contract year”.  </w:t>
        <w:br/>
        <w:t xml:space="preserve">25 See DC10135, Doc. Preistr. 31 – Deal Memo, Section F.  </w:t>
        <w:br/>
        <w:t xml:space="preserve">26 See [omitted].  </w:t>
        <w:br/>
        <w:t xml:space="preserve">27 I857C, Doc. Istr. 24. – “Wind Tre Memorandum”.  </w:t>
        <w:br/>
        <w:t xml:space="preserve">28 DC10135 Doc. Preistr. 31 and 34 – “Responses TIM and DAZN to the information requests of 27/05/2021”.  </w:t>
        <w:br/>
        <w:t xml:space="preserve">29 DC10135, Doc. Preistr. 31 - Deal Memo, Section Q),  </w:t>
        <w:br/>
        <w:t xml:space="preserve">30 The term Content Delivery Network (CDN) refers to network infrastructures created to deliver or distribute static or multimedia content to users, on demand, with performance, in terms of access delay and bandwidth used, far superior to solutions that do not use them. CDNs - also called Enterprise Content Delivery Networks (ECDN) - are, in particular, additional transmission networks and servers, placed at points in the internet network with a higher likelihood of congestion, which allow benefiting from dedicated transmission capacity and space to copy and store information present on the original servers.  </w:t>
        <w:br/>
        <w:t xml:space="preserve">31 DC10135, Doc. Preistr. 32 – “Integration of the report regarding the agreement between TIM and DAZN”.  </w:t>
        <w:br/>
        <w:t xml:space="preserve">32 I857C, Doc. Istr. 49 - “TIM hearing minutes”, I857C, Doc. Istr. 50 - “DAZN hearing minutes”.  </w:t>
        <w:br/>
        <w:t>33 I857C, Doc. Istr. 53 - “DAZN Considerations” and I857C, Doc. Istr. 102 - “TIM Considerations”.</w:t>
      </w:r>
    </w:p>
    <w:p>
      <w:r>
        <w:t xml:space="preserve">BULLETIN NO. 2 OF JANUARY 12, 2026 17  </w:t>
        <w:br/>
        <w:t xml:space="preserve">iii. continue negotiations already initiated with other Telco Operators25, which, for example, would have occurred in the context of negotiations with the company (omitted) 26 that, as will be said later, will only be resumed after August 3, 2022, that is, after the date on which the Parties signed a new agreement.  </w:t>
        <w:br/>
        <w:t xml:space="preserve">34. Moreover, from the immediately subsequent phase to the signing, documents on file show that TIM undertook initiatives fully consistent with the spirit of the Deal Memo, launching, already in May 2021, advertising campaigns aimed at the public, intended to anticipate the upcoming availability of the service, the actual commercialization of which would only be possible from July 1, 202127.  </w:t>
        <w:br/>
        <w:t xml:space="preserve">In this context, advertising messages were disseminated in which TIM presented itself as an authorized subject for the distribution of football content via streaming, which allowed it to collect the contact details of potential customers interested in watching Serie A.  </w:t>
        <w:br/>
        <w:t xml:space="preserve">35. Similarly, to ensure maximum quality in the transmission of content, in accordance with the provisions contained in the Deal Memo and as inferred from the documentation on file dated June 23, 202128, DAZN, in full adherence to the dictates of the Deal Memo29, implemented integration measures with TIM's Content Delivery Network30 (CDN), without, however, adopting equivalent solutions with other operators31.  </w:t>
        <w:br/>
        <w:t xml:space="preserve">36. Finally, (omitted), TIM sent an important operation to expand its capacity and also developed and reserved - exclusively for itself - functionalities that, from August 2021, allowed it optimal distribution of live streaming content, with the consequence that other operators were hindered from using the TIM network for distribution, unable to benefit from the same technical and economic conditions, due to the existence of technical issues related to VULA and bitstream technologies and the reduced bandwidth capacity that TIM makes available to operators as well as its excessive prices.  </w:t>
        <w:br/>
        <w:t xml:space="preserve">37. On this point, the Parties presented largely overlapping arguments during the hearings32 and in the memoranda33, asserting, instead, that the identification of the start date as the date of signing the Agreement (January 27, 2021) would be incorrect, as in the period from January 27, 2021, to July 1, 2021, there would be no objective suitability of the provisions of the Deal Memo to restrict competition.  </w:t>
        <w:br/>
        <w:t xml:space="preserve">In fact, according to the Parties:  </w:t>
        <w:br/>
        <w:t xml:space="preserve">38. Neither, in the opinion of the Parties, would it be shareable what some interveners claimed during this proceeding regarding the relevance of the Deal Memo concerning the alleged interruption of certain negotiations between DAZN and (omitted), as the decision not to conclude the negotiation would have occurred already before the signing of the Deal Memo, would concern a territorial scope much broader than the Italian one and, in any case, would depend on the inability to reach a contractual solution that satisfied the mutual interests of the parties36.  </w:t>
        <w:br/>
        <w:t xml:space="preserve">39. According to TIM37, moreover, the growth in the number of customers recorded by the company - starting from June 2021 - in the Fiber To The Home (FTTH) connectivity segment would be attributable to causes independent of the TV rights for football38 (for example, use of platforms post-Covid, switch between broadband and ultra-broadband) considering that the commercialization of the rights would have started only from the following month of July 2021.  </w:t>
        <w:br/>
        <w:t xml:space="preserve">40. In conclusion, TIM, while acknowledging, in its memorandum, that the nature of the agreement - as restrictive by object - finds support in the judgment of the Council of State, believes that the start date does not coincide with the date of signing the Deal Memo, but with the moment when the rights entered its legal sphere (July 1, 2021)39.  </w:t>
        <w:br/>
        <w:t xml:space="preserve">41. Completely different positions, and substantially coinciding among themselves, are instead those expressed by the Interveners who, in the memoranda submitted, assert that they consider the reconstruction of the duration of the infringement from January 27, 2021, to August 3, 2022, to be correct, based on the arguments summarized below.  </w:t>
        <w:br/>
        <w:t xml:space="preserve">42. Firstly, given the explicit nature of the exclusivity clauses, the initial date of the infringement coincides, according to the Interveners, with that of signing the Deal Memo.  </w:t>
        <w:br/>
        <w:t xml:space="preserve">34 That is, the awarding of both the exclusive assignment of 7 matches and the co-exclusive assignment of 3 matches.  </w:t>
        <w:br/>
        <w:t xml:space="preserve">35 I857C, Doc. Istr. 57 - “DAZN Considerations”, accessible version, see especially §4, where it is found that considering that the Serie A Championship starts on July 1, according to DAZN, before that date the Lega Calcio “does not allow any promotion and/or commercialization of the TV rights”. In this regard, DAZN refers to Article 12.1 of the Invitation to Tender for Communication Operators of the Lega Nazionale Professionisti Serie A - 2021/2024 which states: “The License Agreement... is effective during the three Sports Seasons 2021/2022, 2022/2023, and 2023/2024...”. The definition of “Sports Season” is provided in the same Invitation which clarifies “It is the period, according to sports regulations, that normally runs from July 1 to June 30 of the following calendar year”.  </w:t>
        <w:br/>
        <w:t xml:space="preserve">36 See: I857C, Doc. Istr. 57 - “DAZN Considerations” see especially §21 and §25, Annex A and Annex B.  </w:t>
        <w:br/>
        <w:t xml:space="preserve">37 See also I857C, Doc. Istr. 102 - “TIM Considerations”, where TIM reiterates the increase in FTTH customers to autonomous factors, distinct from the possession of TV rights.  </w:t>
        <w:br/>
        <w:t xml:space="preserve">38 In particular, TIM points out that the recorded growth must be interpreted in light of the fact that the entry into this segment occurred later than competitors, as the company had long focused on achieving a position in the FTTC segment, see I857C, Doc. Istr. 102 - “TIM Considerations”.  </w:t>
        <w:br/>
        <w:t>39 On this point see I857C, Doc. Istr. 102 - “TIM Considerations”.</w:t>
      </w:r>
    </w:p>
    <w:p>
      <w:r>
        <w:rPr>
          <w:b/>
        </w:rPr>
        <w:t>[Pages 16–18]</w:t>
      </w:r>
    </w:p>
    <w:p>
      <w:r>
        <w:t xml:space="preserve">18 BULLETIN NO. 2 OF JANUARY 12, 2026  </w:t>
        <w:br/>
        <w:t xml:space="preserve">Memo40. In this context, the moment when the effects of the prohibited conduct occur would not be relevant and therefore the date of actual commercialization of the rights (July 1, 2021) would not be able to affect the dies a quo.  </w:t>
        <w:br/>
        <w:t xml:space="preserve">43. In any case, the Interveners perceive the occurrence of effects from the moment immediately following the signing of the Deal Memo and, in any case, well before the date of commercialization to the public of the rights (July 1, 2021), considering that from the outset the contested clauses prevented DAZN from concluding partnerships with other operators. It is recalled that typically distributive partnerships (prohibited by the Deal Memo) presuppose preparatory activities of a technical and commercial nature that need to be concluded before the market launch of the related offers. Such partnerships, in a scenario without an agreement, would certainly have been negotiated well before the date of commercialization to the public of the TV rights (July 1, 2021)41, which is instead taken as a reference as the dies a quo in the final Measure.  </w:t>
        <w:br/>
        <w:t xml:space="preserve">44. Still regarding the existence of the harmful suitability of the Deal Memo since its signing, the Interveners highlight that:  </w:t>
        <w:br/>
        <w:t xml:space="preserve">a) DAZN would have limited/discontinued commercial collaborations and ongoing negotiations between them42;  </w:t>
        <w:br/>
        <w:t xml:space="preserve">b) TIM would have carried out misleading advertising campaigns43 aimed at making pre-emption, gathering their customer base;  </w:t>
        <w:br/>
        <w:t xml:space="preserve">c) the incentives of the Parties to make investments in the operation and enhancement of access networks would have changed, to the detriment of other operators present in the market44.  </w:t>
        <w:br/>
        <w:t xml:space="preserve">b) On the dies ad quem  </w:t>
        <w:br/>
        <w:t xml:space="preserve">45. As for the dies ad quem, from the instructive elements on file, it appears that, on August 3, 2022, TIM and DAZN signed a new agreement (called "Distribution Agreement"45) in which the exclusivity clause in force between the Parties was expressly eliminated (per Article 4 – Non Exclusivity). This restored, from a commercial point of view, to the operators the opportunity to negotiate with DAZN for distributive partnerships of football content and, therefore, to offer, also in combination, connectivity services and audiovisual content with reference to the Serie A championship. Furthermore, from a technical standpoint, the new agreement has returned to DAZN the possibility of distributing football content on technological platforms (DTH and DTT), other than the internet.  </w:t>
        <w:br/>
        <w:t xml:space="preserve">46. As a result of overcoming the exclusivity, following the Distribution Agreement, DAZN and SKY have concluded a "Platform Services and Commercial Promotion" agreement which allowed the inclusion from August 8, 202246 of the DAZN App and the linear channel "Zona DAZN" on SKY Q devices (so-called Term Sheet DAZN affiliate and marketing services agreement47).  </w:t>
        <w:br/>
        <w:t xml:space="preserve">47. Furthermore, the elements on file show the actual resumption, after August 3, 2022, of negotiations with Vodafone48 (August 29, 2022) as well as negotiations with Wind Tre (September 27, 2022)49 which, as described in the preceding part, had been interrupted due to the Deal Memo signed between DAZN and TIM. Thus, it emerges that, from August 3, 2022, the constraints that strongly limited the commercialization of the Rights by DAZN, essentially preventing third parties from accessing the market, to the advantage of TIM, effectively ceased.  </w:t>
        <w:br/>
        <w:t xml:space="preserve">48. In this regard, the Parties believe that the dies ad quem should be identified at the moment of the implementation and adoption of the voluntary measures50 and, therefore, at the date of August 2, 2021.  </w:t>
        <w:br/>
        <w:t xml:space="preserve">49. In particular, TIM asserts that the voluntary measures concerning technical aspects have been correctly executed51: they would have also involved the pay-TV market, would have been implemented within the established times52, and would have entailed the adoption of technical measures aimed at overcoming the reception problems recorded in certain areas of the country. Furthermore, TIM reiterates having  </w:t>
        <w:br/>
        <w:t xml:space="preserve">46 I857, Doc. Istr. 402 - "Response from Sky to the request for information made during the hearing of 14/10/2022"  </w:t>
        <w:br/>
        <w:t xml:space="preserve">47 I857, Doc. Istr. 458 - "Response from DAZN to the request for information made during the hearing of 30/11/2022" (accessible version Doc. Istr. 477).  </w:t>
        <w:br/>
        <w:t xml:space="preserve">48 See I857, Doc. Istr. 462 - "Accessible version of the minutes of the DAZN hearing of 30/11/2022".  </w:t>
        <w:br/>
        <w:t xml:space="preserve">49 See I857, Doc. Istr. 462 - "Accessible version of the minutes of the DAZN hearing of 30/11/2022"; see also I857, Doc. Istr. 347 - "Request to start commercial negotiation" and I857, Doc. Istr. 460 – "Minutes of the meeting between DAZN and Wind Tre".  </w:t>
        <w:br/>
        <w:t xml:space="preserve">50 In practice, with the voluntary measures TIM committed to: a) not to offer in bundle (contractual or economic) access network services and football content services, allowing the customer the freedom to choose to purchase access services and/or football content services; b) in case of bundled purchase of the TIM Vision service and football content, including the DAZN service, not to discriminate the price based on the internet connection provider and not to condition the subscription to the service on the signing of a subscription to TIM access services, c) to consider inapplicable the provision that limited DAZN's ability to propose discounts and promotions. At the same time, DAZN committed to preparing a so-called backup transmission solution on digital terrestrial, particularly for users located in areas with limited internet access, in addition to further commitments made together with TIM to allow for better signal transmission (e.g., multicast solution, making DAZN Edge available).  </w:t>
        <w:br/>
        <w:t xml:space="preserve">51 See I857C, Doc. Istr. 49 – "minutes of the TIM hearing". In the minutes of the hearing, reference is made to the preparation of a backup solution in DTT (i.e., a channel) for users located in areas with greater infrastructural limits regarding the internet network with limited access to broadband/super-broadband and to the provision by DAZN of decoders (so-called Set Top Box) necessary to enjoy this service.  </w:t>
        <w:br/>
        <w:t xml:space="preserve">52 Regarding the aforementioned measures, DAZN points out that the reference made in the Judgment to a "late" preparation of the technical measures to be adopted by DAZN (in particular the backup channel accessible through the digital terrestrial platform - DTT) was not verified by AGCOM and AGCM and in any case, if this had occurred, it would not have had an effect on the Interveners.  </w:t>
        <w:br/>
        <w:t xml:space="preserve">With reference instead to the development of the so-called multicast transmission technical solution (technology that allows the sending of a single data stream to "n." users allowing for less use of network resources, compared to the unicast solution characterized by a data stream for each user), which according to DAZN could have been implicitly considered in the TAR Judgment as proof of the failure to implement the measures. In this regard, DAZN recalls that this solution was provided for in the AGCOM Guidance Document as a medium/long-term solution ("[i]n the medium/long-term horizon, the above-mentioned solution [DAZN Edge, ed.] could be accompanied by a multicast-type solution that optimizes the use of network resources by duplicating video streams only where necessary"), therefore according to DAZN the implementation of this system would not be relevant for the purposes of evaluating the adoption of the measures (I857C Doc. Istr. 53 §36) (accessible version Doc. Istr. 57 §36).  </w:t>
        <w:br/>
        <w:t xml:space="preserve">20 BULLETIN NO. 2 OF JANUARY 12, 2026  </w:t>
        <w:br/>
        <w:t xml:space="preserve">timely interrupted its offers containing bundles or under-cost conditions. This would be sufficient, for TIM, to determine the removal of the issues related to the Deal Memo, as would be stated by the Authority in the final Measure53 of June 28, 2023.  </w:t>
        <w:br/>
        <w:t xml:space="preserve">50. Furthermore, in the opinion of the Parties, the extension of the analysis of the effects carried out in the original CRI, beyond the term then identified in the Measure for the cessation of the agreement, appears merely aimed at verifying the post-factual situation, in accordance with the judgments of the Court of Justice54 and with the treatment of cases of violations of Article 101 TFEU per se, without deriving from this the obligation to use this period for the purpose of identifying the duration of the infringement.  </w:t>
        <w:br/>
        <w:t xml:space="preserve">51. As for having originally considered the new agreement of August 2022 as a mitigating circumstance, TIM55 believes that, in a context of uncertainty about the outcomes of the procedure, the spontaneous and "virtuous" behavior adopted by the Parties, with the modification of the Deal Memo and the adoption of the voluntary measures, can be taken into account, where, as in this case, this has resolved the potential effects on competition.  </w:t>
        <w:br/>
        <w:t xml:space="preserve">52. Conversely, the Interveners emphasize that it is not possible to trace the dies ad quem to the date of adoption of the voluntary measures, but it must be identified on August 3, 2022, as the technical and/or commercial solutions defined therein:  </w:t>
        <w:br/>
        <w:t xml:space="preserve">a) would not have affected all the contractual restrictions contained in the Deal Memo. Even after the measures, serious restrictions would have remained in place, such as the impossibility for DAZN to enter into partnerships with TIM's competitors for bundled offers56 or the prohibition of making content available on digital and satellite transmission platforms (resulting in the removal of a form of competition in the pay-TV market, with negative effects in terms of prices, quality, and choices) as well as the possibility of entering into agreements with audiovisual media operators to jointly or à la carte offer DAZN services;  </w:t>
        <w:br/>
        <w:t xml:space="preserve">b) would not have been suitable to overcome the infringement or would not have found complete or timely implementation (in this sense, consider the malfunctions detected and the poor quality of transmission, as per the cited documentation57);  </w:t>
        <w:br/>
        <w:t xml:space="preserve">53 In this regard, the Parties also make considerations regarding what was decided by the administrative judges regarding the correctness of the Authority's actions on the contradiction between the evaluation that led to the rejection of the commitments proposed by the Parties – which mirrored the voluntary measures – and the subsequent identification, in the final Measure, of the implementation of the voluntary measures as the moment of cessation of the unlawful conduct.  </w:t>
        <w:br/>
        <w:t xml:space="preserve">Indeed, the evaluation of the commitments (which concluded with their rejection) takes place at a distinct procedural moment and is aimed at a different function compared to the evaluation of the ascertainment of the duration of the infringement contained in the Measure. Therefore, it does not detract from the fact that those same measures, then proposed as commitments, may receive a different consideration from the Authority as a result of the conduct of the investigation, assuming a further different value over time.  </w:t>
        <w:br/>
        <w:t xml:space="preserve">Similarly, DAZN emphasizes that the decision to reject the commitments is nonetheless consistent with what emerged from the market test, following which the Authority requested accessory modifications that were solely accepted by DAZN, while TIM did not consider confirming the voluntary commitments already proposed during the precautionary phase. In this sense, the subsequent interest in ascertaining the infringement and the identification in the CRI of a broader time frame for the infringement should be read, without however leading to questioning the fact that the infringement can be considered ceased with the implementation of the voluntary measures.  </w:t>
        <w:br/>
        <w:t xml:space="preserve">Furthermore, in the opinion of the Parties, the extension of the analysis of the effects carried out in the CRI, beyond the term then identified in the Measure for the cessation of the agreement, appears merely aimed at verifying the post-factual situation, in accordance with the judgments of the Court of Justice (Bank Cards, Budapest Bank, and most recently Servier - Judgment of December 12, 2018 – T-691/14) and with the treatment of cases of violations of Article 101 TFEU per se.  </w:t>
        <w:br/>
        <w:t xml:space="preserve">54 Bank Cards, Budapest Bank, and most recently Servier (Judgment of December 12, 2018 – CASE T-691/14).  </w:t>
        <w:br/>
        <w:t xml:space="preserve">55 I857C, Doc. Istr. 49 – Minutes of the TIM hearing.  </w:t>
        <w:br/>
        <w:t xml:space="preserve">56 Consider: the impossibility of using the digital terrestrial transmission platform or the satellite one, the impossibility of making the DAZN App available on the Sky Q and Vodafone internet platforms.  </w:t>
        <w:br/>
        <w:t>57 I857C, Doc. Istr. 79 §3.6, Minutes of the Sky hearing which refers, among other things, to docs. I857 Doc. Istr. 176 and 185.</w:t>
      </w:r>
    </w:p>
    <w:p>
      <w:r>
        <w:rPr>
          <w:b/>
        </w:rPr>
        <w:t>[Pages 19–21]</w:t>
      </w:r>
    </w:p>
    <w:p>
      <w:r>
        <w:t xml:space="preserve">BULLETIN NO. 2 OF JANUARY 12, 2026 21  </w:t>
        <w:br/>
        <w:t xml:space="preserve">c) would have recorded technical issues during execution, impacting other operators (consider that DAZN would not have timely adopted technical solutions aimed at minimizing the risk of service congestion58).  </w:t>
        <w:br/>
        <w:t xml:space="preserve">53. In this regard, the Interveners emphasize how TIM itself attributed, in the presentation made to its investors, the positive results achieved in the third quarter of 2021 to the specific support provided by the sports content of Serie A59: the launch of football content would have supported the increase in Ultrabroadband net adds (by 42%) and a reduction in the churn rate of broadband customers (by 25% compared to the previous year), thus it follows that, even if the measures had been correctly implemented, they would not have led to the effects claimed by TIM itself.  </w:t>
        <w:br/>
        <w:t xml:space="preserve">54. Conversely, the Interveners, also based on economic analyses conducted over a broader time frame, believe that the infringement cannot be understood as limited to the date of adoption of the measures, having continued at least until the date of the new agreement (August 3, 2022).  </w:t>
        <w:br/>
        <w:t xml:space="preserve">55. In particular, in their opinion, it emerges that TIM, even beyond the date of adoption of the measures, continued to acquire market shares in the FTTH (Fiber To The Home) segment, allowing it to become, in June 2022, the leading market operator, recording growth rates double those of the second operator (Wind Tre). Furthermore, from the data acquired in the original proceeding related to the fiber access market (FTTH) indicated by the AGCOM Communications Observatory and taken up by the Authority, it is, in Wind Tre's opinion, possible to analyze the effects of the Deal Memo, capturing the situation of the FTTH sub-market highlighting how over the course of 15 months (June 2021-September 2022) TIM recorded the highest growth rate in the segment, thus achieving leadership in FTTH fiber access and reaching a share of 23.1%, starting from the fourth position held in June 202160.  </w:t>
        <w:br/>
        <w:t xml:space="preserve">58 This refers in particular to the inadequate sizing of interconnection forms based on DAZN's servers (the so-called DAZN Edge) and the unmet obligation of TIM to provide multicast technology (which, it is recalled, consists of transmitting a single signal to all users) also on the VULA (Virtual Unbundling Local Access, a service that facilitates access to fiber broadband, allowing connectivity operators to use the networks of other operators without having to build their own infrastructure). The need to ensure a quality service would therefore have led operators like Fastweb to make significant investments, or to choose more expensive transport solutions (such as bitstream, which constitutes an interconnection that allows competitors to use the network of the dominant operator to offer internet access services, without needing to build and manage their own infrastructure in the last mile, that is, the line segment from the telephone exchange to the user's home) from TIM itself. I857C, Doc. Istr. 41 “Fastweb Observations” §2.2.  </w:t>
        <w:br/>
        <w:t xml:space="preserve">59 I857C, Doc. Istr. 75 – “Minutes of Iliad hearing”: “In fixed, we launched a football offer as exclusive distributor of DAZN. This is supporting churn reduction and the acceleration of ultra broadband access growth. Indeed, in the first 9 months of 2021, we almost doubled our fiber net adds compared to the first 9 months of 2019 […] the benefit on our KPIs are evident […] it is the first TIM ever that fixed churn falls in the summer quarter, with further boost to our ultrabroadband net adds,” Statement made by the CEO of TIM L. Gubitosi on October 21, 2021.  </w:t>
        <w:br/>
        <w:t>60 In this sense, see also what was stated by Iliad in the hearing minutes (I857C, doc. istr. 75) referring to the arguments present in file I857, Doc. Istr. 493 (CRI accessible to Third Parties) §224, 242, 247 regarding the favorable effects for TIM and the presence of a correlation between the implementation of the Agreement on football content and the acquisition of new fixed customers by TIM.</w:t>
      </w:r>
    </w:p>
    <w:p>
      <w:r>
        <w:t xml:space="preserve">22 BULLETIN NO. 2 OF JANUARY 12, 2026  </w:t>
        <w:br/>
        <w:t xml:space="preserve">56. Moreover, according to the Interveners, distorting elements61 of competition would also exist after62 the date of the removal of exclusivity (August 3, 2022), fearing a duration of the infringement that goes beyond that date63.  </w:t>
        <w:br/>
        <w:t xml:space="preserve">IV.3 On the determination of the sanction  </w:t>
        <w:br/>
        <w:t xml:space="preserve">57. As a preliminary matter, it is recalled that in the Measure, the agreement was qualified as a serious restrictive agreement of competition with consequent application, by the Authority, of monetary sanctions against TIM and DAZN, pursuant to Article 15 of Law No. 287/1990.  </w:t>
        <w:br/>
        <w:t xml:space="preserve">58. The Authority, in accordance with the “Guidelines on the application of the criteria for quantifying administrative monetary sanctions imposed by the Authority in application of Article 15, paragraph 1, of Law No. 287/1990,” had determined the amount of the monetary sanction using, as specific revenue, for DAZN, the compensation recognized by TIM as a minimum guarantee as well as the revenues from direct sales, for a total amount of [€ 500,000,000 – 1,000,000,000]64, while for TIM, as specific revenue that attributable to the marketing of the audiovisual rights subject to the Deal Memo, for a total amount of [€ 50,000,000 – 100,000,000]. Furthermore, the final Measure took into account the following elements:  </w:t>
        <w:br/>
        <w:t xml:space="preserve">- the application of a percentage of 15% to the value of the sales to which the infringement referred, being a horizontal agreement in violation of Article 101 TFEU65;  </w:t>
        <w:br/>
        <w:t xml:space="preserve">- the time frame of the infringement, determined to be 32 days66;  </w:t>
        <w:br/>
        <w:t xml:space="preserve">- the recognition of a mitigating circumstance represented by the signing of the new agreement of August 3, 2022, as the contractual changes made had eliminated the competitive issues related to the distribution exclusivity (with a 30% reduction applied67).  </w:t>
        <w:br/>
        <w:t xml:space="preserve">59. The Authority then imposed a sanction of € 760,776.82 on TIM and a joint sanction of € 7,240,250.84 on DAZN and DAZN Media.  </w:t>
        <w:br/>
        <w:t xml:space="preserve">a) On the sanction of DAZN  </w:t>
        <w:br/>
        <w:t xml:space="preserve">60. In light of the ruling of the Council of State, the necessary information was acquired – through a specific request for information and a hearing with DAZN69 – in order to verify  </w:t>
        <w:br/>
        <w:t xml:space="preserve">61 In particular, the Interveners reiterate that new activations by other operators would have been discouraged by the fact that the customer base was already “swept up” by TIM and was subject to lock-in clauses lasting 24-48 months (I857C – Doc. Istr. 75 – “minutes of Iliad hearing”).  </w:t>
        <w:br/>
        <w:t xml:space="preserve">62 By way of example, reference is made to I857C – Doc. Istr. 79 - “Minutes of Sky hearing,” in which Sky complains of strong limitations to the mode of collaboration defined with DAZN in the new agreement (in I857 doc. istr. 325), considering that it will be limited to performing the function of a technical platform to sell football content as an add-on to the DAZN App.  </w:t>
        <w:br/>
        <w:t xml:space="preserve">63 I857C, Doc. Istr. 69 - “Minutes of Wind Tre hearing” (“although – in Wind Tre's opinion – the effects of the infringement have extended beyond that deadline”) as well as Doc. Istr. 79, Minutes of Sky hearing “Sky believes that the infringement lasted at least until August 3, 2022 (the date of signing of the Distribution Memo), with the clarification that, as already argued during the I857 proceeding, it believes that the infringement continued considering the limitations contained therein to the terms and conditions that DAZN could have agreed with Sky.”  </w:t>
        <w:br/>
        <w:t xml:space="preserve">64 In particular, the revenue achieved for the payment of the minimum guarantee was [omitted], while the revenue achieved from direct sales was [omitted].  </w:t>
        <w:br/>
        <w:t xml:space="preserve">65 See Prov. No. 30699/2023, §374-383.  </w:t>
        <w:br/>
        <w:t xml:space="preserve">66 On this point see Prov. No. 30699/2023, §387.  </w:t>
        <w:br/>
        <w:t xml:space="preserve">67 See Prov. No. 30699/2023, §384 - §386.  </w:t>
        <w:br/>
        <w:t xml:space="preserve">68 On this point see Provv. No. 30699/2023, §388.  </w:t>
        <w:br/>
        <w:t>69 I857C, Doc. Istr.105 and Doc. Istr. 111 - “Minutes of DAZN hearing of September 17, 2025.”</w:t>
      </w:r>
    </w:p>
    <w:p>
      <w:r>
        <w:t xml:space="preserve">BULLETIN NO. 2 OF JANUARY 12, 2026 23  </w:t>
        <w:br/>
        <w:t xml:space="preserve">whether and to what extent the Deal Memo and, in particular, the financial contribution provided by TIM to DAZN, consisting of the minimum guarantee, impacted the direct sales of the latter70.  </w:t>
        <w:br/>
        <w:t xml:space="preserve">61. In this regard, DAZN preliminarily stated that there is no correlation between direct sales and the Deal Memo, and this would be demonstrated primarily by the fact that DAZN opted for a semi-exclusive (and not a full exclusive with TIM) precisely in order to maintain its sales also through direct channels. Indeed, DAZN has repeatedly provided evidence of the competitive opposition of such sales with those made through TIM. In this regard and in support of this, the company also highlighted that for the subscription of contracts concluded by TIM, (omitted).  </w:t>
        <w:br/>
        <w:t xml:space="preserve">62. Furthermore, DAZN71 claims that the absence of impact from the resources derived from the agreement would also be demonstrated by the proportionality relationship existing between the (omitted) (equal to [40-60%]) and the revenues derived solely from direct sales which, being only about [30-50%] of the total sales revenues, can and must be attributed exclusively to its own resources. Moreover, according to DAZN, if for the purposes of determining the sanction, the revenues from direct sales were also used, there would be an undue double accounting of the revenues derived from the Deal Memo, for the purposes of calculating the sanction.  </w:t>
        <w:br/>
        <w:t xml:space="preserve">b) On the sanction of TIM  </w:t>
        <w:br/>
        <w:t xml:space="preserve">63. As a preliminary matter, it is recalled that the TAR72 and CdS rulings rejected all appeals, on one side from the interveners and on the other from TIM itself, regarding the quantification of the sanction imposed on TIM in the final Measure.  </w:t>
        <w:br/>
        <w:t xml:space="preserve">However, since the duration of the infringement is an element that has affected the quantification of TIM's sanction, the latter has nonetheless provided arguments73 aimed at excluding - in the denied hypothesis that the Authority's power of re-examination in this proceeding leads to an extension of the duration of the infringement as identified in the final Measure - the modifiability of the sanction.  </w:t>
        <w:br/>
        <w:t xml:space="preserve">64. In particular, TIM stated that: i) the complaint by Fastweb aimed at obtaining its increase was declared inadmissible by the TAR, with a ruling that was not appealed and thus has become final; ii) the Council of State, in rejecting TIM's appeal on the sanctioning treatment, confirmed the TAR's assessment and the legitimacy of the amount; and, finally, iii) by virtue of the full jurisdiction under Article 134 of the Administrative Procedure Code, such decision would bind the Authority, so that – according to TIM – the sanction must be considered definitively consolidated and no longer reviewable within the re-investigation procedure.  </w:t>
        <w:br/>
        <w:t xml:space="preserve">70 On this point see Cons. Stato No. 5357/2025, § 35.1. More fully, it has been stated as follows: “if it is true that the Deal Memo had, in any case, allowed DAZN to obtain the necessary resources for the award (and, therefore, to be able to subsequently sell its service directly as well), it must, however, be considered that an integral inclusion of the sales would essentially translate into the assertion of the illegitimacy of the tender itself, which – as stated – has not been contested by the A.G.C.M. Consequently, there is a lack of investigation and motivation of the measure in the part in which the Authority has operated an integral inclusion of such sales, without verifying what percentage of such direct sales could, in any case, be traced back to the “Deal Memo” in the only contested and relevant part, relating to the impact of Telecom's financial provision for participation in the tender and the awarding of the rights. The decision must therefore be annulled in part, with the obligation of the A.G.C.M. – in the exercise of its power – to verify what is (and, first of all, whether there is) an actual impact of the “Deal Memo” in the parts contested by the A.G.C.M. on DAZN's direct sales, fully excluding such sales where it is not, instead, possible to make a clear estimate of the increases in direct sales resulting from the “Deal Memo” due to – as explained – the financial contribution in the tender.”  </w:t>
        <w:br/>
        <w:t xml:space="preserve">71 On this point see I857C, Doc. 105 – “DAZN's response to the information request of July 17, 2025” and Doc. 111 “Minutes of DAZN hearing of September 17, 2025.”  </w:t>
        <w:br/>
        <w:t xml:space="preserve">72 On this point, the TAR ruling at §36.10 indicates “that the amount imposed is not in dispute.”  </w:t>
        <w:br/>
        <w:t>73 See I857C, Doc. Istr. 102 – “TIM Considerations.”</w:t>
      </w:r>
    </w:p>
    <w:p>
      <w:r>
        <w:rPr>
          <w:b/>
        </w:rPr>
        <w:t>[Pages 22–24]</w:t>
      </w:r>
    </w:p>
    <w:p>
      <w:r>
        <w:t xml:space="preserve">24 BULLETIN NO. 2 OF JANUARY 12, 2026  </w:t>
        <w:br/>
        <w:t xml:space="preserve">V. THE FINAL MEMORANDA OF THE PARTIES AND INTERVENORS IN THE PROCEEDING  </w:t>
        <w:br/>
        <w:t xml:space="preserve">The Positions of the Parties  </w:t>
        <w:br/>
        <w:t xml:space="preserve">65. TIM and DAZN, as highlighted above, have presented their defensive arguments throughout this proceeding, which, following the submission of the CRI, have been further elaborated and expanded in the final memoranda received on October 31, 202574.  </w:t>
        <w:br/>
        <w:t xml:space="preserve">66. Initially, both Parties, albeit with different nuances, emphasize that the subject of this proceeding should be limited to providing a different rationale for the final measure, without, however, leading to a redefinition - to the detriment - of the time frame of the infringement. In other words, the Parties argue that the administrative judges would not have annulled the determination of the duration set forth in the final measure but would have merely identified an illogical rationale for that measure that needed to be rectified through this proceeding.  </w:t>
        <w:br/>
        <w:t xml:space="preserve">67. Furthermore, from a different perspective, both TIM and DAZN assert that, following the CRI, the subject of the proceeding is unclear, as it seems to concern the Deal Memo as a whole and not just those clauses assessed as restrictive of competition in the final measure.  </w:t>
        <w:br/>
        <w:t xml:space="preserve">68. In light of the above, TIM and DAZN reiterated observations, largely overlapping with those already raised during the investigation, focusing on the dies a quo and ad quem of the unlawful act, as identified in the CRI.  </w:t>
        <w:br/>
        <w:t xml:space="preserve">i) Dies a quo  </w:t>
        <w:br/>
        <w:t xml:space="preserve">69. For both TIM and DAZN, the erroneous identification of the dies a quo as January 27, 2021, would be attributable to the following aspects:  </w:t>
        <w:br/>
        <w:t xml:space="preserve">(i) The nature of the agreement does not automatically determine that the dies a quo coincides with the date of signing the agreement75.  </w:t>
        <w:br/>
        <w:t xml:space="preserve">(ii) The CRI does not clarify why the imposition of a suspensive condition nonetheless renders the Agreement effective even before its fulfillment. According to the Parties, the contested subject comes into existence only from July 1, 2021, when TIM can market bundled services, consistent with the distinction contained in the Deal Memo between the effective date (March 2021) and the launch date (July 1, 2021).  </w:t>
        <w:br/>
        <w:t xml:space="preserve">(iii) Only from July 1, 2021, is the prohibition on partnerships with third parties in effect; evidence of this is that before that date, DAZN could freely enter into or continue agreements, holding rights to 3 matches from the previous football season (2018-2021). Regarding the relationship with [omitted], the contract for the rights 2018-2021, expiring in August 2022, would have been terminated - according to DAZN - due to a breach by [omitted] of [omitted]. Therefore, there would be no connection between the termination of the relationship with [omitted] and the Deal Memo, and even if there were a connection, TIM emphasizes that this would not allow for backdating the dies a quo to January 202176.  </w:t>
        <w:br/>
        <w:t xml:space="preserve">74. See I857C, Doc. Istr. 151 – “Final Memorandum TIM” and Doc. Istr. 156 – “Final Memorandum DAZN”.  </w:t>
        <w:br/>
        <w:t xml:space="preserve">75. To support its thesis, TIM refers to case I790 (Sale of Sports Rights Serie A – 2015-2018) in which the restrictive agreement was not assessed from the date of signing.  </w:t>
        <w:br/>
        <w:t>76. Furthermore, TIM argues that there were no actual negotiations between Vodafone and DAZN for the rights 2021-2024, while DAZN claims to have expressed willingness to continue negotiations with Vodafone for all other aspects other than the distribution of Serie A content. Regarding the economic penalties provided for in the Deal Memo, on DAZN, in the event of the sale of "à la carte" content by Vodafone, these were strictly necessary to protect TIM's financial investment.</w:t>
      </w:r>
    </w:p>
    <w:p>
      <w:r>
        <w:t xml:space="preserve">BULLETIN NO. 2 OF JANUARY 12, 2026 25  </w:t>
        <w:br/>
        <w:t xml:space="preserve">Regarding the interruption of negotiations with [omitted], there would be no causal link with the signing of the Deal Memo: the contested interactions date back to 2019-2020, a period during which DAZN was initiating discussions with various operators to define agreements with a minimum guarantee that [omitted] would have legitimately chosen not to consider.  </w:t>
        <w:br/>
        <w:t xml:space="preserve">(iv) The preparatory technical and commercial activities prior to the marketing of the rights would be entirely unrelated to the Deal Memo. In particular, the advertising campaign of May/June 2021 did not aim to benefit TIM in the distribution of Serie A, not evidencing the existence of exclusivity. Furthermore, the transmission of content via multicast would be the result of an autonomous choice by TIM (also because DAZN would not have had an interest in disadvantaging other operators) and the burden of technical collaboration between the Parties commenced only from July 1, 2021.  </w:t>
        <w:br/>
        <w:t xml:space="preserve">ii) Dies ad quem  </w:t>
        <w:br/>
        <w:t xml:space="preserve">70. In addition to reiterating the arguments already made during the proceeding and previously illustrated, the erroneous identification of the dies ad quem as August 3, 2022, is attributable to a fundamentally incorrect approach.  </w:t>
        <w:br/>
        <w:t xml:space="preserve">71. In particular, according to the Parties, asserting that the agreement ceases only with the end of exclusivity and that the voluntary measures of July 2021 did not eliminate the antitrust issues related to the Deal Memo would imply erroneously considering that every exclusivity clause violates Article 101 TFEU, which would contradict the principles of antitrust law in this area. Consequently, the dies ad quem should coincide with August 2, 2021, the moment when the parties would have implemented the voluntary measures and thus the bundle would have ceased to exist.  </w:t>
        <w:br/>
        <w:t xml:space="preserve">72. In this regard, TIM submitted, along with the final memorandum, an economic report that - focusing on the analysis of effects - addresses two key points: a) the growth recorded in the FTTH segment during the exclusivity period would not have depended on it "having proven to be irrelevant to the competitive structure and positioning of the OAO, which could easily replicate (the content) resulting from alternative commercial strategies"; b) after August 3, 2022, there would have been "no change in competitive dynamics" as the commercial policies of the OAO continued not to include the offer of DAZN content, deducing that the exclusivity did not constitute a significant competitive constraint for the OAO.  </w:t>
        <w:br/>
        <w:t xml:space="preserve">iii) On the sanction  </w:t>
        <w:br/>
        <w:t xml:space="preserve">73. Regarding the quantification of the sanction, TIM reiterated the unchangeability to the detriment of the same, also considering the absence of considerations on this point in the CRI. In the denied hypotheses of redefinition to the detriment of the sanction, DAZN, in a subordinate manner, also requested to recalibrate the severity percentage taking into account the adoption of the measures and the demonstrated collaboration.  </w:t>
        <w:br/>
        <w:t xml:space="preserve">The Arguments of the Intervenors  </w:t>
        <w:br/>
        <w:t xml:space="preserve">74. Conversely, the Intervenors, with similar arguments, shared in their memoranda77 the extension of the infringement period, as indicated in the CRI.  </w:t>
        <w:br/>
        <w:t xml:space="preserve">In practice, the considerations developed, which reiterate what has already been asserted during the investigation, support the correctness of the analysis carried out by the offices on the temporal scope of the unlawful act.  </w:t>
        <w:br/>
        <w:t>77. See I857C – Doc. Istr. 148 (Wind Tre) – 150 (Fastweb) – 153 (Sky) – 155 (Vodafone) – 164 (Iliad).</w:t>
      </w:r>
    </w:p>
    <w:p>
      <w:r>
        <w:t xml:space="preserve">26 BULLETIN NO. 2 OF JANUARY 12, 2026  </w:t>
        <w:br/>
        <w:t xml:space="preserve">i) Dies a quo  </w:t>
        <w:br/>
        <w:t xml:space="preserve">75. To support the identification of January 27, 2021, as the dies a quo, there would be:  </w:t>
        <w:br/>
        <w:t xml:space="preserve">(i) since the signing of the Deal Memo, the exclusivity guaranteed to TIM would have compromised the regular conduct of competitive dynamics. As a result of the commercial limitations, DAZN would have proceeded to the sudden interruption of partnerships and negotiations, the conclusion of which would necessarily have had to occur before July 1, 2021. Regarding the technical limitations, the Agreement would have limited ab initio the mode of transmission to the only internet channel.  </w:t>
        <w:br/>
        <w:t xml:space="preserve">(ii) the adoption of advertising campaigns anticipating the exclusivity aimed at identifying contacts of potential interested customers.  </w:t>
        <w:br/>
        <w:t xml:space="preserve">These aspects would demonstrate the production of effects before the fulfillment of the suspensive condition and, in any case, prior to July 2021.  </w:t>
        <w:br/>
        <w:t xml:space="preserve">ii) Dies ad quem  </w:t>
        <w:br/>
        <w:t xml:space="preserve">76. The identification of the dies ad quem as August 3, 2022, would be attributable to the inadequacy of the measures - nonetheless not respected by the Parties - to overcome the competitive issues, for the following reasons:  </w:t>
        <w:br/>
        <w:t xml:space="preserve">- the following essential contractual constraints remained: a) TIM continued to be the only operator authorized to distribute Serie A, b) DAZN could neither distribute sports content on the digital terrestrial and satellite channel nor conclude partnerships with operators other than TIM78;  </w:t>
        <w:br/>
        <w:t xml:space="preserve">- the measures would not have been respected, as TIM continued to propose, through misleading advertising campaigns, offers not replicable by competitors resulting in a so-called de facto bundle;  </w:t>
        <w:br/>
        <w:t xml:space="preserve">- the lock-in clauses prevented already subscribed consumers from withdrawing from connectivity contracts with TIM.  </w:t>
        <w:br/>
        <w:t xml:space="preserve">iii) On the sanction  </w:t>
        <w:br/>
        <w:t xml:space="preserve">77. The unchangeability of the sanction, following the temporal redefinition, is not precluded to the Authority, which could modify it to the detriment as this aspect is not subject to res judicata. In particular, a new quantification of the sanction would be necessary to take into account the broader temporal scope of the agreement.  </w:t>
        <w:br/>
        <w:t xml:space="preserve">VI. THE OPINION OF THE AUTHORITY FOR GUARANTEES IN COMMUNICATIONS  </w:t>
        <w:br/>
        <w:t xml:space="preserve">78. On November 18, 2025, the Authority for Guarantees in Communications (hereinafter, AGCOM) was requested, pursuant to Article 1, paragraph 6, letter c), no. 11, of Law No. 249 of July 31, 1997, establishing "The Authority for Guarantees in Communications and regulations on telecommunications and broadcasting systems," to express an opinion regarding the draft measure for the closure of this proceeding.  </w:t>
        <w:br/>
        <w:t xml:space="preserve">79. On December 18, 2025, AGCOM's opinion was received, which is consistent with the conclusions reached by the Authority following the exercise of its power regarding the established restrictive agreement determined by the Deal Memo.  </w:t>
        <w:br/>
        <w:t>78. To support the inadequacy, the positive results achieved by TIM following the adoption of the measures are reported.</w:t>
      </w:r>
    </w:p>
    <w:p>
      <w:r>
        <w:rPr>
          <w:b/>
        </w:rPr>
        <w:t>[Pages 25–27]</w:t>
      </w:r>
    </w:p>
    <w:p>
      <w:r>
        <w:t xml:space="preserve">BULLETIN NO. 2 OF JANUARY 12, 2026 27  </w:t>
        <w:br/>
        <w:t xml:space="preserve">80. AGCOM has substantially shared the Authority's considerations regarding the new definition of the temporal duration of the infringement. In particular, the assessments of AGCM regarding both the effectiveness of the clauses of the Deal Memo from the date of signing the agreement and the actual cessation of the anticompetitive conduct with the elimination of the set of exclusivity clauses between TIM and DAZN established by the new agreement of August 3, 2022, appear to be agreeable. AGCOM has therefore resolved to express a conforming opinion.  </w:t>
        <w:br/>
        <w:t xml:space="preserve">VII. EVALUATIONS  </w:t>
        <w:br/>
        <w:t xml:space="preserve">VII.1 Premise  </w:t>
        <w:br/>
        <w:t xml:space="preserve">81. As a preliminary matter, it is necessary to frame the evaluations carried out below within the scope of the Authority's power of re-exercise as delineated by the Council of State ruling and, in the part confirmed therein, by the TAR ruling.  </w:t>
        <w:br/>
        <w:t xml:space="preserve">82. The power of re-exercise of this proceeding is articulated, as illustrated in the investigative findings above, not only on a careful review of the acts of the original proceeding, complete with the pre-investigative phase, but also on the documentation acquired during the present proceeding, as well as on the full contradiction with the Parties and Interveners, who were heard again in a hearing and intervened through written submissions.  </w:t>
        <w:br/>
        <w:t xml:space="preserve">83. In this perspective, first, the duration of the conduct carried out by TIM and DAZN through the signing of the Deal Memo will be redefined and, in particular, its initial moment (dies a quo) and final moment (dies ad quem) will be identified.  </w:t>
        <w:br/>
        <w:t xml:space="preserve">84. On the other hand, the very existence of the agreement and its qualification as restrictive of competition, by object, in violation of Article 101 TFEU, is definitively established in relation to the agreement made by TIM and DAZN, consisting of some of the clauses contained in the Deal Memo that commercially and technically limited DAZN in offering pay television services and that hindered competing telecommunications operators from undertaking commercial initiatives with DAZN. In other words, contrary to what was raised by TIM and DAZN in their final submissions, the scope of the restrictive agreement is not affected by this proceeding, remaining firm what has already been established in the final measure.  </w:t>
        <w:br/>
        <w:t xml:space="preserve">85. In this regard, it is anticipated that what will be argued more extensively in the following paragraphs is that the evidentiary elements described so far allow for the identification of the dies a quo of the infringement as January 27, 2021 - the day of the signing of the Deal Memo - and the dies ad quem as August 3, 2022 - the day on which the Parties signed a new contract that replaces the Deal Memo and in which, in particular, the restrictive clauses in question were expressly eliminated.  </w:t>
        <w:br/>
        <w:t xml:space="preserve">86. Secondly, necessary evaluations will be made regarding the re-determination of the sanction against DAZN, in light of the investigative findings illustrated above regarding the possible impact of the Deal Memo on DAZN's direct sales.  </w:t>
        <w:br/>
        <w:t xml:space="preserve">87. In this regard, it is anticipated that the findings illustrated above do not allow for the conclusion that the Deal Memo and, in particular, the financial contribution made by TIM to DAZN, have impacted the direct sales of the latter, which are therefore deemed to be excluded from the calculation of the sanction applied to DAZN.  </w:t>
        <w:br/>
        <w:t>88. Finally, it is useful to reiterate that, in light of the ruling of the Council of State, DAZN Media is not part of the infringement for which the duration is being re-determined in this context and is not, from a substantive point of view, the recipient of this measure.</w:t>
      </w:r>
    </w:p>
    <w:p>
      <w:r>
        <w:t xml:space="preserve">28 BULLETIN NO. 2 OF JANUARY 12, 2026  </w:t>
        <w:br/>
        <w:t xml:space="preserve">VII.2 On the Duration of the Infringement  </w:t>
        <w:br/>
        <w:t xml:space="preserve">89. Contrary to what the Parties have argued, the Authority has acted in full and legitimate exercise of its powers, having the TAR and the Council of State partially annulled the Final Measure limited to the aspect of duration, ordering the re-exercise of the power79. The Authority, while taking into account the rulings of the administrative judges, did not merely conform to them, but re-evaluated the elements in the acts with the complete autonomy and discretion that it possesses.  </w:t>
        <w:br/>
        <w:t xml:space="preserve">90. Regarding the temporal scope of the infringement, as anticipated, from the investigative activity carried out, the Authority, in re-exercising its power, notes that the agreement had a duration between January 27, 2021, and August 3, 2022.  </w:t>
        <w:br/>
        <w:t xml:space="preserve">a) On the dies a quo  </w:t>
        <w:br/>
        <w:t xml:space="preserve">91. First of all, it is recalled that the agreement in question is restrictive by object – consistently with what has been confirmed by the TAR and the Council of State – considering the intrinsic exclusion to competition inherent in the clauses of the contested Deal Memo. In fact, the Deal Memo, from the moment of signing, had the declared objective of limiting or controlling production, outlets, technical development, investments, and applying dissimilar conditions in commercial relations with other competitors for equivalent performances so as to create a disadvantage for them in competition. In the specific case, the clauses of the Deal Memo whose restrictive nature has already been established in the final measure have the capacity to prejudice competitive dynamics from the moment of its stipulation, regardless of the presence of the suspensive condition. Therefore, the dies a quo of the infringement must be identified as January 27, 2021, that is, the date of signing the Deal Memo.  </w:t>
        <w:br/>
        <w:t xml:space="preserve">92. Moreover, the documentation on file demonstrates the correct identification of the dies a quo from the date of the signing of the agreement and its suitability to prejudice competitive dynamics, for the reasons stated therein.  </w:t>
        <w:br/>
        <w:t xml:space="preserve">93. In fact, from the moment of signing the Deal Memo and precisely in implementation of it, the established contractual limitations for DAZN, restrictive of competition, consisting of the prohibition to conclude partnerships80 for the distribution of football content 2021/2024 with operators other than TIM and the prohibition to extend the existing non-exclusive distribution contract with other operators81, for which only the option to grant content to existing customers or to offer it at list price remained, in this case with economic penalties for DAZN, are observed.  </w:t>
        <w:br/>
        <w:t xml:space="preserve">94. Regarding the non-renewal of the relationship between DAZN and [omitted], it cannot be shared as a justification the occurrence of the termination of [omitted], noting exclusively, for the purposes of this proceeding, the presence already in the Deal Memo of the prohibition to extend this specific agreement. Therefore, the circumstances that subsequently occurred do not influence, as even if they had not occurred, they would not have allowed the continuation of the existing relationship.  </w:t>
        <w:br/>
        <w:t xml:space="preserve">79 Thus, the TAR expressed itself in §37.1: “the acceptance must be understood as limited to the declaration of the duty to renew the exercise of power procedure, in accordance with what has been established overall in this ruling in relation to all five appeals: it follows that the effectiveness of the contested act will now have as its final term the moment of modification or replacement of the measure by the Authority following the re-exercise of power.” And, again: “[…] it declares the duty of AGCM to proceed with the re-adoption of the measure, in accordance with the provisions of this ruling.”  </w:t>
        <w:br/>
        <w:t xml:space="preserve">80 DC10135, Doc. Preistr. 31- Deal Memo - Letter F – Exclusivity.  </w:t>
        <w:br/>
        <w:t>81 DC10135, Doc. Preistr. 31- Deal Memo - Letter F – Exclusivity.</w:t>
      </w:r>
    </w:p>
    <w:p>
      <w:r>
        <w:t xml:space="preserve">BULLETIN NO. 2 OF JANUARY 12, 2026 29  </w:t>
        <w:br/>
        <w:t xml:space="preserve">95. Furthermore, the correctness of the identification of the dies a quo is also confirmed by the preparatory activities of a technical and/or commercial nature that the distribution partnerships require and that must typically be necessarily completed before the market launch of the related offers82.  </w:t>
        <w:br/>
        <w:t xml:space="preserve">96. The analysis conducted therefore highlights that the arguments of TIM and DAZN aimed at excluding the start of the agreement from the signing of the Agreement are not shareable and that, contrary to what the Parties argued during the investigation, the Deal Memo, despite being subject to the imposition of a suspensive condition, determined ab origine an immediate restriction of competition.  </w:t>
        <w:br/>
        <w:t xml:space="preserve">b) On the dies ad quem  </w:t>
        <w:br/>
        <w:t xml:space="preserve">97. With reference to the identification of the dies ad quem of the infringement, the documentation on file demonstrates that only from August 3, 2022 - the date of the signing of the new contract for the distribution of content on the TIM Vision platform (Distribution Agreement83) that replaced the previous Agreement - is there a substantial change in the competitive dynamics of the market, as the set of clauses constituting the exclusivity, which represents the core of the restrictive agreement established in the Final Measure, has ceased to exist.  </w:t>
        <w:br/>
        <w:t xml:space="preserve">98. Indeed, on August 10, 2022, DAZN filed with the acts of the original proceeding the agreement concluded with Sky regarding the "platform services and commercial promotion84" that allowed the inclusion of the DAZN App on the Sky Q platform (and on other devices). At the same time, following informal discussions, commercial negotiations were initiated with two other network operators different from TIM, respectively on August 29, 2022, and September 27, 2022, which confirm the change in competitive dynamics because they allow all telecommunications operators to negotiate distribution partnerships for Serie A content.  </w:t>
        <w:br/>
        <w:t xml:space="preserve">99. Therefore, the Authority does not consider the position of the Parties, according to which the cessation of conduct should date back to the time when the two companies adopted the above-mentioned voluntary measures, namely August 2, 202185, to be acceptable. With these measures, the Parties committed not to execute only some of the clauses of the Agreement86, while the other technical-commercial limitations - linked to exclusivity - identified as anticompetitive remained in force. It follows that - regardless of their precise execution - these did not allow for the overcoming of all the fundamental restrictions in place, thus preventing the identification of August 2, 2021, as the dies ad quem of the infringement.  </w:t>
        <w:br/>
        <w:t xml:space="preserve">100. In fact, as can be seen from the documentation on file, such measures, while representing a first step towards the removal of some of the established competitive issues, did not affect all the restrictive clauses, leaving essential contractual constraints unchanged, as mentioned above, including:  </w:t>
        <w:br/>
        <w:t xml:space="preserve">a) the prohibition for DAZN to enter into partnerships with TIM's competitors, to offer DAZN services in bundles or à la carte;  </w:t>
        <w:br/>
        <w:t xml:space="preserve">82 DC10135, Doc. Preistr. 31- Deal Memo - Letter Q, DC10135, Doc. Preistr. 32 “Report” and DC10135 Doc. Preistr. 34 “DAZN's response to the information request of 05/27/2021”, I857C Doc. 79 – “Minutes of Sky hearing” and I857C, Doc. Istr. 24 – “Wind Memorandum”.  </w:t>
        <w:br/>
        <w:t xml:space="preserve">83 I857, Doc. Istr. 321 - Distribution Agreement - Article 4 - Non-Exclusivity.  </w:t>
        <w:br/>
        <w:t xml:space="preserve">84 I857, Doc. Istr. 325 - “Minutes of documentation acquisition”.  </w:t>
        <w:br/>
        <w:t xml:space="preserve">85 I857, Doc. Istr. 128 - “TIM report on implementation measures” - version accepted in Doc. Istr. 143 and Doc. Istr. 139 - “DAZN report on implementation measures” version accepted in Doc. Istr. 144.  </w:t>
        <w:br/>
        <w:t>86 Reference is made to the measures described in footnote 63.</w:t>
      </w:r>
    </w:p>
    <w:p>
      <w:r>
        <w:rPr>
          <w:b/>
        </w:rPr>
        <w:t>[Pages 28–30]</w:t>
      </w:r>
    </w:p>
    <w:p>
      <w:r>
        <w:t xml:space="preserve">30 BULLETIN NO. 2 OF JANUARY 12, 2026  </w:t>
        <w:br/>
        <w:t xml:space="preserve">b) the constraints related to the pay-TV market: until August 3, 2022, exclusivity and the prohibition for DAZN to distribute its service on DTT and DTH platforms87 still persisted. In this sense, the extension to digital terrestrial, foreseen as a backup solution, did not change this framework, leaving the competitive limitations set by the Deal Memo unchanged;  </w:t>
        <w:br/>
        <w:t xml:space="preserve">c) the commercial promotion strategy of TIM, during peak demand periods for such content, from January 27, 2021, to August 3, 2022, in proximity to the 2021/2022 and 2022/2023 football seasons, continued to generate lasting effects detrimental to market contestability, amplified by stringent lock-in clauses, which imposed economic and temporal constraints in the event of early withdrawal88.  </w:t>
        <w:br/>
        <w:t xml:space="preserve">101. In conclusion, only with the overcoming of the set of clauses that composed the exclusivity and the simultaneous opening to new commercial agreements, can the actual cessation of the anticompetitive conduct be identified, making August 3, 2022, the date of cessation of the infringement.  </w:t>
        <w:br/>
        <w:t xml:space="preserve">VII.3 On the seriousness and duration of the infringement  </w:t>
        <w:br/>
        <w:t xml:space="preserve">102. Pursuant to Article 15, paragraph 1, of Law No. 287 of October 10, 1990, in cases of serious infringements, the Authority applies an administrative pecuniary sanction to the companies involved. According to community jurisprudence, to assess the seriousness of an infringement, a series of factors must be taken into account, the nature and importance of which vary depending on the type of infringement and its particular circumstances. Jurisprudence has also clarified that the seriousness of the infringement can be assessed by considering in particular the nature of the restriction of competition, the role and market representation of the companies involved, as well as the duration of the infringement89. These elements are summarized in the "Guidelines on the application of the criteria for quantifying the administrative pecuniary sanctions imposed by the Authority in application of Article 15, paragraph 1, of Law No. 287/90" (hereinafter, Guidelines), adopted by the Authority on February 25, 2025.  </w:t>
        <w:br/>
        <w:t xml:space="preserve">103. In this case, reference is made to what was established in the final measure of the main proceeding. In particular, it is noteworthy that, regarding the nature of the behaviors, the agreement of January 27, 2021, between TIM and DAZN is attributable to a serious agreement insofar as it aimed to limit or control production, outlets, technical development, or investments and in applying, in commercial relations with other contracting parties, dissimilar conditions for equivalent performances, thus determining a disadvantage in competition for the latter. In this regard, the particular relevance of the audiovisual content related to the Serie A championship matches for the three-year period 2021/2024 must be considered, as well as the fact that the agreement was concretely implemented, given that the Parties formally entered into the agreement, carrying out commercial promotions and sales strategies in line with its content.  </w:t>
        <w:br/>
        <w:t xml:space="preserve">104. Regarding the duration, in light of the investigation carried out, contrary to what was originally established and as a result of the investigative findings outlined above, the agreement in question falls within a time frame that runs from January 27, 2021, the date on which DAZN, through DAZN Limited, entered into an agreement with TIM for the establishment of a partnership for distribution and technological support, called Deal Memo Distribution, until August 3, 2022, the date on which TIM and DAZN entered into a new agreement for the distribution of DAZN content90 on the TIM Vision platform, called Distribution Agreement, characterized by the outright elimination of the set of exclusivity clauses between TIM and DAZN.  </w:t>
        <w:br/>
        <w:t xml:space="preserve">VII.4 Determination of the sanction  </w:t>
        <w:br/>
        <w:t xml:space="preserve">a) General criteria  </w:t>
        <w:br/>
        <w:t xml:space="preserve">105. In order to identify the criteria for determining the sanction, it is necessary to consider, in addition to what is provided for by the aforementioned Article 15, paragraph 1, also the provisions of Article 11 of Law No. 689 of November 24, 1981, as recalled by Article 31 of Law No. 287/1990, and the interpretative criteria outlined in the aforementioned Guidelines.  </w:t>
        <w:br/>
        <w:t xml:space="preserve">106. With regard to the calculation of the sanction, following points 7 and following of the Guidelines, the value of the sales of goods or services affected by the infringement, realized by the companies in the relevant markets in the last full year of participation in the infringements, is taken as a reference.  </w:t>
        <w:br/>
        <w:t xml:space="preserve">107. In this case, with reference to DAZN, the specific revenue considered for these purposes will only be that derived from TIM's payment of the minimum guarantee provided for in the Deal Memo and not the revenue obtained from direct sales. In fact, in exercising the power, a specific verification was carried out to ascertain the actual impact of the Deal Memo on the direct sales made by that company, and from this verification, no sufficient and suitable elements emerged to make a clear estimate of that impact, nor, in particular, of the impact of TIM's financial provision for participation in the tender and the award of the rights. It follows that, consistent with the indications provided in the CdS Judgment, direct sales are fully excluded from the calculation of the sanction against DAZN.  </w:t>
        <w:br/>
        <w:t xml:space="preserve">108. For the purposes of determining the base amount of the sanction, a specific percentage determined based on the seriousness of the violation must be applied to the value of the sales, as determined above, to which reference is made in full to what is represented in the previous paragraph. According to the Guidelines, in particular, the proportion considered must be set at a level that can reach 30% of the value of the sales, "based on the degree of seriousness of the violation" (point 11).  </w:t>
        <w:br/>
        <w:t xml:space="preserve">109. Further criteria for qualifying the seriousness (point 14) are: i) the competitive conditions in the affected markets (such as, for example, the level of concentration, the existence of barriers to entry); ii) the nature of the products or services, with particular reference to harm to innovation; iii) the implementation or not of the unlawful practice; iv) the relevance of the actual economic impact or, more generally, of the harmful effects on the market and/or on consumers.  </w:t>
        <w:br/>
        <w:t xml:space="preserve">110. According to the Guidelines, the duration of the infringement has an impact on the harmful consequences of the infringement and, therefore, is worthy of consideration in determining the appropriate amount of the sanction.  </w:t>
        <w:br/>
        <w:t xml:space="preserve">111. Pursuant to point 17 of the Guidelines, in order to give the Authority's sanctioning power the necessary character of effective deterrence, with specific reference to the most serious restrictions of competition, regardless of their duration and their actual implementation, the Authority may consider it appropriate to include in the base amount an additional amount, ranging from 15% to 25% of the value of the sales of the goods or services subject to the infringement (so-called entry fee).  </w:t>
        <w:br/>
        <w:t xml:space="preserve">112. Pursuant to point 25 of the Guidelines, finally, the Authority may increase the final sanction by up to 50% of the same if the company responsible for the infringement has achieved in the last financial year closed prior to the notification of the warning a total revenue at a global level particularly high compared to the value of the sales of the goods or services subject to the infringement or belongs to a group of significant economic size.  </w:t>
        <w:br/>
        <w:t xml:space="preserve">b) Mitigating circumstances  </w:t>
        <w:br/>
        <w:t xml:space="preserve">113. Based on point 19 of the Authority's Sanctions Guidelines, the base amount of the sanction, determined as described in the preceding paragraphs, may be increased to take into account specific circumstances that aggravate (aggravating circumstances) or mitigate (mitigating circumstances) the responsibility of the author of the infringement, with particular reference to the role played by the company in the infringement, the conduct it maintained during the investigation, as well as the efforts made by the agent to eliminate or mitigate the consequences of the infringement and the personality of the same, also in light of what is provided for by Article 11 of Law No. 689/1981. In this case, the Authority does not consider that there are either aggravating or mitigating circumstances.  </w:t>
        <w:br/>
        <w:t xml:space="preserve">c) Quantification of the sanction  </w:t>
        <w:br/>
        <w:t xml:space="preserve">114. In the Final Measure, the Authority had imposed sanctions on TIM and DAZN applying the parameters set out in the following Table 1:  </w:t>
        <w:br/>
        <w:t xml:space="preserve">Table 1 – Summary of the elements constituting the sanction - I857  </w:t>
        <w:br/>
        <w:t xml:space="preserve">Party Specific revenue 2021 % seriousness Duration Base amount Mitigating  </w:t>
        <w:br/>
        <w:t xml:space="preserve">TIM S.p.a. [€ 50,000,000-100,000,000] 15% 32 days € 1,086,824.04 30%  </w:t>
        <w:br/>
        <w:t xml:space="preserve">DAZN Limited [€ 500,000,000-1,000,000,000] 15% 32 days € 10,343,215.49 30%  </w:t>
        <w:br/>
        <w:t xml:space="preserve">115. Based on the elements indicated above, the sanction applied to TIM and DAZN was that indicated in Table 2:  </w:t>
        <w:br/>
        <w:t xml:space="preserve">Table 2 - Final sanction imposed on TIM S.p.A. and DAZN Limited - I857  </w:t>
        <w:br/>
        <w:t xml:space="preserve">Parties Sanction imposed  </w:t>
        <w:br/>
        <w:t xml:space="preserve">TIM S.p.a. € 760,776.82  </w:t>
        <w:br/>
        <w:t xml:space="preserve">DAZN Limited € 7,240,250.84  </w:t>
        <w:br/>
        <w:t xml:space="preserve">116. In the exercise of its sanctioning power, in light of the investigative findings outlined above, the Authority considers it appropriate to modify the sanctions imposed in the Final Measure within the limits indicated below.  </w:t>
        <w:br/>
        <w:t xml:space="preserve">117. With reference to DAZN Limited, for the new quantification of the sanction, the specific revenue consisting solely of the revenue derived from the Deal Memo and consisting of the payment by TIM of the minimum guarantee, equal to [€ 250,000,000 - 500,000,000], will be used.  </w:t>
        <w:br/>
        <w:t xml:space="preserve">118. Regarding the duration of the infringement, for the reasons indicated above, the conduct lasted from January 27, 2021, to August 3, 2022.  </w:t>
        <w:br/>
        <w:t>119. For the purposes of quantifying the sanctions, the identification of a longer duration than that established in the final measure of the original proceeding and the absence of mitigating circumstances could abstractly determine a reformatio in peius of the sanction then applied to TIM and DAZN.</w:t>
      </w:r>
    </w:p>
    <w:p>
      <w:r>
        <w:rPr>
          <w:b/>
        </w:rPr>
        <w:t>[Pages 31–33]</w:t>
      </w:r>
    </w:p>
    <w:p>
      <w:r>
        <w:t xml:space="preserve">BULLETIN NO. 2 OF JANUARY 12, 2026 33  </w:t>
        <w:br/>
        <w:t xml:space="preserve">However, the Authority believes that, in this case, Article 34 of the aforementioned Guidelines applies, according to which “...specific circumstances [...] may justify motivated deviations from the application of these Guidelines, which are expressly accounted for in the measure that establishes the infringement.”  </w:t>
        <w:br/>
        <w:t xml:space="preserve">In particular, in this case, although a longer duration of the unlawful conduct has been established, also in light of the procedural developments concerning measure no. 30699 of June 28, 2023, the time elapsed and the peculiar characteristics of the matter at hand, the Authority believes, in exercising its discretion, not to proceed with the reformatio in peius of the sanction imposed on either TIM or DAZN.  </w:t>
        <w:br/>
        <w:t xml:space="preserve">It follows that the Authority considers it appropriate in this case not to modify the sanction imposed on TIM and to re-determine the sanction to be imposed on DAZN solely based on the lower specific revenue used as the reference calculation basis.  </w:t>
        <w:br/>
        <w:t xml:space="preserve">120. Therefore, in light of the above, the sanction imposed on TIM is not subject to any re-determination compared to that indicated above in Table 2 and already imposed by the final measure, while the sanction imposed on DAZN is reduced, due to the lower amount of the specific revenue used for the calculation of the sanction, to € 3,673,716.63.  </w:t>
        <w:br/>
        <w:t xml:space="preserve">VII.5 Amendments to Measure of June 28, 2023, no. 30699  </w:t>
        <w:br/>
        <w:t xml:space="preserve">121. In light of all the above, the investigation carried out, and in the context of the re-exercise of the power of ascertainment as requested by the Administrative Judge, the Authority believes that the final measure should be partially modified as follows:  </w:t>
        <w:br/>
        <w:t xml:space="preserve">- the elements on record indicate that the duration of the infringement, attributable to the exclusivity clauses contained in the agreement between TIM and DAZN Limited, is from January 27, 2021 (date of signing the Deal Memo) to August 3, 2022 (date of signing the Distribution Agreement);  </w:t>
        <w:br/>
        <w:t xml:space="preserve">- DAZN Media is not involved in the infringement established therein;  </w:t>
        <w:br/>
        <w:t xml:space="preserve">- the sanction imposed on DAZN is reduced and amounts to € 3,673,716.63, while the sanction applied to TIM remains unchanged as per measure no. 30699, adopted by the Authority in the meeting of June 28, 2023.  </w:t>
        <w:br/>
        <w:t xml:space="preserve">All of this having been stated and considered:  </w:t>
        <w:br/>
        <w:t xml:space="preserve">CONSIDERING that the infringement established in the measure of June 28, 2023, between TIM and DAZN Limited is not attributable to DAZN Media Services S.r.l.;  </w:t>
        <w:br/>
        <w:t xml:space="preserve">CONSIDERING that the infringement established in the measure of June 28, 2023, between TIM and DAZN Limited has a duration from January 27, 2021, until August 3, 2022;  </w:t>
        <w:br/>
        <w:t xml:space="preserve">CONSIDERING that the sanction imposed on DAZN Limited by the measure of June 28, 2023, between TIM and DAZN Limited should be reduced as stated in the reasoning;  </w:t>
        <w:br/>
        <w:t xml:space="preserve">RESOLVES  </w:t>
        <w:br/>
        <w:t xml:space="preserve">a) that, based on what is indicated in the reasoning, DAZN Media Service S.r.l. is not part of the infringement established by measure no. 30699, adopted by the Authority in the meeting of June 28, 2023, concluding the investigation procedure I857 - TIM-DAZN Serie A Agreement 2021/2024;  </w:t>
        <w:br/>
        <w:t xml:space="preserve">34 BULLETIN NO. 2 OF JANUARY 12, 2026  </w:t>
        <w:br/>
        <w:t xml:space="preserve">b) that, based on what is indicated in the reasoning, the agreement established by measure no. 30699, adopted by the Authority in the meeting of June 28, 2023, concluding the investigation procedure I857 - TIM-DAZN Serie A Agreement 2021/2024, in violation of Article 101 TFEU and consisting of the adoption of certain clauses of the agreement concluded between TIM and DAZN called Deal Memo, has a duration that starts from January 27, 2021, and ends on August 3, 2022;  </w:t>
        <w:br/>
        <w:t xml:space="preserve">c) that, based on what is indicated in the reasoning, the sanction imposed on DAZN Limited by measure no. 30699, adopted by the Authority in the meeting of June 28, 2023, is reduced to the following monetary sanction: € 3,673,716.63.  </w:t>
        <w:br/>
        <w:t xml:space="preserve">d) that measure no. 30699, adopted by the Authority in the meeting of June 28, 2023, concluding the investigation procedure I857 - TIM-DAZN Serie A Agreement 2021/2024, is modified as indicated in the reasoning limited to Chapter VI. – “Assessments” and the resolution, as indicated below:  </w:t>
        <w:br/>
        <w:t xml:space="preserve">VI. ASSESSMENTS  </w:t>
        <w:br/>
        <w:t xml:space="preserve">270. Preliminary, it is noted that, in light of what was established in the judgment of the Council of State 5357/202591, DAZN Media is not subjectively affected by this measure as it is not attributable to its participation in the agreement related to the TIM/DAZN Deal Memo.  </w:t>
        <w:br/>
        <w:t xml:space="preserve">a) Considerations on the observations of third parties and reporters  </w:t>
        <w:br/>
        <w:t xml:space="preserve">271. Regarding the arguments developed by the intervening parties on the definition of the object of the procedure, it is noted that they cannot be accepted concerning the hypothesis of the configuration of an abuse of a dominant position in violation of Article 102 TFEU.  </w:t>
        <w:br/>
        <w:t xml:space="preserve">272. The scope of the object of this procedure is focused on the assessment of the Agreement between TIM and DAZN for the aspects described in the initiation of the procedure of July 6, 2021, relating to a violation of Article 101 TFEU. Referring to the broader assessments made subsequently, it is observed that this contract contains provisions that configure a violation of Article 101 TFEU regardless of the position held by TIM in any of the relevant markets for the configuration of an application prerequisite of Article 102 TFEU, represented by the existence of a dominant position. In any case, there are no elements on record indicating the existence of unilateral conduct by Telecom that could be evaluated independently of the Agreement.  </w:t>
        <w:br/>
        <w:t xml:space="preserve">273. These considerations also apply concerning the precautionary requests presented under Article 14-bis of Law No. 287/1990 by some operators intervening in this procedure regarding certain promotions carried out by TIM during the validity of the aforementioned Agreement. They are merely a consequence of the Agreement concluded between TIM and DAZN, and their assessment is therefore absorbed by the substantive considerations that will be made subsequently.  </w:t>
        <w:br/>
        <w:t xml:space="preserve">274. Regarding the failure to comply with the measures presented by TIM, raised by some Parties during the procedure, it is sufficient to note that, in addition to being voluntarily adopted, the measures were functional to the assessments made in measure number 29778, of July 27, 2021.  </w:t>
        <w:br/>
        <w:t>91 In particular, see §11.3-11.6.</w:t>
      </w:r>
    </w:p>
    <w:p>
      <w:r>
        <w:t xml:space="preserve">BULLETIN NO. 2 OF JANUARY 12, 2026 35  </w:t>
        <w:br/>
        <w:t xml:space="preserve">b) The TIM/DAZN agreement of January 27, 2021: the clauses of the Deal Memo  </w:t>
        <w:br/>
        <w:t xml:space="preserve">275. Article 101, paragraph 1, TFEU establishes that all agreements between undertakings that may affect trade between Member States and that have as their object or effect the prevention, restriction, or distortion of competition within the internal market are incompatible with the internal market and prohibited. In particular, Article 101, paragraph 1, letters b) and d) TFEU establishes that all agreements consisting of limiting or controlling production, outlets, technical development, or investments and applying, in commercial relations with other contracting parties, dissimilar conditions for equivalent performances, so as to place the latter at a competitive disadvantage, are prohibited.  </w:t>
        <w:br/>
        <w:t xml:space="preserve">276. The arguments of TIM and DAZN aimed at considering the Deal Memo as non-restrictive of competition, due to the absence of an illicit agreement for object and/or restrictive effects on competition, configuring possible exemptions under Regulation VBER or the application of paragraph 3 of Article 101 TFEU, require identifying the scope of the assessment conducted in this measure.  </w:t>
        <w:br/>
        <w:t xml:space="preserve">277. It should first be emphasized that the object of the dispute is not the Deal Memo signed on January 27, 2021, as a whole, but exclusively the clauses contained therein that commercially and technically limit DAZN in offering pay television services, and that hinder competing telecommunications operators from undertaking commercial initiatives with DAZN.  </w:t>
        <w:br/>
        <w:t xml:space="preserve">278. The clauses restricting competition are contained in particular in letter F) of the Deal Memo. They are the same ones contested in the initiation measure of July 6, 2021, in which a precautionary sub-procedure was initiated under Article 14-bis of Law No. 287/1990, which concluded with the resolution of July 27, 2021, not to adopt a measure due to the initiatives taken by TIM and DAZN. In this regard, it is worth noting that, in the aforementioned investigative phases, the Deal Memo as a whole was never subject to stigmatization.  </w:t>
        <w:br/>
        <w:t xml:space="preserve">279. In particular, the agreement provides for an exclusivity in favor of TIM, through a detailed regulation contained in the provision of letter F - Exclusivity and, specifically:  </w:t>
        <w:br/>
        <w:t xml:space="preserve">˗ TIM shall be the only telecommunications operator and audiovisual media operator authorized by DAZN to sell the DAZN service in a joint mode (“hard bundle”) or with an à la carte offer92.  </w:t>
        <w:br/>
        <w:t xml:space="preserve">˗ It is expressly provided that DAZN is prohibited from making offers in partnership with other competing operators for the entire duration of the contractual relationship, in particular, it is provided that DAZN shall not, either directly or indirectly, authorize other telecommunications or audiovisual media operators to jointly or à la carte offer DAZN services93. The operators are identified by name in Schedule 1 (audiovisual media operators) and Schedule 2 (telecommunications operators).  </w:t>
        <w:br/>
        <w:t xml:space="preserve">˗ The contract also establishes limits on the direct distribution by DAZN of its services, stating that DAZN: (i) shall not offer its service on platforms other than the internet or include it in other channels or services; (ii) shall not sub-license sports rights except for  </w:t>
        <w:br/>
        <w:t xml:space="preserve">92 “TIM shall be the only Telco Operator (as defined below) and/or VPD Operator (as defined below) in the Territory authorized by DAZN to Hard Bundle and/or offer on an a la carte basis the DAZN Service in the Territory to residential customers during the Period.”.  </w:t>
        <w:br/>
        <w:t>93 “DAZN shall not directly or indirectly authorize any Telco Operator and/or VPD Operator to Hard Bundle and/or offer on an a la carte basis the DAZN Service in the Territory during the Period to residential customers.”.</w:t>
      </w:r>
    </w:p>
    <w:p>
      <w:r>
        <w:rPr>
          <w:b/>
        </w:rPr>
        <w:t>[Pages 34–36]</w:t>
      </w:r>
    </w:p>
    <w:p>
      <w:r>
        <w:t xml:space="preserve">36 BULLETIN NO. 2 OF JANUARY 12, 2026  </w:t>
        <w:br/>
        <w:t xml:space="preserve">of the three Serie A matches in co-exclusive94; (iii) it will not allow, from July 1, 2021, the DAZN app and the DAZN 1 channel to be available on the Sky Q devices of residential Sky users or on any other service or device for Sky customers (e.g., Now TV stick)95.  </w:t>
        <w:br/>
        <w:t xml:space="preserve">- With reference to a non-exclusive distribution contract of DAZN in effect until August 2022, a specific regulation is provided aimed at reducing or completely eliminating the contractual relationship. In particular, DAZN must alternatively: (A) not renew or extend the contract and prevent [omitted], until expiration, from promoting or offering DAZN services to new subscribers, allowing existing subscribers to use the service, permitting only the latter to access the DAZN app on [omitted] TV, until August 202296; or (B) make available to [omitted] only an à la carte service97, but in this option there are economic penalties for DAZN, in particular, the minimum guarantee is reduced by the same amount as the revenue billed by [omitted]98.  </w:t>
        <w:br/>
        <w:t xml:space="preserve">280. The Agreement then precisely describes the activities permitted to DAZN: (i) to sell the DAZN service directly, (ii) to distribute the DAZN service à la carte through authorized third parties (excluding telecommunications operators and audiovisual media service providers) but DAZN may not offer discounts on Amazon TV for more than 2 months or before 30 days from the start of each Serie A season, (iii) to distribute the DAZN service in combination with other services and products through authorized third parties (excluding telecommunications operators and audiovisual media service providers); (iv) to allow direct carrier billing mechanisms through authorized third parties99. The Agreement specifies that unauthorized parties may not make advertising references to DAZN services even indirectly (e.g., if they sell products that are authorized to have DAZN installed)100.  </w:t>
        <w:br/>
        <w:t xml:space="preserve">281. In light of such commercial agreements, a minimum guarantee is provided that TIM will pay to DAZN (letter J – Fees and Minimum Guarantee)101. However, the Agreement expressly provides for the maintenance of its effectiveness even if exclusivity ceases (letter F – Exclusivity)102. In this case, if TIM does not reach the minimum guarantee, a safeguard mechanism based on the total number of users reached by DAZN through operators other than TIM103 is provided.  </w:t>
        <w:br/>
        <w:t xml:space="preserve">282. Regarding technical solutions, the Agreement provides for the integration of DAZN with TIM's Content Delivery Network (CDN)104, in order to ensure the best possible quality, as well as obligations to cooperate in good faith between the Parties (Letter Q - Network and Piracy Services)105.  </w:t>
        <w:br/>
        <w:t xml:space="preserve">283. The clauses illustrated above are characterized by a restrictive nature of competition by object due to the fact that they are primarily aimed at excluding OAO, with a selective objective. In this regard, it is noteworthy that the clauses are directed against a well-defined category of subjects, such as the competing telecommunications operators of TIM in the connectivity markets, explicitly citing previous agreements with well-defined players.  </w:t>
        <w:br/>
        <w:t xml:space="preserve">c) The nature of the vertical agreement and the application of the VBER  </w:t>
        <w:br/>
        <w:t xml:space="preserve">284. During the proceedings, the Parties argued that the Deal Memo presents the structure of a vertical agreement. This configuration, in addition to not allowing it to be qualified as a restrictive agreement by object, would allow it to benefit from the exemption under Regulation VBER No. 720/2022106 (and previously VBER 2010)107.  </w:t>
        <w:br/>
        <w:t xml:space="preserve">285. It is noted that the agreement in question with the clauses contained therein is not exempt due to the absence of the preconditions for the application of the regulations referred to by the Parties and because the clauses under evaluation do not pass the proportionality and adequacy test.  </w:t>
        <w:br/>
        <w:t xml:space="preserve">286. In particular, the competitive restrictions arising from the contested clauses contained in the Deal Memo of January 27, 2021, occur between parties operating in the same supply chains for audiovisual content and are not essential for achieving the objective of the agreement.  </w:t>
        <w:br/>
        <w:t xml:space="preserve">287. In an attempt to deduce the application of the VBER, which should be excluded in this case, the parties instrumentally emphasize the vertical aspects of an agreement that instead occurs between directly competing operators also in the market for the purchase of premium sports audiovisual content and in the retail sale of audiovisual content. Furthermore, with the agreement in question, TIM effectively renounced to participate directly in the tender called by LNPA, providing, as highlighted by the Parties themselves, a substantial economic contribution to DAZN so that it would emerge victorious in the tender itself, with TIM limiting itself to managing the distribution phase of the product over the internet. The agreement therefore intervened between companies that are in fact competitors and thus also has a horizontal connotation of particular relevance.  </w:t>
        <w:br/>
        <w:t xml:space="preserve">288. The exclusivity provided in the Deal Memo effectively excluded the possibility for competitors to replicate TIM's telecommunications service offerings, the only entity able to propose a bundle of TIMVision with the DAZN service, intended exclusively for TIM customers interested in purchasing football content, and at a discounted price.  </w:t>
        <w:br/>
        <w:t xml:space="preserve">289. In this perspective, we are faced with a rather peculiar contract, considering the context in which it was drafted, with mixed effects, both horizontal and vertical in nature, highlighted by TIM and DAZN in their defenses articulated in the final submissions and final hearing.  </w:t>
        <w:br/>
        <w:t>290. In particular, the clauses have a horizontal relevance, involving links in the service supply chain where both operators are present, as in the case of the clause that limits DAZN's ability to offer discounts108; at the same time, the exclusivity clauses and those that generally limit the</w:t>
      </w:r>
    </w:p>
    <w:p>
      <w:r>
        <w:rPr>
          <w:b/>
        </w:rPr>
        <w:t>[Pages 37–39]</w:t>
      </w:r>
    </w:p>
    <w:p>
      <w:r>
        <w:t xml:space="preserve">BULLETIN NO. 2 OF JANUARY 12, 2026 39  </w:t>
        <w:br/>
        <w:t xml:space="preserve">the possibility for DAZN to enter into partnerships with telecommunications operators competing with TIM has vertical effects, considering DAZN's absence in the connectivity markets.  </w:t>
        <w:br/>
        <w:t xml:space="preserve">291. That said, an analysis of the restrictiveness that tends to isolate vertical effects from horizontal ones and vice versa would fail to capture the overall restrictive nature of the agreements in question.  </w:t>
        <w:br/>
        <w:t xml:space="preserve">292. The horizontal aspect consists of the agreements that prohibit DAZN from offering discounts on Amazon TV for more than two months or before 30 days from the start of each Serie A season (“there shall be no more than 2 (two) promotions involving discounted rates and/or introductory offers in any contract year, and (b) such promotions shall not be live in the 30 (thirty) days immediately preceding or at the very start of any relevant Serie A Season.”). This clause, whose effectiveness has been nullified by the precautionary measures adopted by TIM and DAZN in the context of the related sub-proceeding, is restrictive of competition to the extent that it limits DAZN's ability to formulate offers potentially capable of competing with those of one of the main players, such as TimVision.  </w:t>
        <w:br/>
        <w:t xml:space="preserve">293. Therefore, regarding the applicability of the VBER, it cannot be admitted considering that there are agreements that limit DAZN's ability to operate discounts, that is, of a competing operator at the same level of TIM's supply chain, as illustrated above, an agreement that does not physiologically fall within the scope of application of the VBER and is expressly excluded from the exemption pursuant to Article 2, point 4, of Regulation (EU) 2022/720 of the Commission of May 10, 2022.  </w:t>
        <w:br/>
        <w:t xml:space="preserve">294. Furthermore, another horizontal element comes into play. In fact, regarding the regulation of the relationship between the Parties at the expiration of the contract, a profile that affects TIM's freedom of action as well as that of DAZN, it is noted that the clause on participation in the next three-year marketing of matches of the top Italian football championship, underlying the possibility of renewing the contract for an additional three years, eliminated an essential aspect of uncertainty regarding the possible commercial strategies that should characterize the competition between the assignor of the previous marketing cycle, on one side, and one of the main telecommunications operators, on the other.  </w:t>
        <w:br/>
        <w:t xml:space="preserve">295. This is an element of artificial alteration of the competitive game in a context, such as that of the assignment of TV rights, already characterized by the presence of few operators and by an endemic viscosity that the legislator also takes into account where, through the Melandri Decree, it has adopted a special ad hoc regulation to ensure maximum competition to the benefit of the contracting entity.  </w:t>
        <w:br/>
        <w:t xml:space="preserve">296. In any case, it must be considered that the exclusivity also applied to telecommunications operators (vertical relationship) and that therefore TIM's market share should be considered, a vertically integrated operator that holds a share of over 30% in the retail broadband and ultra-broadband access market, specifically 42.2% as illustrated in the section of this measure dedicated to the definition of relevant markets.  </w:t>
        <w:br/>
        <w:t xml:space="preserve">109 “4. The exemption referred to in paragraph 1 does not apply to vertical agreements concluded between competing undertakings [emphasis added]. However, this exemption applies if competing undertakings conclude a non-reciprocal vertical agreement and if one of the following conditions is met:  </w:t>
        <w:br/>
        <w:t xml:space="preserve">a) the supplier operates upstream as a producer, importer, or wholesaler and, downstream, as an importer, wholesaler, or distributor of goods, while the buyer operates downstream as an importer, wholesaler, or distributor and is not a competing undertaking upstream, at the level at which it purchases the goods subject to the contract; or  </w:t>
        <w:br/>
        <w:t>b) the supplier is a service provider at different levels of the commercial chain, while the buyer provides its goods or services at the retail level and is not a competing undertaking at the level of the commercial chain in which it purchases the services subject to the contract.”</w:t>
      </w:r>
    </w:p>
    <w:p>
      <w:r>
        <w:t xml:space="preserve">40 BULLETIN NO. 2 OF JANUARY 12, 2026  </w:t>
        <w:br/>
        <w:t xml:space="preserve">Although the exclusivity does not concern the same market where TIM's market position exceeds 30%, the fact that the agreement allowed bundling between audiovisual content and connectivity suggests that this exclusion circumstance may also be relevant. Therefore, it is believed that the exclusion hypothesis referred to in Article 3, point 1, of Regulation (EU) 2022/720 of the Commission of May 10, 2022, regarding the "Market share threshold" may also apply.  </w:t>
        <w:br/>
        <w:t xml:space="preserve">d) The suitability of the agreement to restrict competition  </w:t>
        <w:br/>
        <w:t xml:space="preserve">i) the importance of TV rights related to Serie A matches  </w:t>
        <w:br/>
        <w:t xml:space="preserve">297. For the purpose of understanding the restrictive nature of competition of the clauses on the various relevant markets arising from the agreement of January 27, 2021, it is necessary to consider that it is situated in a phase characterized by two parallel processes of particular relevance with repercussions on the marketing and enjoyment of services, whose final impact is still far from being definitively appreciated.  </w:t>
        <w:br/>
        <w:t xml:space="preserve">298. First of all, as also emphasized by the Parties, there is an increasing adoption of the internet platform as a mode of enjoyment of television services, in this case of pay-TV services, where the particular value of the content, especially of sports entertainment, represents a fundamental commercial lever for operators active in telecommunications. They now appear to be projected to associate the offer of internet connectivity services with premium entertainment content in order to make their commercial offer more appealing.  </w:t>
        <w:br/>
        <w:t xml:space="preserve">299. Regarding the particular relevance as a competitive lever of the content related to the viewing of the Serie A football championship, it is also worth recalling what was noted by the Authority in the closure measure of case C12207-SKY Italia/R2, where, considering the particular importance of the presence of Serie A matches in a bouquet of premium content offerings, it was observed that: “To confirm the extreme relevance of live Serie A football matches, the results of the survey show that over half of the users who include this content in their subscription (specifically 56.9%) would cancel their entire subscription if Serie A were no longer available.”  </w:t>
        <w:br/>
        <w:t xml:space="preserve">300. On this point, it should be highlighted that, contrary to what TIM represented in its defenses, it is not necessary to conduct a specific market analysis aimed at verifying whether the audiovisual content of Serie A for the three-year period 2021/2024 represents a fundamental competitive lever, updating the data contained in the survey conducted in the context of procedure C12207-SKY Italia/R2. In this regard, the Party argues that the availability of Serie A Rights no longer represents a so-called killer application capable of guiding consumer choices and therefore the values of operators in the market.  </w:t>
        <w:br/>
        <w:t xml:space="preserve">301. First of all, it is noted that the results of the survey conducted in the aforementioned procedure are relevant and current with respect to the assessments to be conducted in this measure.  </w:t>
        <w:br/>
        <w:t xml:space="preserve">302. The three-year marketing of Serie A rights 2021/2024, awarded to DAZN and subject to the agreement containing the clauses under this evaluation, has indeed been the subject of the Guidelines prepared by the LNPA and approved by the Authority with the aforementioned measure of January 21, 2020, no. 28097 (case SR34-Lega calcio serie A/assignment of audiovisual rights for football championships 2021/2022 - 2022/2023 - 2023/2024).  </w:t>
        <w:br/>
        <w:t>110 “1. The exemption referred to in Article 2 applies provided that the market share held by the supplier does not exceed 30% of the relevant market on which it sells the goods or services subject to the contract and the market share held by the buyer does not exceed 30% of the relevant market on which it purchases the goods or services subject to the contract.”</w:t>
      </w:r>
    </w:p>
    <w:p>
      <w:r>
        <w:t xml:space="preserve">BULLETIN NO. 2 OF JANUARY 12, 2026 41  </w:t>
        <w:br/>
        <w:t xml:space="preserve">303. These Guidelines expressly considered the outcomes of procedure C12207 mentioned in paragraph 22 and on this point the Authority had the opportunity to observe that “the provisions relating to par. 22 of the Guidelines regarding the constraints imposed by the aforementioned Authority measure no. 27784 of May 20, 2019, acknowledge the fact that the LNPA aims to achieve “the best possible balance of the various interests at stake, taking into account the constraints arising from the aforementioned AGCM decision in the Sky/R2 case [emphasis added] and it is observed that these objectives can be pursued in various ways that do not prejudice the participation and possible awarding of the packages by Sky Italia, such as, for example, the absence of exclusives for the internet platform or providing that the offering and assigning entity of a certain package may waive the exclusivity of that package for the sole internet platform.” (point 109).  </w:t>
        <w:br/>
        <w:t xml:space="preserve">304. The fact that the outcomes of procedure C12207 constituted a reference for designing the tender for the three-year period 2021/2024 would already be sufficient to consider TIM's argument unfounded.  </w:t>
        <w:br/>
        <w:t xml:space="preserve">305. However, more generally, it is noted that, regardless of this consideration, the indications of the survey still hold value today as it is undeniable that the availability of audiovisual content of the matches of the top national championship still represents a fundamental driver in consumer choice and therefore its presence in the content bouquet of an OTT is crucial. Even more recent research confirms the absolute centrality of sports content for the competitiveness of pay-TV service offerings. In Italy, 68% of viewers who watch sports (and news) at least once a month subscribe to pay-TV compared to only 39% of non-viewers of sports and news. In particular, the Serie A football championship in Italy, even from more recent research, continues to attract a large audience. The survey conducted for the sports newspaper Gazzetta dello Sport in August 2022 regarding the 2021-22 sports season shows that fans of clubs in the top league in Italy reach almost 25 million, with a consistent presence compared to 2020-21.  </w:t>
        <w:br/>
        <w:t xml:space="preserve">306. TV rights for sports content, therefore, constitute an asset that ensures a significant competitive advantage over other television rights and that, in any case, guarantees a high competitiveness of the pay-TV service offerings.  </w:t>
        <w:br/>
        <w:t xml:space="preserve">307. One cannot disregard the assessments expressed by the European Commission regarding the joint sale of audiovisual sports rights for UEFA international competitions and, in particular, the UEFA Champions League. In that occasion, the Commission authorized the joint sale of audiovisual sports rights by football associations on behalf of football clubs (as opposed to the sale of such rights by the clubs themselves), applying the current Article 101.3 TFEU provided that strict conditions were met, precisely to mitigate the risk of exclusionary effects on downstream markets, due to exclusivity and the bundling of rights. Such conditions included, among others: the sale of audiovisual sports rights through open and transparent tender procedures; a limitation on the duration of the rights (generally not exceeding three years) and the division of rights into different packages to allow more competitors to acquire the rights.  </w:t>
        <w:br/>
        <w:t>308. Following this precedent, Member States have regulated the marketing of such rights mainly with two types of alternative interventions (see better infra): an assessment of the criteria and conditions for centralized sales in application of the criteria of</w:t>
      </w:r>
    </w:p>
    <w:p>
      <w:r>
        <w:rPr>
          <w:b/>
        </w:rPr>
        <w:t>[Pages 40–42]</w:t>
      </w:r>
    </w:p>
    <w:p>
      <w:r>
        <w:t xml:space="preserve">42 BULLETIN NO. 2 OF JANUARY 12, 2026  </w:t>
        <w:br/>
        <w:t xml:space="preserve">exemptions pursuant to Article 101(3) TFEU or – alternatively and without prejudice to any subsequent interventions under competition law – through the establishment of a law that would regulate the principles and introduce constraints for the marketing of the aforementioned rights.  </w:t>
        <w:br/>
        <w:t xml:space="preserve">309. Such interventions are indicative of the relevance of the availability of rights related to matches of the top national championship regardless of a supposed decline in profitability in their commercialization.  </w:t>
        <w:br/>
        <w:t xml:space="preserve">310. The studies conducted over the years appear to be in line with the aforementioned indications to the extent that they show how the audience willing to pay for the enjoyment of sports content is a key element of the competitiveness of a pay-TV operator. In Italy, 68% of viewers who watch sports (and news) at least once a month subscribe to pay-TV compared to only 39% of non-viewers of sports and news. The audience interested in sports has a greater propensity to purchase a pay-TV subscription than the general television audience113.  </w:t>
        <w:br/>
        <w:t xml:space="preserve">ii) The content of the clauses of the agreement: the suitability of their formulation to exclude competitors.  </w:t>
        <w:br/>
        <w:t xml:space="preserve">311. Taking into account the aforementioned context, within the framework of the collaboration established for the provision of content from Packages 1 and 3 of the Rights for viewing matches of the Serie A football championship, it is believed that the provisions of the Agreement of January 27, 2021, signed by TIM and DAZN, due to their content, were suitable to produce harmful effects on the competitive dynamics in the relevant markets, considering the tenor of the clauses and the duration of the contract, as also noted by AGCOM in the opinion received on June 16, 2023, adhering to the draft of the measure. The agreement was indeed susceptible of depriving TIM's competitors active in the electronic communications markets of the possibility of associating high-value content, such as the rights to view matches of the Serie A Championship for the 2021/2024 cycle, with their connectivity services, limiting their ability to exert effective competitive pressure against TIM itself. Some clauses were also suitable to limit DAZN's commercial options regarding the development of audiovisual content offers on other technological platforms.  </w:t>
        <w:br/>
        <w:t xml:space="preserve">312. In particular, the agreement of January 27, 2021, was suitable to restrict competition under a multitude of profiles described below, with specific indication of the clauses susceptible to profiles of violation of Article 101 TFEU.  </w:t>
        <w:br/>
        <w:t xml:space="preserve">313. Firstly, the agreement allowed only TIM to formulate a commercial offer that combined broadband connectivity with the audiovisual content of TimVision (which included the Serie A content of DAZN). Such an offer, by its nature non-replicable by TIM's competitors, to the extent that they could not commercially associate the high-value audiovisual content of Serie A with their connectivity offer due to the exclusivity clauses contained in the Deal Memo of January 27, 2021, allowed the latter to further strengthen its position in the retail market for internet access services. The non-replicability was inherent in the circumstance that other telephone operators did not have the opportunity to commercially propose a combined offer of connectivity services and television since they could only affect their own connectivity offer in order to attract, only indirectly, customers interested in Serie A. Moreover, the agreement presented increasingly restrictive characteristics as the Parties had agreed to use only the internet platform as the mode of transmission of the content exclusively.  </w:t>
        <w:br/>
        <w:t xml:space="preserve">314. Therefore, alternative telephone operators were not allowed to propose an offer of connectivity and high-value audiovisual content in competition, and other media operators were excluded from both the internet platform and other traditional television platforms. Significant in this respect was the provision prohibiting, from July 1, 2021, the DAZN app and the DAZN 1 channel from being available on the Sky Q devices of residential Sky users or on any other service or device for Sky customers (for example, Now TV stick).  </w:t>
        <w:br/>
        <w:t xml:space="preserve">315. Secondly, and in a connected manner, the agreement effectively prevented end customers of TIM's competing telephone operators from subscribing to TimVision audiovisual services without simultaneously subscribing to TIM's connectivity services. This situation further weakened TIM's competitors in the fixed and mobile connectivity markets.  </w:t>
        <w:br/>
        <w:t xml:space="preserve">316. It should be noted that the Agreement in question has a total duration of six years starting from July 1, 2021, that is, three years, renewable for an additional three years. The parties reserved a right of early withdrawal [omitted]114.  </w:t>
        <w:br/>
        <w:t xml:space="preserve">317. The exclusivity clause is also noteworthy, which allows TIM to be the only entity able to offer discounts or temporary promotions on the DAZN service, making it contractually impossible for competing operators to replicate such discounts, as well as being the only operator able to include the DAZN APP on its devices. In particular, the agreement of January 27, 2021, established that TIM would be the only telecommunications operator and audiovisual media operator authorized by DAZN to sell the DAZN service in a combined mode (hard bundle) or with an à la carte offer115.  </w:t>
        <w:br/>
        <w:t xml:space="preserve">318. By virtue of this provision, DAZN – despite the contracts prior to the conclusion of the Agreement of January 27, 2021, and the commercial practice followed by this operator in Italy in the past, characterized by negotiations with other operators, and in general the practice followed by other OTTs – was contractually limited in its ability to distribute its service, with the aim of preventing the licensee of the Serie A TV rights from establishing commercial relationships with TIM's competing operators.  </w:t>
        <w:br/>
        <w:t xml:space="preserve">319. Therefore, from a commercial standpoint, the agreement of January 27, 2021, with the aforementioned provisions allows TIM to be the only entity, for a very long period of time, equal to the three years of commercialization of the audiovisual rights of the Serie A championship, renewable for an additional three years, to market DAZN services, also excluding the possibility of preparing offers on platforms other than the internet. This complex of contractual norms is therefore perfectly attributable to the case of full exclusivity, with express contractual provisions prohibiting other distribution possibilities of the content.  </w:t>
        <w:br/>
        <w:t xml:space="preserve">320. Thus, the exclusivity granted in favor of TIM explicitly precluded DAZN from concluding promotional partnerships with TIM's competitors in the audiovisual services and connectivity markets.  </w:t>
        <w:br/>
        <w:t xml:space="preserve">321. In this regard, it should be noted that the limitations were directed at subjects identified nominally in two lists as TIM's competitors in the provision of audiovisual media services and telecommunications operators, also highlighting contractually the intent to selectively limit the competitive capacity of its competitors. The Agreement also provided for the obligation for DAZN to terminate existing contracts with TIM's competing telecommunications operators or to limit their scope, directly hindering them in the existing marketing relationship with DAZN.  </w:t>
        <w:br/>
        <w:t xml:space="preserve">322. Regarding the identification of the subjects with whom the prohibition of entering into agreements applies, the contractual veto expressly prohibits DAZN from formulating partnership offers with other competing operators for the entire duration of the contractual relationship, in particular, based on the provision of Letter F) Exclusivity, it is stipulated that DAZN shall not, either directly or indirectly, authorize other telecommunications or audiovisual media operators to jointly or à la carte offer DAZN services116. [omitted].  </w:t>
        <w:br/>
        <w:t xml:space="preserve">323. In particular, the contractual provision of Letter F) Exclusivity of the Agreement precisely describes the activities permitted to DAZN: (i) to sell the DAZN service directly, (ii) to distribute the DAZN service à la carte through authorized third parties (excluding telecommunications operators and audiovisual media service providers) but DAZN shall not be able to offer discounts on Amazon TV for more than two months or before thirty days from the start of each Serie A season, (iii) to distribute the DAZN service in combination with other services and products through authorized third parties (excluding telecommunications operators and audiovisual media service providers); (iv) to allow direct carrier billing mechanisms through authorized third parties117. The Agreement specifies that unauthorized parties may not make advertising references to DAZN services even indirectly (for example, if they sell products that are entitled to have DAZN installed)118.  </w:t>
        <w:br/>
        <w:t xml:space="preserve">324. With respect to previous agreements that DAZN had in place, regarding a non-exclusive distribution contract of DAZN in force until August 2022, a specific discipline was provided aimed at reducing or completely eliminating the contractual relationship (Letter F. Exclusivity, page 5, penultimate paragraph). In particular, it was stipulated that DAZN would have to alternatively:  </w:t>
        <w:br/>
        <w:t xml:space="preserve">116 “DAZN shall not directly or indirectly authorize any Telco Operator and/or VPD Operator to Hard Bundle and/or offer on an a la carte basis the DAZN Service in the Territory during the Period to residential customers”.  </w:t>
        <w:br/>
        <w:t xml:space="preserve">117 “For the avoidance of doubt, DAZN shall be entitled to: (i) retail the DAZN Service directly to subscribers in the Territory itself; (ii) distribute the DAZN Service on an a la carte basis including at discounted rates and/or with introductory offers via Permitted Third Parties (as defined below), save that in respect of Amazon Fire TV and/or Amazon Fire TV Stick only (a) there shall be no more than 2 (two) promotions involving discounted rates and/or introductory offers in any contract year, and (b) such promotions shall not be live in the 30 (thirty) days immediately preceding or at the very start of any relevant Serie A Season; (iii) distribute the DAZN Service in combination with other products or services offered by Permitted Third Parties, with the only exception that DAZN shall not be entitled to enter into bundle deals with Amazon in respect of its Fire TV Service; and (iv) without prejudice to (iii) above, integrate direct carrier billing with Permitted Third Parties to allow subscribers to pay for the DAZN Service via their existing billing arrangements with the same. For clarity, Permitted Third Parties will not be restricted”.  </w:t>
        <w:br/>
        <w:t>118 “For example, DAZN shall not authorize [omitted] to promote the availability of the Rights through Amazon Fire TV Stick which may be sold in combination with a [omitted] subscription or prepaid service, if DAZN has the legal right to consent to such matters”.</w:t>
      </w:r>
    </w:p>
    <w:p>
      <w:r>
        <w:rPr>
          <w:b/>
        </w:rPr>
        <w:t>[Pages 43–45]</w:t>
      </w:r>
    </w:p>
    <w:p>
      <w:r>
        <w:t xml:space="preserve">BULLETIN NO. 2 OF JANUARY 12, 2026 45  </w:t>
        <w:br/>
        <w:t xml:space="preserve">(A) not to renew or extend the contract and to prevent [omitted], until expiration, from promoting or offering DAZN services to new subscribers, allowing existing subscribers to use the service, permitting only the latter to access the DAZN app on [omitted] TV, until August 2022119; or (B) to make available to [omitted] only an à la carte service120, but in this option there are economic penalties for DAZN, in particular, the minimum guarantee is reduced by the same amount as the revenue billed by [omitted]121.  </w:t>
        <w:br/>
        <w:t xml:space="preserve">325. It is worth noting that, based on the clauses of the contract under this evaluation, DAZN was limited in choosing the best individual economic marketing methods (it is limited in offering discounts for certain services) and technical methods (it is limited in choosing the best technological solutions, distribution platforms, devices, and payment methodologies) for the provision of services. In particular, the contract also establishes limits on DAZN's direct distribution of its services, stating that DAZN: (i) could not offer its service on platforms other than the internet or include it in other channels or services; (ii) could not sub-license sports rights except for the three Serie A matches in co-exclusivity; (iii) could not allow, from July 1, 2021, the DAZN app and the DAZN 1 channel to be available on the Sky Q devices of residential Sky users or in any other service or device for Sky customers (for example, Now TV stick).  </w:t>
        <w:br/>
        <w:t xml:space="preserve">326. In particular, in the provision of Letter F) Exclusivity of the Deal memo of January 27, 2021, it was established as follows: “In respect of distribution to residential customers and without prejudice to any provision of the Non-Rights Service as described below, DAZN shall not distribute (i) the DAZN Service other than via the internet, or (ii) live sports events, which are available on the DAZN Service, on any other channel or service, save that (in both cases) DAZN shall be under no such restrictions in respect of any sub-licensing of any sports content (which for clarity will not apply to the Live Broadcast Rights in respect of the Rights).” Furthermore, regarding the availability of DAZN on other platforms, it is provided that “DAZN confirms that, as of the Launch Date, the DAZN app and the channel DAZN 1 respectively shall no longer be available on residential Sky Q devices and on any other residential Sky branded devices and services (e.g. NOW TV stick, NOW TV etc…).”  </w:t>
        <w:br/>
        <w:t xml:space="preserve">327. Furthermore, the clauses of the agreement of January 27, 2021, were restrictive of competition from a technological standpoint to the extent that they were likely to dilute DAZN's incentives to undertake investments to equip itself with the necessary technology to conclude direct interconnection agreements with TIM's competing operators, as most of its customers, due to the exclusivity clauses, would be contracted by TIM, which was proceeding independently in this regard.  </w:t>
        <w:br/>
        <w:t xml:space="preserve">119 “A. (i) DAZN does not extend or renew such agreement (save to the extent (and only to such extent) required in order to achieve (ii) below); and (ii) [omitted] shall not be entitled to offer or promote (whether as part of a bundle and/or on an à la carte basis) the DAZN Service and/or accept any new subscriber of the DAZN Service during the Period, save that subscribers who will have already signed up to the DAZN Service via [omitted] prior to the Launch Date shall continue to have access to the DAZN Service (including via the [omitted] STB until August 31, 2022) for the duration of their subscription, with [omitted] being entitled to provide billing services to DAZN in respect of the same subscribers until and no later than August 31, 2022.”  </w:t>
        <w:br/>
        <w:t xml:space="preserve">120 “No later than the Launch Date, DAZN makes the Non-Rights Service available to [omitted] only on an à la carte basis under the [omitted] Agreement (including via the [omitted] STB).”  </w:t>
        <w:br/>
        <w:t xml:space="preserve">121 “In circumstances where DAZN elects to pursue this option B, (a) DAZN shall, subject to its existing contractual obligations, take commercially reasonable steps, compliant with applicable law, to seek to respect the exclusivity granted to TIM under this section F; and (b) subscribers shall be entitled to sign up to the Non-Rights Service pursuant to the [omitted] Agreement until August 31, 2022 (and may be billed by [omitted] for such subscriptions) (the “[omitted] Subscribers”) without DAZN being in breach of this section F and: […] (ii) the Annual MG in respect of each relevant contract year shall be reduced by an amount equal to any revenues (exclusive of VAT) received by DAZN in respect of [omitted] Subscribers (the “[omitted] Revenues”) in that contract year.”  </w:t>
        <w:br/>
        <w:t xml:space="preserve">328. Regarding technical solutions, the clauses of the Agreement provide for the integration of DAZN with TIM's Content Delivery Network (CDN)122, in order to ensure the best possible quality, as well as obligations to collaborate in good faith between the Parties (Letter Q - Network and Piracy Services)123. Based on the information gathered during the preliminary investigation, such integration solutions had not been simultaneously implemented with operators other than TIM.  </w:t>
        <w:br/>
        <w:t xml:space="preserve">329. Telecommunications operators were thus hindered by the Agreement in adopting their own technological solutions. This circumstance is the effect of various provisions that prevent DAZN, on the one hand, from allowing the integration of the DAZN app into the devices of telecommunications operators other than TIM (preventing them from developing technological improvement solutions, such as digital terrestrial backup or traffic management modes) and, on the other hand, reducing DAZN's incentives to invest. The content of the Agreement is also characterized by the effect of worsening the quality of DAZN services for users and benefiting TIM both in the retail market for fixed telecommunications and in the wholesale market, increasing the dependence of alternative operators on TIM's active services.  </w:t>
        <w:br/>
        <w:t xml:space="preserve">330. On this point, it is worth recalling once again the clause of the Agreement in Letter F) Exclusivity which establishes limits on DAZN's direct distribution of its services, stating that DAZN: (i) cannot offer its service on platforms other than the internet or include it in other channels or services; (ii) cannot sub-license sports rights except for the 3 Serie A matches in co-exclusivity124; (iii) cannot allow, from July 1, 2021, the DAZN app and the DAZN 1 channel to be available on the Sky Q devices of residential Sky users or in any other service or device for Sky customers (for example, Now TV stick)125.  </w:t>
        <w:br/>
        <w:t xml:space="preserve">331. It is believed that, from a technical standpoint, all operators must be put in a position to develop technological improvement solutions and therefore to undertake all necessary technical initiatives to allow their users to access audiovisual content from the start of the championship.  </w:t>
        <w:br/>
        <w:t xml:space="preserve">332. Additionally, the technical discrimination operated by TIM and the significant reduction of incentives for DAZN to invest in interconnection with telecommunications operators other than TIM, due to the Agreement, is likely to significantly influence the quality of the DAZN service, hindering the investment efforts of alternative operators to TIM to improve the network, increasing their dependence on TIM's active services and undermining competition based on investments and quality.  </w:t>
        <w:br/>
        <w:t xml:space="preserve">333. Overall, based on the considerations made, the provisions of the Agreement of January 27, 2021, subject to this evaluation, contrary to what TIM and DAZN claim in their defenses, do not appear justified and proportionate to the objective of ensuring the necessary technological support to operate the provision of the content assigned to DAZN or to provide essential economic support for the acquisition of audiovisual rights.  </w:t>
        <w:br/>
        <w:t xml:space="preserve">334. Regarding potential limitations to competition for telecommunications operators, it is noted that the contract between TIM and DAZN is far from aiming for greater competitiveness in the pay-TV market, due to the maintenance of an exclusivity for the distribution of Serie A content products in the hands of a single vertically integrated entity that holds a dominant position in the connectivity services markets. In this respect, in fact, the exclusivity did not allow any form of competition between platforms other than the internet and is abstractly likely to distort competition in markets related to those of pay-TV, namely the retail and wholesale broadband and ultra-broadband fixed telecommunications services markets.  </w:t>
        <w:br/>
        <w:t xml:space="preserve">335. On this point, it is relevant to note that the declared objective of the agreement – as indicated in its text – is to achieve certain thresholds of TIM subscribers. In this regard, the parties reserved a right of early withdrawal if minimum subscriber levels are not reached in 2023 [omitted]126.  </w:t>
        <w:br/>
        <w:t xml:space="preserve">e) On the effects of the agreement in light of the Authority's intervention  </w:t>
        <w:br/>
        <w:t xml:space="preserve">336. As mentioned, it should be noted that the assessments of restrictiveness carried out concern the contractual arrangement designed by the Parties prior to the Authority's investigative intervention through the establishment of a precautionary sub-procedure. This is an assessment focused on the content of the contractual clauses adopted, examining their potential impact and taking into account the context of the affected markets.  </w:t>
        <w:br/>
        <w:t xml:space="preserve">337. In this case, although there is a restrictive agreement by object, the Authority considers it appropriate to dwell on the circumstance that Article 101 TFEU prohibits both actual and purely potential anti-competitive effects and that the assessment of restrictiveness by effect cannot be limited to cases where actual effects occur, but this assessment must also take into account the potential effects of the agreement on competition in the common market127.  </w:t>
        <w:br/>
        <w:t xml:space="preserve">338. In this regard, it is useful to consider that the effects of the agreement, particularly those arising from the exclusivity and the prohibition of partnerships with TIM's competing TLC operators, have only been marginally mitigated during the proceedings by the voluntary measures that the parties presented during the precautionary sub-procedure, initiated close to the start of the first football season of the three-year period 2021/2024.  </w:t>
        <w:br/>
        <w:t xml:space="preserve">126 “Letter D) Effective date of this Deal Memo: […]  </w:t>
        <w:br/>
        <w:t xml:space="preserve">Launch date: July 1, 2021 (the “Launch Date”).  </w:t>
        <w:br/>
        <w:t xml:space="preserve">End date: 6 (six) years from Launch Date […].  </w:t>
        <w:br/>
        <w:t xml:space="preserve">[…]  </w:t>
        <w:br/>
        <w:t xml:space="preserve">The period from the Launch Date until the End Date being the “Period”. Each year from the Launch Date being a “contract year”.  </w:t>
        <w:br/>
        <w:t xml:space="preserve">This Deal Memo or the […] will automatically terminate at the end of the 3rd (third) contract year in the event the Condition Precedent under section C above is not achieved in respect of the Serie A Championship seasons 2024/25, 2025/26 and 2026/27 (the “Next Serie A Seasons”).  </w:t>
        <w:br/>
        <w:t xml:space="preserve">DAZN will have the right to terminate this Deal Memo […] at the end of the 3rd (third) contract year, by giving written notice to TIM no later than August 31, 2023, if, at no point in the last 3 (three) months of the 2nd (second) Serie A Season in the Period, the number of Total DAZN Subscribers (as defined below) was above [omitted].  </w:t>
        <w:br/>
        <w:t xml:space="preserve">TIM will have the right to terminate this Deal Memo […] at the end of the 3rd (third) contract year, by giving written notice to DAZN no later than August 31, 2023, if, at no point in the last 3 (three) months of the 2nd (second) Serie A Season in the Period, the total number of the TIM New Bundle Customers (as defined below) and TIM New A La Carte Customers (as defined below) was above [omitted].  </w:t>
        <w:br/>
        <w:t>127 See in this perspective case C-7/95 P, John Deere, points 72, 77 and 78. See in this sense judgments of December 10, 1985, case 31/85 ETA, point 12, and BAT and Reynolds/Commission, joined cases 142 and 156/84, point 54.</w:t>
      </w:r>
    </w:p>
    <w:p>
      <w:r>
        <w:rPr>
          <w:b/>
        </w:rPr>
        <w:t>[Pages 46–48]</w:t>
      </w:r>
    </w:p>
    <w:p>
      <w:r>
        <w:t xml:space="preserve">48 BULLETIN NO. 2 OF JANUARY 12, 2026  </w:t>
        <w:br/>
        <w:t xml:space="preserve">339. In this regard, the following figure shows the total number of subscribers to TimVision on fixed line, also divided by the number of subscribers to TimVision on fixed line with packages that include128 DAZN and by the number of subscribers to TimVision on fixed line with packages that do not include DAZN. It has been prepared based on the data requested from TIM on October 24, 2022.  </w:t>
        <w:br/>
        <w:t xml:space="preserve">Figure 11: number of subscribers to TIM VISION on fixed line (Source: Processing by the offices based on the data provided by TIM).  </w:t>
        <w:br/>
        <w:t xml:space="preserve">340. The total number of subscribers to the TimVision platform who are TIM customers on fixed line has remained virtually constant for about a year and is approximately [omitted] units, while the total number of subscribers to the TimVision platform with DAZN services who are TIM customers on fixed line is approximately [omitted].  </w:t>
        <w:br/>
        <w:t xml:space="preserve">341. The graph shows that from July 2021 to August 2021, that is, in the first period of application of the TIM Deal Memo until the implementation of the measures taken by the Parties within the framework of the precautionary sub-procedure, in just two months it acquires a customer share of approximately [omitted] units, which is one-third of the total acquired in a year and represents a significant share of subscriptions when compared to that of a medium-sized OAO.  </w:t>
        <w:br/>
        <w:t>128 By TIM Vision packages that contain DAZN, we mean all TIM VISION packages that include DAZN (for example, TIM VISION + DAZN + Infinity, TIM VISION + DAZN + Infinity + Disney+, TIM VISION + DAZN + Infinity + Netflix + Disney+, etc.)</w:t>
      </w:r>
    </w:p>
    <w:p>
      <w:r>
        <w:t xml:space="preserve">BULLETIN NO. 2 OF JANUARY 12, 2026 49  </w:t>
        <w:br/>
        <w:t xml:space="preserve">342. The curve of the number of TIM fixed line subscribers with packages that include DAZN from August 2021, that is, during the period of application of the measures and in the absence of TIM bundled offers, experiences a slowdown.  </w:t>
        <w:br/>
        <w:t xml:space="preserve">343. Subsequently, there is a sort of discontinuity starting from October 2021 and in the months of December 2021/January 2022 due to a TIM promotion that occurred in November 2021 and December 2021, which offered the possibility to some TIM fixed line customers who already had paid TimVision active and who did not have any active Football and Sports offer to enjoy TimVision Football and Sports with DAZN for free for a limited period (until January 12, 2022). This promotion provided for the automatic deactivation of DAZN services without the need for any additional cost for the TIM fixed line customers targeted by the offer. The number of those who subsequently subscribed to the paid offer at the end of the free trial period was very low.  </w:t>
        <w:br/>
        <w:t xml:space="preserve">344. It should also be noted that the Agreement of January 27, 2021, had favorable effects for TIM regarding the number of subscribers to the FTTH technology service, especially during periods when users were particularly interested in purchasing also the football content included in the DAZN offer.  </w:t>
        <w:br/>
        <w:t xml:space="preserve">345. More generally, it is observed that the monthly variations (between two consecutive months) in the number of subscribers to the TimVision platform with packages that include DAZN who are also TIM consumer customers on fixed line in FTTH technology have been practically equal to the monthly variations of TIM customers in the total fixed access market in FTTH technology for most of the period July 2021/December 2021 (except for the periods August/September 2021 and September/October 2021). Following the agreement, it is noted that there has been a compensation of the reductions in subscribers to TimVision with packages that included only entertainment and/or movies with the new customers who subscribed to a package that included DAZN. Furthermore, it can be observed that some of the periods of greatest increase in the acquisition of new subscribers (months of October, November 2021) correspond temporally with some TIM offers that combined DAZN with the fiber access service (for example, the offer "fiber 0 euros until December 31, 2021 + Timvision Gold with DAZN" in October 2021).  </w:t>
        <w:br/>
        <w:t xml:space="preserve">Table 5: Monthly variation in the total number of TIM consumer customers on fixed line in FTTH technology (a) and the total number of TIM consumer customers on fixed line subscribed to TIM VISION with DAZN services (b) (Source: processing based on the data provided by TIM)  </w:t>
        <w:br/>
        <w:t xml:space="preserve">Variation Jul21/Aug21 Aug21/Sep21 Sep21/Oct21 Oct21/Nov21 Nov21/Dec21  </w:t>
        <w:br/>
        <w:t xml:space="preserve">a) [omitted] [omitted] [omitted] [omitted] [omitted]  </w:t>
        <w:br/>
        <w:t xml:space="preserve">b) [omitted] [omitted] [omitted] [omitted] [omitted]  </w:t>
        <w:br/>
        <w:t xml:space="preserve">346. Regarding the clause related to the prohibition of discounts, it has not produced effects, despite its evident restrictive potential, solely by virtue of the fact that it was rendered ineffective by the Parties within the framework of the precautionary sub-procedure, as a result of which DAZN immediately regained the ability to operate discounts.  </w:t>
        <w:br/>
        <w:t>347. The exclusivity in favor of TIM and the selective prohibition for DAZN to establish partnerships with competitors of the latter, as can also be inferred from the data reported in Table 5, had limited and predominantly potential effects. In this context, the voluntary measures did not represent a decisive intervention to address the competitive issues arising from the Deal Memo, as only with the stipulation of the new TIM DAZN agreement was the termination of the restrictive agreement contained therein realized.</w:t>
      </w:r>
    </w:p>
    <w:p>
      <w:r>
        <w:t xml:space="preserve">50 BULLETIN NO. 2 OF JANUARY 12, 2026  </w:t>
        <w:br/>
        <w:t xml:space="preserve">348. The exclusivity present in the agreement could have determined a pre-emption effect, to the extent that it allowed only TIM to formulate joint offers of content and connectivity services that could not be replicated by competitors in the market for the same services. In particular, the Hard bundle, provided for in the agreement and consisting of a commercial offer of TIM telephony services combined inseparably with DAZN services, was suitable to provide a competitive advantage capable of altering competition in the connectivity services markets. TIM's competitors in the market for such services, in the presence of the described exclusivity, were indeed not in a position to replicate such an offer.  </w:t>
        <w:br/>
        <w:t xml:space="preserve">349. In particular, the exclusivity provided for in the contract effectively precluded competitors from replicating TIM's telecommunications service offer, since under the clauses of the contract referred to in Letter F)129, TIM was the only entity able to propose a bundle of TimVision with the DAZN service, intended exclusively for TIM customers and at a discounted price, interested in purchasing football content. In light of this, other telecommunications operators were excluded from the joint offer, as they could not technically propose discounts, even of a minor extent, to their customers for the DAZN or TimVision+DAZN service. Therefore, even following the reformulation of the clause related to the Telecom bundle, in the case of combined discounts, the trade-off between content offer and internet service did not allow competing operators in re ipsa to formulate an offer capable of matching that of TIM, with inevitable pre-emption effects in the internet services market.  </w:t>
        <w:br/>
        <w:t xml:space="preserve">350. That said, the agreement signed on August 3, 2022, between TIM and DAZN completely eliminated the exclusivity between TIM and DAZN, allowing all communication operators to conclude partnerships with DAZN and, therefore, to offer in combination connectivity services and audiovisual content related to the top Serie A championship.  </w:t>
        <w:br/>
        <w:t xml:space="preserve">351. In particular, since pursuant to Article 4, entitled Non Exclusivity, the exclusivity relationship is eliminated, the contractual amendments fundamentally remove the competitive concerns underlying the existence of the distribution exclusivity between TIM and DAZN; moreover, the measures voluntarily taken by the Parties during the precautionary sub-procedure initiated concurrently with the start of the proceeding on July 6, 2021, have marginally mitigated the effects of the agreement during the course of the substantive proceeding. In this perspective, the new agreement represents a solution of substantial continuity with the conduct spontaneously adopted in the aforementioned procedural context by the Parties.  </w:t>
        <w:br/>
        <w:t xml:space="preserve">352. The aforementioned Article 4 does not limit in any way this faculty, but exclusively regulates the economic compensations in favor of TIM in the event of DAZN signing other distribution contracts with other operators (“DAZN is and will be freely entitled to provide the DAZN Service  </w:t>
        <w:br/>
        <w:t xml:space="preserve">129 “TIM shall be the only Telco Operator (as defined below) and/or VPD Operator (as defined below) in the Territory authorized by DAZN to Hard Bundle and/or offer on an a la carte basis the DAZN Service in the Territory to residential customers during the Period,  </w:t>
        <w:br/>
        <w:t xml:space="preserve">DAZN shall not directly or indirectly authorize any Telco Operator and/or VPD Operator to Hard Bundle and/or offer on an a la carte basis the DAZN Service in the Territory during the Period to residential customers.  </w:t>
        <w:br/>
        <w:t xml:space="preserve">In respect of distribution to residential customers and without prejudice to any provision of the Non-Rights Service as described below, DAZN shall not distribute (i) the DAZN Service other than via the internet, or (ii) live sports events, which are available on the DAZN Service, on any other channel or service, save that (in both cases) DAZN shall be under no such restrictions in respect of any sub-licensing of any sports content (which for clarity will not apply to the Live Broadcast Rights in respect of the Rights.  </w:t>
        <w:br/>
        <w:t>A. (i)DAZN does not extend or renew such agreement (save to the extent (and only to such extent) required in order to achieve (ii) below); and (ii) [omitted] shall not be entitled to offer or promote (whether as part of a bundle and/or on an a la carte basis) the DAZN Service and/or accept any new subscriber of the DAZN Service during the Period, save that subscribers who will have already signed up to the DAZN Service via [omitted] prior to the Launch Date shall continue to have access to the DAZN Service (including via the [omitted] STB until August 31, 2022) for the duration of their subscription, with [omitted] being entitled to provide billing services to DAZN in respect of the same subscribers until and no later than August 31, 2022.”.</w:t>
      </w:r>
    </w:p>
    <w:p>
      <w:r>
        <w:rPr>
          <w:b/>
        </w:rPr>
        <w:t>[Pages 49–51]</w:t>
      </w:r>
    </w:p>
    <w:p>
      <w:r>
        <w:t xml:space="preserve">BULLETIN NO. 2 OF JANUARY 12, 2026 51  </w:t>
        <w:br/>
        <w:t xml:space="preserve">to any interested third party with no restriction, save for the following […]”). This hypothesis occurs starting from the contract concluded with Sky, referred to in Article 30130, which, pursuant to the shared text, is signed simultaneously (“in respect of the Sky agreement: DAZN will grant TIM a relief (the Sky Relief) in relation to the number of MTRPSs (Migrated TIM Registered and Paying Subscribers) who will be migrated from TIM to Sky […]”).  </w:t>
        <w:br/>
        <w:t xml:space="preserve">f) On the application of Article 101, paragraph 3, TFEU  </w:t>
        <w:br/>
        <w:t xml:space="preserve">353. For the purposes of the assessments referred to in Article 101, paragraph 3, TFEU, the conditions set out in letters a) and b) of the aforementioned provision are not met, contrary to what was represented by the Parties as a subordinate possibility of configuring an exemption pursuant to the VBER Regulations on vertical agreements.  </w:t>
        <w:br/>
        <w:t xml:space="preserve">354. In particular, in addition to noting the considerations made regarding the restrictive nature of the clauses so far discussed, the benefit of the indispensability of the restriction is not found. Contrary to what the Parties claimed, the exclusivity agreement was not essential for DAZN to procure the resources for the tender. In fact, a minimum guarantee without exclusivity (as provided for in the contract) could ensure the same (alleged) benefits. In this perspective, the fact that the contract was modified by eliminating the exclusivity clause and is still in force is evidence that such an agreement can exist even without selective restrictions aimed at excluding certain categories of operators, such as TIM's competing OAO.  </w:t>
        <w:br/>
        <w:t xml:space="preserve">355. On this point, the argument that the Melandri Decree inherently includes exclusivity (which, moreover, concerns a prior phase, namely the awarding of the tender) in the terms articulated in the Parties' defenses is not shareable. This argument by TIM and DAZN confuses different evaluation levels on which the procedure has not intervened. It concerns only the distribution agreement of January 27, 2021, signed between TIM and DAZN called Deal Memo and specifically the only clauses in the terms mentioned above. The exclusive assignment of TV Rights for the three-year period 2021/2024 in favor of DAZN is not subject to evaluation. Regarding this outcome of the tender, the distribution agreement is positioned in a subsequent logical plane as it is an agreement downstream for the distribution of rights.  </w:t>
        <w:br/>
        <w:t xml:space="preserve">356. Secondly, the considerations made by DAZN regarding the circumstance that the Melandri Decree would allow the rights to be awarded only exclusively are not shareable and are in contrast with the framework of said Decree. This regulation, in making it possible to award sports rights exclusively for a three-year period (now five years131), says nothing about the competitive compatibility of the outcomes of the competitive comparison, as well as the methods by which the assignee distributes such rights. Therefore, there is no trace in the aforementioned regulatory text of any passage according to which the aforementioned Decree allows for the exclusivity to be considered the only possible competitive arrangement as a result of the tender called by the LNPA.  </w:t>
        <w:br/>
        <w:t xml:space="preserve">357. These considerations are in line with what was represented by the Authority during the approval measure of the Guidelines for the three-year period 2021/2024 affected by the agreement between TIM and DAZN, namely in the measure of January 21, 2020, no. 28097 (case SR34-Lega calcio serie A/assignment of audiovisual rights for the football championships 2021/2022 - 2022/2023 - 2023/2024).  </w:t>
        <w:br/>
        <w:t xml:space="preserve">358. In particular, the considerations made in points 106-108 are relevant, where the Authority had the opportunity to emphasize that “regarding the criteria identified to preserve a competitive balance, it is observed that these criteria must lead to the preparation of packages that comply with the principles of fairness, transparency, and non-discrimination, with specific reference to the actual balance between them, especially in qualitative terms and the attractiveness of the events. In particular, the packages related to exclusive rights should be prepared in a balanced manner to promote competition among operators, allowing them to offer the public the most interesting events.”  </w:t>
        <w:br/>
        <w:t xml:space="preserve">359. On that occasion, as also noted in previous interventions132, the Authority deemed preferable “the preparation of packages that stimulate competition in the downstream pay-tv market, allowing more pay-tv operators to broadcast a good part of Serie A, multiplying the distribution platforms, and accentuating the substitutability – and therefore competition – among pay-tv operators, to the benefit of users in terms of greater choice and lower prices [emphasis added]. This objective is also the basis of the evaluations and measures taken in measure no. 27784 of May 20, 2019, adopted at the conclusion of procedure C12207–Sky Italia/R2, also referred to in the contributions received during the public consultation.”  </w:t>
        <w:br/>
        <w:t xml:space="preserve">360. In preparing the invitations to offer, in the Authority's view, this objective could be achieved “by creating the largest number of packages that, by their content, are such as to stimulate competition among multiple operators, especially new entrants [emphasis added]. In other words, packages must be designed in such a way as to develop offers to end consumers that are competitive and not complementary. This, in particular, can be achieved through a limitation of exclusives, for example in platform sales, with packages that have a substantial part of shared events. To expand the number of operators, the preferential assignment to non-vertically integrated publishers or the obligation to prepare wholesale channel offers for the assignees is also relevant.”  </w:t>
        <w:br/>
        <w:t xml:space="preserve">361. These considerations have also been reiterated in the evaluation of the Guidelines for the commercialization of Serie A rights 2021/2024 (case Guidelines of the Lega Nazionale Professionisti Serie A for the centralized commercialization of audiovisual rights in the sports seasons 2024/2025 - 2025/2026 - 2026/2027133) and, lastly, in the context of case SR43B-Lega Calcio Serie A/Assignment of audiovisual rights for football championships - 2027/2028 - 2029/2034134, where the Authority deemed it “appropriate for the LNPA to work to promote the provision of offers by multiple operators, through the removal of exclusivity conditions or other contractual mechanisms having a similar content or effect [emphasis added], aggravated by multi-year constraints, in order to promote competition among different operators based on price, quality, and service innovation,” recalling the experience of other countries regarding the commercialization of rights for the highest national football competitions.  </w:t>
        <w:br/>
        <w:t xml:space="preserve">362. That said, due to their content, the clauses subject to this evaluation do not pass a test of adequacy and proportionality pursuant to paragraph 3 of Article 101 TFEU concerning the objective of ensuring the necessary technological support to operate the provision of the contents assigned to DAZN or to provide economic support for the acquisition of audiovisual rights.  </w:t>
        <w:br/>
        <w:t xml:space="preserve">363. Furthermore, the circumstance that the agreement of January 27, 2021, excluded certain categories of competitors prevents finding the condition of non-application of paragraph 1 referred to in paragraph 3 of Article 101 TFEU, letter b). In this perspective, in fact, the exclusivity clauses contained in the Deal Memo offer the interested companies, and in particular Telecom, the possibility of eliminating competition for a substantial part of connectivity services, hindering the growth potential of competitors. In a connected manner, the existence of a benefit for consumers is to be excluded, as they are prevented from enjoying alternatives in the connectivity offers associated with the contents as well as the possibility of having alternative discount methods from DAZN.  </w:t>
        <w:br/>
        <w:t xml:space="preserve">VII. CONCLUSIONS  </w:t>
        <w:br/>
        <w:t xml:space="preserve">364. Based on the considerations made in the previous points, the elements on file indicate the existence of a restrictive agreement on competition established by TIM and DAZN in violation of Article 101, paragraph 1, TFEU. In particular, the information on file indicates that the clauses of the agreement concluded between TIM and DAZN on January 27, 2021, called Deal Memo, which provide provisions that limit commercially and technologically DAZN's possibilities in relations with TIM's competing TLC operators are potentially harmful to competition, with effects in the following markets (i) the market for wholesale access services to the fixed broadband and ultra-broadband network; (ii) the market for retail telecommunications services on the fixed broadband and ultra-broadband network; (iii) the market for the retail sale of pay television services (payTV market)135.  </w:t>
        <w:br/>
        <w:t xml:space="preserve">VIII. THE INJURY TO INTRA-COMMUNITY TRADE  </w:t>
        <w:br/>
        <w:t xml:space="preserve">365. According to the Commission Communication 2004/C 101/07 – Guidelines on the notion of injury to trade between Member States referred to in Articles 81 and 82 of the EC Treaty, published in the Official Journal of the European Communities C 101/81 of April 27, 2004 [now Articles 101 and 102 TFEU], the concept of injury to trade within the European Union must be interpreted taking into account the direct or indirect, actual or potential influence on trade flows between Member States.  </w:t>
        <w:br/>
        <w:t xml:space="preserve">366. The agreement in question concerned the entire national territory and involved operators of a supranational dimension, also established in other countries within the European Economic Area. Therefore, the behaviors described above are potentially capable of harming trade between Member States of the European Union and constitute violations of Article 101 TFEU.  </w:t>
        <w:br/>
        <w:t xml:space="preserve">IX. SEVERITY AND DURATION OF THE INFRINGEMENT  </w:t>
        <w:br/>
        <w:t xml:space="preserve">367. Pursuant to Article 15, paragraph 1, of Law No. 287 of October 10, 1990, in cases of serious infringements, the Authority applies an administrative pecuniary sanction to the companies involved. According to community jurisprudence, to assess the severity of an infringement, account must be taken of a  </w:t>
        <w:br/>
        <w:t>135 See AGCM measure no. 27784 of May 20, 2019, case C12207, cited.</w:t>
      </w:r>
    </w:p>
    <w:p>
      <w:r>
        <w:rPr>
          <w:b/>
        </w:rPr>
        <w:t>[Pages 52–54]</w:t>
      </w:r>
    </w:p>
    <w:p>
      <w:r>
        <w:t xml:space="preserve">54 BULLETIN NO. 2 OF JANUARY 12, 2026  </w:t>
        <w:br/>
        <w:t xml:space="preserve">a series of factors whose nature and importance vary depending on the type of infringement and the specific circumstances thereof. The case law has also clarified that the severity of the infringement can be assessed by considering in particular the nature of the restriction of competition, the role and market representation of the companies involved, as well as the duration of the infringement136. These elements are summarized in the Guidelines on the application of the criteria for quantifying the administrative monetary penalties imposed by the Authority in application of Article 15, paragraph 1, of Law No. 287/90 (hereinafter, Guidelines), adopted by the Authority on February 25, 2025.  </w:t>
        <w:br/>
        <w:t xml:space="preserve">368. In this case, it is noteworthy that, regarding the nature of the behaviors, the agreement of January 27, 2021, between TIM and DAZN is attributable to a serious agreement insofar as it aimed to limit or control production, outlets, technical development, investments, and in applying, in commercial relations with other contracting parties, dissimilar conditions for equivalent performances, thus causing a disadvantage in competition for the latter. In this regard, the particular relevance of the audiovisual content related to the matches of the Serie A championship for the three-year period 2021/2024 must be considered, as well as the fact that the agreement was concretely implemented, given that the Parties formally entered into the agreement, carrying out commercial promotions and sales strategies in line with its content.  </w:t>
        <w:br/>
        <w:t xml:space="preserve">369. Regarding the duration, in light of the investigation carried out, the agreement in question falls within a time frame that runs from January 27, 2021, the date on which DAZN, through DAZN Limited, entered into an agreement with TIM for the establishment of a partnership for distribution and technological support, called Deal Memo Distribution, until August 3, 2022, the date on which TIM and DAZN entered into a new agreement for the distribution of DAZN content on the TIM Vision platform, called Distribution Agreement137, characterized by the complete elimination of the exclusivity clauses between TIM and DAZN.  </w:t>
        <w:br/>
        <w:t xml:space="preserve">X. DETERMINATION OF THE SANCTION  </w:t>
        <w:br/>
        <w:t xml:space="preserve">a) General criteria  </w:t>
        <w:br/>
        <w:t xml:space="preserve">370. Article 15, paragraph 1, of Law No. 287/1990 provides that the Authority, in cases of serious infringements, taking into account their severity and duration, shall impose an administrative monetary penalty of up to ten percent of the revenue generated by each company or entity in the last financial year closed prior to the notification of the warning adopted as a result of an investigative procedure. For the purposes of identifying the criteria for quantifying the penalty, it is necessary to consider the provisions of Article 11 of Law No. 689/1981, as recalled by Article 31 of Law No. 287/1990, as well as the interpretative criteria outlined in the Guidelines on the application of the criteria for quantifying the administrative monetary penalties imposed by the Authority in application of Article 15, paragraph 1, of Law No. 287/1990 (“Sanctions Guidelines”).  </w:t>
        <w:br/>
        <w:t xml:space="preserve">371. Regarding the identification of the base and reference year for calculating the penalties, it is noted that point 8 of the Authority's Sanctions Guidelines provides that “In order for the penalty to have an effective deterrent effect, it is at least necessary that it is not less than the benefits that the company expects to derive from the violation. Such benefits, depending on the type of infringement committed, are a function of the total value of the sales affected by the unlawful conduct. For this reason, the Authority believes that the penalties applicable to antitrust violations should be calculated based on the value of the sales of the goods or services directly or indirectly subject to the infringement, made by the company in the relevant market(s) in the last full year of participation in the same infringement (hereinafter, sales value).”  </w:t>
        <w:br/>
        <w:t xml:space="preserve">372. That said, in this case, regarding the identification of the reference year for calculating the penalty base, it is believed that the penalties should be calculated with respect to the period coinciding with the 2021-22 championship season, thus, from July 2021 to June 2022, an annual time frame - more representative of the infringement138 - in which the Parties achieved revenues from the commercialization of the rights to view the matches of the Serie A football championship for the three-year period 2021/2024 concerning the first season.  </w:t>
        <w:br/>
        <w:t xml:space="preserve">373. In this case, with reference to DAZN, the specific revenue considered for the present purposes will only be that obtained from TIM's payment of the minimum guarantee provided for in the Deal Memo and not the revenue obtained from direct sales. In fact, following a specific verification aimed at assessing the actual impact of the Deal Memo on the direct sales made by that company, no sufficient and suitable elements emerged to make a clear estimate of such impact, nor, in particular, of the impact of TIM's financial provision for participation in the tender and the award of the rights.  </w:t>
        <w:br/>
        <w:t xml:space="preserve">374. The Authority's Sanctions Guidelines provide that “the percentage to be applied to the value of the sales to which the infringement refers will be determined based on the degree of severity of the violation. This percentage shall not exceed 30% of the value of the sales” (point 11).  </w:t>
        <w:br/>
        <w:t xml:space="preserve">375. Referring to what has been previously stated regarding the severity of the infringement, it is noted that the agreement in question is serious as it aims to limit or control production, outlets, technical development, or investments, thus causing a disadvantage in competition for the latter. In this regard, the particular relevance of the audiovisual content related to the matches of the Serie A championship for the three-year period 2021/2024 must be considered, as well as the fact that the agreement was concretely implemented given that the Parties formally entered into the agreement, carrying out commercial promotions and sales strategies in line with its content.  </w:t>
        <w:br/>
        <w:t xml:space="preserve">376. It is also noteworthy that the conduct in question was carried out by the main companies operating in the market for the purchase and commercialization of audiovisual rights, in a constantly evolving context, characterized by the increasingly widespread adoption of the internet platform as a means of accessing television services, in this case, pay-tv services, where the particular value of the content, especially sports entertainment, represents a fundamental commercial lever for operators active in telecommunications. They now appear to be projected to associate the offer of internet connectivity services with premium entertainment content in order to make their commercial offer more appealing.  </w:t>
        <w:br/>
        <w:t xml:space="preserve">377. In light of these elements, it is deemed appropriate to set the percentage of the value of the calculation base of the infringement at 15% as it constitutes a horizontal agreement in violation of Article 101 TFEU.  </w:t>
        <w:br/>
        <w:t xml:space="preserve">378. According to the Guidelines, the duration of the infringement has an impact on the detrimental consequences of the infringement and, therefore, deserves to be valued in determining the appropriate amount of the penalty.  </w:t>
        <w:br/>
        <w:t xml:space="preserve">379. Regarding the duration, the agreement in question falls within a time frame that runs from January 27, 2021, the date on which the Deal Memo was signed, until August 3, 2022, the date on which the new agreement was concluded that overcame the exclusivity clauses present in the original agreement.  </w:t>
        <w:br/>
        <w:t xml:space="preserve">b) Mitigating circumstances  </w:t>
        <w:br/>
        <w:t xml:space="preserve">380. Based on point 19 of the Authority's Sanctions Guidelines, the base amount of the penalty, determined as described in the preceding paragraphs, may be increased to take into account specific circumstances that aggravate (aggravating circumstances) or mitigate (mitigating circumstances) the responsibility of the author of the violation, with particular reference to the role played by the company in the infringement, the conduct it maintained during the investigation, as well as the efforts made by the agent to eliminate or mitigate the consequences of the violation and the personality of the same, also in light of the provisions of Article 11 of Law No. 689/1981.  </w:t>
        <w:br/>
        <w:t xml:space="preserve">381. In this case, neither aggravating circumstances nor mitigating circumstances are relevant.  </w:t>
        <w:br/>
        <w:t xml:space="preserve">c) Final quantification of the penalty  </w:t>
        <w:br/>
        <w:t xml:space="preserve">382. For the purposes of quantifying the penalties, based on Article 34 of the aforementioned Guidelines, “...specific circumstances [...] may justify motivated deviations from the application of these Guidelines, which are expressly accounted for in the measure that establishes the infringement.”  </w:t>
        <w:br/>
        <w:t xml:space="preserve">383. As previously motivated, the penalties imposed on TIM and DAZN are indicated below.  </w:t>
        <w:br/>
        <w:t xml:space="preserve">384. In light of the criteria and evaluations carried out in the previous letters from a) to c) of this paragraph, the penalties are determined in the terms summarized in the following tables.  </w:t>
        <w:br/>
        <w:t xml:space="preserve">Table 6 - Final penalty imposed on TIM S.p.A. and DAZN Limited  </w:t>
        <w:br/>
        <w:t xml:space="preserve">Parties Penalty imposed  </w:t>
        <w:br/>
        <w:t xml:space="preserve">TIM S.p.A. € 760,776.82  </w:t>
        <w:br/>
        <w:t xml:space="preserve">DAZN Limited € 3,673,716.63  </w:t>
        <w:br/>
        <w:t xml:space="preserve">All of the above having been stated and considered:  </w:t>
        <w:br/>
        <w:t xml:space="preserve">CONSIDERING that TIM S.p.A. and DAZN Limited have engaged in a restrictive agreement of competition, in violation of Article 101 TFEU, consisting of the adoption of certain clauses of the agreement signed between TIM and DAZN on January 27, 2021, called Deal Memo;  </w:t>
        <w:br/>
        <w:t xml:space="preserve">RESOLVES  </w:t>
        <w:br/>
        <w:t xml:space="preserve">a) that the conduct carried out by TIM S.p.A. and DAZN Limited, consisting of the adoption of certain clauses of the agreement signed between TIM and DAZN on January 27, 2021, called Deal Memo, constitutes, in the terms described in the motivation, a restrictive agreement of competition in violation of Article 101 TFEU;  </w:t>
        <w:br/>
        <w:t xml:space="preserve">b) that TIM S.p.A. and DAZN Limited refrain in the future from engaging in behaviors similar to those subject to the infringement established in the previous point;  </w:t>
        <w:br/>
        <w:t>c) that, due to what is indicated in the motivation, administrative monetary penalties be applied to:</w:t>
      </w:r>
    </w:p>
    <w:p>
      <w:r>
        <w:rPr>
          <w:b/>
        </w:rPr>
        <w:t>[Pages 55–57]</w:t>
      </w:r>
    </w:p>
    <w:p>
      <w:r>
        <w:t xml:space="preserve">BULLETIN NO. 2 OF JANUARY 12, 2026 57  </w:t>
        <w:br/>
        <w:t xml:space="preserve">Parties Fine imposed  </w:t>
        <w:br/>
        <w:t xml:space="preserve">TIM S.p.a. € 760,776.82  </w:t>
        <w:br/>
        <w:t xml:space="preserve">DAZN Limited € 3,673,716.63  </w:t>
        <w:br/>
        <w:t xml:space="preserve">The administrative fines referred to in the previous letter c) must be paid within ninety days from the notification of this measure, using the tax codes indicated in the attached F24 model with identifying elements, pursuant to Legislative Decree No. 241/1997.  </w:t>
        <w:br/>
        <w:t xml:space="preserve">Payment must be made electronically, with a debit from one's bank or postal account, through home banking and CBI services provided by banks or Poste Italiane S.p.A., or by using the telematic services of the Revenue Agency, available on the website www.agenziaentrate.gov.it.  </w:t>
        <w:br/>
        <w:t xml:space="preserve">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fine is increased by one-tenth for each semester starting from the day following the payment deadline until the role is transmitted to the collector for collection; in this case, the increase absorbs the late payment interest accrued during the same period.  </w:t>
        <w:br/>
        <w:t xml:space="preserve">Immediate notification of the payments made must be given to the Authority, by sending a copy of the model certifying the payment made.  </w:t>
        <w:br/>
        <w:t xml:space="preserve">Pursuant to Article 26 of the same law, companies in economically disadvantaged conditions may request the installment payment of the fine.  </w:t>
        <w:br/>
        <w:t xml:space="preserve">This measure will be notified to the interested parties and published in the Bulletin of the Competition and Market Authority.  </w:t>
        <w:br/>
        <w:t xml:space="preserve">Against this measure, an appeal may be submitted to the TAR of Lazio, pursuant to Article 135, paragraph 1, letter b), of the Code of Administrative Procedure (Legislative Decree No. 104 of July 2,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measure itself.  </w:t>
        <w:br/>
        <w:t xml:space="preserve">THE SECRETARY GENERAL THE PRESIDENT  </w:t>
        <w:br/>
        <w:t>Guido Stazi Roberto Rustichelli</w:t>
      </w:r>
    </w:p>
    <w:p>
      <w:r>
        <w:t xml:space="preserve">58 BULLETIN NO. 2 OF JANUARY 12, 2026  </w:t>
        <w:br/>
        <w:t xml:space="preserve">CONCENTRATION OPERATIONS  </w:t>
        <w:br/>
        <w:t xml:space="preserve">C12779 - BUSITALIA-SITA NORD/F.LLI MADDII  </w:t>
        <w:br/>
        <w:t xml:space="preserve">Measure No. 31791  </w:t>
        <w:br/>
        <w:t xml:space="preserve">THE COMPETITION AND MARKET AUTHORITY  </w:t>
        <w:br/>
        <w:t xml:space="preserve">IN ITS MEETING of December 22, 2025;  </w:t>
        <w:br/>
        <w:t xml:space="preserve">HEARD the Rapporteur Saverio Valentino;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from BUSITALIA-Sita Nord S.r.l., received on November 25, 2025;  </w:t>
        <w:br/>
        <w:t xml:space="preserve">HAVING REGARD to the documentation on file;  </w:t>
        <w:br/>
        <w:t xml:space="preserve">CONSIDERING the following:  </w:t>
        <w:br/>
        <w:t xml:space="preserve">I. THE PARTIES  </w:t>
        <w:br/>
        <w:t xml:space="preserve">1. BUSITALIA-Sita Nord S.r.l. (hereinafter, "Busitalia"; Tax Code 06473721006) is the company of the Ferrovie dello Stato Italiane Group (hereinafter, "FS Group") that mainly deals with the transportation of people by bus in urban and extra-urban areas. Busitalia is wholly owned by Trenitalia S.p.A. (hereinafter, "Trenitalia")1, which is in turn wholly owned by Ferrovie dello Stato Italiane S.p.A. (hereinafter, "FS")2. Busitalia provides local public transport services (hereinafter, "TPL") and is present in Italy – in Umbria, Veneto, and Campania – and in the Netherlands – in the areas of Utrecht and Groningen-Drenthe3. Through the controlled company Busitalia Rail Service S.r.l., Busitalia also provides, on behalf of the railway companies of the FS Group, bus services that substitute railway services throughout the national territory, as well as interregional long-distance bus services4. Finally, Busitalia provides some commercial bus services to/from airports or places of interest, maintenance services (primarily for the companies of the FS Group), and, on a residual basis, bus rental services. In 2024, the FS Group achieved a turnover of approximately [10-20]* billion euros in Italy.  </w:t>
        <w:br/>
        <w:t xml:space="preserve">2. F.lli Maddii S.r.l. (hereinafter, "F.lli Maddii"; Tax Code 00139650519) and Betas Tours S.r.l. (hereinafter, "BT"; Tax Code 0457030344) are limited liability companies under Italian law that manage stakes in companies primarily active in the tourism services sector via bus in Hop-on, Hop-off mode under the "City Sightseeing" brand. F.lli Maddii and BT also engage in additional activities, such as organizing and marketing tourist packages aimed at integrating their transport service offerings, agency services, rental services, and bus workshop services. In 2024, F.lli Maddii S.r.l. and Betas Tours S.r.l. achieved a consolidated turnover in Italy of approximately [10-32] million euros and [10-32] million euros, respectively, for a total of approximately [32-100] million euros.  </w:t>
        <w:br/>
        <w:t xml:space="preserve">II. DESCRIPTION OF THE OPERATION  </w:t>
        <w:br/>
        <w:t xml:space="preserve">3. The notified operation (hereinafter, "Operation") involves the acquisition by Busitalia of the entire share capital of F.lli Maddii and BT, currently held by a number of individuals.  </w:t>
        <w:br/>
        <w:t xml:space="preserve">4. The acquisition is governed by a share purchase agreement. Following the Operation, Busitalia will exercise exclusive control, directly, over F.lli Maddii and BT, as well as, indirectly, over the companies controlled by them5, the main one being City Sightseeing Italy S.r.l. (hereinafter, "CS Italy"), which essentially operates in providing tourist services via bus in Hop-on, Hop-off mode under the "City Sightseeing" brand.  </w:t>
        <w:br/>
        <w:t xml:space="preserve">III. QUALIFICATION OF THE OPERATION  </w:t>
        <w:br/>
        <w:t xml:space="preserve">5. The Operation, as it involves the acquisition of control over multiple companies,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582 million euros and the total turnover achieved, in the last financial year at the national level, individually by at least two of the companies involved was over 35 million euros6.  </w:t>
        <w:br/>
        <w:t xml:space="preserve">6. The acquisitions of F.lli Maddii and BT can be qualified as a single operation pursuant to Article 3, paragraph 1, Regulation (EC) No. 139/2004, as they confer to Busitalia indirect control over the jointly controlled activities of the selling companies, being linked by the same economic purpose; it follows that, for the purposes of verifying the notification thresholds, the joint turnover of the acquired companies is relevant.  </w:t>
        <w:br/>
        <w:t xml:space="preserve">7. The Operation includes a non-competition and non-solicitation obligation on the part of the sellers for a duration of [omitted], [omitted]. In particular, this agreement concerns [omitted]. Regarding the non-competition and non-solicitation clauses contained in the purchase agreement, it is stated that they constitute a restriction directly connected and necessary for the realization of the Operation, as they are strictly functional to safeguarding the value  </w:t>
        <w:br/>
        <w:t xml:space="preserve">5 Specifically, these are the companies: City Sightseeing Italy S.r.l. (hereinafter, "CS Italy"); Sightseeing Experience S.r.l. (hereinafter, "Experience"); Milano City Sightseeing S.r.l. (hereinafter, "Milano CS"); Florentia Bus S.r.l. (hereinafter, "Florentia Bus"); Livorno City Sightseeing S.r.l. (hereinafter, "Livorno CS"); City Sightseeing Campania S.r.l. (hereinafter, "CS Campania"); City Sightseeing Napoli S.r.l. (hereinafter, "CS Napoli"); City Sightseeing Torino S.r.l. (hereinafter, "CS Torino"); Roma Sightseeing Green S.r.l. (hereinafter, "Roma SG") and Palermo City Sightseeing S.r.l. (hereinafter, "Palermo CS"). Following the Operation, Busitalia will acquire exclusive control of City SightSeeing Firenze S.r.l. (hereinafter, "CS Firenze"), currently subject to joint control by Busitalia (60%), Florentia Bus (25%) and CS Italy (15%). CS Italy holds a non-controlling stake of 35% in Verona City Sightseeing S.r.l. (hereinafter, "Verona CS").  </w:t>
        <w:br/>
        <w:t>6 See measure No. 31495 of March 18, 2025, "Reevaluation of turnover thresholds pursuant to Article 16, paragraph 1, of Law No. 287/1990," in Bulletin No. 11/2025.</w:t>
      </w:r>
    </w:p>
    <w:p>
      <w:r>
        <w:rPr>
          <w:b/>
        </w:rPr>
        <w:t>[Pages 58–60]</w:t>
      </w:r>
    </w:p>
    <w:p>
      <w:r>
        <w:t xml:space="preserve">60 BULLETIN NO. 2 OF JANUARY 12, 2026  </w:t>
        <w:br/>
        <w:t xml:space="preserve">of the new entity, provided that they are geographically limited to the services offered by the Target and, therefore, to the cities in which it already operates, and provided that they do not prevent the seller from acquiring or holding financial interests in a competing company, [omitted], without this resulting, directly or indirectly, in the assignment of management roles or substantial influence in the competing company.  </w:t>
        <w:br/>
        <w:t xml:space="preserve">IV. EVALUATION OF THE OPERATION  </w:t>
        <w:br/>
        <w:t xml:space="preserve">IV.1. Relevant markets  </w:t>
        <w:br/>
        <w:t xml:space="preserve">8. Due to the operations of the Parties, the markets involved in the Operation concern: i) the markets for tourist services via bus in Hop-on, Hop-off mode; ii) the markets for tourist services via bus; (iii) the markets for passenger rail transport; (iv) the markets for local public transport (hereinafter, "TPL") and (v) the markets for agency services.  </w:t>
        <w:br/>
        <w:t xml:space="preserve">IV.1.1. The market for tourist services via bus in Hop-on, Hop-off mode  </w:t>
        <w:br/>
        <w:t xml:space="preserve">9. Hop-on Hop-off services constitute, from a merchandise perspective, a distinct and separate market from other types of urban tourist experiences; this is due to the nature, characteristics, intended use, mode of visit (for example, type of transport used) and the services included in the offer purchased by the consumer7.  </w:t>
        <w:br/>
        <w:t xml:space="preserve">10. Furthermore, Hop-on, Hop-off services have characteristics that integrate a distinct product and geographic market compared to both TPL services and, more generally, authorized line transport services without tourist purposes, for short and medium-long distances. This is because the intended use, routes, stops, frequency, as well as prices, conditions of use and, more generally, the complex of additional and/or tourist services that complement passenger transport are defined taking into account the needs of the specific Target clientele to which they are addressed.  </w:t>
        <w:br/>
        <w:t xml:space="preserve">11. Regarding the regulatory framework, as noted in previous decisions of the Authority, Hop-on, Hop-off services differ from TPL services in that, unlike the latter, they are not subject to public service obligations. The operation of Hop-on, Hop-off services is subject to the mere issuance, where necessary, of an authorization for the operation of the service in question by the relevant administration. Unlike TPL services (characterized by competition for the market), Hop-on, Hop-off services are therefore provided in a competitive context characterized by competition in the market. For the above reasons, it is believed that there is no substitutability relationship between Hop-on, Hop-off services and TPL services or, even more generally, line transport services for short or medium-long distances without tourist purposes8.  </w:t>
        <w:br/>
        <w:t xml:space="preserve">7 See the case United States and State of New York v. Twin America, LLC, Coach USA, Inc., International Bus Services, Inc., Citysights LLC, City Sights Twin, LLC - U.S. Department of Justice, Antitrust Division - Civil Action No. 12/CV/8989. In this proceeding, brought against several companies active in providing Hop-on, Hop-off Services in New York City, among other things, the relevant market was defined as "The direct evidence of anticompetitive effects following the formation of Twin America provides further support for the conclusion that hop-on, hop-off bus tours in New York City constitute a relevant antitrust market." Furthermore, it was specified that: "a significant number of customers would not substitute to other tours or attractions in response to a small but significant and non-transitory increase in the price (SSNIP) of hop-on, hop-off bus tours." The proceeding can be consulted at the link Antitrust Division | U.S. and State of New York v. Twin America, LLC, et al. | United States Department of Justice.  </w:t>
        <w:br/>
        <w:t xml:space="preserve">8 See SP130 - Confindustria Palermo-Palermo City Sightseeing/AMAT Palermo, measure no. 23795 of August 2, 2012, in Bulletin No. 31/2012 and SP109 - Trambus/Line Bus Activities Gt, measure no. 19627 of March 12, 2009, in Bulletin No. 10/2009. In particular, with the measure issued at the conclusion of the SP130 proceeding, the Authority noted that: "the activity of line tourist transport does not have the characteristics of a service of general interest and is distinguished from the ordinary local public transport service in that there are no specific public service obligations and, in any case, it is not an activity reserved by law to a specific subject. Regarding the conditions of access to the market, the tourist transport service, pursuant to the aforementioned provisions, is subject to the issuance, by the Municipal Administration, of an authorization that enables the company to operate the service in question."  </w:t>
        <w:br/>
        <w:t xml:space="preserve">12. As for the relevant geographic market, it is confined to the urban realities in which the companies provide their services, and to which the competent administration for issuing the authorization for carrying out the activity is referable. The Target operates Hop-on, Hop-off services in specific urban realities within the national territory, on predetermined routes/sections based on the authorizations issued by the relevant administrative authorities from time to time. Therefore, for the purposes of the Operation, the relevant geographic market is represented by the urban realities in which the Target operates, namely the cities of Florence, Fiesole, Turin, Milan, Genoa, Livorno, Rome, Naples, and Palermo.  </w:t>
        <w:br/>
        <w:t xml:space="preserve">13. In any case, in this specific case, the exact delineation of the merchandise and geographic market can be left open, as it does not affect the evaluation of the Operation.  </w:t>
        <w:br/>
        <w:t xml:space="preserve">IV.1.2. The market for tourist services via bus  </w:t>
        <w:br/>
        <w:t xml:space="preserve">14. Like Hop-on, Hop-off services, in the market for tourist services via bus, transport is understood as part of a more articulated range of services provided to ensure customers a complete experience during their visit to places of interest. Furthermore, the consumer, by purchasing Bus Tourist Services, does not have the option to end the visit/experience at a destination point different from the starting point. For these reasons, it is believed that there is no substitutability relationship between these services and line transport services for short or medium-long distances without tourist purposes, which, on the contrary, are intended to meet specific regional or extra-regional mobility needs.  </w:t>
        <w:br/>
        <w:t xml:space="preserve">15. The transport service (commercial/market service) included in the Bus Tourist Services is subject to the issuance, by the competent administrative authority depending on the locality in which it intends to operate, of an authorization for circulation. Therefore, the market for Bus Tourist Services presumably has a geographic extension coinciding with the route/itinerary in which the service is provided, and to which the competent administration for issuing the authorization for carrying out the activity is referable.  </w:t>
        <w:br/>
        <w:t xml:space="preserve">16. In any case, in this specific case, the exact delineation of the merchandise and geographic market can be left open, as it does not affect the evaluation of the Operation.  </w:t>
        <w:br/>
        <w:t xml:space="preserve">IV.1.3. The market for passenger rail transport  </w:t>
        <w:br/>
        <w:t xml:space="preserve">17. Considering the established application practice of the Authority, the market for passenger rail transport services is divided into two different and distinct relevant markets, namely: the market for regional passenger rail transport services; the market for medium-long distance rail transport services which includes services provided with Frecce, Intercity, and international trains9. By constant practice, distinct relevant markets are usually identified with reference to each route/bundle of origin and destination routes. It has also been recognized that high-speed transport services constitute a distinct relevant product market.  </w:t>
        <w:br/>
        <w:t xml:space="preserve">18. From a geographical perspective, in this specific case, it does not seem necessary to identify multiple geographic markets of origin and destination or "O&amp;D" (corresponding to connections between different cities, in order to define a distinct relevant market for each portion of the network), but rather it is appropriate to evaluate the market power of railway operators at the national level.  </w:t>
        <w:br/>
        <w:t xml:space="preserve">19. The relevant product market is that of local public transport of passengers, as regulated by Article 1, paragraph 2, of Legislative Decree 422/1997, according to which "Public transport services for regional and local transport are services for the transport of persons and goods, which do not fall among those of national interest strictly identified by Article 3; they include the set of terrestrial, maritime, lagoon, lake, river, and air mobility systems that operate continuously or periodically with predetermined itineraries, schedules, frequencies, and fares, with general access, within a territory of normally regional or infra-regional size."  </w:t>
        <w:br/>
        <w:t xml:space="preserve">20. From the perspective of the relevant geographic market, in line with the established orientation of the Authority, within TPL services, the relevant markets are identified with the traffic basin in relation to which the competent authorities carry out the assignment of services10.  </w:t>
        <w:br/>
        <w:t xml:space="preserve">IV.1.5. The provision of services by travel agencies  </w:t>
        <w:br/>
        <w:t xml:space="preserve">21. In its practice11, the European Commission has defined a specific market for the services provided by travel agencies, identifying them as resellers of tourist services generally remunerated by the provider of the service in question. In the past, the European Commission has further segmented the market by dividing it based on the type of end users (business and leisure), but more recently this definition has been left open12. The geographic market is defined at the national level.  </w:t>
        <w:br/>
        <w:t xml:space="preserve">22. Since the Operation does not appear to raise competitive concerns in light of any plausible definition of the market, the exact definition of the product market and the geographic market can be left open.  </w:t>
        <w:br/>
        <w:t xml:space="preserve">IV.2. The effects of the Operation  </w:t>
        <w:br/>
        <w:t xml:space="preserve">IV.2.1. Horizontal effects  </w:t>
        <w:br/>
        <w:t xml:space="preserve">23. F.lli Maddii and BT are active, through the companies they directly or indirectly control, in providing Hop-on, Hop-off Services under the "City Sightseeing" brand in the cities of Florence, Fiesole, Turin, Milan, Genoa, Livorno, Rome, Naples, and Palermo, as well as in providing Bus Tourist Services, on predetermined itineraries based on specific authorizations issued by the competent administrative authorities.  </w:t>
        <w:br/>
        <w:t xml:space="preserve">24. Busitalia, which essentially provides TPL services in Umbria, Veneto, and Campania, is not active in the markets in which the Target operates through its respective controlled companies13, except for the activity carried out through the subsidiary CS Firenze. Following the Operation, Busitalia, which currently holds 60% of the share capital of CS Firenze and jointly controls it with the companies subject to acquisition, will acquire the entirety of the stake in the company. It follows that the Operation will result in the transition from joint control to exclusive control by Busitalia.  </w:t>
        <w:br/>
        <w:t xml:space="preserve">10 See C11749 - Busitalia - Sita Nord Cap Autolinee Cooperativa Trasporti Pratese - Auto Guidovie Italiane/Ataf Gestioni, measure no. 24016/2012, in Bulletin No. 43/2012 and C10663 - Ratp/Transdev Italia, measure no. 21366/2010, in Bulletin No. 28/2010.  </w:t>
        <w:br/>
        <w:t xml:space="preserve">11 See European Commission decision M.8862 - GBT / HRG of July 13, 2018.  </w:t>
        <w:br/>
        <w:t xml:space="preserve">12 See European Commission decision M.8046 - TUI / TRANSAT France of October 20, 2016.  </w:t>
        <w:br/>
        <w:t>13 CS Napoli is 61.3% owned by CS Campania, as well as 13.2% by Azienda Napoletana Mobilità S.p.A., 13.2% by Compagnia Trasporti Pubblici S.p.A., and 12.2% by Busitalia Campania S.p.A. This stake, of a merely financial nature, does not constitute a position of control and, therefore, does not allow Busitalia to be considered active in the relevant market through CS Napoli.</w:t>
      </w:r>
    </w:p>
    <w:p>
      <w:r>
        <w:rPr>
          <w:b/>
        </w:rPr>
        <w:t>[Pages 61–63]</w:t>
      </w:r>
    </w:p>
    <w:p>
      <w:r>
        <w:t xml:space="preserve">BULLETIN NO. 2 OF JANUARY 12, 2026 63  </w:t>
        <w:br/>
        <w:t xml:space="preserve">25. No other company of the FS Group provides Hop-on, Hop-off Services or Bus Tourist Services, neither in the geographical markets where the companies subject to acquisition are active, nor in others14.  </w:t>
        <w:br/>
        <w:t xml:space="preserve">26. In the territorial realities where the companies controlled by F.lli Maddii and BT currently operate, the Operation will merely involve the replacement of one operator (i.e. the companies subject to acquisition) with another (i.e. Busitalia).  </w:t>
        <w:br/>
        <w:t xml:space="preserve">27. In light of the above, from a horizontal perspective, the Operation does not appear capable of generating anti-competitive effects.  </w:t>
        <w:br/>
        <w:t xml:space="preserve">IV.2.2. The vertical effects  </w:t>
        <w:br/>
        <w:t xml:space="preserve">28. The company Sightseeing Experience S.r.l. (hereinafter, “Experience”), controlled by the Targets, provides travel agency services, in order to offer and organize day excursions aimed both at cruise customers and so-called leisure clientele. The packages offered are designed directly by the company, which also handles the technical organization and marketing of tickets, while the transport service is provided through the group companies operating in their respective territories. Currently, the excursions designed by Experience depart from Florence, Livorno, La Spezia, Civitavecchia, and Rome. The weight of this activity within the group is negligible: in 2024, the revenue from tour operator/travel agency services was approximately [1-10] million euros.  </w:t>
        <w:br/>
        <w:t xml:space="preserve">29. The Operation could theoretically create a vertical link between Trenitalia's activities in the upstream market of passenger rail transport services and Experience's activities in the downstream markets of travel agency services in Italy. However, it is believed that the entity resulting from the Operation would not have the capacity or incentive to successfully implement strategies to exclude inputs or customers after the Operation.  </w:t>
        <w:br/>
        <w:t xml:space="preserve">30. With regard to the exclusion of inputs, the entity resulting from the Operation would not have the capacity to exclude downstream competitors in the market for travel agency services in Italy, as there are numerous alternatives to the FS Group for reaching the tourist cities affected by the Operation, including the competing operator in the passenger transport market, Italo15. Furthermore, the entity resulting from the Operation would not have, after the Operation, the incentive to stop supplying Trenitalia high-speed tickets to competing travel agencies as the travel agency companies of the Target hold very modest market positions (less than 1% of the national market). Consequently, considering the limited downstream market share, the entity resulting from the Operation would not derive significant benefits from a strategy of input exclusion, while it would likely lose relevant sales.  </w:t>
        <w:br/>
        <w:t xml:space="preserve">31. Even less so, given the limited downstream market share, would the entity resulting from the Operation have the capacity or incentive to exclude access to the passenger transport clientele through reduced purchases from the upstream competitor, Italo.  </w:t>
        <w:br/>
        <w:t xml:space="preserve">32. The Operation does not appear capable of generating anti-competitive effects even from a vertical perspective.  </w:t>
        <w:br/>
        <w:t xml:space="preserve">14 Both Busitalia and the Target engage in bus rental activities, which, however, are entirely residual for both. Both the market share of the Target and that of the buyer are below 1% when defining the market at the national level. Defining the market at the regional level, there would be no overlaps, as the Target operates in Tuscany (with a share well below 5%) and Busitalia operates in Calabria (share below 1%) and in Umbria (share around [1-5%]).  </w:t>
        <w:br/>
        <w:t>15 According to an aggregated estimate, for each destination city affected by the Operation, the market shares of the FS Group in transporting tourists to the city, without distinction for service type (regional, intercity, AV), in none of the affected destinations does the FS Group transport more than [45-50%] of passengers. The percentage of Trenitalia passengers for tourism has been determined as the ratio between the number of Trenitalia passengers for tourism purposes and the total overall tourist traffic.</w:t>
      </w:r>
    </w:p>
    <w:p>
      <w:r>
        <w:t xml:space="preserve">64 BULLETIN NO. 2 OF JANUARY 12, 2026  </w:t>
        <w:br/>
        <w:t xml:space="preserve">IV.2.3. The conglomerate effects  </w:t>
        <w:br/>
        <w:t xml:space="preserve">33. Following the Operation, the FS group will be present in passenger transport through rail transport (Trenitalia), as well as in tourist transport Hop-on, hop-off and tourist services via bus (hereinafter, collectively tourist transport services) provided by the Target.  </w:t>
        <w:br/>
        <w:t xml:space="preserve">34. The tourist transport services and transport services can be combined into an integrated service offered either to users of the Hop-on, hop-off service, in order to allow them to reach the cities of interest through the services offered by the FS group, or to FS group travelers interested in visiting the reached cities.  </w:t>
        <w:br/>
        <w:t xml:space="preserve">35. The combination of such services could give the entity resulting from the Operation the capacity and incentive to leverage a strong position in one of the markets to extend that position into another market, through the exclusion of competitors from one of the two combined services via a tied sale (contractual tying) or through the sale of a package (bundling).  </w:t>
        <w:br/>
        <w:t xml:space="preserve">36. The ability to exclude through the integrated offer primarily depends on possessing significant market power (even without dominance) in at least one of the two services, the presence of a large number of customers who purchase both services (“common customers”), and the inability of competitors to react effectively.  </w:t>
        <w:br/>
        <w:t xml:space="preserve">37. Both Trenitalia and the Target enjoy significant market power in their respective relevant markets. At the national level for the year 2024, Trenitalia holds a share of [60-65%], calculated in terms of passengers/km, in the AV passenger transport market, and operates under a legal monopoly in the regional passenger transport market.  </w:t>
        <w:br/>
        <w:t xml:space="preserve">38. Regarding the Bus Tourist Services, in some lines affected by the operation, the Target is the sole operator, holding [95-100%] of sales, while in other lines, it is present in a competitive context with varying shares (between [10-15%] and [85-90%])16. Similarly, the analysis of market shares of Hop-on, Hop-off services in the affected cities highlights a heterogeneous positioning of operators in different geographical markets. In Rome, the market appears structurally competitive, with the presence of four main operators and a relatively balanced distribution of shares: BigBus - Rome holds the highest share in terms of tickets sold with [30-35%], followed by CS Italy with [25-30%], GreenLine Tours with [20-25%], and Gray Line (I Love Rome) with [15-20%]. In Palermo, three companies operate, with CS Italy holding [45-50%], followed by Open AsTour - Palermo ([25-30%]) and Filpio Car Palermo ([20-25%]). Conversely, in other cities, a more concentrated market structure emerges. Milan presents a duopolistic configuration, with a substantially balanced share distribution between CS Italy ([50-55%]) and Milano Open Tour ([40-45%]). In Turin, CS Italy holds an almost monopolistic position, with [95-100%] of both vehicles and tickets sold. A similar situation is recorded in Naples, where CS Italy concentrates [95-100%] of the market. In Florence, Livorno, and Genoa, the market is entirely dominated by CS Italy, which holds [95-100%] of the vehicles and tickets sold.  </w:t>
        <w:br/>
        <w:t xml:space="preserve">39. Despite the significant market power of the Parties in their respective markets (or in some of them), this operation does not appear capable of producing exclusionary effects. In particular, the new entity resulting from the Operation will neither have the capacity nor the incentive to engage in exclusionary conduct against competitors, neither in the passenger rail transport market nor in the tourist services market. Regarding the former, any potential use of Hop-on Hop-off services or bus tourist services as leverage to increase demand for Trenitalia's rail services would, in any case, be unlikely to produce exclusionary effects, considering that passengers using such tourist services represent a marginal share compared to the total number of rail transport passengers17. Similarly, there are no risks of exclusion in the tourist transport market, for the reasons outlined in the following paragraphs.  </w:t>
        <w:br/>
        <w:t xml:space="preserve">40. Trenitalia and CS Italy have entered into a commercial agreement [omitted]. With this contract, CS Italy has granted Trenitalia a mandate with representation through which it authorizes the latter to sell the Hop-on, Hop-off services operated by CS Italy in the cities of Rome, Florence, Milan, Naples, Palermo, Turin, Genoa, Verona, Padua, and Livorno. Therefore, Trenitalia is authorized to sell, through its distribution channels, the Hop-on, Hop-off services in two different modalities: at full price, that is, sold separately and in the absence of a passenger rail transport service operated by Trenitalia; at a discounted price, sold in conjunction with a travel ticket related to the passenger rail transport services provided by Trenitalia, with a 20% discount compared to the price charged by CS Italy to the public.  </w:t>
        <w:br/>
        <w:t xml:space="preserve">41. Furthermore, the commercial agreement provides for the possibility for CS Italy itself to grant a 20% discount on the purchase of Hop-on, Hop-off services to: i) CS Italy customers who, at the time of purchasing the Hop-on, Hop-off services, are enrolled in Trenitalia's loyalty programs or ii) CS Italy customers who, at the time of purchasing the Hop-on, Hop-off services, hold a valid Trenitalia train ticket for travel on Frecciarossa, Frecciargento, Frecciabianca, Intercity, Intercity Notte, Eurocity/Euronight trains, which must bear a date no more than five days prior to the date of use of the City Sightseeing services.  </w:t>
        <w:br/>
        <w:t xml:space="preserve">42. The new entity does not possess either the capacity or the incentive to exclude competitors in the Hop-on, hop-off services markets by leveraging a certain market power in rail transport, as the interest in purchasing the combined ticket does not appear relevant. This finding emerges from the fact that in 2024, with ongoing collaboration: (a) a minority of Hop-on, hop-off tourists, [less than 1%], purchased tickets through Trenitalia channels, (b) CS Italy sold less than [0.1-1%] of its services applying the 20% discount provided for Trenitalia customers. Furthermore, about [60-70%] of Hop-on, hop-off tourists do not purchase tickets in advance, so these passengers would therefore not be interested in purchasing the package, and it would be difficult, therefore, to incentivize them to use CS Italy's services by leveraging Trenitalia's services.  </w:t>
        <w:br/>
        <w:t xml:space="preserve">43. Finally, “single-product” competitors (Italo and competing Hop-on, hop-off companies) could effectively respond by entering into agreements among themselves, which would leverage Italo's network.  </w:t>
        <w:br/>
        <w:t xml:space="preserve">44. The integration between tourist transport and rail transport has the potential to significantly boost sales of tourist transport services, driven by the exploitation of the commercial and marketing channels of the FS Group, as evidenced by the internal strategic documentation of the buyer. However, such growth is contingent upon the  </w:t>
        <w:br/>
        <w:t>17 The tickets sold by CS Italy in the cities affected by the Operation correspond to less than 1% of the total passengers who reached those cities using Trenitalia services in 2024.</w:t>
      </w:r>
    </w:p>
    <w:p>
      <w:r>
        <w:rPr>
          <w:b/>
        </w:rPr>
        <w:t>[Pages 64–66]</w:t>
      </w:r>
    </w:p>
    <w:p>
      <w:r>
        <w:t xml:space="preserve">66 BULLETIN NO. 2 OF JANUARY 12, 2026  </w:t>
        <w:br/>
        <w:t xml:space="preserve">the concrete implementation of the hypothesized synergies and the activation of the necessary authorization processes with the competent public authorities for the extension of services in new territorial areas. [omitted]. It follows that the possible effects of bundling are uncertain and, in any case, likely to manifest over a longer period than those considered in the assessment of concentrations.  </w:t>
        <w:br/>
        <w:t xml:space="preserve">CONSIDERED, therefore, that the Operation does not significantly impede effective competition in the relevant markets, pursuant to Article 6, paragraph 1, of Law No. 287/1990, and does not result in the establishment or strengthening of a dominant position;  </w:t>
        <w:br/>
        <w:t xml:space="preserve">CONSIDERED, furthermore, that the non-competition and non-solicitation clauses described can be considered ancillary to this operation only within the limits indicated above and that the Authority reserves the right to evaluate, where the conditions exist, the aforementioned clauses that exceed those limits;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companies involved and to the Minister of Enterprises and Made in Italy.  </w:t>
        <w:br/>
        <w:t xml:space="preserve">The measure will be published in the Bulletin of the Competition and Market Authority.  </w:t>
        <w:br/>
        <w:t xml:space="preserve">THE SECRETARY GENERAL THE PRESIDENT  </w:t>
        <w:br/>
        <w:t>Guido Stazi Roberto Rustichelli</w:t>
      </w:r>
    </w:p>
    <w:p>
      <w:r>
        <w:t xml:space="preserve">BULLETIN NO. 2 OF JANUARY 12, 2026 67  </w:t>
        <w:br/>
        <w:t xml:space="preserve">C12780 - STIRLING SQUARE CAPITAL PARTNERS MANAGEMENT/BETTER DECISIONS  </w:t>
        <w:br/>
        <w:t xml:space="preserve">Measure no. 31792  </w:t>
        <w:br/>
        <w:t xml:space="preserve">THE COMPETITION AND MARKET AUTHORITY  </w:t>
        <w:br/>
        <w:t xml:space="preserve">IN ITS MEETING of December 22, 2025;  </w:t>
        <w:br/>
        <w:t xml:space="preserve">HEARD the Rapporteur, Saverio Valentino;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from Stirling Square Capital Partners Management Limited, received on November 26, 2025;  </w:t>
        <w:br/>
        <w:t xml:space="preserve">CONSIDERING the following:  </w:t>
        <w:br/>
        <w:t xml:space="preserve">I. THE PARTIES  </w:t>
        <w:br/>
        <w:t xml:space="preserve">1. Stirling Square Capital Partners Management Limited (hereinafter, “SSCP”; Tax Code 101-573-1974) is a private equity fund that, through its portfolio companies, makes investments primarily in equity instruments across various industrial sectors in Europe.  </w:t>
        <w:br/>
        <w:t xml:space="preserve">2. SSCP is ultimately controlled by Stirling Square Holdings, a holding company established under Jersey law and at the head of the eponymous Stirling Square group (hereinafter, “SSCP Group”). The SSCP Group manages four private equity funds (collectively, the “SSCP Funds”); these funds hold stakes in companies active in various industrial sectors, including IT services, through SSCP Testing TopCo, a limited liability company under English law (hereinafter also referred to as “Resillion”).  </w:t>
        <w:br/>
        <w:t xml:space="preserve">3. In 2024, the consolidated revenue generated by the companies of the SSCP Group was approximately [2-3]1 billion euros globally, of which approximately [100-582] million euros were generated in Italy.  </w:t>
        <w:br/>
        <w:t xml:space="preserve">4. Better Decisions S.r.l. (hereinafter, “BD” or the “Target”; Tax Code 03873541209) is a holding company of several companies active in the field of digital transformation and technological innovation. In particular, BD holds an 80% stake in the share capital of Iconsulting S.p.a. (hereinafter also “Iconsulting”), a company active in IT consulting, primarily in Italy.  </w:t>
        <w:br/>
        <w:t xml:space="preserve">BD is jointly controlled by Dway S.r.l. and ModoF S.r.l., each holding a 50% stake in the share capital (hereinafter, the “Sellers”).  </w:t>
        <w:br/>
        <w:t xml:space="preserve">5. Globally, in 2024, BD generated total revenue of approximately [35-100] million euros, of which [35-100] million euros in Italy.  </w:t>
        <w:br/>
        <w:t>1 In this version, some data are omitted, as there were deemed to be elements of confidentiality or secrecy of the information.</w:t>
      </w:r>
    </w:p>
    <w:p>
      <w:r>
        <w:t xml:space="preserve">68 BULLETIN NO. 2 OF JANUARY 12, 2026  </w:t>
        <w:br/>
        <w:t xml:space="preserve">II. DESCRIPTION OF THE OPERATION  </w:t>
        <w:br/>
        <w:t xml:space="preserve">6. The communicated operation (hereinafter, “Operation”) consists of the acquisition by SSCP of exclusive control of BD.  </w:t>
        <w:br/>
        <w:t xml:space="preserve">7. In particular, the Operation, according to the provisions of the Sale and Purchase Agreement, is structured so that BD first proceeds with the demerger of the other holdings it holds, so as to control only Iconsulting. Subsequently, SSCP will acquire the entirety of the share capital of BD and the stake in Iconsulting currently held by certain individuals, so that, following the Operation, SSCP will exclusively control BD, including its subsidiary Iconsulting.  </w:t>
        <w:br/>
        <w:t xml:space="preserve">8. In the Sale and Purchase Agreement, the Parties have also provided that the Sellers, for three years following the completion of the Operation: (i) refrain from engaging in activities that compete with the business currently conducted by Iconsulting in Italy and Switzerland (non-competition agreement); (ii) refrain from soliciting customers or suppliers, as well as senior employees of Iconsulting (non-solicitation agreement).  </w:t>
        <w:br/>
        <w:t xml:space="preserve">III. QUALIFICATION OF THE OPERATION  </w:t>
        <w:br/>
        <w:t xml:space="preserve">9. The Operation, being aimed at acquiring exclusive control of a company, constitutes a concentration pursuant to Article 5, paragraph 1, letter b), of Law No. 287/1990. It falls within the scope of application of Law No. 287/1990, as the conditions set out in Article 1 of EC Regulation No. 139/2004 do not apply, and is subject to the obligation of prior notification provided for by Article 16, paragraph 1, of the same law, as the total revenue generated, in the last financial year at the national level, by the group of companies involved was over 582 million euros and the total revenue generated, in the last financial year at the national level, individually by at least two of the companies involved, was over 35 million euros.  </w:t>
        <w:br/>
        <w:t xml:space="preserve">10. The non-competition and non-solicitation agreements described above can be qualified as ancillary to the Operation to the extent that they contain restrictions directly related to its implementation and necessary for it2. In particular, the non-competition agreement and the obligation of non-solicitation can be considered ancillary to the Operation provided that they are geographically limited to the area of activity of the acquired company, do not exceed a duration of two years, since, in this case, the value of the transferred company must be protected only in terms of goodwill and not also of know-how, as the acquiring group is already present in the IT services market, and do not prevent the sellers from acquiring or holding shares solely for financial investment purposes.  </w:t>
        <w:br/>
        <w:t xml:space="preserve">IV. ASSESSMENT OF THE CONCENTRATION  </w:t>
        <w:br/>
        <w:t xml:space="preserve">Relevant markets  </w:t>
        <w:br/>
        <w:t xml:space="preserve">11. Due to the activities carried out by the Parties, the Operation concerns the market for information technology (IT) services.  </w:t>
        <w:br/>
        <w:t xml:space="preserve">12. The IT services market includes IT infrastructure management services, maintenance, enhancement, and management of software applications, continuity services.  </w:t>
        <w:br/>
        <w:t>2 Communication from the Commission on restrictions directly related and necessary to concentrations (2005/C-56/03) published in the Official Journal of the European Communities on March 5, 2005.</w:t>
      </w:r>
    </w:p>
    <w:p>
      <w:r>
        <w:rPr>
          <w:b/>
        </w:rPr>
        <w:t>[Pages 67–69]</w:t>
      </w:r>
    </w:p>
    <w:p>
      <w:r>
        <w:t xml:space="preserve">BULLETIN NO. 2 OF JANUARY 12, 2026 69  </w:t>
        <w:br/>
        <w:t xml:space="preserve">business services, business consulting, management and technology, outsourcing of applications, intelligent platform services, and research and development services for various clients and industries3.  </w:t>
        <w:br/>
        <w:t xml:space="preserve">13. Preliminary observations indicate that, in the decision-making practice of the European Commission4 and the Authority5, this market has generally been considered segmentable based on the functionality of the services offered and the industrial sectors affected by the provision of such services.  </w:t>
        <w:br/>
        <w:t xml:space="preserve">In this sense, the IT services market can be divided, based on service functionality, into the following segments: (i) consulting, (ii) application implementation and managed services, (iii) infrastructure implementation and managed services, (iv) business process services, (v) infrastructure as a service, and (vi) hardware support.  </w:t>
        <w:br/>
        <w:t xml:space="preserve">Furthermore, the IT services market can be segmented by industrial sector into: (i) banking and credit securities, (ii) communication, (iii) media, (iv) education, (v) healthcare services, (vi) government, (vii) insurance, (viii) manufacturing and natural resources, (ix) retail, (x) transportation, (xi) public service, (xii) wholesale trade.  </w:t>
        <w:br/>
        <w:t xml:space="preserve">14. The activities carried out by Iconsulting appear to fall within more than one of the functionality-related segments, namely "consulting" and "application implementation and managed services."  </w:t>
        <w:br/>
        <w:t xml:space="preserve">In any case, for the purposes of this evaluation, the exact definition of the product market can be left open, as the Operation does not raise concerns from the perspective of competition protection, either in the general IT services market or in each of the segments identified based on service functionality.  </w:t>
        <w:br/>
        <w:t xml:space="preserve">15. From a geographical perspective, the IT services market can be conservatively considered to coincide with the national territory, given that the Authority, in its previous decisions6, has noted the homogeneity of competitive conditions in the national territory and the absence of significant imports of IT services, leaning towards a national market dimension, although there is a trend towards the internationalization of demand and supply, as noted by the European Commission7. For the purposes of this evaluation, the exact definition of the geographical market can, however, be left open since, even adopting the narrower definition (national market), the estimated market share held by the Parties involved in the Operation in the provision of IT services is limited.  </w:t>
        <w:br/>
        <w:t xml:space="preserve">3 See C12624 - Accenture Holdings / Intellera Consulting, measure no. 31187 of April 30, 2024, in Bulletin no. 20/2024.  </w:t>
        <w:br/>
        <w:t xml:space="preserve">4 See decisions of the European Commission M.3555 - Hewlett/Packard Synstar of September 9, 2004; M.2946 - IBM/PWC Consulting of September 23, 2002; M.9205 – IBM/Red Hat of June 27, 2019 and M.7458 – IBM/INF Business of Deutsche Lufthansa of December 15, 2014.  </w:t>
        <w:br/>
        <w:t xml:space="preserve">5 See C12624 - Accenture Holdings / Intellera Consulting, measure no. 31187 of April 30, 2024, in Bulletin no. 20/2024; C12695 – Fibonacci BidCo/Quid Informatica, measure no. 31437 of January 14, 2025, in Bulletin no. 4/2025; C12750 – Diamante BidCo-individual/Objectway, measure no. 31680 of September 23, 2025, in Bulletin no. 40/2025; C12564 – Fibonacci Bidco/OCS, measure no. 30790 of September 26, 2023, in Bulletin no. 39/2023 and C12516 – Lutech/Atos Italia, measure no. 30515 of March 14, 2023, in Bulletin no. 13/2023.  </w:t>
        <w:br/>
        <w:t xml:space="preserve">6 See C12695 – Fibonacci Bidco/Quid Informatica, measure no. 31437 of January 14, 2025, in Bulletin no. 4/2025; C12624 - Accenture Holdings / Intellera Consulting, measure no. 31187 of April 30, 2024, in Bulletin no. 20/2024 and C12654 – Digital Value/Infordata, measure no. 31305 of July 30, 2024, in Bulletin no. 33/2024.  </w:t>
        <w:br/>
        <w:t>7 See decisions of the European Commission M.7458 – IBM/INF Business of Deutsche Lufthansa of December 15, 2014 and M.6237 – Computer Sciences Corporation/iSoft Group of June 20, 2011, as well as, among others, C12317 – Italian Investment Fund SGR-Elettra One/Maticmind, measure no. 28342 of September 8, 2020, in Bulletin no. 38/2020 and C12685 Fibonacci Bidco/Business Unit of Illimity Bank, measure no. 31407 of December 3, 2024, in Bulletin no. 49/2024.</w:t>
      </w:r>
    </w:p>
    <w:p>
      <w:r>
        <w:t xml:space="preserve">70 BULLETIN NO. 2 OF JANUARY 12, 2026  </w:t>
        <w:br/>
        <w:t xml:space="preserve">The effects of the Operation  </w:t>
        <w:br/>
        <w:t xml:space="preserve">16. The Operation is not likely to generate horizontal effects among the activities of the companies involved, since no company of the SSCP Group operates in Italy in the IT services market, nor in the IT consulting segment in which Iconsulting is active.  </w:t>
        <w:br/>
        <w:t xml:space="preserve">In fact, the only company of the SSCP Group active in the IT services market is Resillion, an English law operator that does not operate in Italy and whose activities differ from those of Iconsulting, concerning testing services, quality assurance, and technical analysis of software, devices, content, and cybersecurity.  </w:t>
        <w:br/>
        <w:t xml:space="preserve">17. Additionally, in the IT services market, in 2024 Iconsulting holds a market share [below 1%] in a market characterized by numerous and qualified competitors of significant size (such as Accenture, Capgemini, KPMG, Deloitte, PWC, EY, etc.), capable of exerting strong competitive pressure on the post-merger entity.  </w:t>
        <w:br/>
        <w:t xml:space="preserve">Even considering the narrower market segments, the shares are absolutely marginal, always well below [1-5%].  </w:t>
        <w:br/>
        <w:t xml:space="preserve">18. In light of the above considerations, the concentration under examination does not appear, overall, to be capable of hindering competition in the relevant markets nor to lead to the establishment or strengthening of a dominant position.  </w:t>
        <w:br/>
        <w:t xml:space="preserve">THEREFORE, it is deemed that the Operation does not significantly hinder effective competition in the relevant markets, pursuant to Article 6, paragraph 1, of Law No. 287/90, and does not result in the establishment or strengthening of a dominant position;  </w:t>
        <w:br/>
        <w:t xml:space="preserve">IT IS FURTHER DEEMED that the non-competition and non-solicitation clauses between the Parties can be considered ancillary to this Operation only to the limits described above and that the Authority reserves the right to evaluate, where the conditions exist, the aforementioned clauses that exceed such limits;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companies involved and to the Minister of Enterprises and Made in Italy.  </w:t>
        <w:br/>
        <w:t xml:space="preserve">This measure will be published in the Bulletin of the Competition and Market Authority.  </w:t>
        <w:br/>
        <w:t xml:space="preserve">THE SECRETARY GENERAL THE PRESIDENT  </w:t>
        <w:br/>
        <w:t>Guido Stazi Roberto Rustichelli</w:t>
      </w:r>
    </w:p>
    <w:p>
      <w:r>
        <w:t xml:space="preserve">BULLETIN NO. 2 OF JANUARY 12, 2026 71  </w:t>
        <w:br/>
        <w:t xml:space="preserve">C12781 - EUROCAR TECH/PWP  </w:t>
        <w:br/>
        <w:t xml:space="preserve">Measure no. 31793  </w:t>
        <w:br/>
        <w:t xml:space="preserve">THE COMPETITION AND MARKET AUTHORITY  </w:t>
        <w:br/>
        <w:t xml:space="preserve">IN ITS MEETING of December 22, 2025;  </w:t>
        <w:br/>
        <w:t xml:space="preserve">HEARD the Rapporteur, Saverio Valentino;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made by Eurocar Tech S.p.A. received on November 28, 2025;  </w:t>
        <w:br/>
        <w:t xml:space="preserve">HAVING REGARD to the documentation on file;  </w:t>
        <w:br/>
        <w:t xml:space="preserve">CONSIDERING the following:  </w:t>
        <w:br/>
        <w:t xml:space="preserve">I. THE PARTIES  </w:t>
        <w:br/>
        <w:t xml:space="preserve">1. Eurocar Tech (hereinafter, "Eurocar Tech"; Tax Code 03082910161) is a company active in the retail distribution of cars (new and used) and light commercial vehicles (new and used), as well as original spare parts of the brands of the Volkswagen group (hereinafter, "VW Group") in Italy and in the related repair and maintenance activities. Eurocar Tech is part of the VW Group which, in Italy, is also active in the wholesale distribution of new cars and light commercial vehicles, as well as its own spare parts and those of other selected manufacturers. Eurocar Tech is controlled by Eurocar Italia S.r.l., which is wholly controlled by Porsche Holding Gesellschaft m.b.H., which is, in turn, controlled by Volkswagen AG, the company at the top of the VW Group.  </w:t>
        <w:br/>
        <w:t xml:space="preserve">The revenue generated by the VW Group1, in 2024, was approximately [300-400]* billion euros worldwide, of which approximately [100-200] billion euros in the European Union and approximately [10-35] billion euros in Italy.  </w:t>
        <w:br/>
        <w:t xml:space="preserve">2. PWP S.r.l. (hereinafter, "Target" or "PWP"; Tax Code 07054520486) is a company active in the sale and repair of vehicles (new and used) exclusively under the Porsche brand. The share capital of PWP is held 55% by MC Service S.r.l. (hereinafter, "MC") and 45% by PG Invest S.r.l. (hereinafter, "PG").  </w:t>
        <w:br/>
        <w:t xml:space="preserve">The revenue generated by the Target, in 2024, was approximately [100-582] million euros, almost entirely achieved in Italy.  </w:t>
        <w:br/>
        <w:t xml:space="preserve">II. DESCRIPTION OF THE OPERATION  </w:t>
        <w:br/>
        <w:t xml:space="preserve">3. The notified operation (hereinafter, "Operation") consists of the acquisition by Eurocar Tech of exclusive control of PWP.  </w:t>
        <w:br/>
        <w:t xml:space="preserve">1 For the purposes of this Operation, as provided for in paragraph 172 of the "Consolidated Communication of the Commission on the criteria for jurisdictional competence pursuant to Regulation (EC) No. 139/2004 of the Council concerning the control of concentrations between enterprises. (2008/C 95/01)", the revenue of the Volkswagen group includes, inter alia, the revenue of Eurocar.  </w:t>
        <w:br/>
        <w:t>*In this version, some data are omitted, as elements of confidentiality or secrecy of the information were deemed to exist.</w:t>
      </w:r>
    </w:p>
    <w:p>
      <w:r>
        <w:rPr>
          <w:b/>
        </w:rPr>
        <w:t>[Pages 70–72]</w:t>
      </w:r>
    </w:p>
    <w:p>
      <w:r>
        <w:t xml:space="preserve">72 BULLETIN NO. 2 OF JANUARY 12, 2026  </w:t>
        <w:br/>
        <w:t xml:space="preserve">4. A non-compete and non-solicitation agreement is provided for, lasting [omitted] years from the date of execution of the Transaction, under which MC and PG undertake to refrain from: [omitted].  </w:t>
        <w:br/>
        <w:t xml:space="preserve">III. QUALIFICATION OF THE TRANSACTION  </w:t>
        <w:br/>
        <w:t xml:space="preserve">5. The Transaction, aimed at acquiring exclusive control of a company, constitutes a concentration pursuant to Article 5, paragraph 1, letter b), of Law No. 287/1990. It falls within the scope of Law No. 287/1990, as the conditions set out in Article 1 of Regulation (EC) 139/2004 do not apply, and it is subject to the obligation of prior notification provided for by Article 16, paragraph 1, of the same law, as the total turnover achieved, in the last financial year at the national level, by the group of companies involved was over 582 million euros and the total turnover achieved, in the last financial year at the national level, by at least two of the companies involved was over 35 million euros2.  </w:t>
        <w:br/>
        <w:t xml:space="preserve">The non-compete and non-solicitation obligations described in the previous paragraph can be qualified as directly related and necessary for the realization of the Transaction, as they are functional to safeguarding the value of the acquired company, provided that they are geographically limited to the area of activity of the acquired company (provinces of Florence, Arezzo, Livorno, Chieti, and Pescara) and temporally to a period of two years, and do not prevent the seller from acquiring or holding shares for investment purposes, without this resulting, directly or indirectly, in the assignment of management roles or substantial influence in the competing company.3  </w:t>
        <w:br/>
        <w:t xml:space="preserve">IV. EVALUATION OF THE TRANSACTION  </w:t>
        <w:br/>
        <w:t xml:space="preserve">The product market  </w:t>
        <w:br/>
        <w:t xml:space="preserve">6. From a commodity perspective, the sectors affected by the Transaction are those in which the company subject to acquisition operates, namely4:  </w:t>
        <w:br/>
        <w:t xml:space="preserve">i) the retail distribution of passenger cars and new and used commercial vehicles;  </w:t>
        <w:br/>
        <w:t xml:space="preserve">ii) the retail distribution of spare parts for passenger cars and commercial vehicles;  </w:t>
        <w:br/>
        <w:t xml:space="preserve">iii) after-sales services for assistance, maintenance, and repair of vehicles5.  </w:t>
        <w:br/>
        <w:t xml:space="preserve">7. The market for the retail distribution of new and used passenger cars and commercial vehicles involves the distribution activity of vehicles by dealers to end consumers. Manufacturers market their vehicles through distribution companies (controlled companies or third-party operators) which, in turn, utilize a sales network to customers. Within this market, it is possible to identify different segments, distinguishing between passenger vehicles and commercial vehicles, new and used vehicles, based on performance, size, and price of the marketed cars. However, distributors frequently offer different types of products (city cars, mid-range, premium category, etc.), and the differences have been decreasing over the years due to the trend of car manufacturers to offer more accessories even for mid-range and small displacement cars. For the purposes of the Transaction, however, it does not seem necessary to arrive at an exact commodity delimitation of the market.  </w:t>
        <w:br/>
        <w:t xml:space="preserve">8. Within the sector of marketing parts and accessories, which includes spare parts for vehicles, it is possible to identify two types of products, original and equivalent (of corresponding quality). Original spare parts are marketed under the manufacturer's brand; equivalent spare parts, on the other hand, are supplied by independent operators in the component sector (who may also supply the same manufacturers). The prices of equivalent spare parts are significantly lower, varying also depending on the type of spare part considered.  </w:t>
        <w:br/>
        <w:t xml:space="preserve">9. Furthermore, the different types of spare parts for vehicles (gaskets, pads, shock absorbers, belts, spark plugs, filters, lighting, etc.) are not substitutable from the final demand side, which evidently depends on the maintenance or repair intervention to be carried out. However, there is significant substitutability from the demand side between original and equivalent spare parts (provided they are of corresponding quality), varying according to the age and economic class of the vehicle, as well as the type of spare part. From the supply side, moreover, the manufacturers' assistance centers (generally dealerships and authorized workshops) can distribute both original and equivalent spare parts at retail. Finally, from the supply side, operators generally distribute a wide range of spare parts. For the purposes of the Transaction, however, it does not seem necessary to arrive at an exact commodity delimitation of the market.  </w:t>
        <w:br/>
        <w:t xml:space="preserve">10. The market for after-sales assistance services for vehicles is characterized by extreme fragmentation of supply. The repair and maintenance activity is carried out by a wide range of operators such as: authorized dealerships and retailers, independent workshops, service stations, specialized auto centers, quick assistance services (the warranty assistance activity is instead carried out by the same manufacturers' dealerships or by other subjects authorized by them). For the purposes of the Transaction, however, it does not seem necessary to arrive at an exact commodity delimitation of the market.  </w:t>
        <w:br/>
        <w:t xml:space="preserve">The geographical market  </w:t>
        <w:br/>
        <w:t xml:space="preserve">11. Regarding the geographical extent of the markets identified above, it is noted that, due to consumer purchasing behaviors and, in particular, the importance attributed by them to the proximity of sales and assistance points, it is believed that it should be local6.  </w:t>
        <w:br/>
        <w:t xml:space="preserve">12. In the various precedents relating to the markets in question, the Authority, starting from a perimeter of local markets based on administrative boundaries that are typically provincial, has identified more precise markets consisting of areas around sales points reachable within a certain period of time (so-called isochrones), thus taking into account the size of the catchment areas of the individual sales points of the companies involved and the propensity to mobility from the demand side. In particular, it is possible to hypothesize the existence of a catchment area identified by the areas located around the locations of the Target, located in the provinces of Tuscany (Florence, Arezzo, and Livorno) and Abruzzo (Chieti and Pescara), reachable in 40-60 minutes by car for market sub i) and in 20 minutes by car for markets sub ii) and iii) (so-called isochrones).  </w:t>
        <w:br/>
        <w:t xml:space="preserve">13. For the purposes of this operation, however, it does not seem necessary to arrive at an exact geographical delimitation of the market.  </w:t>
        <w:br/>
        <w:t xml:space="preserve">The effects of the Transaction  </w:t>
        <w:br/>
        <w:t xml:space="preserve">14. The Transaction does not appear to produce significant effects on competition from a horizontal perspective considering any commodity and geographical definition of the market.  </w:t>
        <w:br/>
        <w:t xml:space="preserve">15. The company PWP subject to acquisition is active through four locations (operating in markets i), ii), and iii)) in the provinces of Tuscany (Florence, Arezzo, and Livorno) and Abruzzo (Chieti and Pescara), while the acquirer Eurocar Tech is active in various Italian provinces located in the regional areas of Friuli-Venezia Giulia (Gorizia, Udine, and Trieste), Tuscany (province of Florence), Lombardy (Milan, Sondrio, Bergamo, Lecco), Veneto (Verona), Autonomous Province of Trento, Piedmont (Alessandria, Cuneo, Turin, Novara), Liguria (province of Genoa), and Emilia-Romagna (province of Parma).  </w:t>
        <w:br/>
        <w:t xml:space="preserve">16. Regarding market sub i), related to the distribution of passenger cars and new and used commercial vehicles to end consumers, both considering isochrones of width equal to 40-60 minutes from the locations of the Target where such activities are carried out, and considering the provincial data, following the Transaction, the joint market share of the Parties will always be below [5-10%].  </w:t>
        <w:br/>
        <w:t xml:space="preserve">17. Regarding market sub ii), related to the retail distribution of spare parts for passenger cars and commercial vehicles, both in the province of Florence where both Parties are present, and within isochrones of width equal to 20 minutes by car centered on each of the Target's dealerships located in Arezzo, Livorno, Chieti, and Pescara (where Eurocar Tech is not present), the joint market share of the Parties is below 20%.  </w:t>
        <w:br/>
        <w:t xml:space="preserve">18. Even in market sub iii), related to after-sales assistance, maintenance, and repair services for vehicles, both in the province of Florence where both Parties are present, and within the isochrone of width equal to 20 minutes by car centered on the Target's dealership in Florence, where Eurocar also operates, the joint market share of the Parties is below 20%.  </w:t>
        <w:br/>
        <w:t xml:space="preserve">19. Considering the possible vertical effects related to the wholesale distribution activities carried out by the VW Group, the Transaction does not appear to raise competitive concerns. In fact, it is noted that:  </w:t>
        <w:br/>
        <w:t xml:space="preserve">a) the VW Group is active in the upstream markets of wholesale distribution of new and used passenger cars and commercial vehicles at the national level, with shares below 20%.  </w:t>
        <w:br/>
        <w:t xml:space="preserve">b) the VW Group is also active in the upstream market of wholesale distribution of original VW spare parts for passenger cars and commercial vehicles, with shares below 20%.  </w:t>
        <w:br/>
        <w:t xml:space="preserve">Taking into account these shares in wholesale distribution and the fact that in the downstream phase of retail distribution the post-merger entity will have, respectively for vehicles and spare parts, national shares equal to [1-5%] and [5-10%], the Transaction does not raise concerns from a vertical perspective.  </w:t>
        <w:br/>
        <w:t xml:space="preserve">20. Finally, in all markets affected by the Transaction, other qualified competitors are active. Therefore, the Transaction is not likely to significantly alter the competitive structure in the markets in question.  </w:t>
        <w:br/>
        <w:t>CONSIDERING, therefore, that the Transaction does not significantly impede effective competition in the relevant markets pursuant to Article 6, paragraph 1, of Law No. 287/1990 and does not result in the establishment or strengthening of a dominant position;</w:t>
      </w:r>
    </w:p>
    <w:p>
      <w:r>
        <w:rPr>
          <w:b/>
        </w:rPr>
        <w:t>[Pages 73–75]</w:t>
      </w:r>
    </w:p>
    <w:p>
      <w:r>
        <w:t xml:space="preserve">BULLETIN NO. 2 OF JANUARY 12, 2026 75  </w:t>
        <w:br/>
        <w:t xml:space="preserve">IT IS ALSO CONSIDERED that the non-competition and non-solicitation obligations are ancillary to the present operation only to the extent indicated above and that the Authority reserves the right to evaluate, where the conditions exist, the aforementioned obligations if they are realized beyond those limits;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interested companies and to the Minister of Enterprises and Made in Italy.  </w:t>
        <w:br/>
        <w:t xml:space="preserve">This measure will be published in the Bulletin of the Competition and Market Authority.  </w:t>
        <w:br/>
        <w:t xml:space="preserve">THE SECRETARY GENERAL THE PRESIDENT  </w:t>
        <w:br/>
        <w:t>Guido Stazi Roberto Rustichelli</w:t>
      </w:r>
    </w:p>
    <w:p>
      <w:r>
        <w:t xml:space="preserve">76 BULLETIN NO. 2 OF JANUARY 12, 2026  </w:t>
        <w:br/>
        <w:t xml:space="preserve">C12783 - ILLIMITY ASSET MANAGEMENT/NOBERASCO  </w:t>
        <w:br/>
        <w:t xml:space="preserve">Measure no. 31794  </w:t>
        <w:br/>
        <w:t xml:space="preserve">THE COMPETITION AND MARKET AUTHORITY  </w:t>
        <w:br/>
        <w:t xml:space="preserve">IN ITS MEETING of December 22, 2025;  </w:t>
        <w:br/>
        <w:t xml:space="preserve">HEARD the Rapporteur, Saverio Valentino;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made by Illimity Asset Management S.p.A., received on December 1, 2025;  </w:t>
        <w:br/>
        <w:t xml:space="preserve">HAVING REGARD to the documentation on file;  </w:t>
        <w:br/>
        <w:t xml:space="preserve">CONSIDERING the following:  </w:t>
        <w:br/>
        <w:t xml:space="preserve">I. THE PARTIES  </w:t>
        <w:br/>
        <w:t xml:space="preserve">1. Illimity Asset Management S.p.A. (hereinafter, “Illimity SGR”; VAT No. 12020720962) is active in collective asset management through the management of the assets and risks of alternative collective investment schemes (hereinafter, “FIA”), reserved, closed-end, financial and credit, both Italian and foreign.  </w:t>
        <w:br/>
        <w:t xml:space="preserve">The entire share capital of Illimity SGR is held by Illimity Bank S.p.A. (hereinafter, “Illimity Bank”), a digital bank listed in the STAR segment of the Italian Stock Exchange and holding company of the Illimity Group.  </w:t>
        <w:br/>
        <w:t xml:space="preserve">Illimity Bank is, in turn, subject to the exclusive control of Banca Ifis (hereinafter, “Banca Ifis”), a company at the head of the eponymous banking group primarily active in Italy in offering banking services and products aimed at private clients and small and medium-sized enterprises.  </w:t>
        <w:br/>
        <w:t xml:space="preserve">Banca Ifis, in 2024, achieved a consolidated revenue of approximately [1-2]* billion euros worldwide, of which approximately [1-2] billion euros were generated in the European Union and approximately [1-2] billion euros in Italy.  </w:t>
        <w:br/>
        <w:t xml:space="preserve">2. Noberasco S.p.A. (hereinafter, “Noberasco” or “Target”; Tax Code 00856490156) is a company active in the food sector, particularly in the production and sale of: (i) dried fruit (dried fruit with and without shell, roasted seeds, etc.); (ii) soft fruit (plums, dates, figs, dried fruit, etc.) and (iii) fruit bars1.  </w:t>
        <w:br/>
        <w:t xml:space="preserve">Noberasco is currently under the joint control of Illimity SGR and Noberasco Holding S.p.A. (hereinafter, “Noberasco Holding”)2, which hold a shareholding of 10% and 89.33% respectively; the remaining share capital is held by two individuals (hereinafter, respectively, “First Individual” and “Second Individual”, each of whom holds a 0.33% stake in Noberasco)3. Noberasco controls the company Noberasco in Via dei Mille S.r.l., which manages four single-brand retail stores.  </w:t>
        <w:br/>
        <w:t xml:space="preserve">Noberasco, in 2024, achieved a revenue of approximately [35-100] million euros worldwide, of which approximately [35-100] million euros were generated in the European Union and approximately [35-100] million euros in Italy.  </w:t>
        <w:br/>
        <w:t xml:space="preserve">II. DESCRIPTION OF THE OPERATION  </w:t>
        <w:br/>
        <w:t xml:space="preserve">3. The notified Operation (hereinafter, “Operation”) consists of the transition from joint control to exclusive control of the Target by Illimity SGR4.  </w:t>
        <w:br/>
        <w:t xml:space="preserve">4. In particular, as a result of the Operation, both for the shareholdings held and for the structure of the Board of Directors, Illimity SGR will hold exclusive control of the Target. [Omitted].  </w:t>
        <w:br/>
        <w:t xml:space="preserve">III. QUALIFICATION OF THE OPERATION  </w:t>
        <w:br/>
        <w:t xml:space="preserve">5. The Operation, as it involves the acquisition of exclusive control of a company, constitutes a concentration pursuant to Article 5, paragraph 1, letter a), of Law No. 287/1990.  </w:t>
        <w:br/>
        <w:t xml:space="preserve">It falls within the scope of application of Law No. 287/1990 as the conditions of Article 1 of Regulation (EC) No. 139/2004 are not met, and it is subject to the obligation of prior notification provided for by Article 16, paragraph 1, of the same law as the total revenue generated, in the last financial year at the national level, by the group of interested companies exceeded 582 million euros and the total revenue generated, in the last financial year at the national level, by at least two of the interested companies exceeded 35 million euros.  </w:t>
        <w:br/>
        <w:t xml:space="preserve">IV. EVALUATION OF THE OPERATION  </w:t>
        <w:br/>
        <w:t xml:space="preserve">IV.1 The relevant markets  </w:t>
        <w:br/>
        <w:t xml:space="preserve">6. From a product perspective, the markets relevant to the Operation are those in which the target company operates, namely the production and marketing of: (i) semi-finished products based on dried and dehydrated fruit and (ii) food products and supplements for wellness and dietary needs.  </w:t>
        <w:br/>
        <w:t xml:space="preserve">7. The market for the production and marketing of semi-finished products based on dried and dehydrated fruit includes all products obtained from the initial processing of dried fruit and which may, alternatively: (i) be marketed as finished products or (ii) be used as ingredients for the preparation of semi-finished products intended for pastry or ice cream5. The target company operates in the production and marketing of finished products based on dried and dehydrated fruit.  </w:t>
        <w:br/>
        <w:t xml:space="preserve">8. Previous national and European6 cases identify, within the broader market for the production and marketing of semi-finished products based on dried and dehydrated fruit, different sub-markets by product type due to the low degree of substitutability between the various types of products.  </w:t>
        <w:br/>
        <w:t xml:space="preserve">3 See above.  </w:t>
        <w:br/>
        <w:t xml:space="preserve">4 See above.  </w:t>
        <w:br/>
        <w:t xml:space="preserve">5 See C12638 - Illimity SGR-Noberasco Holding/Noberasco, cited; C12482 - Irca/Anastasi - 2AEMME, measure no. 30302 of September 13, 2022, in Bulletin no. 35/2022.  </w:t>
        <w:br/>
        <w:t>6 See C12638 - Illimity SGR-Noberasco Holding/Noberasco, cited; C12482 - Irca/Anastasi - 2AEMME, cited; C12162 - Ferrero Trading Lux/Stelliferi &amp; Itavex, measure no. 27175 of May 29, 2018, in Bulletin no. 23/2018; C11699 - Ferrero International/Gruppo Stelliferi, measure no. 23826 of August 8, 2012, in Bulletin no. 32/2012 and decision of the European Commission M.7340 - Ferrero International S.A./Oltan group of September 12, 2014.</w:t>
      </w:r>
    </w:p>
    <w:p>
      <w:r>
        <w:rPr>
          <w:b/>
        </w:rPr>
        <w:t>[Pages 76–78]</w:t>
      </w:r>
    </w:p>
    <w:p>
      <w:r>
        <w:t xml:space="preserve">78 BULLETIN NO. 2 OF JANUARY 12, 2026  </w:t>
        <w:br/>
        <w:t xml:space="preserve">dried fruit (both from the demand and supply perspective). In any case, the commodity definition of the market can be left open, considering that alternative definitions would not, as specified below, create competitive issues.  </w:t>
        <w:br/>
        <w:t xml:space="preserve">9. From a geographical standpoint, the market for the production and marketing of semi-finished products based on dried and dehydrated fruit can be considered national in size due to the specificity of tastes and consumption needs in different countries, as well as the organization of distribution and marketing7. However, even with regard to market size, it is not necessary to arrive at a more precise definition in this specific case.  </w:t>
        <w:br/>
        <w:t xml:space="preserve">10. The production and marketing of products and dietary supplements for wellness and diet needs includes various products, such as bars made from cereals and dehydrated dried fruit, which can, in turn, identify distinct markets; however, the exact definition can be left open as it would not change the assessment of the competitive impact of the Operation.  </w:t>
        <w:br/>
        <w:t xml:space="preserve">11. As for the geographical dimension of the identified markets, in line with the Authority's and European precedents8, it can be considered national, taking into account the differences in regulatory frameworks and consumption habits existing among different countries.  </w:t>
        <w:br/>
        <w:t xml:space="preserve">IV.2 The effects of the operation  </w:t>
        <w:br/>
        <w:t xml:space="preserve">12. Considering that the Operation involves the transition from joint control – the subject of concentration C12638 – to exclusive control over the Target, it will not lead to any variation in the competitive situation of the relevant markets identified and therefore does not appear capable of producing distortions to competition.  </w:t>
        <w:br/>
        <w:t xml:space="preserve">13. Moreover, both in the market for the production and marketing of semi-finished products based on dried and dehydrated fruit and in the market for products and dietary supplements for wellness and diet needs, at the national level, the Target holds a market share not exceeding [5-10%], while the acquiring party, except for that company, is not active in that market.  </w:t>
        <w:br/>
        <w:t xml:space="preserve">14. In light of the above considerations, the Operation does not appear capable of significantly altering the competitive dynamics in the relevant markets examined.  </w:t>
        <w:br/>
        <w:t xml:space="preserve">CONSIDERED, therefore, that the Operation does not significantly impede effective competition in the relevant markets, pursuant to Article 6, paragraph 1, of Law No. 287/1990, and does not result in the establishment or strengthening of a dominant position;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interested companies and to the Minister of Enterprises and Made in Italy.  </w:t>
        <w:br/>
        <w:t xml:space="preserve">7 See C12638 - Illimity SGR-Noberasco Holding/Noberasco, cited.  </w:t>
        <w:br/>
        <w:t>8 See C12638 - Illimity SGR-Noberasco Holding/Noberasco, cited; I718 - Enervit - Distribution Contracts, cited; C7104 - Nestlé Entreprises/Européenne de santé et de diététique, Measure No. 14480 of July 6, 2005, in Bulletin No. 27/2005; C6738 - Abbott Laboratories/Experimental and Applied Sciences, Measure No. 13736 of November 4, 2004, in Bulletin No. 45/2004; C6015 - Abbott Laboratories/Zone Perfect Nutrition Company, Measure No. 12375 of August 22, 2003, in Bulletins No. 33-34/2004 and decision of the European Commission, M.2275 - Pepsico/Quaker of March 27, 2001.</w:t>
      </w:r>
    </w:p>
    <w:p>
      <w:r>
        <w:t xml:space="preserve">BULLETIN NO. 2 OF JANUARY 12, 2026 79  </w:t>
        <w:br/>
        <w:t xml:space="preserve">This measure will be published in the Bulletin of the Competition and Market Authority.  </w:t>
        <w:br/>
        <w:t xml:space="preserve">THE SECRETARY GENERAL THE PRESIDENT  </w:t>
        <w:br/>
        <w:t>Guido Stazi Roberto Rustichelli</w:t>
      </w:r>
    </w:p>
    <w:p>
      <w:r>
        <w:t xml:space="preserve">80 BULLETIN NO. 2 OF JANUARY 12, 2026  </w:t>
        <w:br/>
        <w:t xml:space="preserve">C12784 - K2-SOFINO TRUST AND AUDIT COMPANY/NPO BIDCO  </w:t>
        <w:br/>
        <w:t xml:space="preserve">Measure No. 31795  </w:t>
        <w:br/>
        <w:t xml:space="preserve">THE COMPETITION AND MARKET AUTHORITY  </w:t>
        <w:br/>
        <w:t xml:space="preserve">IN ITS MEETING of December 22, 2025;  </w:t>
        <w:br/>
        <w:t xml:space="preserve">HEARD the Rapporteur, Professor Elisabetta Iossa;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from the companies K2 S.r.l. and Sofino Trust and Audit Company S.r.l., received on December 1, 2025;  </w:t>
        <w:br/>
        <w:t xml:space="preserve">CONSIDERING the following:  </w:t>
        <w:br/>
        <w:t xml:space="preserve">I. THE PARTIES  </w:t>
        <w:br/>
        <w:t xml:space="preserve">a) The acquiring companies  </w:t>
        <w:br/>
        <w:t xml:space="preserve">1. K2 S.r.l. (hereinafter "K2"; VAT Number 14397870966) is a newly established vehicle company for the purposes of this operation, whose share capital is wholly owned by the Italian Investment Fund SGR S.p.A. (hereinafter "Italian Fund") on behalf of the Italian Fund for Consolidation and Growth II (hereinafter "FICC II") active in the acquisition and consolidation of Italian excellence industries.  </w:t>
        <w:br/>
        <w:t xml:space="preserve">The Italian Fund is controlled by CDP Equity S.p.A., which is in turn controlled by Cassa Depositi e Prestiti S.p.A.1 (hereinafter "CDP").  </w:t>
        <w:br/>
        <w:t xml:space="preserve">In 2024, the consolidated revenue generated by the CDP group was approximately [40-50]* billion euros worldwide, of which approximately [30-40] billion euros in the EU and [20-30] billion in Italy.  </w:t>
        <w:br/>
        <w:t xml:space="preserve">2. Sofino Trust and Audit Company S.r.l. (hereinafter "Sofino"; VAT Number 00603850033) is an Italian law company that carries out fiduciary activities2 as well as organization and auditing of companies, also through the realization, provision, or marketing of administrative and IT products or services.  </w:t>
        <w:br/>
        <w:t xml:space="preserve">1 Cassa Depositi e Prestiti S.p.A. is a publicly controlled company, with 82.77% participation from the Ministry of Economy and Finance and 15.93% from banking foundations, configured as a non-banking financial intermediary.  </w:t>
        <w:br/>
        <w:t xml:space="preserve">* In this version, some data are omitted, as elements of confidentiality or secrecy of the information were deemed to exist.  </w:t>
        <w:br/>
        <w:t xml:space="preserve">2 In particular, Sofino, on behalf of third-party trustees, assumes the administration (i) of interests in other entities, including corporate entities, (ii) of movable and immovable property, (iii) of assets and any other goods, including financial instruments, carrying out the operations functional for that purpose on behalf of third parties and, therefore, managing on their behalf the purchase, sale, and exchange of goods, entering into contracts necessary for the execution of the entrusted fiduciary assignments, including the establishment of companies.  </w:t>
        <w:br/>
        <w:t>Sofino also assumes the custody and administration, on behalf of its trustees or third parties, of financial instruments and other assets; assumes the representation of shareholders, partners in general, bondholders, both individual and collective, including through participation in voting syndicates; also carries out representation activities in the context of testamentary executions and trusts.</w:t>
      </w:r>
    </w:p>
    <w:p>
      <w:r>
        <w:rPr>
          <w:b/>
        </w:rPr>
        <w:t>[Pages 79–81]</w:t>
      </w:r>
    </w:p>
    <w:p>
      <w:r>
        <w:t xml:space="preserve">BULLETIN NO. 2 OF JANUARY 12, 2026 81  </w:t>
        <w:br/>
        <w:t xml:space="preserve">In this operation, Sofino acts on behalf of three individuals3, identified as the current managers of one of the Target Companies4 (hereinafter the "Reinvesting Shareholders" and together with K2 hereinafter referred to as the "Purchasers")5, by virtue of the fiduciary mandates conferred by them.  </w:t>
        <w:br/>
        <w:t xml:space="preserve">The Reinvesting Shareholders do not hold any controlling interest in companies other than those within the scope of this operation. Sofino is wholly controlled by individuals of Italian nationality6 and generated revenue of approximately [less than 1 million] euros exclusively in Italy in 2024.  </w:t>
        <w:br/>
        <w:t xml:space="preserve">b) Target Group  </w:t>
        <w:br/>
        <w:t xml:space="preserve">3. The subject of this operation includes the following companies (hereinafter, collectively, the "Target Group"):  </w:t>
        <w:br/>
        <w:t xml:space="preserve">(i) NPO Torino S.r.l. (VAT No. 10041060012) is a company that, also through its subsidiaries, provides services for infrastructure management, in the cloud, in data protection, as well as in the resale of hardware and software licenses. It controls the companies NPO USA Inc. (New York) and NPO Sistemas Ltd. (Brazil) (hereinafter, collectively, "NPO Torino").  </w:t>
        <w:br/>
        <w:t xml:space="preserve">NPO Torino is exclusively controlled by NPO Sistemi S.r.l. (65%), which is in turn indirectly controlled by Ricoh Company Limited, while a minority, non-controlling stake in the capital is held by Sofino (35%).  </w:t>
        <w:br/>
        <w:t xml:space="preserve">In 2024, globally, the consolidated revenue attributable to NPO Torino is [35-100] million euros, of which [35-100] was generated entirely in Italy;  </w:t>
        <w:br/>
        <w:t xml:space="preserve">(ii) Critical Service S.r.l. (VAT No. 11242420013) is a company that, also through its subsidiaries APM Tech S.r.l. (VAT No. 12397430013) and Quadrata Service Group S.r.l. (VAT No. 11306710010) (hereinafter, collectively, "Critical Service") operates in the IT sector providing, among other things, managed services, cloud &amp; data center, IT management, data analytics, NOC (Network Operations Center) and MOC (Main Operations Center).  </w:t>
        <w:br/>
        <w:t xml:space="preserve">The share capital of Critical Service S.r.l. is held 70% by Corefi Fiduciaria S.r.l., on behalf of three individuals (one of whom is a Reinvesting Shareholder) and 30% by Investis Fiduciaria S.p.A. on behalf of two individuals (both Reinvesting Shareholders); none of these parties is able to exercise, exclusively or jointly, control over it.  </w:t>
        <w:br/>
        <w:t xml:space="preserve">In 2024, Critical Service generated consolidated revenue of [10-35] million euros entirely in Italy;  </w:t>
        <w:br/>
        <w:t xml:space="preserve">(iii) Warp Tech S.r.l. (hereinafter "Warp Tech"; VAT No. 12774880012) is a company active in the field of cloud computing, data automation, providing services such as cloud migration, cloud cost management, data protection, and cybersecurity, as well as marketing hardware and software. The company is 66% owned by Investis Fiduciaria S.p.A. on behalf of two individuals (both Reinvesting Shareholders) and 34% by Simon Fiduciaria S.p.A. on behalf of two individuals (one of whom is a Reinvesting Shareholder); none of these parties is able to exercise, exclusively or jointly, control over it.  </w:t>
        <w:br/>
        <w:t xml:space="preserve">3 [“MA”], [“RD”] and [“PF”].  </w:t>
        <w:br/>
        <w:t xml:space="preserve">4 Specifically, this concerns NPO Torino S.r.l.  </w:t>
        <w:br/>
        <w:t xml:space="preserve">5 Hereinafter, any reference to the activities carried out by Sofino should therefore be understood as performed on behalf of the aforementioned Reinvesting Shareholders.  </w:t>
        <w:br/>
        <w:t>6 [AC] which, holding [omitted] of the share capital, exercises exclusive control and [AM] which holds [omitted].</w:t>
      </w:r>
    </w:p>
    <w:p>
      <w:r>
        <w:t xml:space="preserve">82 BULLETIN NO. 2 OF JANUARY 12, 2026  </w:t>
        <w:br/>
        <w:t xml:space="preserve">In 2024, Warp Tech generated revenue of [1-10] million euros entirely in Italy.  </w:t>
        <w:br/>
        <w:t xml:space="preserve">II. DESCRIPTION OF THE OPERATION  </w:t>
        <w:br/>
        <w:t xml:space="preserve">4. The operation in question (hereinafter the "Operation") consists of the acquisition by K2 and Sofino of joint control over the Target Group, following several interdependent and mutually conditioned steps, established in three sale contracts, signed on the same date.  </w:t>
        <w:br/>
        <w:t xml:space="preserve">5. Following the complex operation, NPO BidCo, a newly established company whose capital is held by K2, will acquire the entirety of the share capital of NPO Torino, Critical Service, and Warp Tech; furthermore, following a capital increase, the capital of NPO BidCo will be distributed between K2, which will hold 70%, and Sofino which, on behalf of the Reinvesting Shareholders, will hold the remaining 30%.  </w:t>
        <w:br/>
        <w:t xml:space="preserve">6. In this regard, it emerges that the Operation is also governed by a shareholders' agreement between K2 and Sofino, which reserves to the latter veto rights on certain strategic decisions of the Board of Directors of NPO BidCo, such as the approval of the business plan and budget, as well as rights to appoint Managers; as a result, Sofino will acquire joint control of the Target Group together with K2.  </w:t>
        <w:br/>
        <w:t xml:space="preserve">7. The Operation finally provides for: (i) non-competition and non-solicitation clauses on the part of NPO Sistemi S.r.l. and its parent company Ricoh Italia S.r.l. relating to the Italian territory, lasting [omitted]; (ii) non-competition and non-solicitation clauses, on the part of the Reinvesting Shareholders, extended to all territories in which the Target Group operates, [omitted].  </w:t>
        <w:br/>
        <w:t xml:space="preserve">III. QUALIFICATION OF THE OPERATION  </w:t>
        <w:br/>
        <w:t xml:space="preserve">8. The Operation, concerning the acquisition of joint control of a business, constitutes a concentration pursuant to Article 5, paragraph 1, letter b), of Law No. 287/1990.  </w:t>
        <w:br/>
        <w:t xml:space="preserve">It falls within the scope of application of Law No. 287/1990, as the conditions set out in Article 1 of Regulation (EC) No. 139/2004 do not apply, and is subject to the obligation of prior notification provided for by Article 16, paragraph 1, of the same law, as the total revenue generated, in the last financial year at the national level, by the group of companies involved was over 582 million euros and the total revenue generated, in the last financial year at the national level, individually by at least two of the companies involved, was over 35 million euros.  </w:t>
        <w:br/>
        <w:t xml:space="preserve">9. It is noted, in this regard, that although the Operation is governed by three different contracts, which concern the acquisition of different companies of the Target Group, these acquisitions are interdependent as they are mutually conditioned, pursue a unified purpose, and lead the Target Group to be subject to the joint control of the same parties, namely K2 and Sofino. The described phases, therefore, also in light of national and EU practice7, constitute a single concentration operation.  </w:t>
        <w:br/>
        <w:t xml:space="preserve">10. The non-competition and non-solicitation agreements outlined can be qualified as ancillary to the notified concentration to the extent that they contain restrictions directly related and necessary for the completion of the operation. In particular, the non-competition agreement and the non-solicitation obligation on the part of NPO Sistemi S.r.l. and its parent company Ricoh Italia S.r.l. can be considered ancillary to the Operation provided that they are geographically limited to the area of activity of the acquired company, do not prevent the sellers from acquiring or holding shares solely for financial investment purposes, and do not exceed a duration of two years, since, in this case, the value of the transferred company must be protected only in terms of goodwill and not also of know-how, as the acquiring group is already present in the IT services market. Instead, the non-competition agreement and the non-solicitation obligation on the part of the Reinvesting Shareholders can be considered ancillary to the Operation provided that they are limited to the markets affected by the concentration and only to those who will jointly control, directly or indirectly, the Target and to the extent that they maintain a control relationship with it. In any case, such agreements cannot preclude the acquisition or holding of interests for mere financial investment purposes.  </w:t>
        <w:br/>
        <w:t xml:space="preserve">IV. EVALUATION OF THE CONCENTRATION  </w:t>
        <w:br/>
        <w:t xml:space="preserve">Relevant markets  </w:t>
        <w:br/>
        <w:t xml:space="preserve">11. Due to the activities carried out by the companies involved in the Operation, it concerns the market for information technology (IT) services.  </w:t>
        <w:br/>
        <w:t xml:space="preserve">12. The IT services market includes services for the management of IT infrastructures, maintenance, enhancement and management of software applications, business continuity services, business, management and technology consulting services, application outsourcing, intelligent platform services, and research and development services for various clients and industries8.  </w:t>
        <w:br/>
        <w:t xml:space="preserve">13. It is preliminarily noted that in the decision-making practice of the European Commission9 and the Authority10 this market has generally been considered segmentable based on the functionality of the services offered and the industrial sectors affected by the provision of such services.  </w:t>
        <w:br/>
        <w:t xml:space="preserve">14. In this sense, the IT services market can be divided, based on the functionality of the service, into the following segments: (i) consulting, (ii) application implementation and managed services, (iii) infrastructure implementation and managed services, (iv) business process services, (v) infrastructure as a service, and (vi) hardware support.  </w:t>
        <w:br/>
        <w:t xml:space="preserve">Furthermore, the IT services market can be segmented by industrial sector into: (i) banking and credit securities, (ii) communication, (iii) media, (iv) education, (v) healthcare, (vi) government, (vii) insurance, (viii) manufacturing and natural resources, (ix) retail, (x) transportation, (xi) public service, (xii) wholesale trade.  </w:t>
        <w:br/>
        <w:t xml:space="preserve">15. The activities carried out by the Target Group appear to fall within five of the segments related to functionality. In any case, for the purposes of this evaluation, the exact definition of the product market can be left open, as the operation does not raise concerns from the perspective of competition protection either in the IT services market or in any of the segments identified based on the functionality of the service and the industrial sector.  </w:t>
        <w:br/>
        <w:t xml:space="preserve">8 See C12624 - Accenture Holdings / Intellera Consulting, measure no. 31187 of April 30, 2024, in Bulletin no. 20/2024.  </w:t>
        <w:br/>
        <w:t xml:space="preserve">9 See, among others, the decisions of the European Commission COMP/M.9205 – IBM/Red Hat of June 27, 2019 and COMP/M.7458 – IBM/INF Business of Deutsche Lufthansa of December 15, 2014.  </w:t>
        <w:br/>
        <w:t>10 See, among others, C12564 – Fibonacci Bidco/OCS, measure no. 30790 of September 26, 2023, in Bulletin no. 39/2023; C12516 – Lutech/Atos Italia, measure no. 30515 of March 14, 2023, in Bulletin no. 13/2023; C12624 - Accenture Holdings / Intellera Consulting, measure no. 31187 of April 30, 2024, in Bulletin no. 20/2024; C12695 – Fibonacci BidCo/Quid Informatica, measure no. 31437 of January 14, 2025, in Bulletin no. 4/2025; C12750 – Diamante BidCo-individual/Objectway, measure no. 31680 of September 23, 2025, in Bulletin no. 40/2025.</w:t>
      </w:r>
    </w:p>
    <w:p>
      <w:r>
        <w:rPr>
          <w:b/>
        </w:rPr>
        <w:t>[Pages 82–84]</w:t>
      </w:r>
    </w:p>
    <w:p>
      <w:r>
        <w:t xml:space="preserve">84 BULLETIN NO. 2 OF JANUARY 12, 2026  </w:t>
        <w:br/>
        <w:t xml:space="preserve">16. From a geographical perspective, the aforementioned market for IT services can be conservatively considered to coincide with the national territory, given that the Authority, in its previous decisions11, has noted the homogeneity of competitive conditions across the national territory and the absence of significant imports of IT services, leaning towards a national market dimension, although there is a trend towards the internationalization of demand and supply, as noted by the European Commission12. For the purposes of this assessment, the exact definition of the geographical market can therefore be left open since, even adopting the narrower definition (national market), the aggregated share in the IT services market, in each of the sub-segments, is quite limited.  </w:t>
        <w:br/>
        <w:t xml:space="preserve">The effects of the operation  </w:t>
        <w:br/>
        <w:t xml:space="preserve">7. The Operation is not likely to generate significant horizontal effects between the activities of the companies involved. In fact, even if one were to consider the hypothesis of defining the relevant market based on the functionality of the service or the industrial sector served, the horizontal overlaps are always below 5% and in some cases even below 1%.  </w:t>
        <w:br/>
        <w:t xml:space="preserve">18. Therefore, due to the marginality of the shares held by the Target Group in each of the considered markets and considering the presence of numerous and qualified competitors, it can be concluded that the operation in question does not appear to be capable of causing a noticeable change in the structure of that market in the segments where overlaps exist.  </w:t>
        <w:br/>
        <w:t xml:space="preserve">CONSIDERING, therefore, that the operation in question does not significantly hinder effective competition in the relevant markets pursuant to Article 6, paragraph 1, of Law No. 287/1990 and does not lead to the establishment or strengthening of a dominant position;  </w:t>
        <w:br/>
        <w:t xml:space="preserve">CONSIDERING, furthermore, that the non-competition and solicitation obligations as agreed between the parties can be considered ancillary to this Operation within the limits described above and that the Authority reserves the right to evaluate, where the conditions exist, the aforementioned agreements that exceed the indicated limits;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companies involved and to the Minister of Enterprises and Made in Italy.  </w:t>
        <w:br/>
        <w:t xml:space="preserve">This measure will be published in the Bulletin of the Competition and Market Authority.  </w:t>
        <w:br/>
        <w:t xml:space="preserve">THE SECRETARY GENERAL THE PRESIDENT  </w:t>
        <w:br/>
        <w:t xml:space="preserve">Guido Stazi Roberto Rustichelli  </w:t>
        <w:br/>
        <w:t xml:space="preserve">11 See Measure No. 31305 of July 30, 2024, C12654 – Digital Value/Infordata.  </w:t>
        <w:br/>
        <w:t>12 See Case COMP/M.7458 – IBM/INF Business of Deutsche Lufthansa. Commission Decision of December 15, 2014, para. 31-3 as well as, among others, Measure No. 28342 of September 8, 2020, not to initiate a concentration C12317 – Italian Investment Fund SGR-Elettra One/Maticmind, Measure No. 31407 of December 3, 2024 C12685 Fibonacci Bidco/Business Unit of Illimity Bank.</w:t>
      </w:r>
    </w:p>
    <w:p>
      <w:r>
        <w:t xml:space="preserve">BULLETIN NO. 2 OF JANUARY 12, 2026 85  </w:t>
        <w:br/>
        <w:t xml:space="preserve">C12785 - GREEN ARROW CAPITAL/DEA CAPITAL ALTERNATIVE FUNDS SGR  </w:t>
        <w:br/>
        <w:t xml:space="preserve">Measure No. 31796  </w:t>
        <w:br/>
        <w:t xml:space="preserve">THE COMPETITION AND MARKET AUTHORITY  </w:t>
        <w:br/>
        <w:t xml:space="preserve">IN ITS MEETING of December 22, 2025;  </w:t>
        <w:br/>
        <w:t xml:space="preserve">HEARD the Rapporteur, Saverio Valentino;  </w:t>
        <w:br/>
        <w:t xml:space="preserve">HAVING REGARD to Law No. 287 of October 10, 1990;  </w:t>
        <w:br/>
        <w:t xml:space="preserve">HAVING REGARD to Regulation (EC) No. 139/2004;  </w:t>
        <w:br/>
        <w:t xml:space="preserve">HAVING REGARD to Presidential Decree No. 217 of April 30, 1998;  </w:t>
        <w:br/>
        <w:t xml:space="preserve">HAVING REGARD to the communication from Green Arrow Capital S.p.A. Benefit Company, received on December 2, 2025;  </w:t>
        <w:br/>
        <w:t xml:space="preserve">HAVING REGARD to the documentation on file;  </w:t>
        <w:br/>
        <w:t xml:space="preserve">CONSIDERING the following:  </w:t>
        <w:br/>
        <w:t xml:space="preserve">I. THE PARTIES  </w:t>
        <w:br/>
        <w:t xml:space="preserve">1. Green Arrow Capital S.p.A. Benefit Company (hereinafter, “GAC” and, together with all its parent or subsidiary companies, directly or indirectly, “GAC Group”; Tax Code 14058161002) is a company that is part of the GAC Group, primarily active in the management of managed savings and, in particular, in the management of closed-end mutual investment funds and closed-end real estate funds. The GAC Group operates through four main investment strategies: energy and digital infrastructure, private equity, private credit, and real estate.  </w:t>
        <w:br/>
        <w:t xml:space="preserve">The share capital of GAC is held by Sixty Forty S.r.l., a company active in specialized business consulting services in strategic, administrative, and management planning; the share capital of Sixty Forty S.r.l. is, in turn, held by G.A.C. Holding S.r.l., a company ultimately controlled by a natural person shareholder.  </w:t>
        <w:br/>
        <w:t xml:space="preserve">The GAC Group indirectly controls multiple companies, including: (i) Richetti S.p.A., active in the food sector and in particular in the production and wholesale marketing of private label refrigerated and confectionery products intended for the GDO and Horeca channels; (ii) Poplast S.p.A., active in the production of flexible plastic packaging for various applications; (iii) TFM S.p.A., active in the production of precision mechanical components for the automotive, oil &amp; gas, and biking sectors; (iv) Labware S.p.A., active in the creation of integrated systems (so-called E-POS system) for point-of-sale management, mainly aimed at the entertainment, retail, and catering sectors.  </w:t>
        <w:br/>
        <w:t xml:space="preserve">The consolidated revenue generated worldwide by the GAC Group in the financial year 2024 is approximately [100-582]* million euros, of which approximately [100-582] million euros were generated in the European Union and [100-582] million euros were generated in Italy.  </w:t>
        <w:br/>
        <w:t xml:space="preserve">2. DeA Capital Alternative Funds SGR S.p.A. (hereinafter, “DeA Capital AF”, and together with all its subsidiaries, directly or indirectly, “DeA Group”; VAT Number 05520520965) is a company active in collective investment management, in management under delegation granted by entities providing collective investment management services and by foreign collective investment bodies, in providing advisory services in financial investments, the ancillary service of custody and administration of financial instruments, as well as in carrying out activities related and/or instrumental to collective investment management.  </w:t>
        <w:br/>
        <w:t xml:space="preserve">DeA Capital AF is controlled by DeA Capital S.p.A. (hereinafter, “DeA Capital”), a company active in the private equity and alternative asset management sector, subject to the control of De Agostini S.p.A., the parent company of the eponymous group and in turn controlled by B&amp;D Holding S.p.A. (hereinafter, “B&amp;D”). B&amp;D is in turn held by natural person shareholders, none of whom hold significant stakes.  </w:t>
        <w:br/>
        <w:t xml:space="preserve">The DeA Group indirectly controls multiple companies, including: (i) Apicultora Vangelisti S.r.l., active in the marketing of sweet spreadable creams; and (ii) Alice Pizza S.p.A., active in commercial catering.  </w:t>
        <w:br/>
        <w:t xml:space="preserve">The consolidated revenue generated worldwide by the DeA Group in the financial year 2024 was approximately [700-1000] million euros, of which approximately [582-700] million euros were generated in the European Union and [100-582] million euros were generated in Italy1.  </w:t>
        <w:br/>
        <w:t xml:space="preserve">II. DESCRIPTION OF THE OPERATION  </w:t>
        <w:br/>
        <w:t xml:space="preserve">3. The operation consists of GAC acquiring exclusive control of DeA Capital AF, through the purchase of the entire share capital of the latter (hereinafter, “Operation”).  </w:t>
        <w:br/>
        <w:t xml:space="preserve">III. QUALIFICATION OF THE OPERATION  </w:t>
        <w:br/>
        <w:t xml:space="preserve">4. The Operation constitutes a concentration pursuant to Article 5, paragraph 1, letter b), of Law No. 287/1990, as it involves the acquisition of exclusive control of a company. It falls within the scope of application of Law No. 287/1990 as the conditions of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was over 582 million euros and the total revenue generated in the last financial year at the national level by at least two of the companies involved was over 35 million euros.  </w:t>
        <w:br/>
        <w:t xml:space="preserve">IV. ASSESSMENT OF THE CONCENTRATION  </w:t>
        <w:br/>
        <w:t xml:space="preserve">a) The relevant markets  </w:t>
        <w:br/>
        <w:t xml:space="preserve">5. Regarding the product market, considering the activities carried out by the Target, directly or through its subsidiaries, the Operation concerns the following sectors:  </w:t>
        <w:br/>
        <w:t xml:space="preserve">a) management of mutual investment funds (open and closed)2;  </w:t>
        <w:br/>
        <w:t xml:space="preserve">1 These data do not include the revenue generated in 2024 by Legami S.p.A., active in the production and wholesale marketing and retail distribution of stationery items, paper products, and stationery, school support items, various gift items, sold on November 27, 2025, by DeA Capital to De Agostini S.p.A. As a result of this operation, DeA Capital no longer exercises any form of control over Legami S.p.A. However, the revenue generated in 2024 by the DeA Group, including that generated by Legami S.p.A., is provided below: approximately [700-1000] million euros worldwide, of which approximately [700-1000] million euros at the European Union level and [100-582] million euros at the Italian level.  </w:t>
        <w:br/>
        <w:t>2 See C12443 - BPER Banca/Banca Carige, Measure No. 30165 of May 31, 2022, in Bulletin No. 21/2022; C12420 - Goldman Sachs Asset Management-Icbc Wealth Management/Goldman Sachs Icbc Wealth Management, Measure No. 29773 of January 18, 2022, in Bulletin No. 5/2022 and C12710 - BPER Banca/Banca Popolare di Sondrio, Measure No. 31519 of April 8, 2025, in Bulletin No. 14/2025; C12598 - Anima Holding/Kairos Partners, Measure No. 31050 of January 30, 2024, in Bulletin No. 7/2024.</w:t>
      </w:r>
    </w:p>
    <w:p>
      <w:r>
        <w:rPr>
          <w:b/>
        </w:rPr>
        <w:t>[Pages 85–87]</w:t>
      </w:r>
    </w:p>
    <w:p>
      <w:r>
        <w:t xml:space="preserve">BULLETIN NO. 2 OF JANUARY 12, 2026 87  </w:t>
        <w:br/>
        <w:t xml:space="preserve">b) production and distribution of frozen foods3;  </w:t>
        <w:br/>
        <w:t xml:space="preserve">c) production of flexible packaging4;  </w:t>
        <w:br/>
        <w:t xml:space="preserve">d) production and supply of precision metal prints mainly for the automotive industry5;  </w:t>
        <w:br/>
        <w:t xml:space="preserve">e) production and marketing of sweet spreads6;  </w:t>
        <w:br/>
        <w:t xml:space="preserve">f) production and marketing of packaged confectionery products7;  </w:t>
        <w:br/>
        <w:t xml:space="preserve">g) production and marketing of cash register systems8;  </w:t>
        <w:br/>
        <w:t xml:space="preserve">h) commercial catering9.  </w:t>
        <w:br/>
        <w:t xml:space="preserve">6. In relation to the sectors under letters a)-i), it is possible to make segmentations within them, such as, for example, in the case of the production and distribution of frozen foods, where it is possible to hypothesize a distinction between product categories (breakfast products, savory snacks, pastries, and bakery) and between distribution channels (food service and retail)10, or in the case of flexible packaging, where it is possible to identify a series of different segments from a merchandise perspective that could correspond to distinct product markets (for example, industrial films, films for agriculture/construction)11, or again in the case of the production and marketing of sweet spreads, where it is possible to hypothesize a distinction between chocolate spreads and other sweet spreads, such as jam, honey, and peanut butter12.  </w:t>
        <w:br/>
        <w:t xml:space="preserve">7. From a geographical standpoint, in the Authority's precedents, the dimension has been defined as national, except in the sectors under letters d), e), and h) in relation to which it has been left open, as a supranational dimension could be hypothesized, and under letter i), whose dimension has been defined as local, typically provincial.  </w:t>
        <w:br/>
        <w:t xml:space="preserve">8. However, it does not appear necessary to arrive at an exact delimitation of the markets, as the assessment of the Operation does not change regardless of the merchandise and geographical perimeter of reference.  </w:t>
        <w:br/>
        <w:t xml:space="preserve">3 See C12625 - Frozen Investments-Sammontana Finanziaria/Sammontana-Forno d’Asolo, measure no. 31293 of July 23, 2024, in Bulletin no. 30/2024.  </w:t>
        <w:br/>
        <w:t xml:space="preserve">4 See C9371 - Banca Nazionale del Lavoro- Scandolara Lussemburgo/Scandolara Holding, measure no. 18459 of June 4, 2008, in Bulletin no. 22/2008; C7846 - 3M/SCC Products, measure no. 14985 of July 27, 2006, in Bulletin no. 30/2006 and C5223 - E.I. du Pont de Nemours/ Liquibox, measure no. 10730 of May 9, 2002, in Bulletin no. 19/2002.  </w:t>
        <w:br/>
        <w:t xml:space="preserve">5 See C11593 - Mao Funf Vermògensverwaltunc/Winkemann &amp; Co. Kg, measure no. 23568 of May 9, 2012, in Bulletin no. 19/2012.  </w:t>
        <w:br/>
        <w:t xml:space="preserve">6 See C11699 - Ferrero International/ Gruppo Stelliferi, measure no. 23826 of August 8, 2012, in Bulletin no. 32/2012; decision of the European Commission, M. 10350 - Mondelez/Chipita Industrial and Commercial Company of November 24, 2021.  </w:t>
        <w:br/>
        <w:t xml:space="preserve">7 See C11699 - Ferrero International/ Gruppo Stelliferi, cited; C6101 - Arena Holding/ Roncadin, measure no. 12513 of October 9, 2003, in Bulletin no. 41/2003 and C12162 - Ferrero Trading Lux/ Stelliferi &amp; Itavex, measure no. 27175 of May 29, 2018, in Bulletin no. 23/2018.  </w:t>
        <w:br/>
        <w:t xml:space="preserve">8 See C4987 - MWCR/Mers, measure no. 10294 of January 10, 2002, in Bulletin no. 1-2/2002.  </w:t>
        <w:br/>
        <w:t xml:space="preserve">9 See C12732 - Spoon Brands-Cirfood Retail/Antica Focacceria, measure no. 31616 of July 1, 2025, in Bulletin no. 28/2025; C12604 - CVC Capital Partners Sicav-Fis/Gruppo La Piadineria, measure no. 31095 of February 27, 2024, in Bulletin no. 11/2024; C12492 - Food Experience Investments/Eataly, measure no. 30343 of October 18, 2022, in Bulletin no. 40/2022.  </w:t>
        <w:br/>
        <w:t xml:space="preserve">10 See C12625 - Frozen Investments-Sammontana Finanziaria/Sammontana-Forno d’Asolo, measure no. 31293 of July 23, 2024, in Bulletin no. 30/2024.  </w:t>
        <w:br/>
        <w:t xml:space="preserve">11 See C7400 - Gladiolo/Macplast, measure no. 14985 of December 7, 2005, in Bulletin no. 49/2005.  </w:t>
        <w:br/>
        <w:t>12 See decision of the European Commission M. 10350 - Mondelez/Chipita Industrial and Commercial Company, cited.</w:t>
      </w:r>
    </w:p>
    <w:p>
      <w:r>
        <w:t xml:space="preserve">88 BULLETIN NO. 2 OF JANUARY 12, 2026  </w:t>
        <w:br/>
        <w:t xml:space="preserve">9. Through its subsidiaries, the Dea Group is also active in several other sectors related to food production (such as oilseeds, fresh fruit, baby products, coffee and its derivatives) and industrial use products (such as, for example, agricultural machinery, fixtures, lighting systems).  </w:t>
        <w:br/>
        <w:t xml:space="preserve">10. From a geographical perspective, in the Authority's precedents, the dimension of these markets has been defined, depending on the case, as national or supranational, but in the case at hand, it does not appear necessary to arrive at an exact delimitation of the markets, as the assessment of the Operation does not change regardless of the merchandise and geographical perimeter of reference.  </w:t>
        <w:br/>
        <w:t xml:space="preserve">b) Effects of the Operation  </w:t>
        <w:br/>
        <w:t xml:space="preserve">11. The Operation does not appear to be suitable to produce distortions to competition.  </w:t>
        <w:br/>
        <w:t xml:space="preserve">12. In particular, from a horizontal perspective, regarding the activities under a)-e), there are limited overlaps between the Parties. In particular, following the Operation, GAC will hold shares below [1-5%] and there are also numerous and qualified competitors present.  </w:t>
        <w:br/>
        <w:t xml:space="preserve">13. Regarding the other markets related to the production of food and industrial use products, there are no overlaps between the activities of the Parties as only the Target is active, resulting in the mere substitution of one operator with another.  </w:t>
        <w:br/>
        <w:t xml:space="preserve">14. From a vertical perspective, there is a potential vertical relationship between the Target, active upstream, through Apicultora Vangelisti S.r.l., in the marketing of sweet spreads (under letter f)), and the GAC Group, active downstream, through Richetti S.p.A., in the production and marketing of packaged confectionery products (under letter g)). However, considering that the Target's share is below [10-15%], regardless of the merchandise definition considered, and that the GAC Group's share is below [1-5%], it is believed that there are no vertical effects of the Operation, due to the absence of exclusionary effects on production factors or clientele.  </w:t>
        <w:br/>
        <w:t xml:space="preserve">15. Finally, there is a potential vertical relationship between the GAC Group, active upstream, through Labware S.p.A., in the production and marketing of cash register systems (under letter h)), and the Target, active downstream, through Alice Pizza S.p.A., in commercial catering (under letter i)). However, given the limited market shares held by the Parties, below [1-5%], regardless of the geographical dimension considered, it is believed that there are no vertical effects of the Operation, due to the absence of exclusionary effects on production factors or clientele.  </w:t>
        <w:br/>
        <w:t xml:space="preserve">16. In light of the above considerations, the concentration under examination does not appear to significantly hinder effective competition in the relevant markets or to result in the establishment or strengthening of a dominant position.  </w:t>
        <w:br/>
        <w:t xml:space="preserve">THEREFORE, it is deemed that the Operation does not significantly hinder effective competition in the relevant markets pursuant to Article 6, paragraph 1, of Law No. 287/1990 and does not result in the establishment or strengthening of a dominant position;  </w:t>
        <w:br/>
        <w:t xml:space="preserve">RESOLVES  </w:t>
        <w:br/>
        <w:t xml:space="preserve">not to initiate the investigation referred to in Article 16, paragraph 4, of Law No. 287/1990.  </w:t>
        <w:br/>
        <w:t>The above conclusions will be communicated, pursuant to Article 16, paragraph 4, of Law No. 287/1990, to the interested companies and to the Minister of Enterprises and Made in Italy.</w:t>
      </w:r>
    </w:p>
    <w:p>
      <w:r>
        <w:t xml:space="preserve">BULLETIN NO. 2 OF JANUARY 12, 2026 89  </w:t>
        <w:br/>
        <w:t xml:space="preserve">This measure will be published in the Bulletin of the Competition and Market Authority.  </w:t>
        <w:br/>
        <w:t xml:space="preserve">THE SECRETARY GENERAL THE PRESIDENT  </w:t>
        <w:br/>
        <w:t>Guido Stazi Roberto Rustichelli</w:t>
      </w:r>
    </w:p>
    <w:p>
      <w:r>
        <w:rPr>
          <w:b/>
        </w:rPr>
        <w:t>[Pages 88–90]</w:t>
      </w:r>
    </w:p>
    <w:p>
      <w:r>
        <w:t xml:space="preserve">90 BULLETIN NO. 2 OF JANUARY 12, 2026  </w:t>
        <w:br/>
        <w:t xml:space="preserve">C12786 - EDIF/L’ELETTRICA  </w:t>
        <w:br/>
        <w:t xml:space="preserve">Measure no. 31797  </w:t>
        <w:br/>
        <w:t xml:space="preserve">THE COMPETITION AND MARKET AUTHORITY  </w:t>
        <w:br/>
        <w:t xml:space="preserve">IN ITS MEETING of December 22, 2025;  </w:t>
        <w:br/>
        <w:t xml:space="preserve">HEARD the Rapporteur, Saverio Valentino;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made by Edif S.p.A., received on December 10, 2025;  </w:t>
        <w:br/>
        <w:t xml:space="preserve">HAVING REGARD to the documentation on file;  </w:t>
        <w:br/>
        <w:t xml:space="preserve">CONSIDERING the following:  </w:t>
        <w:br/>
        <w:t xml:space="preserve">I. THE PARTIES  </w:t>
        <w:br/>
        <w:t xml:space="preserve">1. Edif S.p.A. (hereinafter, "Edif"; Tax Code 00644380438) is a company active in the wholesale and retail trade of civil and industrial electrical materials, plumbing and heating materials, lighting, security items, intrusion prevention, and home automation in general. Edif is controlled by Marigliano S.p.A., a financial holding company of a group of companies active in the wholesale supply of products and technological equipment for photovoltaic energy and in the wholesale and retail trade of civil and industrial electrical materials in various Italian regions. The share capital of Marigliano S.p.A. and the companies controlled by it (hereinafter jointly referred to as "Marigliano Group") is held by four individuals related to the Marigliano family. In 2024, the consolidated revenue of the Marigliano Group was approximately [1-2]* billion euros, entirely generated in Italy.  </w:t>
        <w:br/>
        <w:t xml:space="preserve">2. L’Elettrica S.p.A. (hereinafter, "L’Elettrica" or "Target"; Tax Code 03804730483) is a company active in the wholesale and retail trade of civil and industrial electrical materials in the Tuscany region. The share capital of the Target is held by Elettrica Immobiliare S.r.l. and by four other individuals. In 2024, the total revenue generated in Italy by L’Elettrica was approximately [35-100] million euros.  </w:t>
        <w:br/>
        <w:t xml:space="preserve">II. DESCRIPTION OF THE OPERATION  </w:t>
        <w:br/>
        <w:t xml:space="preserve">3. The communicated operation (hereinafter, "Operation") consists of the acquisition by Edif, through the establishment of a NewCo, of exclusive control of the company L’Elettrica, initially through the leasing of the business and subsequently through the definitive transfer of the same.  </w:t>
        <w:br/>
        <w:t xml:space="preserve">4. A legal non-competition obligation pursuant to Article 2557 of the Civil Code is imposed on the controlling parties of the Target, as well as the assumption of obligations not to divert customers and employees. The duration of this obligation is not expressly determined and can therefore be understood as indefinite, nor is the geographical and product scope defined.  </w:t>
        <w:br/>
        <w:t>*In this version, some data are omitted, as elements of confidentiality or secrecy of the information were deemed to exist.</w:t>
      </w:r>
    </w:p>
    <w:p>
      <w:r>
        <w:t xml:space="preserve">BULLETIN NO. 2 OF JANUARY 12, 2026 91  </w:t>
        <w:br/>
        <w:t xml:space="preserve">III. QUALIFICATION OF THE OPERATION  </w:t>
        <w:br/>
        <w:t xml:space="preserve">5. The Operation, being aimed at the acquisition of exclusive control of a company, constitutes a concentration pursuant to Article 5, paragraph 1, letter b), of Law No. 287/1990. It falls within the scope of application of Law No. 287/1990, as the conditions set out in Article 1 of Regulation (EC) No. 139/2004 are not met, and is subject to the obligation of prior notification provided for by Article 16, paragraph 1, of the same law, as the total revenue generated in the last financial year at the national level by the group of interested companies exceeded 582 million euros and the total revenue generated in the last financial year at the national level by at least two of the interested companies exceeded 35 million euros1.  </w:t>
        <w:br/>
        <w:t xml:space="preserve">6. The non-competition and non-solicitation obligations described in the previous paragraph can be qualified as directly connected and necessary for the realization of the Operation, as they are functional to safeguarding the value of the acquired company, provided that they are geographically and product-wise limited to the area of activity of the acquired company and temporally to a period of two years2.  </w:t>
        <w:br/>
        <w:t xml:space="preserve">IV. EVALUATION OF THE OPERATION  </w:t>
        <w:br/>
        <w:t xml:space="preserve">7. Based on the Authority's precedents3, considering the activity carried out by the Target, from a product perspective, the Operation concerns the sector of wholesale and retail marketing of electrical materials, civil and industrial. This product area involves the wholesale and retail distribution of various types of electrical materials intended for both the electromechanical and electronic sectors, which are purchased by customers, mainly industries, public entities, construction companies, panel builders, industrial automation specialists, electrical installers, as well as by retail distributors who resell to individuals or directly from private individuals. Within this sector, it is possible to identify different markets based on the type of product (for example, civil electrical materials and industrial electrical materials, or specific product categories). For the purposes of the Operation, however, it does not appear necessary to arrive at a precise product market delineation, as the assessment of the competitive effects resulting from it does not change.  </w:t>
        <w:br/>
        <w:t xml:space="preserve">8. Based on the precedents in this area, from a geographical perspective, the wholesale distribution of electrical materials is considered to be of regional or provincial/multi-provincial dimension, considering the operational scope of wholesalers who generally serve a rather extensive territorial area (retail distribution, on the other hand, typically assumes local relevance). In this specific case, however, it is not necessary to arrive at a precise geographical delineation of the market, as the assessment of the competitive impact of the Operation does not change, regardless of the definition adopted.  </w:t>
        <w:br/>
        <w:t xml:space="preserve">IV.2 The effects of the operation  </w:t>
        <w:br/>
        <w:t xml:space="preserve">9. The Operation does not appear to be capable of producing distortive effects on competition.  </w:t>
        <w:br/>
        <w:t xml:space="preserve">1 See resolution no. 31495 of March 18, 2025.  </w:t>
        <w:br/>
        <w:t xml:space="preserve">2 See, "Communication from the Commission on restrictions directly connected and necessary to concentrations," paragraphs 18-26, in O.J. EU 2005/C-56/03 of March 5, 2005.  </w:t>
        <w:br/>
        <w:t>3 See C12735 - Marigliano/Energia Italia, measure of July 29, 2025, no. 31651, in Bulletin no. 32/2025; C12449 - Marigliano/Barcella Elettroforniture, measure of May 10, 2022, no. 30148, in Bulletin no. 20/2022; C12363 - Marigliano/Edif-Edif Holding, measure of March 16, 2021, no. 28607, in Bulletin no. 14/2021 and C12232 - Sacchi Giuseppe/Demo, measure of June 5, 2019, no. 27796, in Bulletin no. 25/2019.</w:t>
      </w:r>
    </w:p>
    <w:p>
      <w:r>
        <w:t xml:space="preserve">92 BULLETIN NO. 2 OF JANUARY 12, 2026  </w:t>
        <w:br/>
        <w:t xml:space="preserve">10. In particular, from a horizontal perspective, with reference to the wholesale and retail marketing of electrical materials, civil and industrial, of regional or sub-regional geographical dimension, the Operation will not result in horizontal overlaps since the Parties are active in different local geographical areas.  </w:t>
        <w:br/>
        <w:t xml:space="preserve">11. In fact, the Marigliano Group is active both in wholesale and retail in the regions of Abruzzo, Basilicata, Calabria, Campania, Emilia-Romagna, Lazio, Lombardy, Marche, Molise, Piedmont, Apulia, Sicily, Umbria, and Veneto, while the Target is active solely in the Tuscany region.  </w:t>
        <w:br/>
        <w:t xml:space="preserve">12. Considering the Operation in light of an expansion of territorial coverage over multiple local areas, its impact is, in any case, limited, given that, at the national level, the Target holds a marginal market share, equal to approximately [less than 1%], resulting in a post-merger joint market share of [15-20%], in the presence of competitors with similar or higher market shares.  </w:t>
        <w:br/>
        <w:t xml:space="preserve">13. In light of the above considerations, the Operation does not appear to significantly hinder effective competition in the relevant markets or to result in the establishment or strengthening of a dominant position.  </w:t>
        <w:br/>
        <w:t xml:space="preserve">THEREFORE, IT IS CONSIDERED that the Operation does not significantly hinder effective competition in the relevant markets pursuant to Article 6, paragraph 1, of Law No. 287/1990 and does not result in the establishment or strengthening of a dominant position;  </w:t>
        <w:br/>
        <w:t xml:space="preserve">IT IS FURTHER CONSIDERED that the non-competition and non-solicitation obligations are ancillary to the Operation only to the limits indicated above and that the Authority reserves the right to evaluate, where the conditions exist, the aforementioned obligations if they are realized beyond those limits;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interested companies and to the Minister of Enterprises and Made in Italy.  </w:t>
        <w:br/>
        <w:t xml:space="preserve">This measure will be published in the Bulletin of the Competition and Market Authority.  </w:t>
        <w:br/>
        <w:t xml:space="preserve">THE SECRETARY GENERAL THE PRESIDENT  </w:t>
        <w:br/>
        <w:t>Guido Stazi Roberto Rustichelli</w:t>
      </w:r>
    </w:p>
    <w:p>
      <w:r>
        <w:rPr>
          <w:b/>
        </w:rPr>
        <w:t>[Pages 91–93]</w:t>
      </w:r>
    </w:p>
    <w:p>
      <w:r>
        <w:t xml:space="preserve">BULLETIN NO. 2 OF JANUARY 12, 2026 93  </w:t>
        <w:br/>
        <w:t xml:space="preserve">INVESTIGATIVE INQUIRIES  </w:t>
        <w:br/>
        <w:t xml:space="preserve">IC57 - SCHOOL PUBLISHING  </w:t>
        <w:br/>
        <w:t xml:space="preserve">Measure no. 31808  </w:t>
        <w:br/>
        <w:t xml:space="preserve">THE COMPETITION AND MARKET AUTHORITY  </w:t>
        <w:br/>
        <w:t xml:space="preserve">IN ITS MEETING of December 22, 2025;  </w:t>
        <w:br/>
        <w:t xml:space="preserve">HEARD the Rapporteur, Saverio Valentino;  </w:t>
        <w:br/>
        <w:t xml:space="preserve">HAVING REGARD to Law No. 287 of October 10, 1990;  </w:t>
        <w:br/>
        <w:t xml:space="preserve">HAVING REGARD, in particular, to Article 12, paragraph 2, of Law No. 287 of October 10, 1990, pursuant to which the Authority may conduct general investigative inquiries in economic sectors where the evolution of exchanges, price behavior, or other circumstances suggest that competition is impeded, restricted, or distorted;  </w:t>
        <w:br/>
        <w:t xml:space="preserve">HAVING REGARD to Decree-Law No. 104 of August 10, 2023, converted with amendments by Law No. 136 of October 9, 2023, containing urgent provisions for the protection of users, regarding economic and financial activities and strategic investments;  </w:t>
        <w:br/>
        <w:t xml:space="preserve">HAVING REGARD to Presidential Decree No. 217 of April 30, 1998 and, in particular, Article 17, concerning general investigative inquiries;  </w:t>
        <w:br/>
        <w:t xml:space="preserve">HAVING REGARD to the Communication regarding the application of Article 1, paragraph 5, of Decree-Law No. 104 of August 10, 2023, converted with amendments by Law No. 136 of October 9, 2023, adopted by the Authority on May 7, 2024;  </w:t>
        <w:br/>
        <w:t xml:space="preserve">HAVING REGARD to its measure of September 10, 2024, by which the Authority decided to initiate, pursuant to Article 12, paragraph 2, of Law No. 287 of October 10, 1990, an investigative inquiry into school publishing;  </w:t>
        <w:br/>
        <w:t xml:space="preserve">HAVING REGARD to its measure of July 29, 2025, by which the Authority decided to publish on the Authority's website the Preliminary Report related to the investigative inquiry;  </w:t>
        <w:br/>
        <w:t xml:space="preserve">HAVING REGARD to its measure of July 29, 2025, by which the Authority decided to extend the deadline for the conclusion of the procedure to December 31, 2025;  </w:t>
        <w:br/>
        <w:t xml:space="preserve">HAVING REGARD to its measure of September 15, 2025, by which the Authority decided to extend the deadline for comments on the Preliminary Report by interested parties to October 15, 2025;  </w:t>
        <w:br/>
        <w:t xml:space="preserve">HAVING REGARD to the documents of the procedure;  </w:t>
        <w:br/>
        <w:t xml:space="preserve">HAVING REGARD to the annex to this measure, containing the final text of the investigative inquiry concerning school publishing;  </w:t>
        <w:br/>
        <w:t xml:space="preserve">RESOLVES  </w:t>
        <w:br/>
        <w:t>to proceed with the closure of the investigative inquiry.</w:t>
      </w:r>
    </w:p>
    <w:p>
      <w:r>
        <w:t xml:space="preserve">94 BULLETIN NO. 2 OF JANUARY 12, 2026  </w:t>
        <w:br/>
        <w:t xml:space="preserve">This measure will be published in the Bulletin of the Competition and Market Authority and on the Authority's institutional website.  </w:t>
        <w:br/>
        <w:t xml:space="preserve">THE SECRETARY GENERAL THE PRESIDENT  </w:t>
        <w:br/>
        <w:t>Guido Stazi Roberto Rustichelli</w:t>
      </w:r>
    </w:p>
    <w:p>
      <w:r>
        <w:t xml:space="preserve">BULLETIN NO. 2 OF JANUARY 12, 2026 95  </w:t>
        <w:br/>
        <w:t xml:space="preserve">REPORTING AND CONSULTATIVE ACTIVITIES  </w:t>
        <w:br/>
        <w:t xml:space="preserve">AS2131 - AGCOM - VERIFICATION OF THE EXISTENCE OF WHOLESALE ONLY OPERATOR CONDITIONS FOR FIBERCOP  </w:t>
        <w:br/>
        <w:t xml:space="preserve">Rome, May 15, 2025  </w:t>
        <w:br/>
        <w:t xml:space="preserve">Authority for Communications Guarantees  </w:t>
        <w:br/>
        <w:t xml:space="preserve">With reference to the request for opinion ref. Your prot. No. 0099549 of April 17, 2025, made by this Authority for Communications Guarantees (hereinafter, "AGCOM") regarding resolution No. 103/25/CONS concerning the "Initiation of the public consultation regarding the verification of the existence of 'wholesale only operator' conditions for Fibercop S.p.A. pursuant to Article 91 of the Code," the Competition and Market Authority, in its meeting of May 13, 2025, resolved to make the following considerations pursuant to Article 91, paragraph 1, of Legislative Decree No. 259 of August 1, 2003.  </w:t>
        <w:br/>
        <w:t xml:space="preserve">General Considerations  </w:t>
        <w:br/>
        <w:t xml:space="preserve">Article 91 of the Electronic Communications Code (hereinafter, "Code") establishes in paragraph 1, letters a) and b), the characteristics that an operator with significant market power (hereinafter, "SMP") must present in order to be qualified as a "wholesale only operator" in order to benefit from the regulatory treatment provided by the same article in paragraph 2 (less stringent than in the case of vertically integrated SMP operators).  </w:t>
        <w:br/>
        <w:t xml:space="preserve">In particular, in order to be qualified as a wholesale only operator, the SMP enterprise requires two specific characteristics, namely, in summary: i) the non-operation of the enterprise (including through subsidiaries and parent companies) in the retail markets for electronic communications services; ii) the absence of "exclusive" contractual relationships with enterprises operating in the retail markets.  </w:t>
        <w:br/>
        <w:t xml:space="preserve">AGCOM has therefore conducted the verification of the existence of the two aforementioned conditions for FiberCop S.p.A. (hereinafter, "FiberCop").  </w:t>
        <w:br/>
        <w:t xml:space="preserve">Firstly, it was verified whether the requirement of FiberCop's non-operation in the retail market was satisfied. In this regard, it was found that the investment fund Kohlberg Kravis Roberts &amp; Co. L.P (hereinafter, "KKR"), with approximately 37.8% of the shares, holds exclusive indirect control of FiberCop, through holding companies, and it was established that KKR and its controlled companies do not have stakes in companies active in the retail markets for electronic communications services in Italy.  </w:t>
        <w:br/>
        <w:t>Secondly, it was verified that FiberCop is not obliged to negotiate, by virtue of exclusive agreements, with TIM S.p.A. (hereinafter, "TIM") or with any other enterprise active in the retail market for electronic communications services. In this regard, it was ascertained that: i) FiberCop does not</w:t>
      </w:r>
    </w:p>
    <w:p>
      <w:r>
        <w:rPr>
          <w:b/>
        </w:rPr>
        <w:t>[Pages 94–96]</w:t>
      </w:r>
    </w:p>
    <w:p>
      <w:r>
        <w:t xml:space="preserve">96 BULLETIN NO. 2 OF JANUARY 12, 2026  </w:t>
        <w:br/>
        <w:t xml:space="preserve">has no exclusives in its supply relationships for its services with entities active in the retail market; ii) the existing contract (so-called Master Service Agreement) between FiberCop and TIM provides, among other things, for the exclusive purchase from TIM of corporate mobile telephony services and real estate services, for a period of four years (with the possibility of renewal) and six years, respectively.  </w:t>
        <w:br/>
        <w:t xml:space="preserve">Regarding point ii): concerning mobile telephony services, TIM and FiberCop have submitted to AGCOM an express declaration of waiver of the application of the Preferred Supplier clause (FiberCop notifies TIM if it intends to purchase the service from third parties and TIM has the right to match the offer); regarding real estate services, there is a recognized right for FiberCop to withdraw before the expiration of the exclusivity period.  </w:t>
        <w:br/>
        <w:t xml:space="preserve">In conclusion, therefore, AGCOM believes that FiberCop can be classified as a wholesale only operator pursuant to Article 91, paragraph 1, of the Code, having found in this company all the characteristics indicated in the first paragraph, letters a) and b), of that provision.  </w:t>
        <w:br/>
        <w:t xml:space="preserve">Conclusions  </w:t>
        <w:br/>
        <w:t xml:space="preserve">This opinion expresses a supportive position limited to the analysis carried out by AGCOM for the verification of the requirements of Article 91, paragraph 1, of the Code, necessary to qualify an operator active in the offer of wholesale access services to the fixed network as wholesale only.  </w:t>
        <w:br/>
        <w:t xml:space="preserve">Firstly, having established that FiberCop is not active in the retail markets of electronic communication services, it is agreed that the requirement under Article 91, paragraph 1, letter a) is met.  </w:t>
        <w:br/>
        <w:t xml:space="preserve">Secondly, on one hand, FiberCop has no sales exclusives in the retail market, being an operator that offers its access services also by virtue of the obligations arising from the current regulations; on the other hand, regarding some potential issues related to FiberCop's purchase obligations from TIM for mobile network and real estate services, as provided for in the Master Service Agreement1, it is noted that the relevant contractual clauses do not hinder the fulfillment of the requirements of Article 91, paragraph 1, letter b), of the Code, for the following reasons: the services in question do not concern the core activities subject to the market access analysis procedure for the fixed network; they are contractual provisions that are partly transitional and linked to ensuring FiberCop's business continuity in the period following the corporate and ownership separation from TIM.  </w:t>
        <w:br/>
        <w:t xml:space="preserve">Furthermore, for mobile services, the fact that TIM and FiberCop have committed not to apply the Preferred Supplier clause appears to remove the risk that the purchase obligation extends excessively over time, beyond the physiological need dictated by the requirement for business continuity; similarly, for real estate services, the clause that grants FiberCop the right to withdraw early from the initial six-year purchase obligation appears suitable to limit potential critical issues under Article 91, paragraph 1, letter b), of the Code.  </w:t>
        <w:br/>
        <w:t xml:space="preserve">In conclusion, therefore, it is believed that the analyses carried out by AGCOM in its resolution no. 103/25/CONS are agreed upon, according to which the test of Article 91, paragraph 1, of the Code is satisfied by FiberCop which, therefore, exclusively pursuant to and for the effects of the aforementioned regulatory framework, can be considered a wholesale only operator.  </w:t>
        <w:br/>
        <w:t xml:space="preserve">This opinion will be published in the Bulletin of the Competition and Market Authority.  </w:t>
        <w:br/>
        <w:t>1 Contract signed by TIM and FiberCop on July 1, 2024, following the separation of the network.</w:t>
      </w:r>
    </w:p>
    <w:p>
      <w:r>
        <w:t xml:space="preserve">BULLETIN NO. 2 OF JANUARY 12, 2026 97  </w:t>
        <w:br/>
        <w:t xml:space="preserve">Any confidentiality needs must be communicated to the Authority within thirty days of receipt of this document, specifying the reasons.  </w:t>
        <w:br/>
        <w:t xml:space="preserve">THE PRESIDENT  </w:t>
        <w:br/>
        <w:t>Roberto Rustichelli</w:t>
      </w:r>
    </w:p>
    <w:p>
      <w:r>
        <w:t xml:space="preserve">98 BULLETIN NO. 2 OF JANUARY 12, 2026  </w:t>
        <w:br/>
        <w:t xml:space="preserve">AS2132 - MUNICIPALITY OF GAETA (LT) - MARITIME STATE CONCESSIONS FOR TOURIST-RECREATIONAL PURPOSES - RESOLUTION JUNE 2025  </w:t>
        <w:br/>
        <w:t xml:space="preserve">Rome, September 25, 2025  </w:t>
        <w:br/>
        <w:t xml:space="preserve">Municipality of Gaeta  </w:t>
        <w:br/>
        <w:t xml:space="preserve">The Competition and Market Authority, in its meeting of September 23, 2025, has resolved to issue a reasoned opinion, pursuant to Article 21-bis of Law No. 287 of October 10, 1990, regarding the Resolution of the Municipal Council of June 10, 2025, no. 40, concerning the request submitted "pursuant to Article 193, paragraph 1) of Legislative Decree No. 36 of March 31, 2023, and subsequent amendments, for the realization under concession of services and works of public interest, with the granting of a maritime state concession for tourist-recreational purposes. Location Serapo, sheet 34, parcels 1628, 1629, 1663," known to the Authority following a report received on July 28, 2025.  </w:t>
        <w:br/>
        <w:t xml:space="preserve">With the Resolution in question, the Municipal Council examined a proposal made by a company pursuant to Article 193 of Legislative Decree No. 36/2023 (so-called "Public Contracts Code") for the realization under concession of services and works of public interest in exchange for the exploitation of a maritime state concession for tourist-recreational purposes, for twenty years. The Resolution refers to the attached reports and certifies the public interest within the competence of the Municipality regarding the awarding of maritime state concessions and in relation to project financing requests. Finally, the Municipality mandates the competent Director to carry out the procedures following the Resolution.  </w:t>
        <w:br/>
        <w:t xml:space="preserve">In this regard, the Authority intends to make the following considerations regarding the identified competitive issues.  </w:t>
        <w:br/>
        <w:t xml:space="preserve">Preliminarily, it is deemed appropriate to highlight doubts regarding the possibility of using the project financing tool for the assignment of maritime state concessions1, also considering the peculiar competitive advantage (the right of preemption) recognized in favor of the promoting entity2.  </w:t>
        <w:br/>
        <w:t xml:space="preserve">Regarding the competitive issues arising from the right of preemption provided in the case of project financing, it is possible to refer to the recent order no. 9449/2024 with which the Council of State refers to the Court of Justice the preliminary question of the compatibility of the right in question with the principles of freedom of establishment and free provision of services as per Articles 49 and 56.  </w:t>
        <w:br/>
        <w:t xml:space="preserve">1 It is recalled that the Administrative Judge has repeatedly excluded the general applicability of the Public Contracts Code to maritime state concessions. See, lastly, Council of State, Section VII, judgment no. 2762/2024, according to which: "On this point, it should be noted that the jurisprudence of this Council has clarified that the procedures aimed at the assignment of public domain assets, however comparative, do not apply the so-called 'contractual procedure' (ex multis, Council of State, judgment no. 7398/2019). Nor can it in any way be considered that such procedures are comparable – even in relation to the applicable procedure – to other service concessions." See, lastly, Council of State, Advisory Section for Normative Acts, opinion no. 750 rendered on July 22, 2025.  </w:t>
        <w:br/>
        <w:t>2 See AS2045 - Proposals for competitive reform for the annual law on the market and competition - Year 2024; as well as Council of State, Section V, no. 9298/2023 and no. 5026/2024.</w:t>
      </w:r>
    </w:p>
    <w:p>
      <w:r>
        <w:rPr>
          <w:b/>
        </w:rPr>
        <w:t>[Pages 97–99]</w:t>
      </w:r>
    </w:p>
    <w:p>
      <w:r>
        <w:t xml:space="preserve">BULLETIN NO. 2 OF JANUARY 12, 2026 99  </w:t>
        <w:br/>
        <w:t xml:space="preserve">TFEU, as well as with Directive No. 2014/23/EU, interpreted in light of the principles of proportionality, good administration, and efficiency, and with Article 12 of Directive No. 2006/123/EC (so-called "Services Directive") where deemed applicable.  </w:t>
        <w:br/>
        <w:t xml:space="preserve">In the aforementioned order, in fact, the Administrative Judge notes how the pre-emption clause, "while ensuring the conduct of a tender, is capable of overturning its outcome if the promoter exercises it: the proposer who is not awarded according to the tender rules, if he adjusts his proposal to that identified as the best, becomes the awardee himself." According to the Council of State, therefore, the pre-emption produces "significant effects" on the principle of equal treatment that informs public tenders, "calling into question its essence."  </w:t>
        <w:br/>
        <w:t xml:space="preserve">The same Court of Justice, with an order of November 26, 2020, justifies the prohibition of project financing imposed by the legislator in the field of motorway concessions, highlighting how the pursued intent is "to avoid any type of advantage to outgoing concessionaires" in a sector recently opened to competition3.  </w:t>
        <w:br/>
        <w:t xml:space="preserve">Given the existence of such critical issues, it is believed that, even if recognizing the authority for administrations to resort to this institution, including the maritime state concession in a public-private partnership contractual framework as a contribution to recovering investment costs, the related choice must in any case be supported by an adequate motivational framework, both regarding the existence of a genuine public interest on the part of the entity and concerning the presence of all legal prerequisites for its configurability.  </w:t>
        <w:br/>
        <w:t xml:space="preserve">The institution of project financing, in fact, while permeated with extreme discretion on the part of the Public Administration, entails compliance with a series of procedural and motivational obligations that ensure the transparency of the decisions made. It indeed, as mentioned, confers an undeniable competitive advantage to the proposing party, represented by the right of pre-emption of the latter, which must necessarily be justified by virtue of the interest contained in the realization of the intervention in favor of the granting Entity4.  </w:t>
        <w:br/>
        <w:t xml:space="preserve">Reference is made, in particular, to the obligation of motivation provided for in Article 3 of Law No. 241/19905, compliance with which, although not expressly recalled by the rules on project financing, represents a general principle of administrative action6. With specific reference to the feasibility assessment procedure of the project financing proposal, ANAC has also emphasized how, in light of the jurisprudence of the Council of State, the administration is required to adopt an express and motivated administrative measure, as provided by the general discipline on administrative procedures7.  </w:t>
        <w:br/>
        <w:t xml:space="preserve">In this regard, it should be highlighted how the council resolution under examination is characterized by an evident lack of motivation capable of justifying the existence of the public interest of the administration in the realization of the proposed project and the necessity to resort to the instrument of project financing.  </w:t>
        <w:br/>
        <w:t xml:space="preserve">Resolution No. 40/2025, in fact, makes a generic reference to the public interest, without any argument that correlates or clarifies in what terms the offer meets the expectations of the Entity. Nor can the interest be inferred from the indications present in the Guideline Resolution No. 143/2024, already subject to challenge by the Authority8, which merely marks a very broad perimeter of indicators that can be valued in the evaluation of projects (such as, for example, environmental sustainability, the integration of bathing activities with the tourist, cultural, and sports development of the territory, etc.), which, moreover, appear to identify more properly criteria for evaluating technical offers within a tender procedure.  </w:t>
        <w:br/>
        <w:t xml:space="preserve">Furthermore, the proposed works or services (consisting of promoting separate waste collection, resorting to alternative energy sources, promoting recreational and cultural activities, and maintaining a green area) are generically defined as aimed at "touristic, environmental requalification and urban regeneration and development of cultural and social activities in public areas as well as organizing and implementing public services for the community," without, however, justifying the functionality of the works concerning the interest of the Entity and the area intended to be granted in concession.  </w:t>
        <w:br/>
        <w:t xml:space="preserve">In order to concretely satisfy the obligations of transparency, impartiality, respect for equal treatment, and competitive comparison, the choice to use the instrument of project financing, and especially the approval of the submitted projects, should instead be supported by a solid motivation in support of the public interest in their realization, whereas in the specific case the only evaluation carried out relates to the feasibility of the works, whereas public interest and feasibility are positioned on different planes.  </w:t>
        <w:br/>
        <w:t xml:space="preserve">With reference to the procedural model to be followed for the issuance of concessions, it cannot be overlooked that the Authority has always expressed the view that procedural forms of initiation ex officio should be provided rather than upon request9. Furthermore, as stated in the most recent rulings of the Council of State, the regime of public evidence, resulting from the application of Article 12 of the Services Directive, must aim to pursue the objective of opening the market for maritime state concessions to competition and ensuring equal treatment among potentially interested parties10.  </w:t>
        <w:br/>
        <w:t xml:space="preserve">As repeatedly stated by the Authority11, moreover, where the Municipality opts for a selective procedure following a request from a party, the procedure must concretely satisfy the obligations of transparency, impartiality, respect for equal treatment, and competitive comparison, through an effective advertising mechanism and by resorting to specific procedural and motivational burdens. The selective procedure, in fact, impacting on scarce resources in a market context where competitive dynamics are already weakened by the long duration of existing concessions and the continuous recourse to extensions, must be such as to guarantee a real and effective competitive comparison – and therefore the competitive chances of the competing enterprises – and not merely satisfy the aforementioned criteria in appearance.  </w:t>
        <w:br/>
        <w:t xml:space="preserve">8 See AS2062 – Municipality of Gaeta (LT) – Extension of maritime state concessions for tourism and recreational purposes, in Bulletin No. 9/2025.  </w:t>
        <w:br/>
        <w:t xml:space="preserve">9 See AS2029 – Extension of maritime, lake, and river state concessions for tourism, recreational, and sports purposes, in Bulletin No. 32/2024.  </w:t>
        <w:br/>
        <w:t xml:space="preserve">10 See lastly the Council of State, December 16, 2024, No. 10131; but also Council of State, A.P. No. 17/2021, as well as rulings of May 20, 2024, No. 4479, No. 4480, and No. 4481 that explicitly refer to "competitive procedures with public evidence."  </w:t>
        <w:br/>
        <w:t>11 See lastly AS2029, cited.</w:t>
      </w:r>
    </w:p>
    <w:p>
      <w:r>
        <w:t xml:space="preserve">BULLETIN NO. 2 OF JANUARY 12, 2026 101  </w:t>
        <w:br/>
        <w:t xml:space="preserve">It is also deemed necessary to emphasize that, even in cases where the choice of the granting administration to require the realization of even significant investments (for example, aimed at qualifying a specific area or executing works with a low environmental impact) is legitimate, the Authority has repeatedly reiterated12 that, in order not to nullify the recourse to competitive assignment procedures, the duration of the concession should be commensurate with its value and its organizational complexity and should not exceed the time reasonably necessary for the recovery of authorized investments and a fair remuneration of the invested capital.  </w:t>
        <w:br/>
        <w:t xml:space="preserve">In the specific case, on the contrary, the Report on the feasibility assessment and verification of public interest attached to Resolution No. 40/2025 explicitly states the twenty-year duration, without, however, this choice being justified and therefore can be considered reasonable. Moreover, the proposed interventions only partially concern improvements in the accessibility and usability of the state-owned area.  </w:t>
        <w:br/>
        <w:t xml:space="preserve">In light of all the considerations outlined above, it is believed that the resolution under examination presents several critical profiles, already reported by the Authority with its interventions. In particular, the Authority believes that, in this case, the recourse to the institution of project financing – moreover not limited to a single intervention, but extended to a large part of the municipal territory to be assigned through concessions – has been a way to formally ensure compliance with competition, proving rather aimed at circumventing the obligation to carry out a public evidence procedure suitable for allowing conditions of equal treatment among potential bidders and compliance with the principles of the Services Directive and the TFEU, repeatedly recalled by the administrative judge and the Authority itself.  </w:t>
        <w:br/>
        <w:t xml:space="preserve">In conclusion, the Authority believes that the resolution of the Municipal Council of Gaeta No. 40 of June 10, 2025, is in contrast with competitive principles to the extent that it prevents the competitive comparison that should be guaranteed in the awarding of services affecting scarce state resources, in a market context where competitive dynamics are already particularly weakened due to the long duration of the currently existing concessions.  </w:t>
        <w:br/>
        <w:t xml:space="preserve">In particular, the municipal provision in question is in contrast with Article 49 TFEU, as it unjustifiably limits the freedom of establishment and the free movement of services in the internal market, with the EU regulatory provisions regarding public contracts, with particular reference to Article 12 of the Services Directive, as well as with Article 193 of Legislative Decree No. 36/2023 and Article 3 of Law No. 241/1990.  </w:t>
        <w:br/>
        <w:t>12 AS2029, cited.</w:t>
      </w:r>
    </w:p>
    <w:p>
      <w:r>
        <w:rPr>
          <w:b/>
        </w:rPr>
        <w:t>[Pages 100–102]</w:t>
      </w:r>
    </w:p>
    <w:p>
      <w:r>
        <w:t xml:space="preserve">102 BULLETIN NO. 2 OF JANUARY 12, 2026  </w:t>
        <w:br/>
        <w:t xml:space="preserve">Pursuant to Article 21-bis, paragraph 2, of Law No. 287/1990, the Municipality of Gaeta must communicate to the Authority, within sixty days from the receipt of this opinion, the initiatives adopted to remove the aforementioned competition violations. If within the aforementioned term such initiatives do not comply with the competitive principles expressed above, the Authority may file an appeal within the following thirty days.  </w:t>
        <w:br/>
        <w:t xml:space="preserve">THE PRESIDENT  </w:t>
        <w:br/>
        <w:t xml:space="preserve">Roberto Rustichelli  </w:t>
        <w:br/>
        <w:t xml:space="preserve">____________________________________________________________________________  </w:t>
        <w:br/>
        <w:t xml:space="preserve">Communication regarding the failure of the Municipality of Gaeta to comply with the reasoned opinion expressed by the Authority pursuant to Article 21-bis of Law No. 287/1990, in relation to the Resolution of the Municipal Council of June 10, 2025, No. 40, concerning the request submitted "pursuant to Article 193, paragraph 1) of Legislative Decree No. 36 of March 31, 2023 and subsequent amendments, for the concession of services and works of public interest, with the granting of a maritime state concession for tourism and recreational purposes. Location Serapo, sheet 34, parcels 1628, 1629, 1663."  </w:t>
        <w:br/>
        <w:t xml:space="preserve">The Authority, on September 23, 2025, resolved to issue a reasoned opinion to the Municipality of Gaeta, pursuant to Article 21-bis of Law No. 287/1990, regarding the Resolution of the Municipal Council of June 10, 2025, No. 40, concerning the request submitted "pursuant to Article 193, paragraph 1) of Legislative Decree No. 36 of March 31, 2023 and subsequent amendments, for the concession of services and works of public interest, with the granting of a maritime state concession for tourism and recreational purposes. Location Serapo, sheet 34, parcels 1628, 1629, 1663."  </w:t>
        <w:br/>
        <w:t xml:space="preserve">In its opinion, the Authority deemed that the municipal measure in question is in conflict with competitive principles and with the EU regulations referred to in Article 49 TFEU and Article 12 of Directive 2006/123/EC (so-called Services Directive), as well as with Article 193 of Legislative Decree No. 36/2023 and Article 3 of Law No. 241/1990, to the extent that it prevents the competitive comparison that should be guaranteed in the awarding of services affecting scarce state resources, in a market context where competitive dynamics are already particularly weakened due to the long duration of the currently existing concessions.  </w:t>
        <w:br/>
        <w:t xml:space="preserve">Within the legally prescribed term, the Municipality of Gaeta did not provide any feedback to the reasoned opinion.  </w:t>
        <w:br/>
        <w:t>Therefore, having noted the failure of the Entity to comply with the reasoned opinion of September 23, 2025, sent on September 25, 2025, the Authority, in its meeting of December 2, 2025, decided to challenge the aforementioned measure before the competent Regional Administrative Court.</w:t>
      </w:r>
    </w:p>
    <w:p>
      <w:r>
        <w:t xml:space="preserve">BULLETIN NO. 2 OF JANUARY 12, 2026 103  </w:t>
        <w:br/>
        <w:t xml:space="preserve">AS2133 - REGION BASILICATA - ISSUES REGARDING HEALTHCARE SPENDING CEILINGS  </w:t>
        <w:br/>
        <w:t xml:space="preserve">Rome, December 23, 2025  </w:t>
        <w:br/>
        <w:t xml:space="preserve">Region Basilicata  </w:t>
        <w:br/>
        <w:t xml:space="preserve">The Competition and Market Authority, in its meeting of December 22, 2025, deemed it appropriate to formulate, pursuant to Article 21 of Law No. 287 of October 10, 1990, the following observations regarding the competitive distortions arising from the Resolution of the Regional Council of Basilicata No. 473 of August 5, 2025, titled "Revocation of DGR No. 312/2015 and approval of the criteria for determining the spending budgets for the years 2025-2026 for the purchase from accredited private entities of outpatient specialist services pursuant to Article 25 of Law No. 833/1978."  </w:t>
        <w:br/>
        <w:t xml:space="preserve">With the aforementioned Resolution, the Region identified, as reference parameters contributing to the determination of the regional spending budget for the purchase of healthcare services from accredited private entities for outpatient specialist assistance, for the years 2025 and 2026, to be provided to residents of the Region Basilicata, the "Need (Demand)," the "Actual residents of the 2022 fiscal year," and the "Purpose Factor," with respective weights of 6%, 90%, and 4%.  </w:t>
        <w:br/>
        <w:t xml:space="preserve">In particular, the predominant recourse, equal to 90% of the available resources, to a criterion for the distribution of the healthcare spending budget linked to the so-called "historical spending" or "historical turnover," such as the parameter "Actual residents of the 2022 fiscal year," has anti-competitive effects in defining the spending ceilings in healthcare, which have already been the subject of numerous previous advocacy interventions1 even towards the Region Basilicata itself.  </w:t>
        <w:br/>
        <w:t xml:space="preserve">Recently, in the Opinion addressed to the Permanent Conference for Relations between the State, the Regions, and the Autonomous Provinces of Trento and Bolzano2, the Authority highlighted that "the criterion of 'historical spending' is likely to crystallize the positions of pre-existing operators in the market and does not allow for adequate development of the more efficient structures, which cannot assert, for the purpose of covering the expenditure, the best results achieved both in terms of cost containment and meeting demand. Furthermore, the allocation of the budget based on historical spending hinders the market access of new entities. This criterion, moreover, grants companies holding special rights solely by virtue of being already accredited and contracted with the individual SSR an undue competitive advantage constituted in fact by a position rent, in violation of Article 106 TFEU."  </w:t>
        <w:br/>
        <w:t xml:space="preserve">Moreover, it does not seem relevant from a competitive perspective what the Region Basilicata3 stated, namely that this criterion was adopted as it was deemed the only - or at least the most reliable - one capable of ensuring ex post the programming of healthcare spending, due to the judicial disputes concerning the programming of spending ceilings in the Region Basilicata.  </w:t>
        <w:br/>
        <w:t xml:space="preserve">Regarding this mode of proceeding belatedly with the programming of healthcare spending, in the previous report AS1616 made against the same Region Basilicata, the Authority has indeed already reiterated "the importance of introducing new pro-competitive criteria in a timely manner, and not at the end of the year for services already provided and with a historical budget almost exhausted, so as to allow operators to orient their investment and growth choices, which are conversely frustrated by the late and retroactive definition of spending ceilings"4. In this sense, the administrative jurisprudence has also ruled that the definition of healthcare spending ceilings with retroactive effect is censured5.  </w:t>
        <w:br/>
        <w:t xml:space="preserve">It is therefore in the context thus illustrated that the Authority intends to reiterate that "the distribution of the budget among accredited private entities should rather occur based on the measure of services rendered in the various territorial areas, enhancing the level of efficiency of the individual structures. This taking into account the actual capacity to provide services rendered by them under the convention, to be verified based on criteria not only of a quantitative nature but also of a qualitative matrix, such as, for example: territorial distribution, investments in technological equipment, units of qualified personnel additional to the minimum required, methods of booking and access to healthcare services, as well as the quality of any services offered to users, additional to the minimum required"6.  </w:t>
        <w:br/>
        <w:t xml:space="preserve">The Authority hopes, therefore, that this Region will adjust its regulations and take the consequent administrative actions in accordance with competitive principles and the provisions of the currently applicable regulatory framework, in order to "remove the obstacles to the implementation of a competitive system of contracting private healthcare structures with the individual SSR. To this end, it seems necessary, first of all, that the definition of spending ceilings  </w:t>
        <w:br/>
        <w:t xml:space="preserve">3 See the response note from the Region Basilicata prot. No. 82471 of October 7, 2025.  </w:t>
        <w:br/>
        <w:t xml:space="preserve">4 See AS1616 - Region Basilicata - Determination of spending aggregates for outpatient specialist assistance from private entities for the years 2019-2020, in Bulletin No. 38/2019. In this sense, see also AS1524 - Region Sicily - Definition of criteria for determining spending aggregates for outpatient specialist assistance from private entities, in Bulletin No. 29/2018 and AS1539 - Region Basilicata - Definition of criteria for determining spending aggregates for outpatient specialist assistance from private entities, in Bulletin No. 42/2018.  </w:t>
        <w:br/>
        <w:t xml:space="preserve">5 The TAR Basilicata, with judgment No. 645/2017, stated that "the regional determinations, which set during the year, with retroactive effect from the beginning of the year, maximum spending ceilings regarding healthcare services already rendered by accredited private structures, and the consequent definitive measures for determining the spending ceiling, adopted by the Health Authorities, can be considered legitimate only if they do not harm the reliance of the already contracted structures on the amount of expenditure of the previous year, reduced by the amount corresponding to the share of reduction of healthcare spending established by the financial regulations for the current year."  </w:t>
        <w:br/>
        <w:t>6 See AS1916 - Accreditation and contracting of private healthcare structures, cited.</w:t>
      </w:r>
    </w:p>
    <w:p>
      <w:r>
        <w:rPr>
          <w:b/>
        </w:rPr>
        <w:t>[Pages 103–105]</w:t>
      </w:r>
    </w:p>
    <w:p>
      <w:r>
        <w:t xml:space="preserve">BULLETIN NO. 2 OF JANUARY 12, 2026 105  </w:t>
        <w:br/>
        <w:t xml:space="preserve">to be attributed to each accredited healthcare facility takes place based on the use, at least predominantly, of qualitative performance criteria, such as those mentioned above, rather than the criterion of historical turnover” 7. Furthermore, it appears necessary that an intervention in this regard be timely and preventive, to allow companies to plan their investments, being aware of the resources they can count on, as well as to adequately enhance the aforementioned qualitative performance criteria, in a manner consistent with the needs of healthcare planning.  </w:t>
        <w:br/>
        <w:t xml:space="preserve">The Authority invites this Region to communicate, within 30 days from the receipt of this report, the initiatives taken to remove the competition violations outlined above.  </w:t>
        <w:br/>
        <w:t xml:space="preserve">This report will be published in the Bulletin of the Competition and Market Authority.  </w:t>
        <w:br/>
        <w:t xml:space="preserve">THE PRESIDENT  </w:t>
        <w:br/>
        <w:t xml:space="preserve">Roberto Rustichelli  </w:t>
        <w:br/>
        <w:t>7 See AS1916 - Accreditation and contracting of private healthcare facilities, cited.</w:t>
      </w:r>
    </w:p>
    <w:p>
      <w:r>
        <w:t xml:space="preserve">106 BULLETIN NO. 2 OF JANUARY 12, 2026  </w:t>
        <w:br/>
        <w:t xml:space="preserve">AS2134 - PAGOPA - EUROPEAN OPEN PROCEDURE FOR  </w:t>
        <w:br/>
        <w:t xml:space="preserve">THE AWARD OF POSTAL SERVICES  </w:t>
        <w:br/>
        <w:t xml:space="preserve">Rome, December 29, 2025  </w:t>
        <w:br/>
        <w:t xml:space="preserve">PagoPA S.p.A.  </w:t>
        <w:br/>
        <w:t xml:space="preserve">The Competition and Market Authority, in its meeting of December 22, 2025, has resolved to formulate, pursuant to Article 21 of Law No. 287 of October 10, 1990, some considerations regarding the tender notice of the company PagoPA S.p.A. for the award, through a Framework Agreement pursuant to Article 59, paragraph 3, of Legislative Decree No. 36/2023 and subsequent amendments, of the postal collection and delivery service, the notification service, the service for locating the untraceable, pursuant to Article 26 of Decree-Law No. 76/2020 and subsequent amendments, as well as the "downstream" delivery services connected to the SEND Platform and any other prerequisite and consequent acts.  </w:t>
        <w:br/>
        <w:t xml:space="preserve">In particular, the acts in question, with which this Company has defined the methods and conditions for participation in the tender procedure in question as well as the applicable evaluation criteria, present profiles that could potentially conflict with the principles of free competition, equal treatment, and non-discrimination among economic operators.  </w:t>
        <w:br/>
        <w:t xml:space="preserve">Firstly, the Authority observes that the provision contained in the Tender Regulations at paragraph 4, which limits the maximum number of lots that can be awarded to the same operator – in particular, eight lots for the group of lots from 1 to 11 (notifications) and eight lots for the group of lots from 12 to 22 (registered mail) – while theoretically aiming to favor the participation of smaller operators, in practice appears to present competitive criticalities, considering that the value of the different lots diverges considerably, both in absolute and relative terms, compared to the total value of the tender. For example, consider that lot no. 8, related to Lombardy, alone represents 34.62% of the total value of the tender related to notifications. This effectively seems to nullify the imposition of a maximum limit on the number of assignable lots: indeed, an operator who wins the lots with the highest value would almost win the entire value of the tender.  </w:t>
        <w:br/>
        <w:t xml:space="preserve">Therefore, rather than providing a limitation based on a fixed number of lots, which does not take into account their value, the contracting authority could establish a different limitation based on reaching a maximum percentage of the total value of the tender.  </w:t>
        <w:br/>
        <w:t xml:space="preserve">A second profile of competitive criticality concerns the threshold for the technical offer, set at 50 points, which could undermine the principles of competition and favoring participation, especially when considered in conjunction with some of the discretionary evaluation criteria provided in relation to the technical offer, as per paragraph 18.1 of the Tender Regulations and the particular relevance of the content of the technical offer (to which up to 80 points can be attributed, 10 more than in the previous edition of the tender, against a maximum of 20 points achievable for the economic offer).  </w:t>
        <w:br/>
        <w:t xml:space="preserve">Indeed, considering that most of the criteria for assigning technical scores are discretionary in nature (76% of the total assignable score, that is, 61 points out of the 80 total provided for the technical offer), surpassing the aforementioned threshold could be difficult to achieve. Moreover, numerous criteria are characterized by generic and indeterminate content, which affects the transparency and objectivity of the discretionary score assignment process by the evaluation committee.  </w:t>
        <w:br/>
        <w:t xml:space="preserve">For example, reference is made to the criteria "Acceptance, sorting, and delivery methods," which assigns 5 points and "Full Digital Solution," which assigns 8 points, where attention is placed, respectively, on: i) innovative solutions, without indicating the material scope of the innovation and without defining the qualitative or quantitative efficiency indicators, and ii) a "Full Digital" solution, understood as an alternative solution "to the return of the compliant digital copy of the paper evidence of mailing" or a "digital document generated during the delivery phase by the mail carrier that must be signed with a qualified digital signature associated with the mail carrier," providing as the only indication for score attribution the technical quality of the management method of the provided solution and the correctness of the transmitted information.  </w:t>
        <w:br/>
        <w:t xml:space="preserve">Finally, it does not appear consistent with the ANAC-AGCOM Guidelines for the awarding of public contracts for postal services of April 13, 2022, the provision of a linear increasing score for the greater degree of direct coverage guaranteed by the competitor, provided in the discretionary evaluation criterion of the technical offer named "Improvement of Direct Coverage of ZIP Codes," in paragraph 18.1 of the Tender Regulations.  </w:t>
        <w:br/>
        <w:t xml:space="preserve">Indeed, the aforementioned ANAC-AGCOM Guidelines, at point 9.4, state that: "Coverage can be evaluated within the technical offer by assigning an additional score for coverage bands that exceed the minimum required level. In this case, the additional score is assigned in a decreasing manner; for example, a score X may be assigned for coverage ranging from 71% to 80%, score X+X/2 for coverage from 81% to 90%, and score X+X/2+X/4 for coverage from 91% to 100%."  </w:t>
        <w:br/>
        <w:t xml:space="preserve">In conclusion, therefore, to allow for broader participation and greater competition, it would be desirable for the design of the tender procedure to provide for:  </w:t>
        <w:br/>
        <w:t xml:space="preserve">• a limitation on the maximum number of assignable lots based on reaching a maximum percentage of the total value of the tender;  </w:t>
        <w:br/>
        <w:t xml:space="preserve">• discretionary criteria with less generic and indeterminate content, as found, in particular, in the evaluation criteria of the technical offer "Acceptance, sorting, and delivery methods" and "Full Digital Solution," so as to make the discretionary score attribution by the Evaluation Commission as objective and transparent as possible.  </w:t>
        <w:br/>
        <w:t xml:space="preserve">Moreover, in general, it would also be desirable for the tender design not to foresee such a high percentage of scores associated with the discretionary evaluation criteria of the technical offer compared to the total scores assigned to the technical offer itself, considering that, in any case, the relevance of the evaluation of the technical offer is predominant;  </w:t>
        <w:br/>
        <w:t xml:space="preserve">• decreasing scores awarded for coverage bands that exceed the minimum level in accordance with the ANAC-AGCOM Guidelines.  </w:t>
        <w:br/>
        <w:t>In light of the above considerations, the Authority believes that the aforementioned provisions of the tender procedure, announced by the company PagoPA S.p.A., for the award, through a Framework Agreement pursuant to Article 59, paragraph 3, of Legislative Decree No. 36/2023 and subsequent amendments, of the postal collection and delivery service, the notification service, the service for locating the untraceable pursuant to Article 26 of Decree-Law No. 76/2020 and subsequent amendments, as well as the "downstream" delivery services connected to the SEND Platform, are susceptible to potentially conflicting with the norms and principles protecting competition and the market, particularly with Article 41 of the Constitution and Articles 49 and 56 of the Treaty on</w:t>
      </w:r>
    </w:p>
    <w:p>
      <w:r>
        <w:rPr>
          <w:b/>
        </w:rPr>
        <w:t>[Pages 106–108]</w:t>
      </w:r>
    </w:p>
    <w:p>
      <w:r>
        <w:t xml:space="preserve">108 BULLETIN NO. 2 OF JANUARY 12, 2026  </w:t>
        <w:br/>
        <w:t xml:space="preserve">the functioning of the European Union, as well as with the principles established by Articles 1 and 3 of Legislative Decree No. 36/2023 (Public Contracts Code).  </w:t>
        <w:br/>
        <w:t xml:space="preserve">The Authority therefore hopes that this Company will modify the determinations made by eliminating the competitive distortions highlighted above.  </w:t>
        <w:br/>
        <w:t xml:space="preserve">The Authority invites the company PagoPA S.p.A. to communicate within thirty days from the receipt of this report, the initiatives taken to remove the competition violations outlined above.  </w:t>
        <w:br/>
        <w:t xml:space="preserve">This report will be published in the Bulletin of the Competition and Market Authority.  </w:t>
        <w:br/>
        <w:t xml:space="preserve">THE PRESIDENT  </w:t>
        <w:br/>
        <w:t>Roberto Rustichelli</w:t>
      </w:r>
    </w:p>
    <w:p>
      <w:r>
        <w:t xml:space="preserve">BULLETIN NO. 2 OF JANUARY 12, 2026 109  </w:t>
        <w:br/>
        <w:t xml:space="preserve">AS2135 - SCHOOL PUBLISHING IN ITALY  </w:t>
        <w:br/>
        <w:t xml:space="preserve">Rome, January 12, 2026  </w:t>
        <w:br/>
        <w:t xml:space="preserve">President of the Senate of the Republic  </w:t>
        <w:br/>
        <w:t xml:space="preserve">President of the Chamber of Deputies  </w:t>
        <w:br/>
        <w:t xml:space="preserve">President of the Council of Ministers  </w:t>
        <w:br/>
        <w:t xml:space="preserve">Minister of Education and Merit  </w:t>
        <w:br/>
        <w:t xml:space="preserve">Presidents of Regions and Autonomous Provinces  </w:t>
        <w:br/>
        <w:t xml:space="preserve">The Competition and Market Authority, in its meeting of December 22, 2025, intended to formulate, pursuant to Article 22 of Law No. 287 of October 10, 1990, observations regarding some critical issues in the markets for school books in Italy, identified as a result of an exploratory investigation related to these markets, initiated on September 10, 2024, pursuant to Article 12, paragraph 2, of the aforementioned Law No. 287/1990, and concluded on December 22, 2025.  </w:t>
        <w:br/>
        <w:t xml:space="preserve">The investigation, the final text of which is attached, took place more than a decade after the start of an ambitious general reform process, primarily referencing Decree-Law No. 179 of October 18, 2012, converted with amendments by Law No. 221 of December 17, 2012, and the consequent Ministerial Decree No. 781 of September 27, 2013. In the intentions of the Legislator and the competent Institutions, this reform aimed at an increasingly broad use of digital resources in the national school system, including open-type resources (so-called OER, from Open Educational Resources), on the assumption that they would allow for efficiency gains from an educational-didactic perspective and, specifically regarding the procurement of school books, economic savings.  </w:t>
        <w:br/>
        <w:t xml:space="preserve">However, the investigation found that the expected savings have not materialized; from a broader perspective of market dynamics, the costs of technological adaptation to the productive and operational needs resulting from the aforementioned reform may also have influenced the concentration of operators in the sector, with direct effects on the variety of the offer.  </w:t>
        <w:br/>
        <w:t xml:space="preserve">Within this general scenario, institutional and entrepreneurial decisions have specifically directed the development, production, adoption, and purchase of school books.  </w:t>
        <w:br/>
        <w:t xml:space="preserve">Firstly, the investigation found that the disincentive expressed by acts and institutional documents – starting from Ministerial Decree No. 781/2013, Annex 1 – regarding the adoptability of type A books (paper copy with digital expansion content) has significantly conditioned the choices of teaching staff, which have thus directed almost 95% towards type B editions (paper copy with digital expansion content + e-book), while type C (e-book with digital expansion content) has never gained traction and remains marginal.  </w:t>
        <w:br/>
        <w:t xml:space="preserve">The prevalence of adoptions of type B books can be traced both to persistent preferences on the part of teachers for the use of paper resources and to the lack and heterogeneity of technological equipment among students, which had also been expressly identified as a fundamental prerequisite for the successful outcome of the reform process (see Article 5, Ministerial Decree No. 781/2013), and in the absence of which studying on paper remains the only possibility. Moreover, at least as far as activities to be carried out in the school context are concerned, it does not currently seem possible to resort to individual solutions, that is, with the use of devices that students independently possess, given recent regulatory restrictions imposed on the use of such devices during lesson hours.  </w:t>
        <w:br/>
        <w:t xml:space="preserve">Regarding digital resources, the investigation revealed significant limits to the circulation, accessibility, and usability of the same attributable to the conditions set forth in the license agreements proposed by publishers to users, who have no possibility of disposing of digital goods after acquiring ownership.  </w:t>
        <w:br/>
        <w:t xml:space="preserve">In fact, it has been established that all publishers employ a one copy-one user model that makes the circulation of digital resources impossible, with direct consequences also on the reusability of school books (paper). Given that the type B package consists of paper books and digital content, as soon as the license for the digital content has been activated once, the effectiveness of the transfers of school books in the second-hand market is also compromised, which represents a primary and fully legitimate source of supply for users interested in limiting their expenses, since consumers can no longer obtain the transfer of the entire type B package, of which teaching staff instead require availability for school activities. Furthermore, this licensing model limits the possibilities of reusing school books within systems of free loan developed by educational institutions, systems that are also provided for and at least theoretically incentivized by specific regulatory provisions (see Article 7, paragraph 2, Legislative Decree No. 63 of April 13, 2017).  </w:t>
        <w:br/>
        <w:t xml:space="preserve">As for the conditions of use, the investigation found rigid limits imposed on printability and duration of access to digital resources over time, which appears all the more serious when considering that these resources are expressly intended for educational-didactic purposes and it is therefore necessary that they offer the best possible flexibility for users.  </w:t>
        <w:br/>
        <w:t xml:space="preserve">As a result of a consultation on the preliminary findings of the investigation, presented in the preliminary report published on August 4, 2025, the Authority has identified expressions of willingness from publishers involved in the proceedings to autonomously adopt measures aimed at overcoming the main critical issues that emerged, including changes to the contractual licensing conditions currently unilaterally applied to consumers for the use of digital educational resources. Such changes, once effectively implemented, should allow, among other things, the "regeneration" of a license already used, the printing of digital editions in a manner corresponding to what is currently provided by the existing regulations for personal use reproduction of paper works, as well as extended consultability of the contents.  </w:t>
        <w:br/>
        <w:t xml:space="preserve">Alternatively or in addition to the implementation of measures aimed at allowing the circulation of digital content, a renewed explicit possibility for the development and adoption of type A books, which has so far been expressly disincentivized by the letter of Ministerial Decree No. 781/2013, appears consistent with the findings of the investigation: this in the perspective of allowing, on the one hand, an unskewed expression of preferences for the adoption of books in paper format, and, on the other hand, spending savings for consumers. In this regard, the availability of open technologies, such as QR Codes, which are increasingly used even in the publishing field, seems suitable to support more functional interactions between the carrying paper version and the digital expansion/integration contents.  </w:t>
        <w:br/>
        <w:t>Within the investigation, the Authority also had the opportunity to delve into a series of organizational issues, particularly regarding the simplification of the conditions of accessibility to digital educational resources, both with representatives of the Ministry of Education and Merit and with subjects involved in the design and management of technological infrastructures used by the national school system, referred to in Article 7, paragraph 31, Decree-Law No. 6 of July 6, 2012, No.</w:t>
      </w:r>
    </w:p>
    <w:p>
      <w:r>
        <w:rPr>
          <w:b/>
        </w:rPr>
        <w:t>[Pages 109–111]</w:t>
      </w:r>
    </w:p>
    <w:p>
      <w:r>
        <w:t xml:space="preserve">BULLETIN NO. 2 OF JANUARY 12, 2026 111  </w:t>
        <w:br/>
        <w:t xml:space="preserve">95, converted with amendments by Law No. 135 of August 7, 2012. According to the latest information shared by the Ministry, which has already established a specific technical table in this regard, the electronic registers, currently capable of connecting teachers and students extensively across the national territory, will be able to be used for access to educational resources also external to them through so-called Single-Sign-On authentication methods, which are proving to be much more convenient than what has been available so far for students and teachers in accessing the digital editions of school textbooks.  </w:t>
        <w:br/>
        <w:t xml:space="preserve">Based on these activities, the Authority positively acknowledges a concrete joint willingness to adopt solutions aimed, overall, at addressing and overcoming the main critical issues identified in the exploratory investigation regarding the circulation, accessibility, and usability of digital resources. These solutions, in any case, require at least institutional guidance acts regarding the definition of common minimum standards recognized by industry operators for the benefit of consumers, along with constant supervision of the actual and prompt implementation processes, hopefully starting from the school year 2026/27, of the available solutions.  </w:t>
        <w:br/>
        <w:t xml:space="preserve">In this regard, it is recalled that the Ministry of Education and Merit adopts every year, by May, a series of official acts, typically a decree and guidance notes, aimed at governing the processes of adoption of school textbooks by the teaching staff, with the possibility of also addressing other relevant parties, such as school publishers. The Authority takes this opportunity to point out that within such acts, the exercise of the aforementioned guidance and supervision powers is necessary, along with the more general possibility of proceeding with a review, nearly fifteen years after the start of the reform, of the main provisions related to it, such as primarily D.M. No. 781/2013.  </w:t>
        <w:br/>
        <w:t xml:space="preserve">Among the expressions of intent received at the end of the investigation from all the main publishers and the industry representative association are those aimed at initiating a review of the principles that currently govern – under a self-regulatory regime governed by a specific associative code – the legitimacy of preparing new editions. A distorted use of the succession of editions can jeopardize an effective substitutability of products in the use of books in the school context, potentially configuring cases of planned obsolescence.  </w:t>
        <w:br/>
        <w:t xml:space="preserve">In the same vein, a more effective modularity of school textbooks appears necessary: by transferring to the digital plane components more subject to updates, such as exercise books, it will indeed be possible to avoid too close alternations of new overall editions of the same work, with positive effects on the useful life of editorial products and their consequent availability in the secondary market, from which the possibility of savings for consumers depends. For the same reasons, in the event that exercise books were contained in school textbooks, it would be appropriate for those exercise books to be moved to separate publications, so that the completion of exercises by the student does not jeopardize the transfer of the entire school textbook. Such modularity, especially concerning the digital versions of exercise books, could also allow for a reduction in the physical weight of school textbooks, in line with current legal provisions (cf. Article 4 D.M. No. 781/2013).  </w:t>
        <w:br/>
        <w:t>The Authority, in acknowledging the reform processes of self-regulation declared to be initiated soon, also hopes for appropriate supervisory activity by the Ministry of Education and Merit.</w:t>
      </w:r>
    </w:p>
    <w:p>
      <w:r>
        <w:t xml:space="preserve">112 BULLETIN NO. 2 OF JANUARY 12, 2026  </w:t>
        <w:br/>
        <w:t xml:space="preserve">Regulatory-normative interventions appear desirable, based on the outcomes of the investigation, also concerning a series of organizational elements relevant to the methods of adopting school textbooks, of which the Authority has noted critical aspects.  </w:t>
        <w:br/>
        <w:t xml:space="preserve">The conducted investigation has allowed for a better consideration of the recognized importance in the school context of the availability of open educational resources (OER). While recalling that Italy has signed specific international acts in support of such resources (UNESCO, Recommendation on Open Educational Resources, November 25, 2019), it is noted here that more coherent and coordinated policies in this direction by the competent institutions, starting from the elimination of constraints that penalize the development and use of school self-productions/OER highlighted in the final text of the investigation, are desirable and necessary. In fact, considering that, according to Article 151, Legislative Decree No. 297 of April 16, 1994, the adoption of school textbooks is optional, a broader availability and better accessibility of quality school self-productions/OER could also lead to savings for consumers, while at the same time improving products due to a broader competitive comparison in the offer of educational resources. It is also noted that the availability of OER constitutes an important support for the development of artificial intelligence applications aimed at useful personalization of educational paths in schools.  </w:t>
        <w:br/>
        <w:t xml:space="preserve">The investigation also revealed that experiences of reorganizing public purchases of school textbooks remain underdeveloped and, moreover, strongly fragmented: purchases that, as a result of the distribution of competencies between central and local administrations, fall within the competence of the latter. In this regard, it is noted that pursuing efficiency gains in procurement procedures, in clear coherence with general objectives of saving public resources, in stimulating competitive comparison among suppliers could also support, even through the reinvestment of the economic resources thus freed, a better development of initiatives for the lending and reuse of school textbooks in support of the constitutionally guaranteed right to education.  </w:t>
        <w:br/>
        <w:t xml:space="preserve">Regarding the purchase of school textbooks, the investigation has allowed for the detection of the persistence of provisions that prevent consumers from obtaining better economic conditions for the procurement of products, such as school textbooks, which, as a result of the adoption choices of the teaching staff, constitute de facto compulsory purchase goods. The Authority, in reiterating what has already been pointed out several times in this regard, from a perspective of transparent consumer protection and promotion of competition, reiterates the disputability of normative measures, such as Article 2, paragraph 2, Law No. 128 of July 27, 2011, as amended by Law No. 15 of February 13, 2020, regarding limits on discounts applicable to consumers, which, with the intent of protecting certain economic operators, simultaneously harm the demand that should be directed to them.  </w:t>
        <w:br/>
        <w:t xml:space="preserve">Finally, a review of the provisions regarding the relationships between annual spending caps established based on the types of adopted books appears appropriate. This indirect system of price calming, in fact, has not only failed to achieve economic benefits for consumers but has significantly contributed to inefficiencies and distortions regarding the annual procedures for the adoption of school textbooks by the teaching staff.  </w:t>
        <w:br/>
        <w:t>All things considered, the Authority hopes that the addressees, each for their respective competencies, take adequate consideration of the above observations, in a perspective of promoting competitive comparison, consumer protection, and efficient use of economic resources allocated for the procurement of those fundamental devices of education and knowledge that books – starting from school textbooks – represent.</w:t>
      </w:r>
    </w:p>
    <w:p>
      <w:r>
        <w:t xml:space="preserve">BULLETIN NO. 2 OF JANUARY 12, 2026 113  </w:t>
        <w:br/>
        <w:t xml:space="preserve">This report will be published in the Bulletin referred to in Article 26 of Law No. 287/1990 and on the institutional website of the Authority.  </w:t>
        <w:br/>
        <w:t xml:space="preserve">THE PRESIDENT  </w:t>
        <w:br/>
        <w:t>Roberto Rustichelli</w:t>
      </w:r>
    </w:p>
    <w:p>
      <w:r>
        <w:rPr>
          <w:b/>
        </w:rPr>
        <w:t>[Pages 112–112]</w:t>
      </w:r>
    </w:p>
    <w:p>
      <w:r>
        <w:t xml:space="preserve">Competition Authority Weekly Bulletin  </w:t>
        <w:br/>
        <w:t xml:space="preserve">of Competition and Market Year XXXVI - No. 2 - 2026  </w:t>
        <w:br/>
        <w:t xml:space="preserve">Editorial Coordination Giulia Antenucci  </w:t>
        <w:br/>
        <w:t xml:space="preserve">Editorial Staff Angela D’Auria, Valerio Ruocco, Manuela Villani  </w:t>
        <w:br/>
        <w:t xml:space="preserve">Competition and Market Authority  </w:t>
        <w:br/>
        <w:t xml:space="preserve">Document Management, Protocol and Statistical Services Directorate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