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https://www.agcm.it/dotcmsdoc/bollettini/2022/20-22.pdf</w:t>
      </w:r>
    </w:p>
    <w:p>
      <w:r>
        <w:t>Pages translated : 81</w:t>
      </w:r>
    </w:p>
    <w:p/>
    <w:p>
      <w:r>
        <w:rPr>
          <w:b/>
        </w:rPr>
        <w:t>[Pages 1–3]</w:t>
      </w:r>
    </w:p>
    <w:p>
      <w:r>
        <w:t xml:space="preserve">Bulletin  </w:t>
        <w:br/>
        <w:t xml:space="preserve">Weekly  </w:t>
        <w:br/>
        <w:t xml:space="preserve">Year XXXII - No. 20  </w:t>
        <w:br/>
        <w:t xml:space="preserve">Published on the website www.agcm.it  </w:t>
        <w:br/>
        <w:t>30 May 2022</w:t>
      </w:r>
    </w:p>
    <w:p>
      <w:r>
        <w:t xml:space="preserve">SUMMARY  </w:t>
        <w:br/>
        <w:t xml:space="preserve">AGREEMENTS AND ABUSE OF DOMINANT POSITION 5  </w:t>
        <w:br/>
        <w:t xml:space="preserve">I859 - TENDER FOR THE PURCHASE AND SUPPLY OF RADIOPHARMACEUTICALS  </w:t>
        <w:br/>
        <w:t xml:space="preserve">Measure no. 30088 5  </w:t>
        <w:br/>
        <w:t xml:space="preserve">I856 - PRICE COMPARATORS/EXCHANGE OF RCA POLICY INFORMATION  </w:t>
        <w:br/>
        <w:t xml:space="preserve">Measure no. 30150 12  </w:t>
        <w:br/>
        <w:t xml:space="preserve">CONCENTRATION OPERATIONS 28  </w:t>
        <w:br/>
        <w:t xml:space="preserve">C12419 - NEW FDM/COOP ALLEANZA 3.0 SALES POINTS  </w:t>
        <w:br/>
        <w:t xml:space="preserve">Measure no. 30145 28  </w:t>
        <w:br/>
        <w:t xml:space="preserve">C12430B - DEA CAPITAL ALTERNATIVE FUNDS SGR/CALVI HOLDING  </w:t>
        <w:br/>
        <w:t xml:space="preserve">Measure no. 30146 33  </w:t>
        <w:br/>
        <w:t xml:space="preserve">C12448 - GALILEO DIECI/ARBO  </w:t>
        <w:br/>
        <w:t xml:space="preserve">Measure no. 30147 41  </w:t>
        <w:br/>
        <w:t xml:space="preserve">C12449 - MARIGLIANO/BARCELLA ELECTRICAL SUPPLIES  </w:t>
        <w:br/>
        <w:t xml:space="preserve">Measure no. 30148 44  </w:t>
        <w:br/>
        <w:t xml:space="preserve">ACTIVITIES OF REPORTING AND CONSULTATION 48  </w:t>
        <w:br/>
        <w:t xml:space="preserve">AS1836 - MUNICIPALITY OF ROSIGNANO MARITTIMO (LI) – ASSIGNMENT OF MARITIME STATE CONCESSION 48  </w:t>
        <w:br/>
        <w:t xml:space="preserve">AS1837 - MODALITIES FOR THE ADMISSION AND CONTROL OF THE GENETIC TYPES OF SWINE INDICATED IN THE SPECIFICATIONS OF DOP AND IGP 52  </w:t>
        <w:br/>
        <w:t xml:space="preserve">UNFAIR COMMERCIAL PRACTICES 58  </w:t>
        <w:br/>
        <w:t xml:space="preserve">PS12153 - ABENERGIE-COMMERCIAL OFFERS  </w:t>
        <w:br/>
        <w:t xml:space="preserve">Measure no. 30153 58  </w:t>
        <w:br/>
        <w:t xml:space="preserve">PS12169 - CVFACILE.COM  </w:t>
        <w:br/>
        <w:t xml:space="preserve">Measure no. 30154 72  </w:t>
        <w:br/>
        <w:t xml:space="preserve">PS12298 – FACILE ENERGY-UNREQUESTED ACTIVATIONS  </w:t>
        <w:br/>
        <w:t>Notice of initiation of investigative proceedings 80</w:t>
      </w:r>
    </w:p>
    <w:p>
      <w:r>
        <w:t xml:space="preserve">BULLETIN NO. 20 OF 30 MAY 2022 5  </w:t>
        <w:br/>
        <w:t xml:space="preserve">AGREEMENTS AND ABUSE OF DOMINANT POSITION  </w:t>
        <w:br/>
        <w:t xml:space="preserve">I859 - TENDER FOR THE PURCHASE AND SUPPLY OF RADIOPHARMACEUTICALS  </w:t>
        <w:br/>
        <w:t xml:space="preserve">Measure no. 30088  </w:t>
        <w:br/>
        <w:t>THE COMPETITION AND MARKET AUTHORITY</w:t>
      </w:r>
    </w:p>
    <w:p>
      <w:r>
        <w:t xml:space="preserve">IN ITS MEETING of 29 March 2022;  </w:t>
        <w:br/>
        <w:t xml:space="preserve">HEARD the Rapporteur, President Roberto Rustichelli;  </w:t>
        <w:br/>
        <w:t xml:space="preserve">HAVING REGARD to Article 101 of the Treaty on the Functioning of the European Union (TFEU);  </w:t>
        <w:br/>
        <w:t xml:space="preserve">HAVING REGARD to Council Regulation No. 1/2003 of 16 December 2002, concerning the application of the competition rules laid down in Articles 101 and 102 of the TFEU;  </w:t>
        <w:br/>
        <w:t xml:space="preserve">HAVING REGARD to Law of 10 October 1990, No. 287;  </w:t>
        <w:br/>
        <w:t xml:space="preserve">HAVING REGARD to Law of 6 February 1996, No. 52, as amended by Law of 21 December 1999, No. 526 and, in particular, Article 54;  </w:t>
        <w:br/>
        <w:t xml:space="preserve">HAVING REGARD to the Presidential Decree of 30 April 1998, No. 217;  </w:t>
        <w:br/>
        <w:t xml:space="preserve">HAVING REGARD to the information in its possession and the documentation on file;  </w:t>
        <w:br/>
        <w:t xml:space="preserve">CONSIDERING the following:  </w:t>
        <w:br/>
        <w:t xml:space="preserve">I. THE PARTIES  </w:t>
        <w:br/>
        <w:t xml:space="preserve">1. Advanced Accelerator Applications S.r.l. (hereinafter, “AAA”) is a company that primarily operates in the market for the production and sale of radiopharmaceuticals and, in particular, those necessary for Positron Emission Tomography (PET), aimed at precision diagnostics, and in the market of so-called theranostics, which involves the integration of a diagnostic method with a specific therapeutic intervention. The company is under the direct control of Advanced Accelerator Systems SA, a company under French law. Advanced Accelerator Systems SA, together with its subsidiaries, constitutes the AAA group. This group is indirectly controlled by Novartis AG, due to the almost total ownership by its French subsidiary Novartis Groupe SA of the share capital of Advanced Accelerator Systems SA1.  </w:t>
        <w:br/>
        <w:t xml:space="preserve">2. Novartis AG (hereinafter, “Novartis”) is a Swiss joint-stock company with its registered office in Basel, at the operational head of the eponymous Swiss group, present worldwide in the production and marketing of pharmaceutical products. Novartis is a public company listed on the stock exchanges of Zurich and New York.  </w:t>
        <w:br/>
        <w:t xml:space="preserve">3. Curium Italy S.r.l. (hereinafter, “Curium”), formerly IBA Molecular Italy S.r.l. (hereinafter “IBA Molecular”), is a company active, inter alia, in the market for the production and sale of drugs,  </w:t>
        <w:br/>
        <w:t>1 1% of the share capital of Advanced Accelerator Systems SA is held by minority shareholders.</w:t>
      </w:r>
    </w:p>
    <w:p>
      <w:r>
        <w:rPr>
          <w:b/>
        </w:rPr>
        <w:t>[Pages 4–6]</w:t>
      </w:r>
    </w:p>
    <w:p>
      <w:r>
        <w:t xml:space="preserve">6 BULLETIN NO. 20 OF MAY 30, 2022  </w:t>
        <w:br/>
        <w:t xml:space="preserve">radiopharmaceuticals and medical devices and is part of the Curium group, a global leader in nuclear medicine products, established in 2017 following the merger between Mallinckrodt Nuclear Medicine LLC and IBA Molecular. Curium is controlled by Curium Netherlands Holding B.V. and, ultimately, by Pickso S.à r.l.  </w:t>
        <w:br/>
        <w:t xml:space="preserve">4. Curium Netherlands Holding B.V. is a company of the Curium group active in the market for the development, production, and sale of radiopharmaceutical products.  </w:t>
        <w:br/>
        <w:t xml:space="preserve">5. ITEL Telecomunicazioni S.r.l. (hereinafter, "ITEL") is a company that offers highly specialized engineering services for healthcare, which began its production and marketing of radiopharmaceuticals and, in particular, PET products, following the signing of a licensing agreement with GE Healthcare Italia S.r.l. in 2010. The share capital of ITEL is wholly owned by a natural person.  </w:t>
        <w:br/>
        <w:t xml:space="preserve">6. GE Healthcare Italia S.r.l. (hereinafter, "GE") is a company operating in the market for the purchase and sale of electrical, electronic, and mechanical equipment for medical use and various products for medical and clinical use. The company is controlled by GE Healthcare Italia Holding S.r.l., which in turn is controlled by the Dutch company GE Healthcare International B.V., part of the General Electric group.  </w:t>
        <w:br/>
        <w:t xml:space="preserve">7. GE Healthcare International B.V. is a company of the General Electric Group, primarily active in the market for the production and sale of electrical, electronic, and mechanical equipment for medical use.  </w:t>
        <w:br/>
        <w:t xml:space="preserve">8. ACOM - Advanced Center Oncology Macerata – S.r.l. (hereinafter, "ACOM") is a company operating in the market for the production and sale of radiopharmaceuticals. It is approximately 60% controlled by A.M.G. Uno - Advanced Medicine Group Uno S.r.l., approximately 39.4% by NI.CO. S.r.l., and the remaining part of the share capital by the University of Camerino.  </w:t>
        <w:br/>
        <w:t xml:space="preserve">9. The Italian Association of Nuclear Medicine and Molecular Imaging (AIMN) is a non-profit association whose main purpose is to promote the scientific and applicative development of the use in the medical and biological fields of the physical properties of the atomic nucleus of radionuclides.  </w:t>
        <w:br/>
        <w:t xml:space="preserve">II. REPORTED FACTS  </w:t>
        <w:br/>
        <w:t xml:space="preserve">10. On December 21, 2021, the Authority received a report, supplemented on January 20, 2022, stating that the main companies that have been and/or are currently active in the Italian market for the production and marketing of radiopharmaceuticals have coordinated, and are still coordinating, their commercial strategies since 2005 for participation in selection procedures conducted at the national level for the supply to public hospitals and private clinics of such pharmaceutical products, particularly those used for Positron Emission Tomography (the aforementioned PET products), as well as for the subsequent supply of such products to the awarding public facilities.  </w:t>
        <w:br/>
        <w:t xml:space="preserve">11. More specifically, this coordination appears to take place through a general coordination of commercial policies in the context of participation in public tenders, also improperly resorting to the institutions of ATI, subcontracting, and the so-called back up. The latter is a tool whereby the supply of the product to the awarding public facilities is carried out by a company different from the awardee, but a competitor of the same, in cases where the awardee is unable to fulfill orders for technical reasons.  </w:t>
        <w:br/>
        <w:t xml:space="preserve">III. EVALUATIONS  </w:t>
        <w:br/>
        <w:t xml:space="preserve">a) The relevant market: characteristics and active operators  </w:t>
        <w:br/>
        <w:t xml:space="preserve">12. It is preliminarily noted that, according to established case law, in the assessment of an agreement,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may restrict or distort competitive dynamics and to determining the degree of offensiveness of the unlawful act.  </w:t>
        <w:br/>
        <w:t xml:space="preserve">13. That said, the market affected by the facts subject to the report is that of so-called radiopharmaceuticals for diagnostics. These are products used in nuclear medicine, capable of providing an accurate image of the physiology, biochemistry, or pathological anatomy of the patient's body without altering its functions. Radiopharmaceuticals are introduced into the patient's body via injection, orally, or by inhalation. Once inside, they generate radioactive impulses that enhance the definition of the images produced by imaging diagnostic equipment, which record this image on a computer screen or on a film (so-called imaging activity).  </w:t>
        <w:br/>
        <w:t xml:space="preserve">14. More specifically, the products subject to the described behaviors are positron-emitting radioisotopes produced by a so-called cyclotron, or a nuclear particle accelerator that sends particles to a target that, due to the impact, produces radioactive atoms used for the synthesis of radiopharmaceuticals for clinical use. Among these products are, inter alia, Fluorodeoxyglucose (FDG), Fluorocholine, and Dopaview (F-DOPA). As mentioned, this specific type of radiopharmaceuticals is used for Positron Emission Tomography (PET), a new imaging technique of great importance for the diagnosis of numerous diseases: early detection of tumors, verification of disease stage and therapy effectiveness, study of cardiac and cerebral diseases.  </w:t>
        <w:br/>
        <w:t xml:space="preserve">15. Given their nature and unstable chemical composition, PET products are considered "living products," which can be stored for a very short time. This is due to the fact that their level of radioactivity decreases exponentially over time. In particular, radioactivity halves every two hours and completely depletes within 10-12 hours from the moment the drug is produced. For this reason, they are produced at night based on the requests of individual hospitals and must reach them during the morning and at least one hour before use to allow for the execution of scheduled examinations during the day. These intrinsic characteristics clearly have effects on logistics and supply as well. The transport of PET products, in particular, must not exceed 5 hours (6 hours in exceptional cases such as, for example, supplies to Sardinia, carried out by air).  </w:t>
        <w:br/>
        <w:t xml:space="preserve">16. Nevertheless, it is noted that the Parties have an organizational structure that allows them to operate throughout the national territory. The availability of various production sites located in different areas of the country, in fact, seems to allow them to theoretically supply all Italian hospitals.  </w:t>
        <w:br/>
        <w:t xml:space="preserve">17. For these reasons, it is believed prima facie that the relevant market in which the reported behaviors took place is the national market for the production and sale of PET products.  </w:t>
        <w:br/>
        <w:t xml:space="preserve">18. In this market, public hospitals represent the most significant source of demand and account for about 2/3 of the total supplies of these products. Much of the supply occurs following public tenders, generally organized at the regional level for a group of hospitals. The remainder of the supplies is destined for private clinics.  </w:t>
        <w:br/>
        <w:t xml:space="preserve">19. From the supply side, the Italian market for the production and marketing of radiopharmaceuticals, particularly those used for PET imaging, has undergone a significant concentration process in recent years. Before these changes, the active operators in the market were: i) AAA; ii) IBA Molecular Italy, now Curium; iii) ACOM; iv) IASON GmbH, an Austrian law company (hereinafter, "IASON"); v) GE and vi) ITEL.  </w:t>
        <w:br/>
        <w:t xml:space="preserve">20. Curium then acquired a business unit of ACOM related to the production and sale of radiopharmaceuticals and gained control of IASON, respectively, in December 2018 and June 2021.  </w:t>
        <w:br/>
        <w:t>21. In September 2014, AAA also acquired the business unit related to the production and sale of radiopharmaceuticals from GE (thus exiting the market) and thus took over the licensing agreement that it had with ITEL. Following a renegotiation that took place in 2015, ITEL is now granted the exclusive right to produce and market all PET products of AAA in Apulia, Calabria, and Basilicata, while in other regions AAA directly markets.</w:t>
      </w:r>
    </w:p>
    <w:p>
      <w:r>
        <w:rPr>
          <w:b/>
        </w:rPr>
        <w:t>[Pages 7–9]</w:t>
      </w:r>
    </w:p>
    <w:p>
      <w:r>
        <w:t xml:space="preserve">BULLETIN NO. 20 OF MAY 30, 2022 9  </w:t>
        <w:br/>
        <w:t xml:space="preserve">its products. Furthermore, a modification of the contract that occurred in 2021 granted ITEL the possibility to produce and market PET products under its own brand.  </w:t>
        <w:br/>
        <w:t xml:space="preserve">22. In conclusion, therefore, the companies currently operating in the relevant market identified above are: i) AAA, ii) Curium, and iii) ITEL.  </w:t>
        <w:br/>
        <w:t xml:space="preserve">b) The qualification of the case  </w:t>
        <w:br/>
        <w:t xml:space="preserve">23. From the available information, it seems that there exists a unique, complex, and ongoing agreement established by the companies that have been active over time in the Italian market for the production and commercialization of radiopharmaceuticals, which would have colluded at least since 2005, and are still colluding, to allocate public procurement tenders for a specific category of such medicines.  </w:t>
        <w:br/>
        <w:t xml:space="preserve">24. For the purposes of evaluating the conduct subject to reporting, the following is particularly relevant. As mentioned above, the production of PET products requires the use of cyclotrons. Such machinery must necessarily be subject to scheduled production stops for maintenance reasons, during which production is completely suspended. In addition, there are corrective maintenance interventions (unplanned) that are carried out with a certain frequency, during which the cyclotrons cannot produce the volumes of radiopharmaceuticals originally planned.  </w:t>
        <w:br/>
        <w:t xml:space="preserve">25. During the aforementioned production stops (planned and unplanned), it is important to ensure the continuity of supply to hospitals in order to allow for the prompt diagnosis of potentially lethal diseases. For this reason, producers enter into the aforementioned backup agreements, especially when they have jointly participated in the procurement tenders. Such agreements therefore occur in the context of ATI or RTI, that is, cooperations between companies that have a broader scope.  </w:t>
        <w:br/>
        <w:t xml:space="preserve">26. In light of this, the available information appears to indicate that the cooperation established by the companies that were and/or are operational in the relevant market for the execution of backup agreements seems to have gone beyond the limits of what is strictly and objectively necessary to meet the needs for continuity of supplies, and that the backup agreements have not been, and are not currently, aimed exclusively at covering production stops (planned and unplanned), but are based on further commercial considerations, including prices, which make the agreement more similar to a market allocation.  </w:t>
        <w:br/>
        <w:t xml:space="preserve">27. Furthermore, the companies involved seem to have used the mechanism of ATI, subcontracting, and reliance in public tenders for reasons of commercial convenience aimed at achieving a distribution of supplies rather than covering the inevitable gaps in production capacity or the geographical scope of each operator's production sites. In other words, they may have entered into ATI, subcontracting, or reliance agreements even in relation to selection procedures to which they would have been able to participate independently.  </w:t>
        <w:br/>
        <w:t xml:space="preserve">28. Among the tenders affected by the aforementioned cooperation would be at least those called by the Molinette hospital in Turin, by the Lombardy Region in 2005 and 2016, by the Hospital Physiotherapy Institutes and by the hospital in Latina in 2012 and 2018, by ESTAV in Tuscany in 2013 and 2021, by the Mauriziano Hospital in Turin in 2018, by ESTAR in Tuscany in 2018, by the Marche Region in 2018, and by the Veneto Region in 2021.  </w:t>
        <w:br/>
        <w:t xml:space="preserve">29. The companies that would seem to have participated in the hypothesized agreement over time are: i) AAA, ii) Curium (and, before 2017, IBA Molecular), iii) ITEL, iv) GE until 2014, v) ACOM until 2018, vi) IASON until 2021. Since 2021, it seems that only AAA and Curium have participated in the agreement as the only active companies in the market after the aforementioned consolidation process.  </w:t>
        <w:br/>
        <w:t xml:space="preserve">30. The available information also seems to indicate that these companies have sometimes exchanged commercially sensitive information through the Italian Association of Nuclear Medicine and Molecular Imaging (AIMN), in order to allocate supplies in the tenders issued in Italy by public entities.  </w:t>
        <w:br/>
        <w:t xml:space="preserve">31. In light of the fact that the aforementioned cooperation i) has had - and has - as its subject the vast majority, if not all, of the selection procedures carried out at the national level for the supply to public hospitals and private clinics in Italy of radiopharmaceuticals and, in particular, of PET products, ii) has been based on the consideration of these tenders in an aggregated manner, and not of each of them individually, and finally, iii) has been - and is - implemented by all companies active in the relevant market (although not all simultaneously), it seems that a significant agreement affecting the competitive dynamics of the market can be outlined.  </w:t>
        <w:br/>
        <w:t xml:space="preserve">c) The prejudice to trade and the applicability of EU law  </w:t>
        <w:br/>
        <w:t xml:space="preserve">32. The behaviors described above are potentially capable of harming trade between the Member States of the European Union and, therefore, appear to constitute the elements for an infringement of Article 101, paragraph 1, TFEU based on what is provided in the Commission Communication 2004/C 101/07 - Guidelines on the notion of harm to trade between Member States referred to in Articles 81 and 82 of the Treaty, since they appear capable of compartmentalizing national markets.  </w:t>
        <w:br/>
        <w:t xml:space="preserve">33. In this sense, it is noted that the agreement involves all companies active in Italy and concerns the entire national territory, which constitutes a significant part of the internal market, and therefore appears likely to alter the conditions and flows of trade in radiopharmaceuticals between Member States.  </w:t>
        <w:br/>
        <w:t xml:space="preserve">CONSIDERING, therefore, that the behaviors carried out by Novartis AG, Advanced Accelerator Applications S.r.l., Curium Netherlands Holding B.V., Curium Italy S.r.l., ITEL Telecomunicazioni S.r.l., GE Healthcare International B.V., GE Healthcare Italia S.r.l., ACOM - Advanced Center Oncology Macerata - S.r.l. and by the Italian Association of Nuclear Medicine and Molecular Imaging (AIMN), for the reasons stated above, appear to constitute a violation of Article 101 of the TFEU;  </w:t>
        <w:br/>
        <w:t xml:space="preserve">DECIDES  </w:t>
        <w:br/>
        <w:t xml:space="preserve">a) to initiate the investigation pursuant to Article 14 of Law no. 287/90, against the companies Novartis AG, Advanced Accelerator Applications S.r.l., Curium Netherlands Holding B.V., Curium Italy S.r.l., ITEL Telecomunicazioni S.r.l., GE Healthcare International B.V., GE Healthcare Italia S.r.l., ACOM - Advanced Center Oncology Macerata - S.r.l. and by the Italian Association of Nuclear Medicine and Molecular Imaging (AIMN), to ascertain the existence of a violation of Article 101 of the TFEU;  </w:t>
        <w:br/>
        <w:t>5 See, in a consistent sense, the Commission Communication, “Guidelines on the notion of harm to trade between Member States” (in OJCE C101/81 of April 27, 2004).</w:t>
      </w:r>
    </w:p>
    <w:p>
      <w:r>
        <w:t xml:space="preserve">BULLETIN NO. 20 OF MAY 30, 2022 11  </w:t>
        <w:br/>
        <w:t xml:space="preserve">b) to set a deadline of sixty days, starting from the date of notification of this measure, for the exercise by the legal representatives of the parties, or by a person delegated by them, of the right to be heard, specifying that the request for a hearing must be received by the Directorate for Agri-food, Pharmaceuticals and Transport of this Authority at least fifteen days before the expiration of the aforementioned deadline;  </w:t>
        <w:br/>
        <w:t xml:space="preserve">c) that the person responsible for the procedure is Dr. Claudia Desogus;  </w:t>
        <w:br/>
        <w:t xml:space="preserve">d) that the documents of the procedure can be viewed at the Directorate for Agri-food and Transport of this Authority by the legal representatives of the parties or by a person delegated by them;  </w:t>
        <w:br/>
        <w:t xml:space="preserve">e) that the deadline for closing the procedure is set for May 31, 2023;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10–12]</w:t>
      </w:r>
    </w:p>
    <w:p>
      <w:r>
        <w:t>directly such policies, including those for cars, motorcycles, and mopeds, both through its own website www.italiana.it, and through online portals managed by companies operating in the market of comparison and commercialization of offers related to insurance services. Compagnia Italiana di Previdenza, Assicurazioni e Riassicurazioni S.p.A. is controlled by Società Reale Mutua di Assicurazioni S.p.A., which holds the entirety of its share capital.</w:t>
      </w:r>
    </w:p>
    <w:p>
      <w:r>
        <w:rPr>
          <w:b/>
        </w:rPr>
        <w:t>[Pages 13–15]</w:t>
      </w:r>
    </w:p>
    <w:p>
      <w:r>
        <w:t xml:space="preserve">BULLETIN NO. 20 OF MAY 30, 2022 15  </w:t>
        <w:br/>
        <w:t xml:space="preserve">directly such policies, including those for cars, motorcycles, and mopeds, both through its own website www.italiana.it, and through online portals managed by companies operating in the market of comparison and commercialization of offers related to insurance services. Compagnia Italiana di Previdenza, Assicurazioni e Riassicurazioni S.p.A. is controlled by Società Reale Mutua di Assicurazioni S.p.A., which holds the entirety of its share capital.  </w:t>
        <w:br/>
        <w:t xml:space="preserve">10. Compagnia Assicuratrice Linear S.p.A. is a company of Unipol Gruppo S.p.A. active in the Italian market for the sale of non-life insurance policies. Compagnia Assicuratrice Linear S.p.A. also sells directly such policies, including those for cars, motorcycles, and mopeds, both through its own website www.linear.it, and through online portals managed by companies operating in the market of comparison and commercialization of offers related to insurance services. Compagnia Assicuratrice Linear S.p.A. is controlled by UnipolSai Assicurazioni S.p.A., which holds the entirety of its share capital.  </w:t>
        <w:br/>
        <w:t xml:space="preserve">11. FIT S.r.l. Società Benefit is a company of the Bene insurance group, active in the Italian market for the sale of non-life insurance policies, including those for cars, motorcycles, and mopeds, also through online portals managed by companies operating in the market of comparison and commercialization of offers related to insurance services. FIT S.r.l. Società Benefit is controlled by Bene Assicurazioni S.p.A., which holds the entirety of its share capital.  </w:t>
        <w:br/>
        <w:t xml:space="preserve">12. Genertel S.p.A. is a company of the Assicurazioni Generali group active in the Italian market for the sale of non-life and life insurance policies. Genertel S.p.A. also sells directly such policies, including those for cars, motorcycles, and mopeds, both through its own website www.genertel.it, and through online portals managed by companies operating in the market of comparison and commercialization of offers related to insurance services. Genertel S.p.A. is controlled by Genertellife S.p.A., which holds the entirety of its share capital.  </w:t>
        <w:br/>
        <w:t xml:space="preserve">13. HDI Assicurazioni S.p.A. is a company of the HDI Group active in the Italian market for the sale of non-life and life insurance policies. HDI Assicurazioni S.p.A. also sells directly such policies, including those for cars, motorcycles, and mopeds, both through its own website www.hdiassicurazioni.it, and through online portals managed by companies operating in the market of comparison and commercialization of offers related to insurance services. HDI Assicurazioni S.p.A. is controlled by HDI International AG, which holds the majority of its share capital.  </w:t>
        <w:br/>
        <w:t xml:space="preserve">14. Prima Assicurazioni S.p.A. is an insurance intermediary that distributes non-life insurance policies from Great Lakes Insurance SE (a company of the Munich Re group), Wakam, iptiQ EMEA P&amp;C S.A. – Italy, and iptiQ EMEA P&amp;C S.A. – Germany. Prima Assicurazioni S.p.A. also distributes directly such policies, including those for cars, motorcycles, and vans, both through its own website www.prima.it, and through online portals managed by companies operating in the market of comparison and commercialization of offers related to insurance services. Prima Assicurazioni S.p.A. is controlled by First Technologies Holding S.p.A., which holds the majority of its share capital.  </w:t>
        <w:br/>
        <w:t xml:space="preserve">15. Quixa Assicurazioni S.p.A. is a company of the AXA group, active in the Italian market for the sale of non-life insurance policies. Quixa Assicurazioni S.p.A. also sells directly such policies, including those for cars, motorcycles, and mopeds, both through its own website www.quixa.it, and through online portals managed by companies operating in the market of comparison and commercialization of offers related to insurance services. Quixa Assicurazioni S.p.A. is controlled by AXA Assicurazioni S.p.A., which holds the entirety of its share capital.  </w:t>
        <w:br/>
        <w:t xml:space="preserve">16. Verti Assicurazioni S.p.A. is a company of the MAPFRE group, active in the Italian market for the sale of non-life insurance policies. Verti Assicurazioni S.p.A. also sells directly such policies, including those for cars, motorcycles, and mopeds, both through its own website www.verti.it, and through online portals managed by companies operating in the market of comparison and commercialization of offers related to insurance services. Verti Assicurazioni S.p.A. is controlled by MAPFRE Internacional S.A., which holds the entirety of its share capital.  </w:t>
        <w:br/>
        <w:t xml:space="preserve">17. Zurich Insurance Public Limited Company – General Representation for Italy is a company of the Zurich group, active in establishment mode in the Italian market for the sale of non-life and life insurance policies.  </w:t>
        <w:br/>
        <w:t xml:space="preserve">18. Zurich Insurance Company Ltd – General Representation for Italy is the company of the Zurich group active in the Italian market for the direct sale of motor liability insurance (RCA).  </w:t>
        <w:br/>
        <w:t xml:space="preserve">19. With communication dated June 15, 2021, the application for participation in the proceedings submitted by the National Insurance Agents Union (SNA) was also accepted.  </w:t>
        <w:br/>
        <w:t xml:space="preserve">II. THE INQUIRY PROCEDURE  </w:t>
        <w:br/>
        <w:t xml:space="preserve">20. On February 9, 2021, the Authority received a report, supplemented on March 5, 2021, according to which, at least since 2012, the main operators providing price comparison services and the main insurance companies present on the comparison platforms would have coordinated their commercial strategies in the direct sale of RCA policies, offering consumers reduced discounts due to mutual knowledge of the sales conditions offered on the comparison portals. According to the informant, this coordination would have taken place through an intense and regular exchange of strategic information regarding the economic conditions of direct sales of RCA policies, carried out through the sharing of reports prepared and distributed by the price comparison companies, concerning, among other things, the positioning of competitors on the comparison portals, the difference with the premium quoted by competitors, consumer data, and quote data. Such exchanges occurred regularly and were discussed, among the comparators and individual insurance companies, also during specific business review sessions.  </w:t>
        <w:br/>
        <w:t xml:space="preserve">21. The Authority hypothesized that the conduct in question could fall within the scope of Article 101 of the TFEU, being potentially capable of hindering intra-community trade, as it concerned the entire national territory, involving almost all operators providing price comparison services, as well as the main insurance companies belonging to multinational groups operating worldwide.  </w:t>
        <w:br/>
        <w:t xml:space="preserve">22. On May 11, 2021, the Authority therefore decided to initiate proceedings against the companies 6Sicuro S.p.A., CercAssicurazioni.it S.r.l., Daina Finance Ltd, General Representation for Italy, Facile.it Insurance Broker S.p.A., Allianz Direct S.p.A., Admiral Intermediary Services S.A., B2C Innovation S.p.A., Bene Assicurazioni S.p.A., Compagnia Assicuratrice Linear S.p.A., Compagnia Italiana di Previdenza, Assicurazioni e Riassicurazioni S.p.A., FIT S.r.l. Società Benefit, Genertel S.p.A., HDI Assicurazioni S.p.A., Prima Assicurazioni S.p.A., Quixa Assicurazioni S.p.A., Verti Assicurazioni S.p.A., and Zurich Insurance Public Limited Company – General Representation for Italy, to ascertain the existence of violations of Article 101 of the TFEU.  </w:t>
        <w:br/>
        <w:t xml:space="preserve">23. By measure of July 13, 2021, the proceedings were extended to Zurich Insurance Company Ltd – General Representation for Italy.  </w:t>
        <w:br/>
        <w:t xml:space="preserve">24. During the proceedings, all Parties submitted commitments pursuant to Article 14-ter of Law no. 287/90, in order to overcome the competitive issues contested by the Authority in the initiation measure. The Authority decided to publish these commitments, starting from January 3, 2022, in order to allow interested third parties to express their observations.  </w:t>
        <w:br/>
        <w:t xml:space="preserve">III. THE RELEVANT MARKET  </w:t>
        <w:br/>
        <w:t xml:space="preserve">25. It is preliminarily noted that, according to established case law1, in assessing an agreement, the definition of the relevant market is essentially aimed at identifying the characteristics of the economic and legal context in which the agreement or the coordinated practice is situated. This definition is, therefore, functional to delineating the scope within which the agreement may restrict or distort competitive dynamics and to deciphering the degree of offensiveness of the illicit conduct.  </w:t>
        <w:br/>
        <w:t xml:space="preserve">26. That said, the services subject to the reported case concern damage insurance, specifically regarding the motor liability segment, with particular reference to direct sales. The exchange of information that would have constituted the reported agreement was also characterized by the involvement of the main price comparison companies, which would have periodically prepared and distributed reports containing sensitive information from a competitive standpoint.  </w:t>
        <w:br/>
        <w:t xml:space="preserve">27. For the purpose of identifying the relevant market, it seems possible to refer, in first approximation, to the established orientation of the Authority according to which insurance products can be distinguished based on the risk they cover, or in this specific case, to damage insurance, specifically regarding the motor liability segment, with particular reference to direct sales.  </w:t>
        <w:br/>
        <w:t>1 See, among others, Council of State, VI, May 7, 2020, nos. 3501, 3502, 3503, I801B - Taxi transport booking services - Milan; Council of State, judgment of June 21, 2017, nos. 3057 and 3016, in case I782 – Tenders for the remediation and disposal of polluting and/or hazardous materials at the arsenals of Taranto, La Spezia, and Augusta; Council of State, June 3, 2014, nos. 2837, 3167, and 3168, International Logistics.</w:t>
      </w:r>
    </w:p>
    <w:p>
      <w:r>
        <w:rPr>
          <w:b/>
        </w:rPr>
        <w:t>[Pages 16–18]</w:t>
      </w:r>
    </w:p>
    <w:p>
      <w:r>
        <w:t xml:space="preserve">18 BULLETIN NO. 20 OF MAY 30, 2022  </w:t>
        <w:br/>
        <w:t xml:space="preserve">28. From a geographical perspective, the reported facts concerned the entire national territory characterized by the homogeneity of the offering conditions given equal insured risk and the requirements for the provision of the insurance services in question.  </w:t>
        <w:br/>
        <w:t xml:space="preserve">IV. THE COMPETITIVE CRITICISMS IDENTIFIED IN THE INITIATION OF  </w:t>
        <w:br/>
        <w:t xml:space="preserve">INVESTIGATION AND THE SUBSEQUENT FINDINGS  </w:t>
        <w:br/>
        <w:t xml:space="preserve">29. In the initiation measure, based on the report received on February 9, 2021 (and supplemented on March 5, 2021), the existence of an agreement was hypothesized consisting of an exchange of information regarding the direct sale conditions of RCA policies, occurring between the main companies offering price comparison services, namely 6Sicuro S.p.A., CercAssicurazioni.it S.r.l., Daina Finance Ltd, General Representation for Italy, Facile.it Broker di assicurazioni S.p.A. and most of the main insurance companies active in Italy, namely Allianz Direct S.p.A., Admiral Intermediary Services S.A., B2C Innovation S.p.A., Bene Assicurazioni S.p.A., Compagnia Assicuratrice Linear S.p.A., Compagnia Italiana di Previdenza, Assicurazioni e Riassicurazioni S.p.A., FIT S.r.l. Società Benefit, Genertel S.p.A., HDI Assicurazioni S.p.A., Prima Assicurazioni S.p.A., Quixa Assicurazioni S.p.A., Verti Assicurazioni S.p.A. and Zurich Insurance Public Limited Company – General Representation for Italy. The procedure was then extended by measure no. 29760 of July 13, 2021, to Zurich Insurance Company Ltd – General Representation for Italy.  </w:t>
        <w:br/>
        <w:t xml:space="preserve">30. The exchange of information would have occurred through the periodic distribution, mostly daily or weekly, of reports containing information relating, among other things, to the premiums of RCA policies quoted on the price comparison portals of Facile, Segugio, ComparaMeglio and 6Sicuro, the positioning of insurance companies on the comparison portals, the data of consumers who had requested a quote, etc. This exchange of information, dating back at least to 2012, would have been found to still be ongoing.  </w:t>
        <w:br/>
        <w:t xml:space="preserve">31. In the initiation measure, the Authority hypothesized that such an exchange of sensitive information, otherwise not accessible in a massive manner and with the same modes of use, including temporal ones, was aimed at allowing insurance companies to charge final consumers higher premiums for RCA policies, through the implementation of discount policies mitigated by knowledge of the commercial strategies and pricing policies practiced by competitors in the direct sales segment. The constant availability of a large amount of recent, granular, and monitorable information, also in light of the Community Guidelines regarding horizontal cooperation agreements, would have artificially increased transparency on the supply side, resulting in an alteration of the economic behavior and pricing policy of insurance companies regarding the direct sale of RCA policies. The price comparators, among other things, would also have organized business review sessions with the aim of informing insurance companies about the possibilities of using the sensitive data subject to exchange. The exchange of information would have also taken place during the period of the first lockdown imposed by the Government to counter the spread of the Covid-19 virus.  </w:t>
        <w:br/>
        <w:t>2 See Guidelines on the applicability of Article 101 of the Treaty on the Functioning of the European Union to horizontal cooperation agreements, 2011/C 11/01.</w:t>
      </w:r>
    </w:p>
    <w:p>
      <w:r>
        <w:t xml:space="preserve">BULLETIN NO. 20 OF MAY 30, 2022 19  </w:t>
        <w:br/>
        <w:t xml:space="preserve">32. Such conduct appeared, therefore, capable of determining an alteration of the competitive dynamics among insurance companies active in Italy in the direct sale of RCA policies, thus being susceptible to configuring a case of agreement contrary to Article 101 TFEU.  </w:t>
        <w:br/>
        <w:t xml:space="preserve">33. Following the initiation of the procedure, based on the in-depth investigations carried out on the elements acquired in the records, including the inspection documents, the case - hypothesized at the outset as a restriction by 'object' - appeared more properly attributable to a restriction by 'effect'. In fact, from the examination of the documentation in the records, it emerged that the exchanged data, by nature and type, lent themselves to different possible uses within the commercial policies of the companies. Therefore, the information exchange did not appear to be unambiguously aimed at setting higher premiums, but also at formulating more attractive offers (for example, through re-quotations to customers), and could not therefore be assessed as a cartel.  </w:t>
        <w:br/>
        <w:t xml:space="preserve">34. In conclusion, the "concrete suitability" of the information exchange to harm competition, according to the scheme of restriction by object, was not confirmed.  </w:t>
        <w:br/>
        <w:t xml:space="preserve">V. THE COMMITMENTS PROPOSED BY THE PARTIES  </w:t>
        <w:br/>
        <w:t xml:space="preserve">35. In response to the competitive criticisms raised by the Authority in the initiation measure, with communication dated October 21, 2021, supplemented on December 2, 2021 (see Annex 1 to this resolution), 6Sicuro S.p.A., CercAssicurazioni.it S.r.l., Daina Finance Ltd General Representation for Italy, Facile.it Broker di assicurazioni S.p.A., Allianz Direct S.p.A., B2C Innovation S.p.A., Bene Assicurazioni S.p.A., Compagnia Assicuratrice Linear S.p.A., Compagnia Italiana di Previdenza, Assicurazioni e Riassicurazioni S.p.A., FIT S.r.l. Società Benefit, Genertel S.p.A., HDI Assicurazioni S.p.A., Prima Assicurazioni S.p.A., Quixa Assicurazioni S.p.A., Verti Assicurazioni S.p.A., Zurich Insurance Company Ltd - General Representation for Italy, submitted commitments pursuant to Article 14-ter of law no. 287/90, according to the modalities specifically indicated in the appropriate "Form for the submission of commitments pursuant to Article 14-ter of law no. 287/90".  </w:t>
        <w:br/>
        <w:t xml:space="preserve">36. With communication dated October 22, 2021, supplemented on December 2, 2021, Zurich Insurance Public Limited Company – General Representation for Italy declared its adherence, "to the extent that they are applicable to it by reason of its position", to the commitments submitted by Zurich Insurance Company Ltd - General Representation for Italy;  </w:t>
        <w:br/>
        <w:t xml:space="preserve">37. Below is a brief description of the commitments submitted, as published for submission to the market test.  </w:t>
        <w:br/>
        <w:t xml:space="preserve">38. Under Commitment no. 1, the comparators propose to send (and the insurance companies commit to receive) only reports structured as follows:  </w:t>
        <w:br/>
        <w:t xml:space="preserve">- the data sent must not contain identifying information of the quote or the user requesting it,  </w:t>
        <w:br/>
        <w:t>3 See point 59 of the Guidelines on the applicability of Article 101 of the Treaty on the Functioning of the European Union to horizontal cooperation agreements, 2011/C 11/01 (according to which "The communication of information between competitors may also constitute an agreement, a coordinated practice or a decision of an association of undertakings aimed at fixing prices or quantities. This type of information exchange will normally be assessed as a cartel and may be subject to the same penalties. The exchange of information may also facilitate the implementation of a cartel by allowing companies to monitor whether participants comply with the agreed terms. This type of information exchange will be assessed as part of the cartel.")</w:t>
      </w:r>
    </w:p>
    <w:p>
      <w:r>
        <w:t xml:space="preserve">20 BULLETIN NO. 20 OF MAY 30, 2022  </w:t>
        <w:br/>
        <w:t xml:space="preserve">- the information regarding the premiums offered by insurance companies/intermediaries through the comparators will be provided in an anonymous and aggregated form, as the average of the 5 lowest quotes;  </w:t>
        <w:br/>
        <w:t xml:space="preserve">- such data must not be transmitted more frequently than once a week and must relate to quotes created at least three months prior to the transmission;  </w:t>
        <w:br/>
        <w:t xml:space="preserve">- only data on premiums that meet the following conditions may be sent in disaggregated form: i) the data will relate to the 5 lowest premiums offered through the Comparators, will be anonymized and relate to quotes created at least six months prior, or ii) also on a daily basis and for quotes created up to the day before in the case of data relating only to the quotes of the company receiving the report, provided that they do not contain data and information relating to other competitors;  </w:t>
        <w:br/>
        <w:t xml:space="preserve">- each Insurance Company and Intermediary may receive information on the ranking of its quotes compared to the quotes of other companies, provided that they refer to quotes created at least six months prior;  </w:t>
        <w:br/>
        <w:t xml:space="preserve">- they may also provide to Insurance Companies and Intermediaries:  </w:t>
        <w:br/>
        <w:t xml:space="preserve">i) the percentage of times the company receiving the report has made the lowest offer (Best Price);  </w:t>
        <w:br/>
        <w:t xml:space="preserve">ii) on a daily basis, information regarding variables not related to the trend of the Premiums (regarding, for example, the conversion rates of quotes into policies, the percentages of saved quotes or other data related to the performance recorded on the Comparators), provided that they report data that is aggregated at (a) the level of at least 5 Insurance Companies and Intermediaries; and/or (b) by sector (car, motorcycle, trucks), and/or by geographical area (region), and/or by sales channel (desktop website version, mobile version, physical channels). Furthermore, the individual company receiving the report may receive disaggregated information on its individual performance (e.g., number of quotes converted into policies and number of saved quotes).  </w:t>
        <w:br/>
        <w:t xml:space="preserve">iii) on a weekly basis, information on the total sales intermediated by the Comparator during the previous week, exclusively in aggregated form by sector (car, trucks), by geographical area (region) and/or by sales channel (desktop version, mobile version, physical channels).  </w:t>
        <w:br/>
        <w:t xml:space="preserve">39. Under Commitment no. 2, the Parties commit to conducting so-called business review sessions exclusively on a bilateral basis between a Comparator and a single Insurance Company or a single Intermediary, to circulate - except for legal obligations - only the information referred to in Commitment no. 1 and to draft a specific report.  </w:t>
        <w:br/>
        <w:t xml:space="preserve">40. Under Commitment no. 3, the Insurance Companies and Intermediaries propose not to adhere to reporting services that foresee processing and/or circulation of information not compliant with the criteria of Commitment no. 1.  </w:t>
        <w:br/>
        <w:t xml:space="preserve">41. Finally, under Commitment no. 4, it is provided that the reports prepared by the Comparators in accordance with the criteria of Commitment no. 1 will be made accessible by the Comparator to Insurance Companies and Intermediaries not active on its portal upon request, under fair, transparent, and non-discriminatory conditions.  </w:t>
        <w:br/>
        <w:t>42. The Parties commit to comply with these commitments within 2 months from the notification of the measure by which the Authority should make them mandatory.</w:t>
      </w:r>
    </w:p>
    <w:p>
      <w:r>
        <w:rPr>
          <w:b/>
        </w:rPr>
        <w:t>[Pages 19–21]</w:t>
      </w:r>
    </w:p>
    <w:p>
      <w:r>
        <w:t xml:space="preserve">BULLETIN NO. 20 OF MAY 30, 2022 21  </w:t>
        <w:br/>
        <w:t xml:space="preserve">43. With communication dated 21 October 2021, supplemented on 2 December 2021 (see Annex 2 to this resolution), Admiral Intermediary Services S.A. submitted commitments pursuant to Article 14-ter of law no. 287/90, according to the methods specifically indicated in the appropriate "Form for the submission of commitments pursuant to Article 14-ter of law no. 287/90."  </w:t>
        <w:br/>
        <w:t xml:space="preserve">44. Under commitment E.1, Admiral will agree to receive reports/data services from comparators only where these provide the following specific limitations on data flows:  </w:t>
        <w:br/>
        <w:t xml:space="preserve">- information on premiums and any ancillary conditions of competitors must be shared in an anonymous and aggregated form, through the indication of the average of the 5 lowest quotes;  </w:t>
        <w:br/>
        <w:t xml:space="preserve">- the frequency of sharing such aggregated information shall not exceed weekly; the report may only contain information related to quotes dating back at least 3 months prior to the sharing of the same;  </w:t>
        <w:br/>
        <w:t xml:space="preserve">- information on premiums and other possible ancillary conditions present on comparators may only be shared in a disaggregated form if: i) related to quotes at least six months old; ii) anonymized; iii) related only to the 5 lowest premiums;  </w:t>
        <w:br/>
        <w:t xml:space="preserve">- it will be prohibited to receive information that allows tracing back to the individual quote of the competitor and/or the customer who requested the quote from the competitor;  </w:t>
        <w:br/>
        <w:t xml:space="preserve">- Admiral may receive information regarding the ranking of its quotes compared to those of other companies, provided that such information pertains to quotes created at least six months prior;  </w:t>
        <w:br/>
        <w:t xml:space="preserve">- Admiral may receive: i) the percentage of times it has formulated the best price, on a daily basis and regarding quotes formulated up to the day before; ii) daily, information related to variables not connected to the trend of premiums (for example, conversion rates of quotes into policies, rescue percentages, or other data related to performance recorded on comparators), provided that they report data that is aggregated at (a) the level of at least 5 Insurance Companies and Intermediaries; and/or (b) by sector (car, motorcycle, trucks), and/or by geographical area (region), and/or by sales channel (desktop website, mobile version, physical channels); iii) weekly, information on the total sales intermediated by the Comparator during the previous week, exclusively in aggregated form by sector (car, trucks), by geographical area (region), and/or by sales channel (desktop version, mobile version, physical channels).  </w:t>
        <w:br/>
        <w:t xml:space="preserve">45. The related commitment E.2 of Admiral concerns any business review activities, which must take place bilaterally and may involve the circulation of information only in aggregated form according to the methods set out in commitment E.1. With commitment E.3, Admiral finally commits not to adhere to reporting services that do not comply with the criteria under E.1 and E.2.  </w:t>
        <w:br/>
        <w:t xml:space="preserve">46. Admiral commits to implement these commitments within 2 months of any decision to accept them, for an indefinite duration.  </w:t>
        <w:br/>
        <w:t xml:space="preserve">VI. PUBLICATION OF COMMITMENTS AND MARKET TEST  </w:t>
        <w:br/>
        <w:t xml:space="preserve">47. In the meeting of 3 December 2021, the Authority, considering the commitments presented not manifestly unsuitable to resolve the competitive concerns expressed at the outset, ordered their publication on its website, for the purpose of subjecting them to the market test provided for by the procedure relating to the application of Article 14-ter of law no. 287/1990. In the publication measure, the Authority specified that, at the state of investigations and, in particular, in light of the elements acquired following the initiation of the investigation, the case, hypothesized at the outset as a restriction by 'object', was more properly attributable to a restriction by 'effect'.  </w:t>
        <w:br/>
        <w:t xml:space="preserve">48. The commitments described above were subjected to the market test from 3 January to 2 February 2022.  </w:t>
        <w:br/>
        <w:t xml:space="preserve">49. During the market test, on 2 February 2022, observations were received from MSA - Multi Serass S.r.l., a company that manages claims on a full outsourcing basis for small insurance companies and supports foreign operators or national start-ups, offering them organizational, regulatory, and strategic consulting services.  </w:t>
        <w:br/>
        <w:t xml:space="preserve">50. MSA believes that the data service provided by the commitments could represent a tool to reduce the barriers to entry in the Italian insurance market, allowing foreign companies or start-ups to have that minimum informational set to evaluate opportunities and entry strategy. In particular, according to MSA, the ability to know the lowest premiums, albeit in an anonymous and aggregated form, and the percentage of times its price is the best, would stimulate dynamic competition and competitive prices.  </w:t>
        <w:br/>
        <w:t xml:space="preserve">51. The company adds that, for the data service to fully perform this pro-competitive function, the data provided by the comparators should indicate the prices of policies actually sold and, in this regard, "the average of the best prices should be as close as possible to the best price." At the same time, according to MSA, the historical data should be defined based on the frequency (typically weekly) with which insurance companies change their offer prices: in particular, MSA believes that a history of less than three months better respects the dynamics of the insurance market, promoting competitive dynamics without creating undue market transparency.  </w:t>
        <w:br/>
        <w:t xml:space="preserve">VII. ACCESSORY MODIFICATIONS TO THE COMMITMENTS  </w:t>
        <w:br/>
        <w:t xml:space="preserve">52. The Parties did not present accessory modifications to the commitments.  </w:t>
        <w:br/>
        <w:t xml:space="preserve">VIII. THE OPINION OF IVASS  </w:t>
        <w:br/>
        <w:t xml:space="preserve">53. IVASS, with an opinion received on 20 April 2022, stated that it had not found, as a result of the analysis carried out on the documentation produced, elements contrary to the Authority's orientation to close the procedure by making the commitments presented by the Parties and subjected to market test mandatory, without ascertaining the infringement, pursuant to Article 14-ter paragraph 1, of law no. 287/90.  </w:t>
        <w:br/>
        <w:t xml:space="preserve">IX. EVALUATIONS  </w:t>
        <w:br/>
        <w:t xml:space="preserve">54. The procedure concerns the verification of possible competitive criticalities arising from the indirect exchange of information regarding the direct sales conditions of RCA policies, occurring between most of the main insurance companies active in Italy through the main companies that offer price comparison services, and realized through the periodic distribution of reports containing information related, among other things, to the premiums of RCA policies quoted on comparison portals, the positioning of offers formulated by insurance companies on said portals, and the data of consumers requesting quotes.  </w:t>
        <w:br/>
        <w:t xml:space="preserve">55. In the initiation measure, it was hypothesized that this exchange of sensitive information was aimed at allowing insurance companies to charge final consumers higher premiums for RCA policies, through the implementation of discount policies mitigated by knowledge of the commercial strategies and pricing policies practiced by competitors in the direct sales segment.  </w:t>
        <w:br/>
        <w:t xml:space="preserve">56. Following the initiation, having evaluated the elements acquired in the records, including inspection documents, the case - as highlighted in the publication measure of the commitments - appeared more properly attributable to a restriction by 'effect', rather than a restriction by 'object'. This, in particular, considering that the exchanged data, by nature and type, seemed to lend themselves to different possible uses within the commercial policies of the companies and therefore the information exchange, not appearing in itself unambiguously aimed at containing RCA policy discounts, could not be evaluated as a cartel.  </w:t>
        <w:br/>
        <w:t xml:space="preserve">57. During the procedure, as illustrated above, all Parties presented commitments pursuant to Article 14-ter of Law no. 287/90, in order to overcome the competitive criticalities contested by the Authority in the initiation measure of the investigation.  </w:t>
        <w:br/>
        <w:t xml:space="preserve">58. These commitments, in the version subject to publication and subsequently unmodified, appear suitable to remedy the competitive concerns expressed at the outset and subsequently emerged during the procedure.  </w:t>
        <w:br/>
        <w:t xml:space="preserve">59. Specifically, regarding commitment no. 1 presented by the Parties - corresponding to commitment E.1 of Admiral - it is first noted that the price data whose circulation is admitted, subject to the conditions provided in the commitment itself, always relates to the offers formulated by insurance companies following consumer quote requests and does not pertain - contrary to what was stated by the company participating in the market test - to the prices of policies actually sold. This avoids the circulation among competitors of data relating to the sales of each insurance company, and combines with the parallel commitment to transmit to each company receiving the reports disaggregated information limited to its individual performance (i.e., limited to the number of its quotes then converted into policies).  </w:t>
        <w:br/>
        <w:t xml:space="preserve">60. The proposal not to circulate in the reports identifying information about the quote or the user who requested it also reduces the risk that insurance companies have access to the 'personalization' criteria of their competitors' prices.  </w:t>
        <w:br/>
        <w:t xml:space="preserve">61. At the same time, the planned aggregation and consequent anonymization of the offers, also subject to commitment no. 1, prevent the identification, by users of the reports, of both the best price (as well as the second or third best price, and so on), and - again - the worst price, as well as the identity of the company that proposed them. Furthermore, the number of the lowest offers whose average will constitute the aggregated data (5) is suitable to dilute the intelligibility and significance of the data, sufficiently distancing it from the identification of the best price. In fact, an average calculated on a lower number of offers, such as that hoped for in the market test, would be likely to recreate undue transparency on the best prices.  </w:t>
        <w:br/>
        <w:t>4 See point 59 of the Guidelines on the applicability of Article 101 of the Treaty on the Functioning of the European Union to horizontal cooperation agreements, 2011/C 11/01.</w:t>
      </w:r>
    </w:p>
    <w:p>
      <w:r>
        <w:rPr>
          <w:b/>
        </w:rPr>
        <w:t>[Pages 22–24]</w:t>
      </w:r>
    </w:p>
    <w:p>
      <w:r>
        <w:t xml:space="preserve">24 BULLETIN NO. 20 OF MAY 30, 2022  </w:t>
        <w:br/>
        <w:t xml:space="preserve">62. Unlike what was observed during the market test, the required levels of historical data for aggregated data - measured three months prior to the submission of the data - and for disaggregated data - measured six months prior to the submission of the data - as well as the expected frequencies of information submission (not exceeding one week for aggregated data) are capable of eliminating the risk of undue market transparency, preventing insurance companies from knowing their competitors' price changes in real time or almost real time, and from being able to predict their future pricing intentions based on this information.  </w:t>
        <w:br/>
        <w:t xml:space="preserve">63. As for the data concerning the conversion rates of quotes into policies, rescue percentages, total sales intermediated by the comparator, which do not directly pertain to the commercial policy variables of insurance companies, their expected circulation in only aggregated form is suitable to exclude any anti-competitive relevance.  </w:t>
        <w:br/>
        <w:t xml:space="preserve">64. Commitment no. 2 of the Parties - corresponding to commitment E.2 of Admiral - provides for only bilateral business review sessions (between comparator-company), eliminating the risk of joint discussions among competitors, during which data on their respective pricing policies could circulate.  </w:t>
        <w:br/>
        <w:t xml:space="preserve">65. Commitment no. 3 of the Parties - corresponding to commitment E.3 of Admiral - then ensures that companies adhere to reporting services only if compliant with the principles defined by the commitments.  </w:t>
        <w:br/>
        <w:t xml:space="preserve">66. Finally, commitment no. 4 of the Parties binds comparators to make reports - formatted according to the criteria set out in the commitments - accessible also to subjects not active on the comparators' portals, allowing these latter to compare with the prices practiced online, and in this sense may facilitate the entry of new operators into direct sales. As also considered during the market test, the data service thus designed can indeed be a tool to reduce barriers to market entry for foreign companies and start-ups, which based on this minimum information set - compliant with all the conditions and limits indicated - will be able to assess opportunities and entry strategies.  </w:t>
        <w:br/>
        <w:t xml:space="preserve">67. In conclusion, the set of commitments presented by both Admiral and the other Parties in the proceedings, involving a series of substantial modifications to the reporting sent by comparators to insurance companies, such as to eliminate the risk of their use in an anti-competitive sense, allows for overcoming the concerns expressed at the outset and subsequently emerged during the proceedings.  </w:t>
        <w:br/>
        <w:t xml:space="preserve">68. Considering that, at the outset, it was hypothesized that the conduct had also been carried out by Zurich Insurance Public Limited Company – General Representation for Italy (ZIP), which instead has been found not to be active in the online sale of insurance policies and has no relationship with companies offering price comparison services, the commitments presented are such as to close the proceedings also against Zurich Insurance Public Limited Company – General Representation for Italy without ascertaining the infringement and without becoming mandatory for it.  </w:t>
        <w:br/>
        <w:t>69. The Authority reserves the right to reopen the proceedings ex officio in the presence of a decisive change in the factual situation regarding any element on which the decision is based and, in particular, if Zurich Insurance Public Limited Company – General Representation for Italy should become active in the online sale of RCA insurance policies and decides to access reports prepared by comparators.</w:t>
      </w:r>
    </w:p>
    <w:p>
      <w:r>
        <w:t xml:space="preserve">BULLETIN NO. 20 OF MAY 30, 2022 25  </w:t>
        <w:br/>
        <w:t xml:space="preserve">X. CONCLUSIONS  </w:t>
        <w:br/>
        <w:t xml:space="preserve">70. In conclusion, the commitments proposed by the Parties and subject to the publication decided on December 3, 2021, specifically address the possible competitive issues related to the information exchange carried out through the comparison platforms, which were the subject of initiation, and therefore are suitable, as a whole, to remedy the competitive concerns addressed in this measure.  </w:t>
        <w:br/>
        <w:t xml:space="preserve">71. The Authority will monitor the execution of the commitments presented and reserves the right to reopen the proceedings ex officio for the purposes and effects of what is provided for by Article 14-ter, paragraphs 2 and 3, of law no. 287/1990.  </w:t>
        <w:br/>
        <w:t xml:space="preserve">CONSIDERING, therefore, that the commitments presented by 6Sicuro S.p.A., CercAssicurazioni.it S.r.l., Daina Finance Ltd General Representation for Italy, Facile.it Insurance Broker S.p.A., Allianz Direct S.p.A., B2C Innovation S.p.A., Bene Assicurazioni S.p.A., Compagnia Assicuratrice Linear S.p.A., Compagnia Italiana di Previdenza, Assicurazioni e Riassicurazioni S.p.A., FIT S.r.l. Benefit Company, Genertel S.p.A., HDI Assicurazioni S.p.A., Prima Assicurazioni S.p.A., Quixa Assicurazioni S.p.A., Verti Assicurazioni S.p.A., Zurich Insurance Company Ltd - General Representation for Italy and Admiral Intermediary Services S.A. are suitable to eliminate the anti-competitive profiles subject to the investigation;  </w:t>
        <w:br/>
        <w:t xml:space="preserve">CONSIDERING to impose the obligations on 6Sicuro S.p.A., CercAssicurazioni.it S.r.l., Daina Finance Ltd General Representation for Italy, Facile.it Insurance Broker S.p.A., Allianz Direct S.p.A., B2C Innovation S.p.A., Bene Assicurazioni S.p.A., Compagnia Assicuratrice Linear S.p.A., Compagnia Italiana di Previdenza, Assicurazioni e Riassicurazioni S.p.A., FIT S.r.l. Benefit Company, Genertel S.p.A., HDI Assicurazioni S.p.A., Prima Assicurazioni S.p.A., Quixa Assicurazioni S.p.A., Verti Assicurazioni S.p.A., Zurich Insurance Company Ltd - General Representation for Italy and Admiral Intermediary Services S.A., pursuant to Article 14-ter, paragraph 1, of law no. 287/1990;  </w:t>
        <w:br/>
        <w:t xml:space="preserve">CONSIDERING, finally, that it is possible to close the proceedings against 6Sicuro S.p.A., CercAssicurazioni.it S.r.l., Daina Finance Ltd General Representation for Italy, Facile.it Insurance Broker S.p.A., Allianz Direct S.p.A., B2C Innovation S.p.A., Bene Assicurazioni S.p.A., Compagnia Assicuratrice Linear S.p.A., Compagnia Italiana di Previdenza, Assicurazioni e Riassicurazioni S.p.A., FIT S.r.l. Benefit Company, Genertel S.p.A., HDI Assicurazioni S.p.A., Prima Assicurazioni S.p.A., Quixa Assicurazioni S.p.A., Verti Assicurazioni S.p.A., Zurich Insurance Company Ltd - General Representation for Italy, Zurich Insurance Public Limited Company - General Representation for Italy and Admiral Intermediary Services S.A., without ascertaining the infringement pursuant to Article 14-ter of the cited law;  </w:t>
        <w:br/>
        <w:t xml:space="preserve">All of the above having been stated and considered:  </w:t>
        <w:br/>
        <w:t xml:space="preserve">RESOLVES  </w:t>
        <w:br/>
        <w:t xml:space="preserve">a) to make mandatory the commitments presented by 6Sicuro S.p.A., CercAssicurazioni.it S.r.l., Daina Finance Ltd General Representation for Italy, Facile.it Insurance Broker S.p.A., Allianz Direct S.p.A., B2C Innovation S.p.A., Bene Assicurazioni S.p.A., Compagnia Assicuratrice Linear S.p.A., Compagnia Italiana di Previdenza, Assicurazioni e Riassicurazioni S.p.A., FIT S.r.l. Benefit Company, Genertel S.p.A., HDI Assicurazioni S.p.A., Prima Assicurazioni S.p.A., Quixa Assicurazioni S.p.A., Verti Assicurazioni S.p.A., Zurich Insurance Company Ltd - General Representation for Italy and Admiral Intermediary Services S.A., pursuant to Article 14-ter, paragraph 1, of law no. 287/1990, in the terms described above and attached to this measure, which form an integral part thereof;  </w:t>
        <w:br/>
        <w:t xml:space="preserve">b) to close the proceedings without ascertaining the infringement against 6Sicuro S.p.A., CercAssicurazioni.it S.r.l., Daina Finance Ltd General Representation for Italy, Facile.it Insurance Broker S.p.A., Allianz Direct S.p.A., B2C Innovation S.p.A., Bene Assicurazioni S.p.A., Compagnia Assicuratrice Linear S.p.A., Compagnia Italiana di Previdenza, Assicurazioni e Riassicurazioni S.p.A., FIT S.r.l. Benefit Company, Genertel S.p.A., HDI Assicurazioni S.p.A., Prima Assicurazioni S.p.A., Quixa Assicurazioni S.p.A., Verti Assicurazioni S.p.A., Zurich Insurance Company Ltd - General Representation for Italy, Zurich Insurance Public Limited Company - General Representation for Italy and Admiral Intermediary Services S.A., pursuant to Article 14-ter, paragraph 1, of law no. 287/1990;  </w:t>
        <w:br/>
        <w:t xml:space="preserve">c) that 6Sicuro S.p.A., CercAssicurazioni.it S.r.l., Daina Finance Ltd General Representation for Italy, Facile.it Insurance Broker S.p.A., Allianz Direct S.p.A., B2C Innovation S.p.A., Bene Assicurazioni S.p.A., Compagnia Assicuratrice Linear S.p.A., Compagnia Italiana di Previdenza, Assicurazioni e Riassicurazioni S.p.A., FIT S.r.l. Benefit Company, Genertel S.p.A., HDI Assicurazioni S.p.A., Prima Assicurazioni S.p.A., Quixa Assicurazioni S.p.A., Verti Assicurazioni S.p.A., Zurich Insurance Company Ltd - General Representation for Italy and Admiral Intermediary Services S.A. present: c1) within 3 months from the notification of this measure, a detailed report on the implementation of the commitments undertaken, accompanied by all necessary related documentation; and c2) every two years, a report on the overall status of implementation of the commitments. The first of such reports must be submitted two years from the date of submission of the report referred to in the previous point.  </w:t>
        <w:br/>
        <w:t>This measure will be notified to the interested parties and published in the Bulletin of the Competition and Market Authority.</w:t>
      </w:r>
    </w:p>
    <w:p>
      <w:r>
        <w:rPr>
          <w:b/>
        </w:rPr>
        <w:t>[Pages 25–27]</w:t>
      </w:r>
    </w:p>
    <w:p>
      <w:r>
        <w:t xml:space="preserve">BULLETIN NO. 20 OF MAY 30, 2022 27  </w:t>
        <w:br/>
        <w:t xml:space="preserve">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measure itself.  </w:t>
        <w:br/>
        <w:t xml:space="preserve">THE SECRETARY GENERAL THE PRESIDENT  </w:t>
        <w:br/>
        <w:t>Guido Stazi Roberto Rustichelli</w:t>
      </w:r>
    </w:p>
    <w:p>
      <w:r>
        <w:t xml:space="preserve">28 BULLETIN NO. 20 OF MAY 30, 2022  </w:t>
        <w:br/>
        <w:t xml:space="preserve">CONCENTRATION OPERATIONS  </w:t>
        <w:br/>
        <w:t xml:space="preserve">C12419 - NEW FDM/COOP ALLIANCE 3.0 SALES POINTS  </w:t>
        <w:br/>
        <w:t xml:space="preserve">Measure no. 30145  </w:t>
        <w:br/>
        <w:t xml:space="preserve">THE COMPETITION AND MARKET AUTHORITY  </w:t>
        <w:br/>
        <w:t xml:space="preserve">IN ITS MEETING of May 10, 2022;  </w:t>
        <w:br/>
        <w:t xml:space="preserve">HEARD the Rapporteur, President Roberto Rustichelli;  </w:t>
        <w:br/>
        <w:t xml:space="preserve">HAVING REGARD to the law of October 10, 1990, no. 287;  </w:t>
        <w:br/>
        <w:t xml:space="preserve">HAVING REGARD to the D.P.R. of April 30, 1998, no. 217;  </w:t>
        <w:br/>
        <w:t xml:space="preserve">HAVING REGARD to the communication made by New FDM S.p.A., received on December 15, 2021;  </w:t>
        <w:br/>
        <w:t xml:space="preserve">HAVING REGARD to its request for information, sent on January 14, 2022, with consequent interruption of the terms pursuant to Article 5, paragraph 3, of the D.P.R. of April 30, 1998, no. 217;  </w:t>
        <w:br/>
        <w:t xml:space="preserve">HAVING REGARD to the additional information sent by New FDM S.p.A., received on April 14, 2022;  </w:t>
        <w:br/>
        <w:t xml:space="preserve">CONSIDERED the following:  </w:t>
        <w:br/>
        <w:t xml:space="preserve">I. THE PARTIES  </w:t>
        <w:br/>
        <w:t xml:space="preserve">1. New FDM S.p.A. (hereinafter FDM) is a company controlled by Radenza Group S.r.l., active in the field of organized large-scale distribution (GDO) through the creation, purchase, rental, and management of sales points, both on its own behalf and on behalf of third parties, all located in Sicily. The company, prior to the realization of this operation, was affiliated with the CRAI group, of which it constituted one of the 17 distribution hubs active in the national territory and of which it held the exclusive use of the trademarks with reference to the Sicilian territory. The sales network of FDM was therefore entirely managed (directly or indirectly) with CRAI trademarks. It consists of 29 sales points managed directly - as they are owned by FDM or other companies of the Radenza group - and 220 sales points managed indirectly, as they were previously affiliated with the CRAI group through franchise contracts entered into between FDM and independent third-party entrepreneurs. FDM also carries out a supply activity for some independent sales points, managed by third-party operators (so-called "supplied" sales points). The turnover of FDM was approximately 439 million euros in 2020, almost entirely generated in Italy. Following the communication of this operation, the relationships between FDM and CRAI were interrupted, resulting in the termination of FDM's affiliation with the CRAI system.  </w:t>
        <w:br/>
        <w:t>2. Radenza Group S.r.l. (hereinafter Radenza Group), a company controlled by individuals, primarily engages in the acquisition of stakes in companies and the direction and coordination of the affiliated companies and/or those belonging to the Radenza group. The company also has as its object the wholesale and retail trade of foodstuffs and other consumer goods.</w:t>
      </w:r>
    </w:p>
    <w:p>
      <w:r>
        <w:t xml:space="preserve">BULLETIN NO. 20 OF MAY 30, 2022 29  </w:t>
        <w:br/>
        <w:t xml:space="preserve">It controls, in addition to FDM, the companies Emmediemme S.r.l. and Ge.Super S.r.l., which are also active in the GDO sector. The consolidated turnover of Radenza Group was approximately 464.5 million euros in 2020.  </w:t>
        <w:br/>
        <w:t xml:space="preserve">3. Superisola S.r.l. (hereinafter Superisola) is a company specifically established by Coop 3.0 for the realization of this operation, into which, on December 15, 2021, all the sales points of the Coop network present in Sicily were merged, and in particular 12 sales points (hereinafter the Sales Points) located in the provinces of Palermo, Catania, Messina, and Ragusa, specifically 7 hypermarkets, 4 supermarkets, and one convenience store. The Sales Points generated a total turnover of approximately 162 million euros in 2020. Until the realization of this operation, they were managed under the Coop brand by Coop 3.0, present in Sicily only through the sales points transferred to Superisola. Coop 3.0 is one of the large cooperatives of the COOP system, adhering to the national consortium Coopitalia S.c. a r.l..  </w:t>
        <w:br/>
        <w:t xml:space="preserve">II. DESCRIPTION OF THE OPERATION AND AFFILIATION TO THE COOP COMMERCIAL NETWORK  </w:t>
        <w:br/>
        <w:t xml:space="preserve">4. The communicated operation consists of the acquisition of the Sales Points by FDM or by a subject wholly controlled by FDM or by its parent company Radenza Group. According to what FDM specified in the integration to its communication: i) on December 15, 2021, the Sales Points were transferred by Coop 3.0 to a specially established company, named Superisola S.r.l.; ii) the acquiring subject was identified, on December 22, 2021, in the company Radenza Group, sole shareholder of FDM. The first phase of the operation therefore consists of the exclusive acquisition of control of the company Superisola by Radenza Group.  </w:t>
        <w:br/>
        <w:t xml:space="preserve">5. Concurrently with the acquisition of the Sales Points, FDM and Coop 3.0 signed a Master Franchising Agreement, which includes the affiliation to Coop 3.0 of the entire sales network of FDM, consisting of: i) the Sales Points, which will therefore continue to operate with the same trademarks and policies of the Coop system with which they currently operate; ii) the 29 sales points directly managed by FDM (as they are controlled by the company itself or otherwise belonging to Radenza Group or the individuals who hold its share capital); iii) the 220 sales points indirectly managed by FDM, through commercial sub-affiliation contracts. For this last category of sales points, adherence to the COOP system also required the consent of the individual sub-affiliate, who could theoretically decide to continue operating with their own brand or to join other GDO chains.  </w:t>
        <w:br/>
        <w:t xml:space="preserve">6. By virtue of the aforementioned Agreement, FDM will also continue to supply the sales points managed by third-party operators previously supplied, using the purchasing center of the COOP chain.  </w:t>
        <w:br/>
        <w:t xml:space="preserve">III. QUALIFICATION OF THE OPERATION  </w:t>
        <w:br/>
        <w:t>7. The communicated operation, as it involves the acquisition of control of a company, constitutes a concentration pursuant to Article 5, paragraph 1, letter b), of law no. 287/90. It falls within the scope of application of law no. 287/90, as the conditions referred to in Article 1 of Regulation (EC) no. 139/04 do not apply, and is subject to the obligation of prior notification.</w:t>
      </w:r>
    </w:p>
    <w:p>
      <w:r>
        <w:rPr>
          <w:b/>
        </w:rPr>
        <w:t>[Pages 28–30]</w:t>
      </w:r>
    </w:p>
    <w:p>
      <w:r>
        <w:t xml:space="preserve">30 BULLETIN NO. 20 OF MAY 30, 2022  </w:t>
        <w:br/>
        <w:t xml:space="preserve">provided for by Article 16, paragraph 1, of the same law, since the total turnover achieved in the last financial year at the national level by the group of companies involved was over 511 million euros and the total turnover achieved individually at the national level by at least two of the companies involved was over 31 million euros.  </w:t>
        <w:br/>
        <w:t xml:space="preserve">8. The Master Franchising Agreement, which establishes specific forms of collaboration between the parties, may be subject to separate evaluation by the Authority pursuant to Article 2 of law no. 287/90 and/or Article 101 of the TFEU.  </w:t>
        <w:br/>
        <w:t xml:space="preserve">IV. EVALUATION OF THE OPERATION  </w:t>
        <w:br/>
        <w:t xml:space="preserve">IV.1 The relevant markets  </w:t>
        <w:br/>
        <w:t xml:space="preserve">9. This operation concerns the markets for the retail sale of food and non-food consumer goods through points of sale of the Large Organized Distribution (GDO). In this sector, multiple operators operate at the national level, with varied sizes and organizational formulas. This sector is usually divided into: Large Distribution (GD), which includes large retail chains organized in the form of a company or group of companies, and Organized Distribution (DO), which includes chains (among which COOP) constituted by entities that, while being legally distinct, operate in the market under the same brands and/or identifying features due to their common adherence to associative formulas such as consortia, voluntary unions, service companies, consumer cooperatives or retailers, etc.  </w:t>
        <w:br/>
        <w:t xml:space="preserve">10. According to the established practice of the Authority1, the following types of points of sale are also distinguished within the GDO, differentiated according to a series of characteristics (size, positioning, range of products offered, presence of fresh counters, etc.) that contribute to determining their quality and level of services offered: hypermarkets, supermarkets, convenience stores, and discount stores.  </w:t>
        <w:br/>
        <w:t xml:space="preserve">11. Following the most recent in-depth investigations carried out within the framework of proceedings for the evaluation of concentration operations in the GDO sector2, the Authority has updated the definition of the relevant product markets for hypermarkets, supermarkets, and convenience stores, identifying them as follows:  </w:t>
        <w:br/>
        <w:t xml:space="preserve">i) the supermarket market (points of sale with a size between 400 and 2,499 sqm), composed of all supermarkets, convenience stores, hypermarkets, and discount stores, or all points of sale with a surface area starting from 100 sqm;  </w:t>
        <w:br/>
        <w:t xml:space="preserve">ii) the hypermarket market (points of sale with a size equal to or greater than 2,500 sqm), composed, in addition to the hypermarkets themselves, of all supermarkets and discount stores, or all points of sale with a surface area starting from 400 sqm;  </w:t>
        <w:br/>
        <w:t xml:space="preserve">iii) the convenience store market (points of sale with a size between 100 and 399 sqm), composed of convenience stores and supermarkets and discount stores, or points of sale with a surface area between 100 and 2,499 sqm.  </w:t>
        <w:br/>
        <w:t xml:space="preserve">1 See, among others: C12279 - C12279 - DIPERDÌ/BRANCHES OF SMA AND SOCIETÀ GENERALE DISTRIBUZIONE, measure 28326 of 4 August 2020, in Bull. 34/2020; C12247B - BDC ITALIA-CONAD/AUCHAN, measure no. 28163 of 25 February 2020, in Bull. 10/2020; C12246 - FRATELLI ARENA/BRANCHES OF SMA-DISTRIBUZIONE CAMBRIA-ROBERTO ABATE, measure no. 28038 of 20 December 2019, in Bull. no. 52/2019.  </w:t>
        <w:br/>
        <w:t>2 See C12246 and C12247B, cited.</w:t>
      </w:r>
    </w:p>
    <w:p>
      <w:r>
        <w:t xml:space="preserve">BULLETIN NO. 20 OF MAY 30, 2022 31  </w:t>
        <w:br/>
        <w:t xml:space="preserve">12. From a geographical point of view, the GDO markets have a local dimension, considering consumer purchasing behaviors and the importance attributed by them to the proximity of points of sale. In the recent investigations conducted for the evaluation of concentration operations in the GDO sector, the geographical extent of the relevant markets has been identified as follows: for supermarkets, the area defined by 15-minute driving isochrones, constructed around the points of sale concerned; for convenience stores, the area defined by 10-minute driving isochrones, constructed around the convenience stores concerned.  </w:t>
        <w:br/>
        <w:t xml:space="preserve">13. The markets for the supply of food and non-food consumer goods to modern distribution are characterized by the presence of GDO chains, which operate on the demand side, and suppliers of the marketed products, on the supply side. While these markets can be subdivided by product categories and, within them, between private label products of the distributor and branded products of the industry, an exact definition does not seem necessary for the purposes of this evaluation: in all relevant supply markets, in fact, the market power of each chain on the demand side can be approximated by the share that such chain holds in total sales, it can be presumed that, since all GDO chains offer a complete basket of consumer goods, the sales shares, and therefore those of the purchases made by each operator, do not differ significantly by product category.  </w:t>
        <w:br/>
        <w:t xml:space="preserve">IV.2 The effects of the operation  </w:t>
        <w:br/>
        <w:t xml:space="preserve">14. The realization of this operation is part of an overall agreement concluded between FDM and Coop 3.0, aimed at a de facto merger between the sales network of Coop 3.0 and that of FDM in Sicily: following the acquisition of the 12 points of sale currently managed by Coop 3.0 (the Points of Sale) within the sales network of FDM, the entire sales network of FDM - direct, and including the Points of Sale already currently active under the COOP brands, and indirect, in the case of consent from the various sub-affiliates - will operate within the COOP system, with the brands and commercial policies of that chain.  </w:t>
        <w:br/>
        <w:t xml:space="preserve">15. The structural changes resulting from the operation do not appear to produce significant competitive effects: in fact, in the isochrones constructed around the Points of Sale of Coop 3.0, in only one case, specifically in isochrone [omitted]*” (isochrone no. 12), the entity resulting from the concentration would become the first operator with a market share of approximately [20-25%]. In this isochrone, there are also other important and qualified competitors, with shares that are entirely comparable to those of the new leader, such as Eurospin ([20-25%]) and VeGè ([20-25%]).  </w:t>
        <w:br/>
        <w:t xml:space="preserve">16. Regarding the supply markets, there is no significant strengthening of the share held at the national level by the purchasing center of Coopitalia, amounting to approximately [10-15%], that would raise competitive concerns. With reference, instead, to the increase in purchasing power resulting from the strengthening of the position held by the new entity post-merger in local markets, it is believed that the analysis is absorbed by the evaluation already carried out regarding the effects on the downstream retail markets.  </w:t>
        <w:br/>
        <w:t xml:space="preserve">17. In conclusion, it is not believed that the operation is likely to produce effects of restriction of competition in the relevant markets.  </w:t>
        <w:br/>
        <w:t>* In this version, some data are omitted, as there were deemed to be elements of confidentiality or secrecy of the information.</w:t>
      </w:r>
    </w:p>
    <w:p>
      <w:r>
        <w:t xml:space="preserve">32 BULLETIN NO. 20 OF MAY 30, 2022  </w:t>
        <w:br/>
        <w:t xml:space="preserve">CONSIDERING, therefore, that the operation in question does not result, pursuant to Article 6, paragraph 1, of law no. 287/90, in the establishment or strengthening of a dominant position in the relevant markets such as to eliminate or substantially and durably reduce competition;  </w:t>
        <w:br/>
        <w:t xml:space="preserve">CONSIDERING, furthermore, that the Authority reserves the right to evaluate the forms of collaboration between the parties subject to the Master Franchising Agreement pursuant to Article 2 of law no. 287/90 and/or Article 101 of the TFEU;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concerned and to the Minister of Economic Development.  </w:t>
        <w:br/>
        <w:t xml:space="preserve">This measure will be published in the Bulletin of the Competition and Market Authority.  </w:t>
        <w:br/>
        <w:t xml:space="preserve">THE SECRETARY GENERAL THE PRESIDENT  </w:t>
        <w:br/>
        <w:t>Guido Stazi Roberto Rustichelli</w:t>
      </w:r>
    </w:p>
    <w:p>
      <w:r>
        <w:rPr>
          <w:b/>
        </w:rPr>
        <w:t>[Pages 31–33]</w:t>
      </w:r>
    </w:p>
    <w:p>
      <w:r>
        <w:t xml:space="preserve">BULLETIN NO. 20 OF MAY 30, 2022 33  </w:t>
        <w:br/>
        <w:t xml:space="preserve">C12430B - DEA CAPITAL ALTERNATIVE FUNDS SGR/CALVI HOLDING  </w:t>
        <w:br/>
        <w:t>Measure no. 30146</w:t>
      </w:r>
    </w:p>
    <w:p>
      <w:r>
        <w:t>THE COMPETITION AND MARKET AUTHORITY</w:t>
      </w:r>
    </w:p>
    <w:p>
      <w:r>
        <w:t xml:space="preserve">IN ITS MEETING of 10 May 2022;  </w:t>
        <w:br/>
        <w:t xml:space="preserve">HEARD the Rapporteur Professor Michele Ainis;  </w:t>
        <w:br/>
        <w:t xml:space="preserve">HAVING REGARD to the law of 10 October 1990, no. 287;  </w:t>
        <w:br/>
        <w:t xml:space="preserve">HAVING REGARD to the law of 24 November 1981, no. 689;  </w:t>
        <w:br/>
        <w:t xml:space="preserve">HAVING REGARD, in particular, to Article 19, paragraph 2, of law no. 287/90, pursuant to which, in the event that companies have not complied with the obligations of prior notification referred to in Article 16, paragraph 1 of the same law, the Authority may impose administrative fines of up to 1% of the turnover of the year preceding the one in which the dispute is made;  </w:t>
        <w:br/>
        <w:t xml:space="preserve">HAVING REGARD to the communication from Dea Capital Alternative Funds SGR S.p.A., received on 3 February 2022;  </w:t>
        <w:br/>
        <w:t xml:space="preserve">HAVING REGARD to its resolution of 22 February 2022, concerning the assessment of the concentration operation consisting of the acquisition of exclusive control of Calvi Holding S.p.A. and its subsidiaries by Dea Capital Alternative Funds SGR S.p.A., with which the Authority decided not to initiate the investigation referred to in Article 16, paragraph 4, of the law of 10 October 1990, no. 287;  </w:t>
        <w:br/>
        <w:t xml:space="preserve">HAVING REGARD to its resolution of 22 February 2022, notified on 4 March 2022, with which a procedure was initiated against Dea Capital Alternative Funds SGR S.p.A., in relation to the same operation, for the possible imposition of the administrative fine referred to in Article 19, paragraph 2, of the law of 10 October 1990, no. 287, provided for non-compliance with the obligation of prior notification of concentration operations, as established by Article 16, paragraph 1, of the same law;  </w:t>
        <w:br/>
        <w:t xml:space="preserve">HAVING REGARD to the memorandum from Dea Capital Alternative Funds SGR S.p.A., received on 4 April 2022, within the deadlines set out in Article 18, paragraph 1, of the law of 24 November 1981, no. 689;  </w:t>
        <w:br/>
        <w:t xml:space="preserve">HAVING REGARD to the documents of the procedure;  </w:t>
        <w:br/>
        <w:t>CONSIDERING the following:</w:t>
      </w:r>
    </w:p>
    <w:p>
      <w:r>
        <w:t xml:space="preserve">I. THE PARTIES  </w:t>
        <w:br/>
        <w:t>1. Dea Capital Alternative Funds SGR S.p.A. (hereinafter, Dea) is a company controlled by De Agostini S.p.A., through the company Dea Capital S.p.A., active in the private equity and alternative asset management sector. Dea operates in collective investment management and manages, inter alia, the IDeA CCR II Fund, a closed-end investment fund reserved for qualified investors and specialized in corporate restructuring operations.</w:t>
      </w:r>
    </w:p>
    <w:p>
      <w:r>
        <w:t xml:space="preserve">34 BULLETIN NO. 20 OF MAY 30, 2022  </w:t>
        <w:br/>
        <w:t xml:space="preserve">In 2018, the De Agostini group achieved a total global turnover of approximately [4-5]* billion euros, of which approximately [1-2] billion euros from sales in Italy. In the financial year 2020, the turnover achieved by Dea globally was approximately [517-700] million euros, of which approximately [100-517] million in Italy.  </w:t>
        <w:br/>
        <w:t xml:space="preserve">2. Calvi Holding S.p.A. (hereinafter Calvi or the Target) is the holding company of a group active internationally in the steel sector, more specifically in the production and marketing of special steel profiles or other metal alloys designed by the customer. At the time of the concentration operation in question, Calvi was also active in the production and sale of masts for forklifts, through its equity participation in Lift-Tek Elecar S.p.A. and Lift Technologies Inc., which was sold during 2021.  </w:t>
        <w:br/>
        <w:t xml:space="preserve">3. Prior to the operation in question, the Target was under joint control of Dea, Calfin S.p.A. (hereinafter Calfin), and other individual shareholders from the Chini family, acquired as a result of a concentration operation assessed by the Authority in January 2019. This operation was part of a restructuring agreement pursuant to Article 67, paragraph 3, letter d), of the Bankruptcy Law, between Calvi and its creditors. Dea, a creditor of Calvi, subscribed to a reserved capital increase of Calvi.  </w:t>
        <w:br/>
        <w:t xml:space="preserve">4. Under the Shareholders' Agreement signed in December 2018 between Calfin, Dea, and all other individual shareholders of Calvi, the capital of the Target is divided into type A shares, each of which grants 3 votes at the meeting, and type B shares, which guarantee the possibility of exercising 1 vote for each share.  </w:t>
        <w:br/>
        <w:t xml:space="preserve">5. Dea holds 26% of Calvi's capital, in type A shares, corresponding to 51.32% of the voting rights at the meeting. The remaining 74% of Calvi's capital consists of type B shares, subscribed by Calfin and other individual shareholders from the Chini family, corresponding to 48.7% of the voting rights exercisable at the meeting.  </w:t>
        <w:br/>
        <w:t xml:space="preserve">6. The Shareholders' Agreement (art. 5.2.1) and the Statute of Calvi, in force at the time of the operation assessed by the Authority in January 2019, also provided that the Board of Directors be composed of seven members, of which, until the occurrence of a "Relevant Event" – as defined by the same Agreement – five designated by Calfin and the shareholders from the Chini family and two by Dea. Furthermore, certain qualified matters required the approval with a favorable vote of at least six directors.  </w:t>
        <w:br/>
        <w:t>7. Calvi achieved, in 2018, net of intercompany transactions, a turnover of [100-517] million euros, of which [31-100] in Italy. The turnover for the financial year 2020 was [31-100] million euros globally and [10-31] million euros in Italy.</w:t>
      </w:r>
    </w:p>
    <w:p>
      <w:r>
        <w:t xml:space="preserve">II. DESCRIPTION OF THE OPERATION  </w:t>
        <w:br/>
        <w:t xml:space="preserve">8. The operation consisted of the transition from a situation of joint control over Calvi and its subsidiaries to the exclusive control of Dea over this company and its subsidiaries, as a result of a series of "Relevant Events," as defined by the aforementioned Shareholders' Agreement, which led to the cessation of Dea's commitment, contained in the Agreement itself, to vote in accordance with the indications provided by Calfin and the individual shareholders from the Chini family.  </w:t>
        <w:br/>
        <w:t xml:space="preserve">9. According to what was represented by Dea, less than a year after the signing of the restructuring agreement in December 2018, in which the concentration operation of January 2019 was included, a series of events qualifying as "Relevant Events" under the Shareholders' Agreement occurred, which automatically nullified the governance rules provided for in Article 5 of the same Agreement, allowing Dea, starting from November 2019, to exercise its voting rights at the Calvi meeting in total autonomy and without constraints, even regarding the appointment of the Board of Directors and other extraordinary decisions. Since November 2019, Dea has had the absolute majority of votes in the ordinary and extraordinary meeting of Calvi.  </w:t>
        <w:br/>
        <w:t>10. Furthermore, as a result of the effects arising from the occurrence of the aforementioned events, the Board of Directors of Calvi is no longer composed of seven members. By statutory amendment decided by the extraordinary meeting of Calvi in July 2021, the number of directors was reduced from seven to five. The current Board was voted by the extraordinary meeting on the same occasion and is composed of five members designated by Dea.</w:t>
      </w:r>
    </w:p>
    <w:p>
      <w:r>
        <w:t xml:space="preserve">III. QUALIFICATION OF THE OPERATION  </w:t>
        <w:br/>
        <w:t xml:space="preserve">11. The operation in question, as it involved the acquisition of exclusive control of a company, constitutes a concentration, pursuant to Article 5, paragraph 1, letter b), of law no. 287/90.  </w:t>
        <w:br/>
        <w:t>It falls within the scope of application of law no. 287/90, as the conditions set out in Article 1 of Regulation no. 139/2004 do not apply, and it is subject to the obligation of prior notification established by Article 16, paragraph 1, of law no. 287/90, as the total turnover achieved at the national level by the group of companies involved was, in 2018, above 498 million euros and the total turnover achieved individually at the national level by at least two of the companies involved, in 2018, was above 30 million euros, thresholds applicable ratione temporis.</w:t>
      </w:r>
    </w:p>
    <w:p>
      <w:r>
        <w:t xml:space="preserve">IV. VIOLATION OF THE OBLIGATION OF PRIOR NOTIFICATION  </w:t>
        <w:br/>
        <w:t>12. The operation described above was not subject to prior notification to this Authority, which became aware of it only after its completion, following a response, on 24 January 2022, to a request for information sent on 21 December 2021. The complete notification of the details of the operation with the submission of the relevant form occurred on 3 February 2022.</w:t>
      </w:r>
    </w:p>
    <w:p>
      <w:r>
        <w:t xml:space="preserve">V. THE POSITION OF DEA CAPITAL ALTERNATIVE FUNDS SGR S.p.A.  </w:t>
        <w:br/>
        <w:t xml:space="preserve">13. Dea believes that, in this case, both the subjective element and the objective element of the infringement referred to in Article 19, paragraph 2, of law no. 287/1990 are lacking.  </w:t>
        <w:br/>
        <w:t>14. Firstly, Dea emphasizes that the change in control exercised over Calvi by Dea, which already held joint control as a result of the concentration operation of 2019, occurred due to the automatic activation of a contractual mechanism of which Dea had fully informed the Authority in January 2019, during the notification of that operation.</w:t>
      </w:r>
    </w:p>
    <w:p>
      <w:r>
        <w:rPr>
          <w:b/>
        </w:rPr>
        <w:t>[Pages 34–36]</w:t>
      </w:r>
    </w:p>
    <w:p>
      <w:r>
        <w:t xml:space="preserve">BULLETIN NO. 20 OF MAY 30, 2022  </w:t>
        <w:br/>
        <w:t xml:space="preserve">15. In particular, at the end of 2019, a Relevant Event occurred, to which the agreements between Dea and the other partners of Calvi attributed legal effects capable of impacting corporate control. The occurrence of this event represented a circumstance beyond Dea's control. The automatic mechanism provided for by the Pact as a consequence of the Relevant Event allowed Dea to cast its vote in the assembly without constraints, including regarding the appointment of the Board of Directors and other extraordinary decisions, thus determining, automatically and without the need for further agreements between the Parties, the modification of Calvi's governance, from a situation of joint control to one of exclusive control.  </w:t>
        <w:br/>
        <w:t xml:space="preserve">16. Dea emphasizes that it promptly responded to the Authority's request for clarification dated December 21, 2021, and proceeded to voluntarily notify the change in the nature of control over Calvi on February 3, 2022. On February 7, 2022, this change was also notified to the Bundeskartellamt, which cleared the operation on March 22, 2022, without initiating a procedure for the imposition of sanctions for failure to notify.  </w:t>
        <w:br/>
        <w:t xml:space="preserve">17. Based on what has been represented, Dea believes that the objective basis for the alleged infringement does not exist. In this case, in fact, the change of control resulted from the activation of an automatic mechanism, arising from the agreements of 2018, lacking a preliminary phase in which it would have been objectively possible for the company to submit the assessment of the operation to the Authority. The absence of a phase prior to the change of control would have deprived Dea of the opportunity to proceed with prior notification.  </w:t>
        <w:br/>
        <w:t xml:space="preserve">18. Dea also highlights that the legal interest protected by Article 16, paragraph 1, through the obligation of prior notification of concentration operations corresponds to the safeguarding of competitive structures in the market. Non-compliance with this obligation would therefore violate the norm only to the extent that it is capable of harming the interests it protects. In this regard, Dea notes the absence of any alteration of competitive dynamics in the relevant markets, given that the operation did not result in the creation or strengthening of a dominant position, as noted by the Authority in measure no. 30042 of February 22, 2022.  </w:t>
        <w:br/>
        <w:t xml:space="preserve">19. Similarly lacking, according to Dea, would be the subjective element required by the norm for the existence of a violation of the notification obligation. Article 3 of law 689/1981 requires the intentional or negligent nature of the violations for which an administrative sanction is applicable. To justify the application of a sanction for failure to notify the Authority of a concentration operation, such omission should therefore be committed with intent or negligence by the obligated party. Thus, the automatic nature of the realization of the operation in question would prove the absence of any intentionality in Dea's conduct, that is, of a will aimed at evading the Authority's control over the changed control structure over Calvi. According to Dea, intent would in any case be excluded due to Dea's total lack of interest in evading the Authority's scrutiny, given the absence of prejudicial effects of the operation in question.  </w:t>
        <w:br/>
        <w:t xml:space="preserve">20. Additionally, Dea emphasizes that, based on the revenues for the fiscal year 2020, the operation in question would not have been subject to the obligation of prior notification.  </w:t>
        <w:br/>
        <w:t xml:space="preserve">21. The failure to provide prior notification, therefore, would lack any intentional nature, but also any negligent character. In fact, only as a result of the Authority's request for information did the company become aware of the existence of the related notification obligation and proceeded to voluntarily communicate the concentration operation in question, providing maximum cooperation. The lateness of this communication would also be justified in light of the difficult economic and financial conditions of the Calvi group during the period in which the change of control occurred, combined with the organizational and logistical difficulties related to the Covid-19 pandemic.  </w:t>
        <w:br/>
        <w:t xml:space="preserve">22. Therefore, the Party requests the Authority not to impose a sanction in light of the absence of the constitutive elements of the case referred to in Article 19, paragraph 2, of law 287/1990.  </w:t>
        <w:br/>
        <w:t xml:space="preserve">23. In the alternative, the Parties request the Authority to take into account, in calculating any sanction, the criteria set out in Article 11 of law no. 689/1981, also in light of its own decision-making practice, considering the following factors: i) absence of intent and/or gross negligence; ii) lack of restrictive effects on competition resulting from the operation; iii) spontaneity and promptness of the communication, cooperation provided during the procedure; iv) particular complexity of the economic and social context of the Covid-19 pandemic in the period immediately following the change of control.  </w:t>
        <w:br/>
        <w:t xml:space="preserve">VI. EVALUATION REGARDING THE FAILURE TO NOTIFY  </w:t>
        <w:br/>
        <w:t xml:space="preserve">24. From the documents of the procedure, it appears that the described concentration operation was carried out at a time prior to when it was communicated to the Authority, so that the aforementioned obligation of prior notification was violated.  </w:t>
        <w:br/>
        <w:t xml:space="preserve">25. Regarding the identification of the responsible parties under Article 16 of law no. 287/90, it is noted that, since the obligation of prior notification falls on the companies acquiring control, the responsibility for the failure to communicate the operation can be attributed to Dea, as the acquirer of exclusive control over Calvi.  </w:t>
        <w:br/>
        <w:t xml:space="preserve">26. With regard to the subjective element of the infringement, the established circumstances lead to exclude the existence of a will directed at fraudulently evading the Authority's control over concentration operations. However, since Article 3 of law no. 689/1981 provides for liability for a fraudulent or negligent action or omission, in this case, there is a culpable delay in the communication of the concentration operation related to Dea's acquisition of exclusive control over Calvi, which occurred at the end of 2019 and was communicated only on February 3, 2022. In fact, although the operation occurred as a result of the automatic mechanism defined in the previously stipulated shareholder agreements, these were fully known to Dea, as a signatory of such agreements.  </w:t>
        <w:br/>
        <w:t xml:space="preserve">27. Regarding the objective element of the infringement, the Party's thesis, according to which the lack of a moment prior to the change of control, arising from the automatic activation of the 2018 agreements, would have deprived Dea of the opportunity to proceed with a prior notification of the operation, cannot be accepted. At the time of the occurrence of the "Relevant Event," in fact, Dea, fully aware of the Agreements stipulated and their implications, should have proceeded with an immediate notification to the Authority of the change in the control structure over Calvi.  </w:t>
        <w:br/>
        <w:t xml:space="preserve">28. It is also noted that any consideration regarding the effects of the operation is irrelevant both for the purpose of ascertaining the violation of the obligation of prior notification and for the purpose of applying the related sanction. In fact, the provisions of Article 19, paragraph 2, of law no. 287/90 were established by the legislator to protect the respect of the Authority's competencies regarding the control of concentrations, consisting of necessarily preventive analysis and verification activities that are, consequently, irreparably evaded in the event of failure to notify.  </w:t>
        <w:br/>
        <w:t xml:space="preserve">29. Having verified, based on the above considerations, the violation of Article 16, paragraph 1, of law no. 287/90, it is deemed appropriate to proceed with the imposition of a sanction. To this end, Article 11 of law no. 689/1981 provides to refer, for the purpose of determining the fine, "to the severity of the violation, to the efforts made by the agent to eliminate or mitigate the consequences of the violation, as well as to the personality of the same and to their economic conditions."  </w:t>
        <w:br/>
        <w:t xml:space="preserve">30. Regarding the severity of the infringement, this must be assessed taking into account a set of factors, among which are the competitive effects of the late notified operation. From this point of view, no prejudicial effects were produced in the relevant market, as assessed in the measure of February 22, 2022, with which the Authority decided not to initiate the investigation referred to in Article 16, paragraph 4, of law no. 287/90.  </w:t>
        <w:br/>
        <w:t xml:space="preserve">31. The extent of the delay (approximately two years) in the communication of the operation appears limited. It is noted, however, that in the absence of the information request activity carried out by the Authority, the infringement could have lasted longer or still be ongoing.  </w:t>
        <w:br/>
        <w:t xml:space="preserve">32. Regarding the subjective characteristics of the companies in terms of their economic conditions, it is noted that in 2020 Dea achieved a turnover of [517-700] million euros.  </w:t>
        <w:br/>
        <w:t xml:space="preserve">33. For these reasons, considering also the economic and financial conditions of the Party, a circumstance also invoked by Article 11 of law no. 689/1981, the Authority deems it appropriate to impose a sanction on the company Dea Capital Alternative Funds SGR S.p.A. in the amount of €6,460.33 (six thousand four hundred sixty/33 euros).  </w:t>
        <w:br/>
        <w:t xml:space="preserve">CONSIDERING, therefore, that the operation in question, as it involved the acquisition of exclusive control of a company, constituted a concentration pursuant to Article 5, paragraph 1, letter b), of law no. 287/90;  </w:t>
        <w:br/>
        <w:t xml:space="preserve">CONSIDERING that the operation was subject to the obligation of prior notification provided for by Article 16, paragraph 1, of the aforementioned law, given that the turnover achieved at the national level in the last fiscal year closed prior to the realization of the aforementioned concentration operation by the set of interested companies and the total turnover achieved individually at the national level by at least two of the interested companies was found to exceed the thresholds referred to in Article 16, paragraph 1, of law no. 287/90, provided at the time of the realization of the operation itself;  </w:t>
        <w:br/>
        <w:t>CONSIDERING that the operation was not communicated in advance pursuant to Article 16, paragraph 1, of law no. 287/90 and that, therefore, the Authority, pursuant to Article 19, paragraph 2, of the same law, can impose on the subject who has not complied with the related obligation, for</w:t>
      </w:r>
    </w:p>
    <w:p>
      <w:r>
        <w:rPr>
          <w:b/>
        </w:rPr>
        <w:t>[Pages 37–39]</w:t>
      </w:r>
    </w:p>
    <w:p>
      <w:r>
        <w:t xml:space="preserve">BULLETIN NO. 20 OF MAY 30, 2022 39  </w:t>
        <w:br/>
        <w:t xml:space="preserve">the late communicated operation, administrative fines of up to one percent of the turnover achieved in the year preceding the one in which the dispute was made;  </w:t>
        <w:br/>
        <w:t xml:space="preserve">CONSIDERING, regarding the identification of the subjects responsible for the contested infringement, that the concentration operation is individually attributable to the company Dea Capital Alternative Funds SGR S.p.A.;  </w:t>
        <w:br/>
        <w:t xml:space="preserve">CONSIDERING that the conditions justifying the imposition of the sanction referred to in Article 19, paragraph 2, of law no. 287/90, against the company Dea, exist, in the amount of €6,460.33, a sanction that appears appropriate to achieve the objective of ensuring that the control activity of concentrations attributed to the Authority is based on the systematic and diligent compliance with the obligation of prior notification established by Article 16 of law no. 287/90;  </w:t>
        <w:br/>
        <w:t xml:space="preserve">RESOLVES  </w:t>
        <w:br/>
        <w:t xml:space="preserve">a) that the conduct carried out by the company Dea Capital Alternative Funds SGR S.p.A., consisting of the failure to notify the acquisition of exclusive control of the company Calvi Holding S.p.A., constitutes a violation of Article 16, paragraph 1, of law no. 287/90;  </w:t>
        <w:br/>
        <w:t xml:space="preserve">b) to impose on the company Dea Capital Alternative Funds SGR S.p.A. an administrative fine of €6,460.33 (six thousand four hundred sixty/33 euros).  </w:t>
        <w:br/>
        <w:t xml:space="preserve">The above administrative fine must be paid within ninety days from the notification of this measure, using the attached model F24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online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sanctions is increased by one-tenth for each semester starting from the day following the payment deadline until the role is transmitted to the collection agent; in this case, the increase absorbs the late payment interest accrued in the same period.  </w:t>
        <w:br/>
        <w:t>The company Dea Capital Alternative Fund SGR S.p.A. is required to immediately notify the Authority of the payment made by sending a copy of the model certifying the payments made.</w:t>
      </w:r>
    </w:p>
    <w:p>
      <w:r>
        <w:t xml:space="preserve">40 BULLETIN NO. 20 OF MAY 30, 2022  </w:t>
        <w:br/>
        <w:t xml:space="preserve">This measure will be published in the Bulletin of the Competition and Market Authority.  </w:t>
        <w:br/>
        <w:t xml:space="preserve">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measure itself.  </w:t>
        <w:br/>
        <w:t xml:space="preserve">THE SECRETARY GENERAL THE PRESIDENT  </w:t>
        <w:br/>
        <w:t>Guido Stazi Roberto Rustichelli</w:t>
      </w:r>
    </w:p>
    <w:p>
      <w:r>
        <w:t xml:space="preserve">BULLETIN NO. 20 OF MAY 30, 2022 41  </w:t>
        <w:br/>
        <w:t xml:space="preserve">C12448 - GALILEO DIECI/ARBO  </w:t>
        <w:br/>
        <w:t xml:space="preserve">Measure no. 30147  </w:t>
        <w:br/>
        <w:t>THE COMPETITION AND MARKET AUTHORITY</w:t>
      </w:r>
    </w:p>
    <w:p>
      <w:r>
        <w:t xml:space="preserve">IN ITS MEETING of 10 May 2022;  </w:t>
        <w:br/>
        <w:t xml:space="preserve">HEARD the Rapporteur Professor Michele Ainis;  </w:t>
        <w:br/>
        <w:t xml:space="preserve">HAVING REGARD to the law of 10 October 1990, no. 287;  </w:t>
        <w:br/>
        <w:t xml:space="preserve">HAVING REGARD to the D.P.R. of 30 April 1998, no. 217;  </w:t>
        <w:br/>
        <w:t xml:space="preserve">HAVING REGARD to the communication from the company Galileo Dieci S.à r.l., received on 22 April 2022;  </w:t>
        <w:br/>
        <w:t xml:space="preserve">CONSIDERING the following:  </w:t>
        <w:br/>
        <w:t xml:space="preserve">I. THE PARTIES  </w:t>
        <w:br/>
        <w:t xml:space="preserve">1. Galileo Dieci S.à r.l. (hereinafter, Galileo) is a holding company under Luxembourg law, wholly controlled by NB Renaissance Partners Holdings S.à r.l. (hereinafter, NBRP Holdings), a company under Luxembourg law whose share capital is held by NB Renaissance Partners S.à r.l. SICAV-RAIF (hereinafter, NBRP), a private equity fund under Luxembourg law. NBRP is managed by Neuberger Berman AIFM S.à r.l. (hereinafter, NB AIFM), a company under Luxembourg law, which is in turn subject to the indirect control of Neuberger Berman Group, L.L.C. (hereinafter, NB). NB manages equity, bond, private equity, and hedge fund portfolios for institutions and intermediaries globally.  </w:t>
        <w:br/>
        <w:t xml:space="preserve">2. In 2020, the NB Group achieved a worldwide turnover of approximately [3-4]* billion euros, of which approximately [1-2] billion euros from sales in the European Union and approximately [1-2] billion euros from sales in Italy.  </w:t>
        <w:br/>
        <w:t xml:space="preserve">3. Arbo S.p.A. (hereinafter, Arbo or the Target) is a company at the head of the eponymous group active in the wholesale and retail trade (including electronic) of spare parts, components, and accessories for heaters, radiators, boilers, air conditioning systems, and sanitary ware.  </w:t>
        <w:br/>
        <w:t xml:space="preserve">4. The share capital of Arbo is held by Solferino 1 S.r.l., Bravo Capital Partners S.C.A. RAIF, and Società Interessenze e Partecipazioni S.r.l.  </w:t>
        <w:br/>
        <w:t xml:space="preserve">5. In 2021, the Arbo Group achieved a consolidated worldwide turnover of approximately [31-100] million euros, of which approximately [31-100] million euros from sales in the European Union and approximately [31-100] million euros from sales in Italy.  </w:t>
        <w:br/>
        <w:t xml:space="preserve">II. DESCRIPTION OF THE OPERATION  </w:t>
        <w:br/>
        <w:t xml:space="preserve">6. The notified Operation consists of the acquisition, by Galileo, of the entire share capital of Arbo.  </w:t>
        <w:br/>
        <w:t xml:space="preserve">7. According to the statements made by the Parties, the operation does not involve ancillary restrictions.  </w:t>
        <w:br/>
        <w:t>* In this version, some data are omitted, as elements of confidentiality or secrecy of the information were deemed to exist.</w:t>
      </w:r>
    </w:p>
    <w:p>
      <w:r>
        <w:rPr>
          <w:b/>
        </w:rPr>
        <w:t>[Pages 40–42]</w:t>
      </w:r>
    </w:p>
    <w:p>
      <w:r>
        <w:t xml:space="preserve">42 BULLETIN NO. 20 OF MAY 30, 2022  </w:t>
        <w:br/>
        <w:t xml:space="preserve">III. QUALIFICATION OF THE OPERATION  </w:t>
        <w:br/>
        <w:t xml:space="preserve">8. The notified operation, as it involves the acquisition of exclusive control of a company, constitutes a concentration pursuant to Article 5, paragraph 1, letter b), of law no. 287/90.  </w:t>
        <w:br/>
        <w:t xml:space="preserve">9.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was over 517 million euros and the turnover achieved individually at the national level by at least two of the companies involved was over 31 million euros.  </w:t>
        <w:br/>
        <w:t xml:space="preserve">IV. ASSESSMENT OF THE CONCENTRATION  </w:t>
        <w:br/>
        <w:t xml:space="preserve">Relevant markets  </w:t>
        <w:br/>
        <w:t xml:space="preserve">10. From a product perspective, considering the activity of the Target, the operation concerns (i) the market for wholesale and retail trade, including electronic trade, of spare parts, components, and accessories for heaters, radiators, boilers, air conditioning systems, (ii) the market for the sale of air conditioning systems, and (iii) the market for the sale of accessories and hydraulic components and products for the bathroom environment.  </w:t>
        <w:br/>
        <w:t xml:space="preserve">11. From a geographical perspective, the size of the three markets can be considered national, due to the low impact of transportation costs.  </w:t>
        <w:br/>
        <w:t xml:space="preserve">12. However, for the purposes of this operation, it does not appear necessary to arrive at an exact definition of the geographical markets as the competitive assessment of the operation would not change.  </w:t>
        <w:br/>
        <w:t xml:space="preserve">Effects of the operation  </w:t>
        <w:br/>
        <w:t xml:space="preserve">13. In the Italian markets of wholesale and retail trade, including electronic trade, of spare parts, components, and accessories for heaters, radiators, boilers, air conditioning systems, the sale of air conditioning systems, and the sale of accessories and hydraulic components and products for the bathroom environment, the Target holds shares of approximately 15-20%, less than 1%, and less than 1%, respectively, while the NB Group is not active.  </w:t>
        <w:br/>
        <w:t xml:space="preserve">14. In these markets, there are numerous and qualified competitors.  </w:t>
        <w:br/>
        <w:t xml:space="preserve">15. In light of the above considerations, it is believed that in the relevant markets the operation will not have adverse effects on competition, not resulting in substantial changes in the competitive structure of the same.  </w:t>
        <w:br/>
        <w:t xml:space="preserve">IT IS THEREFORE CONSIDERED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not to initiate the investigation referred to in Article 16, paragraph 4, of law no. 287/90.</w:t>
      </w:r>
    </w:p>
    <w:p>
      <w:r>
        <w:t xml:space="preserve">BULLETIN NO. 20 OF MAY 30, 2022 43  </w:t>
        <w:br/>
        <w:t xml:space="preserve">The above conclusions will be communicated, pursuant to Article 16, paragraph 4, of law no. 287/90, to the companies involved and to the Minister of Economic Development.  </w:t>
        <w:br/>
        <w:t xml:space="preserve">This measure will be published in the Bulletin of the Competition and Market Authority.  </w:t>
        <w:br/>
        <w:t xml:space="preserve">THE SECRETARY GENERAL THE PRESIDENT  </w:t>
        <w:br/>
        <w:t>Guido Stazi Roberto Rustichelli</w:t>
      </w:r>
    </w:p>
    <w:p>
      <w:r>
        <w:t xml:space="preserve">44 BULLETIN NO. 20 OF MAY 30, 2022  </w:t>
        <w:br/>
        <w:t xml:space="preserve">C12449 - MARIGLIANO/BARCELLA ELECTRICAL SUPPLIES  </w:t>
        <w:br/>
        <w:t xml:space="preserve">Measure no. 30148  </w:t>
        <w:br/>
        <w:t xml:space="preserve">THE COMPETITION AND MARKET AUTHORITY  </w:t>
        <w:br/>
        <w:t xml:space="preserve">IN ITS MEETING of 10 May 2022;  </w:t>
        <w:br/>
        <w:t xml:space="preserve">HEARD the Rapporteur, Professor Elisabetta Iossa;  </w:t>
        <w:br/>
        <w:t xml:space="preserve">HAVING REGARD to the law of 10 October 1990, no. 287;  </w:t>
        <w:br/>
        <w:t xml:space="preserve">HAVING REGARD to the Presidential Decree of 30 April 1998, no. 217;  </w:t>
        <w:br/>
        <w:t xml:space="preserve">HAVING REGARD to the communication from Marigliano S.p.A. received on 26 April 2022;  </w:t>
        <w:br/>
        <w:t xml:space="preserve">CONSIDERED the following:  </w:t>
        <w:br/>
        <w:t xml:space="preserve">I. THE PARTIES  </w:t>
        <w:br/>
        <w:t xml:space="preserve">1. Marigliano S.p.A. (hereinafter "Marigliano") is a company active in Italy in the wholesale and retail trade of civil and industrial electrical materials, mainly through the acquisition of stakes in companies directly operating in this sector.  </w:t>
        <w:br/>
        <w:t xml:space="preserve">Marigliano is controlled by individuals and its capital is evenly divided among three individuals.  </w:t>
        <w:br/>
        <w:t xml:space="preserve">2. In 2020, the total turnover of the companies of the Marigliano group involved in the concentration was approximately [517-700]* million euros for sales in Italy.  </w:t>
        <w:br/>
        <w:t xml:space="preserve">3. Barcella Elettroforniture S.p.A. (hereinafter "Barcella" or "the Target") is also active in Italy in the wholesale and retail trade of civil and industrial electrical materials, and its capital is entirely held by an individual, Mrs. [omitted].  </w:t>
        <w:br/>
        <w:t xml:space="preserve">4. In 2020, the turnover achieved in Italy by Barcella was approximately 136 million euros.  </w:t>
        <w:br/>
        <w:t xml:space="preserve">II. DESCRIPTION OF THE OPERATION  </w:t>
        <w:br/>
        <w:t xml:space="preserve">5. The notified concentration consists of the acquisition by Marigliano of exclusive control of Barcella, through the purchase of the entire capital of the latter.  </w:t>
        <w:br/>
        <w:t xml:space="preserve">6. No accessory restrictions are provided for the notified concentration operation.  </w:t>
        <w:br/>
        <w:t xml:space="preserve">III. QUALIFICATION OF THE OPERATION  </w:t>
        <w:br/>
        <w:t xml:space="preserve">7. The communicated operation constitutes a concentration pursuant to Article 5, paragraph 1, letter b), of law no. 287/90, as it involves the acquisition of exclusive control of a company.  </w:t>
        <w:br/>
        <w:t xml:space="preserve">8. It falls within the scope of application of law no. 287/90, as the conditions set out in Article 1 of Regulation EC 139/2004 do not apply, and it is subject to the obligation of prior notification provided for by Article 16, paragraph 1, of the same law, as the total turnover achieved in the last financial year at the national level by the group of companies involved was  </w:t>
        <w:br/>
        <w:t>* In this version, some data are omitted, as elements of confidentiality or secrecy of the information were deemed to exist.</w:t>
      </w:r>
    </w:p>
    <w:p>
      <w:r>
        <w:rPr>
          <w:b/>
        </w:rPr>
        <w:t>[Pages 43–45]</w:t>
      </w:r>
    </w:p>
    <w:p>
      <w:r>
        <w:t xml:space="preserve">BULLETIN NO. 20 OF MAY 30, 2022 45  </w:t>
        <w:br/>
        <w:t xml:space="preserve">exceeding 517 million euros and the total turnover achieved, in the last financial year at the national level, individually by at least two of the companies involved was over 31 million euros.  </w:t>
        <w:br/>
        <w:t xml:space="preserve">IV. ASSESSMENT OF THE CONCENTRATION  </w:t>
        <w:br/>
        <w:t xml:space="preserve">IV.1 The relevant product and geographic markets  </w:t>
        <w:br/>
        <w:t xml:space="preserve">9. Based on the Authority's precedents1, taking into account the activity carried out by the company subject to acquisition, from a commodity perspective, the operation in question concerns the wholesale marketing and, to a marginal extent, retail of electrical materials, both civil and industrial.  </w:t>
        <w:br/>
        <w:t xml:space="preserve">According to the data provided by the Parties, retail sales to individuals and small appliances have, in fact, for both Parties, an incidence of less than [1-5%] of their respective turnover.  </w:t>
        <w:br/>
        <w:t xml:space="preserve">10. This commodity area concerns the wholesale and retail distribution, by operators in the sector, of various types of electrical materials, which are intended for both the electromechanical and electronic sectors and are purchased by customers, predominantly industries, public entities, construction companies, panel builders, industrial automation specialists, electrical installers, including specialized and large-scale ones, as well as, to a lesser extent, retail distributors who resell to individuals or, to an even lesser extent, directly from private individuals.  </w:t>
        <w:br/>
        <w:t xml:space="preserve">11. According to what has been represented by the Parties, this is a mature sector subject to recent changes with the entry of competitors active also at the international level, due to the absence of significant entry barriers of a technological and legal nature, as evidenced by the various entries that have occurred over the last ten years.  </w:t>
        <w:br/>
        <w:t xml:space="preserve">Almost all products marketed in Italy are purchased from suppliers based in the EU. The companies participating in the concentration do not have foreign affiliates. The Parties also report a significant phenomenon of market share transfer towards new distribution channels, including e-commerce and large-scale distribution, as well as the emergence of new market outlets, including, for example, building automation and home automation.  </w:t>
        <w:br/>
        <w:t xml:space="preserve">12. According to what has been represented by the Parties, there is a significant phenomenon of direct sales - without the intermediation of wholesalers - from producers to end customers, whose activity is therefore in competition with wholesale distributors.  </w:t>
        <w:br/>
        <w:t xml:space="preserve">13. Based on the data provided by the notifying Party, at the national level, the overall size of the sector expressed in sales value exceeded 12 billion euros in 2020. Consequently, the market share held in this geographic area by Marigliano in the same financial year was approximately [1-5%], while that achieved by the Target was approximately [1-5%].  </w:t>
        <w:br/>
        <w:t xml:space="preserve">There are several qualified competitors active in the sector, with sizes comparable to those reached by the Parties: among these, Sonepar Italia ([1-5%]), Sacchi S.p.A. ([1-5%]), Comet S.p.A. ([1-5%]).  </w:t>
        <w:br/>
        <w:t xml:space="preserve">14. Based on the precedents in the matter, from a geographic point of view, the wholesale distribution of electrical materials is considered to be of regional size, that is, provincial/multi-provincial, taking into account the operational scope of wholesalers who, in general, serve a rather extensive territorial area (retail distribution, on the other hand, typically assumes a local relevance). In this specific case, however, it is not necessary to arrive at a precise geographic delimitation of the market, as the assessment of the competitive impact of the operation does not change, whatever definition is adopted.  </w:t>
        <w:br/>
        <w:t xml:space="preserve">15. Considering the activity carried out by the company subject to acquisition, from a geographic point of view, the regions of Lombardy, Emilia Romagna, and Veneto and their respective provinces are involved in the operation in question. In these geographic areas, Marigliano is not active except to a completely marginal extent, since the company is present in Campania, Lazio, Puglia, and Marche, with the exception of 4 sales points held in Emilia Romagna. However, the notifying Party clarified that these sales points are located in the provinces of Romagna, while Barcella is present only in the Emilian provinces.  </w:t>
        <w:br/>
        <w:t xml:space="preserve">IV.2 Effects of the operation  </w:t>
        <w:br/>
        <w:t xml:space="preserve">16. The operation in question consists of the acquisition of exclusive control of Barcella by Marigliano. The acquisition will not result in horizontal overlaps between the activities of the Parties in the relevant markets of the sector of marketing civil and industrial electrical materials, both wholesale and retail, since the parties are active in different geographic areas, except for a limited overlap in Emilia Romagna. The rationale of the operation lies, in fact, in the buyer's intention to geographically extend its operational scope to northern Italy.  </w:t>
        <w:br/>
        <w:t xml:space="preserve">17. As mentioned, the wholesale trade of electrical materials assumes a regional or subregional geographic dimension. The retail activities of the Parties in electrical materials have a marginal impact on the total sales of the companies. Marigliano is active - both wholesale and retail - in the regions of Campania, Lazio, Marche, and Puglia and only marginally in Romagna, with 4 sales points. Barcella holds sales points only in the regions of Lombardy, Veneto, and Emilia. At the national level, in any case, the concentration will result in a limited joint market share ([5-10%]), in the presence of several competitors with similar market shares.  </w:t>
        <w:br/>
        <w:t xml:space="preserve">18. In light of the above considerations, the concentration in question does not appear to be capable of significantly altering the competitive dynamics in the relevant markets.  </w:t>
        <w:br/>
        <w:t xml:space="preserve">THEREFORE, IT IS CONSIDERED that the operation in question, consisting of the acquisition of exclusive control of Barcella by Marigliano,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The above conclusions will be communicated, pursuant to Article 16, paragraph 4, of law no. 287/90, to the companies involved and to the Minister of Economic Development.</w:t>
      </w:r>
    </w:p>
    <w:p>
      <w:r>
        <w:t xml:space="preserve">BULLETIN NO. 20 OF MAY 30, 2022 47  </w:t>
        <w:br/>
        <w:t xml:space="preserve">The measure will be published in the Bulletin of the Competition and Market Authority.  </w:t>
        <w:br/>
        <w:t xml:space="preserve">THE SECRETARY GENERAL THE PRESIDENT  </w:t>
        <w:br/>
        <w:t>Guido Stazi Roberto Rustichelli</w:t>
      </w:r>
    </w:p>
    <w:p>
      <w:r>
        <w:rPr>
          <w:b/>
        </w:rPr>
        <w:t>[Pages 46–48]</w:t>
      </w:r>
    </w:p>
    <w:p>
      <w:r>
        <w:t xml:space="preserve">48 BULLETIN NO. 20 OF MAY 30, 2022  </w:t>
        <w:br/>
        <w:t xml:space="preserve">ACTIVITY OF REPORTING AND CONSULTATION  </w:t>
        <w:br/>
        <w:t xml:space="preserve">AS1836 - MUNICIPALITY OF ROSIGNANO MARITTIMO (LI) – ASSIGNMENT  </w:t>
        <w:br/>
        <w:t xml:space="preserve">OF MARITIME STATE CONCESSION  </w:t>
        <w:br/>
        <w:t xml:space="preserve">Rome, April 14, 2022  </w:t>
        <w:br/>
        <w:t xml:space="preserve">Municipality of Rosignano Marittimo  </w:t>
        <w:br/>
        <w:t xml:space="preserve">The Competition and Market Authority, in its meeting of April 12, 2022,  </w:t>
        <w:br/>
        <w:t xml:space="preserve">resolved to express its opinion, pursuant to Article 21-bis of the law of October 10, 1990, no. 287, regarding the “Public tender procedure for the concession of enhancement and economic utilization, pursuant to Article 3-bis of Decree Law no. 351/2001 converted by Law no. 410/2001 and subsequent amendments, of areas and structures located in Loc. Lillatro and intended for bathing activities, food and beverage service, parking, and for the concession of maritime areas” announced by this Municipality, and any other act presupposed and consequent to it.  </w:t>
        <w:br/>
        <w:t xml:space="preserve">In this regard, in general terms, the Authority, in previous advocacy interventions, has repeatedly stated the necessity of proceeding with the awarding of concessions – including those concerning maritime state assets – through the conduct of public tender procedures, primarily to capture the benefits arising from competition for the market and to allow the most efficient possible allocation of public resources. With specific reference to maritime state concessions, competitive comparison must always be guaranteed in the awarding of services affecting scarce state resources, in a market context where, in most cases, competitive dynamics are already particularly weakened due to the long duration of the currently existing concessions.  </w:t>
        <w:br/>
        <w:t xml:space="preserve">That said, the Authority views favorably the choice made by this Municipality to conduct, for the awarding of the concessions in question (an enhancement concession for catering and parking services and a maritime state concession), a public tender procedure.  </w:t>
        <w:br/>
        <w:t xml:space="preserve">However, from the analysis of the provisions contained in the related Tender Specifications, an element emerges that carries competitive restrictions specifically regarding the participation requirement related to technical and professional capacity (Article 5, letter d), of the Tender Specifications). This requirement, in fact, includes having operated for at least three of the last five years, not only catering activities but also activities “related to bathing,” indicating for the latter purpose by way of example the management of bathing establishments or the rental of bathing equipment.  </w:t>
        <w:br/>
        <w:t xml:space="preserve">In this regard, it is highlighted that the requirement related to prior activity in the management of bathing establishments is unjustifiably restrictive, as it precludes the possibility of participation in the procedure for entities that can be defined as new entrants, that is, characterized by little or no (recent) prior experience in the sector. This is indeed an activity typically carried out under a concession regime, for which the possession of prior experience ends up restricting potential participants in the tender to the circle of operators who already have or have had in the recent past beach concessions.  </w:t>
        <w:br/>
        <w:t xml:space="preserve">The activity to be carried out in relation to the maritime state concession (summarizable in the provision of bathing services), moreover, does not appear to require, for any general reason, the necessity of having carried out such services in the recent past (unless obviously regarding the availability of the necessary legal certifications).  </w:t>
        <w:br/>
        <w:t xml:space="preserve">Nor do the possibilities of participating in the tender in an aggregated form and the possible recourse to the institution of subcontracting appear sufficient to mitigate these competitive issues. These are, in fact, instruments that nonetheless introduce an unnecessary aggravation of the participation burdens on new entrants, generally small-sized entities with little experience who might renounce participation itself due to the excessive bureaucratic burdens it would entail (consider the activity of seeking partners and the legal/contractual activity for the formal establishment of a temporary association of enterprises, the activity of seeking and contracting an auxiliary company, etc.).  </w:t>
        <w:br/>
        <w:t xml:space="preserve">In conclusion, therefore, from the analysis carried out, it emerges that the aforementioned provision of the Tender Specifications lacks the characteristics of necessity and proportionality and is likely to result in a potential significant reduction of favor participationis, effectively precluding participation in the competitive procedure in question to new entrants in the market, as well as to entities with recent but temporally limited experience in the sector (less than the three years required).  </w:t>
        <w:br/>
        <w:t xml:space="preserve">In this regard, therefore, for the purposes of protecting competition, the Authority deems it appropriate to eliminate, from letter d) of Article 5 of the Tender Specifications in question, the request to have managed for at least three of the last five years “activities related to bathing.”  </w:t>
        <w:br/>
        <w:t xml:space="preserve">In conclusion, the participation requirement for the public procedure in question, relating to the possession of the necessary level of technical and professional capacity, appears to integrate a preference in favor of operators (bathing) already active in the market, to the detriment of new entrants (that is, with little or no recent experience in the sector), such as to effectively restrict the number of participants and therefore the potential benefits arising from the use of tender procedures.  </w:t>
        <w:br/>
        <w:t xml:space="preserve">The aforementioned requirement, therefore, constitutes a violation of Articles 10 and 12 of Directive 2006/123/EC (so-called Services Directive) and of Articles 14 and 16 of the related Legislative Decree of implementation (Decree no. 59/2010), as well as Article 30 of Legislative Decree no. 50/2016 (Public Contracts Code).  </w:t>
        <w:br/>
        <w:t xml:space="preserve">1 “Requirement of technical and professional capacity: having managed, in an entrepreneurial manner, in the last 5 years, for a period of not less than 3 total years, structures intended for the provision of food and beverage services, and activities related to bathing (by way of example: management of bathing establishments, rental of bathing equipment).”  </w:t>
        <w:br/>
        <w:t>2 Where it is specifically required that contracting authorities respect the principles of competition, non-discrimination, and proportionality (paragraph 1) and that they cannot artificially limit competition in order to favor or disadvantage certain economic operators (paragraph 2); in this case, it may also highlight the provision that the criteria for participation in tenders must be such as not to exclude micro, small, and medium enterprises (paragraph 7).</w:t>
      </w:r>
    </w:p>
    <w:p>
      <w:r>
        <w:t xml:space="preserve">50 BULLETIN NO. 20 OF MAY 30, 2022  </w:t>
        <w:br/>
        <w:t xml:space="preserve">Pursuant to Article 21-bis, paragraph 2, of law no. 287/1990, therefore, the Municipality of Rosignano Marittimo must communicate to the Authority, within sixty days from the receipt of this opinion, the initiatives taken to remove the aforementioned competition violations. If within the aforementioned term such initiatives do not prove to be compliant with the competitive principles expressed above, the Authority may file an appeal within the subsequent thirty days.  </w:t>
        <w:br/>
        <w:t xml:space="preserve">THE PRESIDENT  </w:t>
        <w:br/>
        <w:t xml:space="preserve">Roberto Rustichelli  </w:t>
        <w:br/>
        <w:t xml:space="preserve">_______________________________________________________________________________  </w:t>
        <w:br/>
        <w:t xml:space="preserve">Communication regarding the Authority's decision not to appeal against the tender of the public procedure announced by the municipality of Rosignano Marittimo for the awarding of an enhancement concession (for structures and areas intended for bar/catering and parking services) and a maritime state concession (for a portion of beach on maritime state land)  </w:t>
        <w:br/>
        <w:t xml:space="preserve">In its meeting of April 12, 2022, the Competition and Market Authority resolved to send to the municipality of Rosignano Marittimo a reasoned opinion, pursuant to Article 21-bis of the law of October 10, 1990, no. 287, regarding the public procedure announced for the awarding of an enhancement concession (for structures and areas intended for bar/catering and parking services) and a maritime state concession (for a portion of beach on maritime state land), and any other act presupposed and consequent to it.  </w:t>
        <w:br/>
        <w:t>In particular, the Competition and Market Authority noted - with specific reference to the maritime state concession - how competitive restrictions could arise from the participation requirement related to technical and professional capacity (Article 5, letter d), of the Tender Specifications). This requirement, in fact, includes having operated for at least three of the last five years, not only catering activities but also activities “related to bathing,” indicating for the latter purpose by way of example the management of bathing establishments or the rental of bathing equipment. In this regard, the Authority emphasized how the requirement related to prior activity in the management of bathing establishments could be unjustifiably restrictive, as it specifically precludes the possibility of participation in the procedure for entities that can be defined as new entrants. In particular, the Authority pointed out to the Municipality that this is an activity typically carried out under a concession regime, for which the possession of prior experience ends up restricting potential participants in the tender to the circle of operators who already have or have had in the recent past beach concessions.</w:t>
      </w:r>
    </w:p>
    <w:p>
      <w:r>
        <w:rPr>
          <w:b/>
        </w:rPr>
        <w:t>[Pages 49–51]</w:t>
      </w:r>
    </w:p>
    <w:p>
      <w:r>
        <w:t xml:space="preserve">BULLETIN NO. 20 OF MAY 30, 2022 51  </w:t>
        <w:br/>
        <w:t xml:space="preserve">participants in the tender to the circle of operators who already have, or have had in the recent past, beach concessions.  </w:t>
        <w:br/>
        <w:t xml:space="preserve">Following the receipt of said reasoned opinion, the municipality of Rosignano Marittimo, with communication received on 6 May 2022, provided the Authority with the necessary clarifications to respond to the observations made in the opinion itself, regarding the specific profile of the possible competitive restriction identified with reference to the aforementioned technical participation requirement. In particular, as clarified, the scope of this requirement is not limited to only the concessionaires (current or recent past): the participation requirement in question, in fact, does not solely concern the past management of a beach concession, but also includes related activities ("correlated") but outside of the concession. Participation in the tender in question is therefore open to non-concessionaires (neither present nor past), provided they possess experience in the sector that appears reasonable given that it is a particularly complex assignment.  </w:t>
        <w:br/>
        <w:t>Taking note of the clarifications provided, the Competition and Market Authority, in its meeting of 24 May 2022, deemed that the grounds for a possible appeal before the administrative judge against the contested acts had ceased to exist.</w:t>
      </w:r>
    </w:p>
    <w:p>
      <w:r>
        <w:t xml:space="preserve">52 BULLETIN NO. 20 OF MAY 30, 2022  </w:t>
        <w:br/>
        <w:t xml:space="preserve">AS1837 - MODALITIES FOR THE ADMISSION AND CONTROL OF PIG GENETIC TYPES INDICATED IN THE SPECIFICATIONS OF DOP AND IGP  </w:t>
        <w:br/>
        <w:t xml:space="preserve">Rome, 12 May 2022  </w:t>
        <w:br/>
        <w:t xml:space="preserve">Minister of Agricultural, Food and Forestry Policies  </w:t>
        <w:br/>
        <w:t xml:space="preserve">The Competition and Market Authority, with this report, adopted pursuant to Article 21 of law no. 287/90, intends to make some observations regarding the distortions of competition arising from the provisions of MIPAAF decree no. 12390 of 5 December 2019, which foresee the involvement of the National Association of Pig Breeders - ANAS1 and the Research Center for Animal Husbandry and Aquaculture of the Council for Agricultural Research and the Analysis of Agricultural Economy - CREA - ZA2 in the evaluation process of pig genetic types, different from the breeds of the Italian Genealogical Book (LGI), for the purpose of inclusion in the "List of other genetic types" suitable for DOP/IGP purposes.  </w:t>
        <w:br/>
        <w:t xml:space="preserve">In this regard, while representing that the Authority has already intervened in the matter, it is deemed appropriate to recall the contents of its previous report AS1036 (S1747) - Regulation of Animal Reproduction3 adopted, pursuant to art. 21 of Law 287/1990, in relation to the provisions of art. 3 of Law 30/1991 "Regulation of Animal Reproduction"4, as well as the current regulations in force regarding the verification of pig genetic types suitable for use in DOP/IGP productions.  </w:t>
        <w:br/>
        <w:t xml:space="preserve">1 ANAS is a non-profit entity, registered with the Register of Legal Persons of the Prefecture of Rome. Members of ANAS are the First Degree Breeders' Associations, Entities and Associations whose tasks fall within the purposes of ANAS and the officially recognized producer organizations. According to the provisions of art. 3 of the relevant Statute, this association "aims to promote and implement initiatives that can contribute to the improvement, increase, utilization, technical-economic enhancement, and promotion of pig breeding and the products derived from it."  </w:t>
        <w:br/>
        <w:t xml:space="preserve">2 The Research Center for Animal Husbandry and Aquaculture of the Council for Agricultural Research and the Analysis of Agricultural Economy (hereinafter: CREA - ZA) is a public research entity, supervised by the Ministry, that deals with the breeding and production of all livestock species with predominant activities in the fields of genomics, nutrition, physiology, animal welfare, meat and milk production and processing.  </w:t>
        <w:br/>
        <w:t xml:space="preserve">3 Cf. Decision of 20 March 2013, published in Boll 13/2013.  </w:t>
        <w:br/>
        <w:t>4 LAW of 15 January 1991, no. 30 Regulation of Animal Reproduction (GU no. 24 of 29-01-1991), now repealed.</w:t>
      </w:r>
    </w:p>
    <w:p>
      <w:r>
        <w:t xml:space="preserve">BULLETIN NO. 20 OF MAY 30, 2022 53  </w:t>
        <w:br/>
        <w:t xml:space="preserve">The report AS1036 (S1747) - Regulation of Animal Reproduction  </w:t>
        <w:br/>
        <w:t xml:space="preserve">In its previous report of 2013, sent to the Presidents of the Senate of the Republic, the Chamber of Deputies, and the Council of Ministers, as well as to the Minister of Agricultural and Forestry Policies, the Authority contested the legislator's choice (art. 3 of Law 30/1991)5 to assign public tasks to associations representing the interests of operators, as it was likely to produce anticompetitive consequences in the market for the commercialization of livestock products.  </w:t>
        <w:br/>
        <w:t xml:space="preserve">Specifically, with reference to the pig sector, the Authority highlighted the existence of significant problematic aspects from a competitive standpoint, linked to the dual role played by ANAS, as "controlling entity" and "controlled operator." In particular, the Authority contested the following circumstances: i. ANAS, to which the establishment and maintenance of genealogical books6 was attributed, did not limit itself to performing this public function, but also operated in the market for the development and commercialization of pig genetic lines, through its own controlled company, GEN.I, in competition with other operators. By performing the function of maintaining genealogical books, ANAS accessed strategic information related to the commercial policies of competitors, which it could use to advantage its own subsidiary; ii. ANAS also benefited from public funding with which it could subsidize the activities of GEN.I., favoring it over competitors; iii. its representatives had an important role within the Consortia responsible for overseeing the correct application of the production specifications of DOP/IGP pig products7; consortia that, therefore, were not characterized, as required, by requirements of third-party neutrality and independence8.  </w:t>
        <w:br/>
        <w:t xml:space="preserve">Therefore, in order to avoid distortions of competitive mechanisms in the field of animal reproduction, the Authority believed that the exercise of the functions of maintaining and managing genealogical books – considering their public nature – should be carried out directly by the  </w:t>
        <w:br/>
        <w:t xml:space="preserve">5 Article 3 of Law no. 30/91 and subsequent amendments (now repealed) recognized to national associations of breeders of species or breeds, and thus to private law entities representing specific interests by definition, the task of keeping and managing genealogical books and, more generally, the ownership of public functions of evaluation, control, and certification of some relevant activities carried out by companies active in the field of animal reproduction.  </w:t>
        <w:br/>
        <w:t xml:space="preserve">6 ANAS is the only entity that, with prior approval from MIPAAF, pursuant to community and national regulations in this regard, establishes and manages: (i) the Italian Genealogical Book of the Pig Species (hereinafter LGI), where the genetic lines pertaining to the different pure Italian breeds (Italian Large White, Italian Landrace, Italian Duroc, and Pietrain) are registered, (ii) the Register of the Pig Species, where the genetic lines related to foreign breeds with limited diffusion in Italy and to native breeds are registered, and (iii) the National Register of Hybrid Breeding Pigs, where the genetic lines of hybrid breeds are registered.  </w:t>
        <w:br/>
        <w:t xml:space="preserve">7 In particular, these were the consortia IPQ and INEQ, both responsible for overseeing the correct application of the production specifications related to DOP/IGP pig products.  </w:t>
        <w:br/>
        <w:t>8 In other words, such a situation could lead to undue discriminatory behavior by the consortia in favor of GEN.I., controlled by ANAS, to the detriment of competing operators.</w:t>
      </w:r>
    </w:p>
    <w:p>
      <w:r>
        <w:rPr>
          <w:b/>
        </w:rPr>
        <w:t>[Pages 52–54]</w:t>
      </w:r>
    </w:p>
    <w:p>
      <w:r>
        <w:t xml:space="preserve">BULLETIN NO. 20 OF MAY 30, 2022  </w:t>
        <w:br/>
        <w:t xml:space="preserve">54  </w:t>
        <w:br/>
        <w:t xml:space="preserve">the Ministry, or entrusted, through a public procedure, to independent subjects, without conflicts of interest with the reference market.  </w:t>
        <w:br/>
        <w:t xml:space="preserve">The current regulation regarding the verification of suitable pig genetic types for use in DOP/IGP productions.  </w:t>
        <w:br/>
        <w:t xml:space="preserve">However, the new Legislative Decree 52/2018 on animal reproduction did not bring about the hoped-for changes to the previous situation, providing in Article 13, entitled "Transitional Provisions," that: 1) “[...] the national breeders' associations and public bodies that maintain genealogical books and registration records, as well as holders of hybrid pig breeding registers already recognized, shall adapt their technical and organizational requirements to the parameters required by Article 3, paragraph 3”; 2) “The regulations, referred to in law 30/1991 on genealogical books and registration records, as well as hybrid pig breeding registers, already approved, are considered approved genetic programs pursuant to Regulation (EU) No. 2016/1012”; 3) “Subjects performing controls on the productive aptitudes of animals based on regulations already approved by the Ministry are recognized subjects pursuant to Article 4, paragraph 2.”  </w:t>
        <w:br/>
        <w:t xml:space="preserve">By Decree No. 12390 of December 5, 2019, this Ministry revised the verification system of pig genetic types that can be used in the DOP/IGP circuit, moving from an opt-out mechanism to an opt-in mechanism. All genetic companies active in Italy, although already part of the DOP/IGP production circuit, have therefore had to submit, unlike in the past, a specific application in order to include their lines in the “List of other genetic types” (so-called positive list/white list).  </w:t>
        <w:br/>
        <w:t xml:space="preserve">The current process unfolds as follows: (i) the genetic company must submit a specific application and communicate certain information to ANAS, in particular those indicated in Sheet 2 of Annex II of the Decree; (ii) ANAS then transmits the dossier to CREA-ZA, so that it can express its opinion regarding the compliance for DOP/IGP purposes of the genetic type; (iii) the Ministry, based on the evaluations made by CREA-ZA, adopts a measure of acceptance or rejection.  </w:t>
        <w:br/>
        <w:t xml:space="preserve">The only genetic company not subject to the aforementioned opt-in mechanism is ANAS, as the genetic types listed in the Italian Genealogical Book of the Pig Species are considered suitable “a priori” by the regulations of the DOP/IGP.  </w:t>
        <w:br/>
        <w:t xml:space="preserve">From what has been learned by the Authority following reports received from industry operators, during 2020, several genetic companies operating in Italy have thus submitted applications for admission to the “List of other genetic types” to be authorized for use in DOP/IGP productions.  </w:t>
        <w:br/>
        <w:t xml:space="preserve">It is now evident that, out of a total of twenty-nine (29) genetic lines submitted for evaluation, this Ministry, following a negative opinion from CREA-ZA, in February and March 2022, adopted rejection measures concerning as many as twenty-five (25) of them, that is, almost the entirety.  </w:t>
        <w:br/>
        <w:t xml:space="preserve">The genetic types “rejected” by this Ministry constitute the entire commercial portfolio of several significant players that have been regularly operating in Italy until now, with the consequence that they will be removed from the Italian market of DOP/IGP productions. These are genetic types that, until now, have represented (in value/volume) the vast majority of those used in the DOP/IGP circuit, which will consequently be fed almost exclusively by the genetic types produced within the context of the selection programs managed by ANAS (which could thus significantly increase its share, reaching a position of almost monopoly in the market).  </w:t>
        <w:br/>
        <w:t xml:space="preserve">Evaluations  </w:t>
        <w:br/>
        <w:t xml:space="preserve">In light of the considerations outlined above, the Authority believes it must note that its observations, contained in the previous report AS1036, have been completely disregarded, as the current sector regulation regarding controls and evaluations of hybrid pig genetic types for DOP/IGP purposes, contained in the MIPAAF Decree No. 12390 under examination, appears entirely inadequate to ensure that the exercise of such public functions occurs in compliance with the principles of competition and equal treatment among the various genetic companies operating in the market.  </w:t>
        <w:br/>
        <w:t xml:space="preserve">In particular, the MIPAAF Decree No. 12390, directly involving ANAS - a public body and active market operator - in the evaluation process of hybrid genetic types for inclusion in the DOP/IGP production circuit, presents evident serious anomalies from the standpoint of protecting competition and the equality of operators in the market. Indeed, the rejection decrees mentioned above, adopted as a result of this procedural process, in February and March 2022, appear capable of excluding from the DOP/IGP production circuit almost all the genetic companies that had been operating there for years with their hybrid lines, potentially establishing a near-monopoly in favor of the genetic types marketed by ANAS, the only player not subject to the so-called opt-in mechanism.  </w:t>
        <w:br/>
        <w:t xml:space="preserve">In particular, as already noted and contested by the Authority in the past, ANAS still holds a dual role, which necessarily places it in a conflict of interest situation: i. on one hand, the Association exclusively performs a public function, in its capacity as the holder of the Italian Genealogical Book and the Register of hybrid pig breeding records. In this capacity, it receives extremely detailed sensitive commercial information from genetic companies requesting registration in the register in its name; ii. on the other hand, it constitutes an active entrepreneurial operator directly (and no longer through the controlled company GEN.I) in the downstream market for the commercialization of pig genetic lines.  </w:t>
        <w:br/>
        <w:t xml:space="preserve">Moreover, in the new sector regulation dictated by MIPAAF Decree No. 12390, ANAS is even actively involved in the evaluation process of competitors' applications for inclusion in the “List of other genetic types,” necessary to re-enter the DOP/IGP production circuit (based on the new opt-in mechanism). Article 3, paragraph 2, of Decree No. 12390 provides, in fact, that ANAS - to which the selecting or hybridizing bodies interested in registering a genetic type in the “List of other genetic types” must submit a specific application, accompanied by a series of data - shall carry out the relevant investigation, which includes “the verification of the correctness and completeness of the application, the collection of any useful information to express an opinion regarding the genetic type for which admission to the list referred to in Article 2 is requested, and the transmission of the documentation accompanied by the relevant opinion to CREA-ZA for the subsequent process.”  </w:t>
        <w:br/>
        <w:t>Some considerations must also be made regarding the position of CREA-ZA, to which the Ministry has entrusted the task of processing the data received and expressing its opinion on</w:t>
      </w:r>
    </w:p>
    <w:p>
      <w:r>
        <w:rPr>
          <w:b/>
        </w:rPr>
        <w:t>[Pages 55–57]</w:t>
      </w:r>
    </w:p>
    <w:p>
      <w:r>
        <w:t xml:space="preserve">BULLETIN NO. 20 OF MAY 30, 2022 57  </w:t>
        <w:br/>
        <w:t xml:space="preserve">regarding the compatibility of the genetic type with the selection schemes of the Italian Genealogical Book for the production of heavy pigs. It is on the basis of this opinion that the General Directorate for Rural Development of the Ministry - DISR adopts the decree of approval or rejection of the request for registration of the genetic type in the “List of other genetic types.” Indeed, the impartiality and independence of this Center is compromised by the existence of links with ANAS since it: i. is active in the market, managing a breeding operation adhering to ANAS's selection programs and operating as its commercial supplier; ii. one of its members also sits on the Technical Committee for Hybrids of ANAS, the body responsible for issuing favorable opinions regarding registration applications in the relevant Register of hybrid breeding pigs.  </w:t>
        <w:br/>
        <w:t xml:space="preserve">The circumstances outlined above make even more evident the ongoing serious anomaly inherent in the commingling of ANAS's dual role as a controlling entity and an active operator in the market of genetic types in competition with controlled companies.  </w:t>
        <w:br/>
        <w:t xml:space="preserve">In conclusion, the Authority reiterates its concern regarding the proper conduct of competition and hopes that this Ministry will take due account of the observations expressed above, proceeding to a review of the current sector regulation regarding controls and evaluations of hybrid pig genetic types suitable for DOP/IGP purposes, in order to finally resolve the repeatedly reported distortions and allow for a correct and impartial exercise of the public functions under the competence of this Ministry.  </w:t>
        <w:br/>
        <w:t xml:space="preserve">The Authority invites communication, within a period of 45 days from the receipt of this notification, of the determinations made regarding the highlighted competitive issues.  </w:t>
        <w:br/>
        <w:t xml:space="preserve">This notification will be published in the Bulletin of the Competition and Market Authority.  </w:t>
        <w:br/>
        <w:t xml:space="preserve">THE PRESIDENT  </w:t>
        <w:br/>
        <w:t>Roberto Rustichelli</w:t>
      </w:r>
    </w:p>
    <w:p>
      <w:r>
        <w:t xml:space="preserve">20 In this context, CREA-ZA produces and sells breeders to ANAS - clearly, these are animals developed in line with the selection schemes of the LGI - which then markets them.  </w:t>
        <w:br/>
        <w:t>21 Pursuant to Article 4 of the Regulations of the National Register of Hybrid Breeding Pigs</w:t>
      </w:r>
    </w:p>
    <w:p>
      <w:r>
        <w:t xml:space="preserve">58 BULLETIN NO. 20 OF MAY 30, 2022  </w:t>
        <w:br/>
        <w:t xml:space="preserve">UNFAIR COMMERCIAL PRACTICES  </w:t>
        <w:br/>
        <w:t xml:space="preserve">PS12153 - ABENERGIE-COMMERCIAL OFFERS  </w:t>
        <w:br/>
        <w:t xml:space="preserve">Measure no. 30153  </w:t>
        <w:br/>
        <w:t>THE COMPETITION AND MARKET AUTHORITY</w:t>
      </w:r>
    </w:p>
    <w:p>
      <w:r>
        <w:t xml:space="preserve">IN ITS MEETING of 10 May 2022;  </w:t>
        <w:br/>
        <w:t xml:space="preserve">HEARD the Rapporteur President Roberto Rustichelli;  </w:t>
        <w:br/>
        <w:t xml:space="preserve">HAVING REGARD to Part II, Title III of Legislative Decree of 6 September 2005, no. 206,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w:t>
        <w:br/>
        <w:t xml:space="preserve">HAVING REGARD to the communication received on 13 January 2022, whereby the company ABenergie S.p.A. submitted, pursuant to Article 27, paragraph 7, of the Consumer Code and Article 9 of the Regulation, a proposal for commitments, subsequently integrated into the definitive and consolidated version dated 8 February 2022;  </w:t>
        <w:br/>
        <w:t xml:space="preserve">HAVING REGARD to its measure of 15 March 2022, whereby, pursuant to Article 16, paragraph 5, of the Regulation, an extension of the deadline for concluding the procedure was ordered;  </w:t>
        <w:br/>
        <w:t>HAVING REGARD to the acts of the procedure;</w:t>
      </w:r>
    </w:p>
    <w:p>
      <w:r>
        <w:t xml:space="preserve">I. THE PARTY  </w:t>
        <w:br/>
        <w:t>1. The company ABenergie S.p.A. (hereinafter also “ABenergie”), as a professional, pursuant to Article 18, letter b), of the Consumer Code, is a company operating in the sector of electricity and natural gas supply services. The company's balance sheet, relating to the financial year closed on 31 December 2020, shows revenues of approximately 97 million euros.</w:t>
      </w:r>
    </w:p>
    <w:p>
      <w:r>
        <w:t xml:space="preserve">II. THE COMMERCIAL PRACTICE  </w:t>
        <w:br/>
        <w:t xml:space="preserve">2. The procedure concerns the methods of representation of the economic conditions for the supply of electricity and/or gas services within the contractual conditions (Technical Economic Conditions - CTE - and General Contract Conditions - CGC), as well as the advertising material. In particular, from the elements acquired in the records, there was a lack of complete, unambiguous, and transparent information regarding the overall supply costs of the commercial offers proposed by the professional.  </w:t>
        <w:br/>
        <w:t>1 As of 30 March 2022, ABenergie transferred all its contracts for the supply of gas and electricity to the company Gas and Power S.r.l. (hereinafter also G&amp;P), belonging to the same corporate group, as well as the exclusive use of the “abenergie” brand.</w:t>
      </w:r>
    </w:p>
    <w:p>
      <w:r>
        <w:t xml:space="preserve">BULLETIN NO. 20 OF MAY 30, 2022 59  </w:t>
        <w:br/>
        <w:t xml:space="preserve">3. With specific but not exclusive reference to the offer called “Super Raddoppia Luce” (or alternatively “Super Raddoppia Gas”), the information concerning the costs of the offer appeared fragmented and incomplete, both in the CTE and in the CGC, as well as on the company's webpage related to the advertising of the offers.  </w:t>
        <w:br/>
        <w:t xml:space="preserve">In particular, the CTE related to the electricity offer called “Super Raddoppia Luce” (Economic Conditions 220110 super raddoppia luce.pdf) provided, among the fees for sales services, an energy price aligned with the PUN (National Single Price), of unspecified amount, a Spread fee (equal to 0.0169 euros/kWh), dispatching charges, network losses, as well as other fees related to sales services (COM fee for the remuneration of marketing costs incurred by an operator in the fixed and unchanging free market for the entire contractual period, equal to 131.40 euros/per withdrawal point/year, the dispatching component DISPBT equal to 19.234 euros/year for a typical final customer as per Resolution no. 156/07 and subsequent amendments); while the cost of the “Penso in verde” component was reported in a separate paragraph, compared to the indication of the charges set by the professional for the sale of energy; finally, the fixed fees applied by ABenergie for the management of practices - in addition to the charges of the distributor and regulated management costs - were not reported among the activation costs of the supply, but only mentioned in the CGC and in the summary sheet.  </w:t>
        <w:br/>
        <w:t xml:space="preserve">4. Furthermore, the General Contract Conditions, in Article 9 “Economic Conditions, Fees,” provided for ABenergie's right to unilaterally modify the economic conditions of supply by informing the customer “even just with a note on the invoice” and with only 60 days' notice, in violation of the provisions of the Commercial Code of Conduct regarding contracts for the supply of electricity and/or natural gas, which require specific written information, sent separately from the invoice, with at least 90 days' notice.  </w:t>
        <w:br/>
        <w:t xml:space="preserve">5. Finally, in the promotional messages on the webpage presenting the aforementioned offer, the price of the energy component and the expected discounts were indicated, but there was no reference to the fees applied at ABenergie's discretion, such as marketing charges, while the cost of the “Penso in verde” component, equal to 35.4 euros/year, was reported only in a note.  </w:t>
        <w:br/>
        <w:t xml:space="preserve">2 See the company's website https://www.abenergie.it/offerte/luce-famiglia/super-raddoppia-luce: in the section “Details of the light offer,” of the offer called “Super Raddoppia Luce,” intended for residential customers, in addition to the price of the energy component, the amount of the “Super Raddoppia Discount” applied monthly on the invoice (equal to 72 €/year applied in 6 €/month on the invoice), the amount of the “environment discount” for the digital invoice (equal to 30 €/year applied in 2.5 €/month on the invoice) was indicated, while the amount of the “Penso in verde Component” (equal to 35.4 €/year) was reported only in a note with an asterisk, and the amount of the marketing and sales fee, equal to 131.40 €/year, was omitted.  </w:t>
        <w:br/>
        <w:t>3 See Article 9 of the General Contract Conditions: “Before the end of each period of applicability of the economic conditions, ABenergie will communicate in writing to the Customer, even just through a note on the invoice, any updates to the economic conditions and the related period of applicability, provided that the communicated changes will take effect after the expiration of 60 (sixty) days from the communication of ABenergie, and in any case not before the expiration of the current period of applicability of the economic conditions. In this case, the Customer may withdraw from the Contract by sending ABenergie written notice by registered mail within 30 (thirty).</w:t>
      </w:r>
    </w:p>
    <w:p>
      <w:r>
        <w:rPr>
          <w:b/>
        </w:rPr>
        <w:t>[Pages 58–60]</w:t>
      </w:r>
    </w:p>
    <w:p>
      <w:r>
        <w:t xml:space="preserve">60 BULLETIN NO. 20 OF MAY 30, 2022  </w:t>
        <w:br/>
        <w:t xml:space="preserve">III. THE OUTCOMES OF THE PROCEEDING: THE PRESENTATION OF COMMITMENTS  </w:t>
        <w:br/>
        <w:t xml:space="preserve">1) The procedure process  </w:t>
        <w:br/>
        <w:t xml:space="preserve">6. In relation to the aforementioned conduct, on November 29, 2021, the professional was notified of the initiation of the investigative procedure PS121534. In this context, the incorrectness of the practice characterized by misleading and/or omissive profiles was hypothesized, in violation of Articles 21 and 22 of the Consumer Code, due to incomplete and non-transparent information provided to consumers regarding the economic conditions for the supply of electricity and/or natural gas, as well as a lack of diligence, in violation of Article 20 of the same Code.  </w:t>
        <w:br/>
        <w:t xml:space="preserve">7. Concurrently with the communication of the initiation of the investigative procedure, in order to acquire useful knowledge elements for the evaluation of the commercial practice in question, a request for information - and related documentation - regarding the contested cases was made to the professional, pursuant to Article 27, paragraphs 3 and 4, of the Consumer Code and Article 12, paragraph 1, of the Regulation.  </w:t>
        <w:br/>
        <w:t xml:space="preserve">8. On November 30, 2021, a request for access to the documents was received from the company, which took place on December 9, 2021.  </w:t>
        <w:br/>
        <w:t xml:space="preserve">9. On December 20, 2021, ABenergie responded to the request for information made at the outset and presented a series of defensive observations.  </w:t>
        <w:br/>
        <w:t xml:space="preserve">10. On January 13, 2021, the professional submitted a proposal for commitments aimed at removing the critical aspects of the contested conduct, subsequently integrated into the definitive version and consolidated on February 8, 2022.  </w:t>
        <w:br/>
        <w:t xml:space="preserve">11. On January 26, 2022, the company ABenergie was heard in a hearing.  </w:t>
        <w:br/>
        <w:t xml:space="preserve">12. On March 3, 2022, the date of conclusion of the investigative phase was communicated to the Party, pursuant to Article 16, paragraph 1, of the Regulation.  </w:t>
        <w:br/>
        <w:t xml:space="preserve">13. On March 15, 2022, the Authority decided to request, in relation to the commitments presented by the Party, the opinion provided for pursuant to Article 27, paragraph 1bis, of the Consumer Code, from the Regulatory Authority for Energy Networks and Environment (hereinafter also ARERA), resulting in an extension of the deadline for the conclusion of the procedure, pursuant to Article 16, paragraph 5, of the Regulation, communicated to ABenergie on March 17, 2022.  </w:t>
        <w:br/>
        <w:t xml:space="preserve">14. On April 13, 2022, ABenergie communicated that it had transferred - as of March 30, 2022 - all its contracts for the supply of gas and electricity to the company Gas and Power S.r.l. (hereinafter also G&amp;P), belonging to the same corporate group, as well as the exclusive use of the trademark “abenergie”; the company simultaneously confirmed the commitments made with the Authority within the framework of the PS12153 procedure, particularly with regard to the proposal for customer compensation, having already modified, during the procedure, both the economic and general contract conditions and the promotional offer pages on the company website starting from January 20, 2022.  </w:t>
        <w:br/>
        <w:t xml:space="preserve">15. On April 19, 2022, the opinion of the Authority for Guarantees in Communications was received.  </w:t>
        <w:br/>
        <w:t xml:space="preserve">16. On April 28, 2022, the opinion of the Authority for Energy Networks and Environment was received.  </w:t>
        <w:br/>
        <w:t xml:space="preserve">2) The acquired elements and the commitments of the Professional  </w:t>
        <w:br/>
        <w:t xml:space="preserve">17. During the procedure, the contractual documents (CTE and CGC) and the promotional material prepared by the professional for the marketing of its electricity and natural gas offers were acquired into the records.  </w:t>
        <w:br/>
        <w:t xml:space="preserve">18. In a memorandum received on December 20, 2021, the professional communicated that it had modified Article 9.2 of the General Conditions of Contract, concerning ABenergie's ability to update the economic conditions and the related period of applicability, which had not been updated due to a material error. The new formulation provides that: “before the end of each period of applicability of the economic conditions, ABenergie will communicate to the customer in writing through a specific communication (paper or digital), any updates to the economic conditions and the related period of applicability, it being understood that the communicated changes will take effect after the expiration of 3 (three) months from the communication of ABenergie, and in any case not before the natural expiration of the current period of applicability of the economic conditions.”  </w:t>
        <w:br/>
        <w:t xml:space="preserve">19. On February 8, 2022, the professional submitted a consolidated proposal for commitments, pursuant to Article 27, paragraph 7, of the Consumer Code and Article 9 of the Regulation.  </w:t>
        <w:br/>
        <w:t xml:space="preserve">20. In particular, these commitments - which in their definitive version are attached to this measure and constitute an integral part thereof - provide for:  </w:t>
        <w:br/>
        <w:t xml:space="preserve">A. Integration of information concerning the costs related to the offer:  </w:t>
        <w:br/>
        <w:t xml:space="preserve">A1) with specific regard to the “WEBSITE”, in order to increase the transparency of the offer, ABenergie proposed to modify and integrate the information on the “WEB OFFERS” page so that all cost components set by the seller - such as, for example, the energy/gas price component, the spread fee (only for the Light offer), the fee for marketing costs, the “I Think Green” component, the “Super Doubles” discount, the “Environment” discount - will have equal prominence and will be represented in a single context;  </w:t>
        <w:br/>
        <w:t xml:space="preserve">A2) similarly, in the “CTE - Technical Economic Conditions”, ABenergie proposed to graphically represent the “I Think Green” component and any discounts within the paragraph “Fees related to sales services” with the same characters as the other cost components, so that no item can prevail over the others;  </w:t>
        <w:br/>
        <w:t xml:space="preserve">B. Fixed fees for the management of practices:  </w:t>
        <w:br/>
        <w:t xml:space="preserve">B1) with specific regard to the “WEBSITE”, ABenergie proposed to modify and integrate the information present on the web page related to the offers, by explicitly stating the fixed fees for the management of practices - so-called technical operations (OT), on said web page, as well as to include in the “FAQ” some clarifications regarding the technical operations (OT) - accessible via a dedicated link - with the display of costs to be borne by the customer for the management of each individual request;  </w:t>
        <w:br/>
        <w:t xml:space="preserve">B2) ABenergie also proposed to explicitly state in the CTE, in the comparability sheet, in the summary sheet, and in the General Conditions of Contract the fixed fees applied by the company for the management of practices;  </w:t>
        <w:br/>
        <w:t xml:space="preserve">B3) Finally, ABenergie proposed to include in the forms that the customer must use to request technical operations the section “WHAT ARE THE COSTS YOU WILL HAVE TO INCUR?”, which details the costs for the execution of the various operations;  </w:t>
        <w:br/>
        <w:t xml:space="preserve">C. Compensation:  </w:t>
        <w:br/>
        <w:t xml:space="preserve">ABenergie proposed to pay all customers who subscribed to the “Super Doubles Light” and “Super Doubles Gas” offers, which were the subject of the Authority's observations in the initiation communication, the amount of €15.00 with the following modalities: for active customers, this amount will be paid in the first useful invoice following the approval of the commitments; for ceased customers, this amount will be paid by offsetting in the closing invoice following the approval of the commitments; otherwise by bank transfer within 90 days from the date of approval of the commitments.  </w:t>
        <w:br/>
        <w:t>21. The company attached to the proposal for commitments a copy of the new CTE, related to the “Super Doubles Light” offer (and similarly for the “Super Doubles Gas” offer), from which it is evident that the methods of representation of the costs of electricity and gas supply set by the professional have been consistently modified, starting from January 20, 2022 (as seen in Figure 1 below).</w:t>
      </w:r>
    </w:p>
    <w:p>
      <w:r>
        <w:rPr>
          <w:b/>
        </w:rPr>
        <w:t>[Pages 61–63]</w:t>
      </w:r>
    </w:p>
    <w:p>
      <w:r>
        <w:t>BULLETIN NO. 20 OF MAY 30, 2022 63</w:t>
      </w:r>
    </w:p>
    <w:p>
      <w:r>
        <w:t xml:space="preserve">64 BULLETIN NO. 20 OF MAY 30, 2022  </w:t>
        <w:br/>
        <w:t xml:space="preserve">Figure 1 – Extract from the CTE for the “Super Raddoppia Luce” offer  </w:t>
        <w:br/>
        <w:t xml:space="preserve">22. ABenergie has also modified, since January 2022, the methods of communication of the new economic conditions, introducing the following formula both in the summary sheet and in the General Terms and Conditions (CGC): “Subsequently, these conditions are understood to be tacitly extended for 6 months at a time, until further notice from ABenergie, given with a minimum notice of ninety days.”  </w:t>
        <w:br/>
        <w:t xml:space="preserve">23. Furthermore, the company has produced an example of the advertising page of the website, which reflects the proposed measures, both for the electricity offer (Figure 2 below) and similarly for the gas offer.  </w:t>
        <w:br/>
        <w:t>20 Annex 3 of the proposal of commitments, cited.</w:t>
      </w:r>
    </w:p>
    <w:p>
      <w:r>
        <w:t xml:space="preserve">BULLETIN NO. 20 OF MAY 30, 2022 65  </w:t>
        <w:br/>
        <w:t xml:space="preserve">Figure 2 – Example of the company’s website page  </w:t>
        <w:br/>
        <w:t xml:space="preserve">24. ABenergie has finally made itself available to implement the commitment regarding the compensation, as described in letter C), within 90 days from the acceptance of the commitments by the Authority.  </w:t>
        <w:br/>
        <w:t>21 Annex 1 of the proposal of commitments, cited.</w:t>
      </w:r>
    </w:p>
    <w:p>
      <w:r>
        <w:rPr>
          <w:b/>
        </w:rPr>
        <w:t>[Pages 64–66]</w:t>
      </w:r>
    </w:p>
    <w:p>
      <w:r>
        <w:t xml:space="preserve">66 BULLETIN NO. 20 OF MAY 30, 2022  </w:t>
        <w:br/>
        <w:t xml:space="preserve">IV. OPINION OF THE AUTHORITY FOR GUARANTEES IN COMMUNICATIONS  </w:t>
        <w:br/>
        <w:t xml:space="preserve">25. Since the commercial practice subject to this measure was disseminated via the Internet, on March 18, 2022, an opinion was requested from the Authority for Guarantees in Communications, pursuant to Article 27, paragraph 6, of the Consumer Code.  </w:t>
        <w:br/>
        <w:t xml:space="preserve">26. With an opinion received on April 19, 2022, the aforementioned Authority expressed the requested opinion, limiting its evaluations to the suitability of the specific means of communication used to disseminate the commercial practices to affect and amplify any misleading and/or unfair nature of the same practice.  </w:t>
        <w:br/>
        <w:t xml:space="preserve">27. In the opinion, the Authority considered that the Internet is a global communication network capable of quickly offering the user a wide range of potential information likely to influence consumer behavior. Therefore, this means of communication, employed in the case at hand, "is suitable for developing a significant impact on consumers who, based on the information contained on the Professional's website, could be induced to make a commercial decision that they otherwise would not have made, thus concretely developing the full promotional potential of online communication."  </w:t>
        <w:br/>
        <w:t xml:space="preserve">28. Therefore, the Authority deemed that "the Internet is a communication tool capable of significantly influencing the realization" of the commercial practices subject to the opinion.  </w:t>
        <w:br/>
        <w:t xml:space="preserve">V. OPINION OF THE REGULATORY AUTHORITY FOR ENERGY NETWORKS AND ENVIRONMENT  </w:t>
        <w:br/>
        <w:t xml:space="preserve">29. Since the commercial practice subject to this measure concerns the sector of electricity and gas supply, on March 18, 2022, an opinion was requested from the Regulatory Authority for Energy Networks and Environment (ARERA), pursuant to and for the effects of Article 27, paragraph 1-bis, of the Consumer Code, introduced by Article 1, paragraph 6, letter a), of Legislative Decree no. 21/2014.  </w:t>
        <w:br/>
        <w:t xml:space="preserve">30. With an opinion received on April 28, 2022, the aforementioned Authority preliminarily recalled the regulatory provisions of general interest for the evaluation of the commitments related, as far as the case at hand is concerned, to a) the information obligations at the offer and contract signing stage; b) the methods of prior notice for unilateral changes to contractual conditions.  </w:t>
        <w:br/>
        <w:t xml:space="preserve">31. ARERA then specified that "For the purposes of evaluating the conduct carried out by the Professional during the period subject to the proceedings (from 2019 until the end of 2021), the provisions contained both in the text of the Commercial Conduct Code referred to in Annex A to resolution 366/2018/R/COM in force until June 30, 2021, and in the text of the Commercial Conduct Code in force from July 1, 2021, as amended and supplemented by resolutions 426/2020/R/COM and 97/2021/R/COM" are relevant. This refers to the "Commercial Conduct Code for the sale of electricity and natural gas to final customers" – as per Annex A to Resolution June 28, 2018, 366/2018/R/COM – aimed at protecting all final customers (including small non-domestic customers) during the promotion, offer, and signing of electricity and/or natural gas supply contracts in the free market and preventing harmful conduct by sellers by imposing specific information and transparency obligations towards the contracting parties/users. This Resolution was amended by the subsequent resolution 426/2020/R/COM of October 27, 2020, the provisions of which came into force from July 1, 2021 (except for the innovations regarding unilateral changes and automatic evolutions referred to in Articles 13 and 14, which are effective from October 1, 2021, as provided by resolution March 9, 2021, 97/2021/R/COM).  </w:t>
        <w:br/>
        <w:t xml:space="preserve">The Commercial Conduct Code  </w:t>
        <w:br/>
        <w:t xml:space="preserve">32. With regard to the relevant sector regulation, ARERA extensively recalled the provisions of the "Commercial Conduct Code for the sale of electricity and natural gas to final customers," which represents a sector-specific specification of the general regulations on consumer protection, adopted with the general objective of preventing harmful conduct towards final customers (including small non-domestic customers) when they receive offers for the conclusion of electricity and/or natural gas supply contracts in the free market.  </w:t>
        <w:br/>
        <w:t xml:space="preserve">33. The obligations imposed on sellers concern the pre-contractual phase and specific aspects of the contractual phase, within the relationship that occurs between the parties following the signing of the contract. The Commercial Conduct Code, the main provisions of which are summarized below, provides that sellers must transparently, completely, and non-discriminatorily provide information regarding their contractual offers and adopt all reasonable measures to meet the information and assistance needs of customers in evaluating such offers. Furthermore, regarding the promotion of contractual offers, the Code expressly provides that information regarding supply conditions must be included in communications and advertising messages in a manner suitable to ensure a clear perception of the offers themselves, also indicating the characteristics of the offer and any limiting conditions applied to it.  </w:t>
        <w:br/>
        <w:t xml:space="preserve">34. As for the communication of information regarding the prices of the service supply, the Commercial Conduct Code, in Title II, stipulated that such information must conform to specific criteria, and, in particular, Article 5 provided, among other things, that "the fees due from customers for the provision of the service must be indicated in their unit value net of taxes, specifying that they would be subject to taxes, except for the possibility of indicating the price inclusive of taxes depending on the structure of the offer, specifying in that case that the fee would be inclusive of taxes." Furthermore, the same provision stipulated that "the unit fees due in proportion to the consumption of electricity or natural gas must be indicated in euros per kWh or in euros per Smc; the unit fees due in fixed amounts in euros per supply point/year or in euros per delivery point/year; the unit fees due in proportion to the contracted power in euros per kW/year; the unit fees due for any withdrawals of reactive energy in euros per kvarh."  </w:t>
        <w:br/>
        <w:t xml:space="preserve">35. With specific reference to the contractual phase, Articles 10 and 11 of the Commercial Conduct Code stipulated the obligation for the seller to draft supply contracts in clear and understandable language, with mandatory minimum content. Furthermore, Article 13 of the Code indicated the terms and methods of prior notice for the communication of any unilateral changes to the contractual conditions by the seller, stipulating that the latter must inform, with communication separate from the billing documents and with a notice of no less than 3 months (90 days), the final customers concerned, unless the change does not involve a reduction of the originally agreed fees.  </w:t>
        <w:br/>
        <w:t xml:space="preserve">The new text (in force from July 1, 2021)  </w:t>
        <w:br/>
        <w:t xml:space="preserve">36. The new text of the Commercial Conduct Code introduces, starting from July 1, 2021, a revision of Article 5 on the criteria for communicating supply prices, providing for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unit fees due in fixed amounts are indicated exclusively in €/POD/year or €/PdR/year, those in proportion to the contracted power exclusively in €/kW, while those for any withdrawals of reactive energy exclusively in €/kvarh. It is also specified in Article 5 that the fees cannot have the same name as the unit fees, components, or elements defined by the Authority, except in cases where the values of the aforementioned fees are set equal to those currently defined by the Authority itself. Furthermore, from July 1, 2021, the seller fulfills the preliminary information obligations prior to the signing of the contract, providing the final customer, at the time of the proposal and in any case before the conclusion of the supply contract, with the Summary Sheet (as per Annex 4 to the new text).  </w:t>
        <w:br/>
        <w:t xml:space="preserve">37. Regarding unilateral changes to contractual conditions by the seller, with the new text, the already provided communication to the final customer in Article 13 of the Commercial Conduct Code has been made even more effective, starting from October 1, 2021, as "if the unilateral change relates to economic conditions, it must be supplemented with an estimate of the annual expenditure for the 12 months following the change." Similarly, if the contract provides for, within 12 months, automatic evolutions (i.e., changes already foreseen within the contract signed by the final customer) of the economic conditions that involve an increase in the unit fees determined by the seller, the expiration or reduction of discounts, the transition from a fixed price to a variable price or vice versa, the obligation for the seller to communicate to the interested final customers has been introduced, with a notice of no less than 2 months before the end of the aforementioned 12 months along with the estimate of the annual expenditure.  </w:t>
        <w:br/>
        <w:t xml:space="preserve">Considerations regarding the commitments proposed by the Professional  </w:t>
        <w:br/>
        <w:t xml:space="preserve">38. With specific reference to the individual measures proposed by ABenergie as commitments, ARERA has made specific considerations:  </w:t>
        <w:br/>
        <w:t>26 The Summary Sheet, in replacement of the Information Note, is a new tool that summarizes all the information obligations, on the part of the seller, related to the offer, in a standardized and understandable format for the final customer, to be delivered to all customers supplied at low voltage and/or with natural gas consumption not exceeding 200,000 Smc/year.</w:t>
      </w:r>
    </w:p>
    <w:p>
      <w:r>
        <w:rPr>
          <w:b/>
        </w:rPr>
        <w:t>[Pages 67–69]</w:t>
      </w:r>
    </w:p>
    <w:p>
      <w:r>
        <w:t xml:space="preserve">BULLETIN NO. 20 OF MAY 30, 2022 69  </w:t>
        <w:br/>
        <w:t xml:space="preserve">a) with reference to the provisions - of the General Terms and Conditions (GTC) - concerning unilateral changes to the economic conditions of supply, ARERA emphasized that the communication to the customer must contain the heading "Proposal for unilateral modification of the contract" as well as detailed elements, among others, the full text of each of the contractual provisions resulting from the proposed modification, a clear, complete, and understandable illustration of the contents and effects of the proposed variation, and the effective date of the proposed variation. The modification made by the professional, therefore, seems to consist in the implementation of the regulatory framework. ARERA also highlighted that, based on the new provisions of the Code of Conduct, from October 1, 2021, the seller must include in the aforementioned communication: i) an estimate of the annual expenditure, excluding taxes, if the unilateral variation relates to the economic conditions (Article 13, paragraph 3, letter e); ii) the absolute value in euro/year of the consequent increase in the expenditure estimate, in the case of increases in unit prices not linked to the trends of wholesale markets (Article 13, paragraphs 7 and 8);  </w:t>
        <w:br/>
        <w:t xml:space="preserve">b) regarding the indication in the Cost Transparency Documents (CTE) of the cost component "Think Green" and any discounts with the same characteristics and modalities as the other cost components, so that no item can graphically prevail over the others, according to ARERA "the choice to give equal prominence to the cost components and any discounts is aimed at greater transparency towards the final customer and is not in conflict with sector regulation";  </w:t>
        <w:br/>
        <w:t xml:space="preserve">c) similarly, the indication in the CTE, in the Comparability Sheet, in the Summary Sheet, and in the General Conditions of Contract of the fixed fees applied for the management of practices "is configured as compliance with the aforementioned provisions of the Code of Commercial Conduct";  </w:t>
        <w:br/>
        <w:t xml:space="preserve">d) likewise, the choice to illustrate the details of the costs for the execution of technical operations in a specific section titled "WHAT ARE THE COSTS YOU WILL HAVE TO INCUR?" of the request form for transfer appears "aimed at greater transparency towards the final customer and is not in conflict with sector regulation";  </w:t>
        <w:br/>
        <w:t xml:space="preserve">e) regarding the integration of information on costs contained in promotional material on the professional's website, the opinion specifies that, without prejudice to all other obligations under the Code of Commercial Conduct, the presentation of supply prices and the overall expenditure must comply with the criteria set out in Articles 5, 6, and 7 of the Code of Conduct and, therefore, the unit fees due in fixed amounts must be indicated exclusively in euro/year, as prescribed by Article 5, paragraph 1, letter b, of the Code of Conduct;  </w:t>
        <w:br/>
        <w:t xml:space="preserve">f) the compensation methods proposed by the professional appear, according to ARERA, "sufficient for fair treatment between contracted customers and customers for whom the supply relationship has ceased and for whom there is no updated contact";  </w:t>
        <w:br/>
        <w:t xml:space="preserve">g) finally, the opinion positively evaluates the introduction of FAQs addressed to the final customer to make them more informed about the components of expenditure and their rights.  </w:t>
        <w:br/>
        <w:t xml:space="preserve">VI. EVALUATION OF COMMITMENTS  </w:t>
        <w:br/>
        <w:t>39. The Authority believes that the commitments proposed by the professional are suitable to remedy the possible profiles of illegitimacy of the commercial practice contested in the initiation communication of November 29, 2021, and also to compensate for the detrimental effects of the contested practice.</w:t>
      </w:r>
    </w:p>
    <w:p>
      <w:r>
        <w:t xml:space="preserve">70 BULLETIN NO. 20 OF MAY 30, 2022  </w:t>
        <w:br/>
        <w:t xml:space="preserve">40. In particular, regarding the contractual documentation, based on the above (Figure 1), the new version of the CTE appears adequate to inform consumers regarding the costs provided within the offers proposed by ABenergie, with particular reference to the indication of the maximum value reached by the PUN - National Single Price for energy procurement - in the last 12 months (published by the Electricity Market Operator), the value of the spread applied by the company (in the case of indexed offers), the marketing costs, the environmental contribution (component "Think Green"), as well as the discount possibilities provided in the various offers.  </w:t>
        <w:br/>
        <w:t xml:space="preserve">41. Regarding the advertising communication reported on the company's website (Figure 2), the new promotional page proposed by the professional appears suitable to allow the consumer to know the price of energy services, as it adequately highlights the prices of the energy component, including the marketing fees, as well as the indication of the wholesale price of energy and gas.  </w:t>
        <w:br/>
        <w:t xml:space="preserve">42. With specific regard to the introduction, in the FAQs, of a section dedicated to the description of the various cost components of the marketed offers, as well as the integration of the form for requesting technical operations (such as, for example, transfers, changes in power, etc.), the measures introduced appear to increase consumer awareness regarding the costs associated with the supply of energy products.  </w:t>
        <w:br/>
        <w:t xml:space="preserve">43. With reference to the methods of communication of unilateral changes to the economic conditions, the Authority believes that the new formulation of the provisions provided by the GTC is compliant with the current regulation and suitable to allow consumers to exercise, in advance, their right to accept or not the commercial offers, following the unilateral changes to the contractual conditions by the seller.  </w:t>
        <w:br/>
        <w:t xml:space="preserve">44. Finally, regarding the commitment to compensate customers who previously subscribed to the offers, for which the economic conditions were not represented clearly and exhaustively, the professional has specified that all active and ceased customers will be reimbursed, without the need for a specific request from the latter, confirming that this commitment will be maintained even following the transfer by ABenergie of the active contracts to another party, the professional's commitment appears worthy of appreciation.  </w:t>
        <w:br/>
        <w:t xml:space="preserve">45. It is noted, finally, that ARERA has expressed a substantially positive opinion regarding the commitments proposed by the professional, without prejudice to the obligation for the latter to comply with the provisions referred to in Articles 5 and 13 of the Code of Commercial Conduct.  </w:t>
        <w:br/>
        <w:t xml:space="preserve">46. In light of the above considerations, it is believed that the commitments presented meet the requirements set forth in Article 27, paragraph 7, of the Consumer Code.  </w:t>
        <w:br/>
        <w:t xml:space="preserve">THEREFORE, IT IS CONSIDERED that the commitments presented by the company ABenergie S.p.A., in the terms outlined above, are suitable to eliminate the possible profiles of unfairness of the commercial practice subject to investigation;  </w:t>
        <w:br/>
        <w:t xml:space="preserve">IT IS CONSIDERED to impose the obligation of the aforementioned commitments on the company ABenergie S.p.A.;  </w:t>
        <w:br/>
        <w:t>IT IS CONSIDERED, therefore, to be able to close the procedure without ascertaining the infringement;</w:t>
      </w:r>
    </w:p>
    <w:p>
      <w:r>
        <w:t xml:space="preserve">BULLETIN NO. 20 OF MAY 30, 2022 71  </w:t>
        <w:br/>
        <w:t xml:space="preserve">RESOLUTION  </w:t>
        <w:br/>
        <w:t xml:space="preserve">a) to make mandatory, towards the company ABenergie S.p.A., pursuant to Article 27, paragraph 7, of the Consumer Code and Article 9, paragraph 2, letter a), of the Regulation, the commitments proposed by the same company on February 8, 2022, as described in the declaration attached to this measure, which constitute an integral part of the measure;  </w:t>
        <w:br/>
        <w:t xml:space="preserve">b) to close the procedure without ascertaining the infringement, pursuant to Article 27, paragraph 7, of the Consumer Code and Article 9, paragraph 2, letter a), of the Regulation;  </w:t>
        <w:br/>
        <w:t xml:space="preserve">c) that the company ABenergie S.p.A., within sixty days from the date of notification of this resolution, informs the Authority of the implementation of the commitments.  </w:t>
        <w:br/>
        <w:t xml:space="preserve">Pursuant to Article 9, paragraph 3, of the Regulation, the procedure may be reopened ex officio, where:  </w:t>
        <w:br/>
        <w:t xml:space="preserve">a) the professional does not implement the commitments;  </w:t>
        <w:br/>
        <w:t xml:space="preserve">b) the factual situation changes with respect to one or more elements on which the decision is based;  </w:t>
        <w:br/>
        <w:t xml:space="preserve">c) the decision to accept commitments is based on information provided by the Parties that is incomplete, inaccurate, or misleading.  </w:t>
        <w:br/>
        <w:t xml:space="preserve">Pursuant to Article 27, paragraph 12, of the Consumer Code, in case of non-compliance with this resolution, the Authority applies an administrative fine ranging from 10,000 to 5,000,000 euros. In cases of repeated non-compliance, the Authority may order the suspension of business activity for a period not exceeding thirty days.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70–72]</w:t>
      </w:r>
    </w:p>
    <w:p>
      <w:r>
        <w:t xml:space="preserve">72 BULLETIN NO. 20 OF MAY 30, 2022  </w:t>
        <w:br/>
        <w:t xml:space="preserve">PS12169 - CVFACILE.COM  </w:t>
        <w:br/>
        <w:t>Measure no. 30154</w:t>
      </w:r>
    </w:p>
    <w:p>
      <w:r>
        <w:t>THE COMPETITION AND MARKET AUTHORITY</w:t>
      </w:r>
    </w:p>
    <w:p>
      <w:r>
        <w:t xml:space="preserve">IN ITS MEETING of 10 May 2022;  </w:t>
        <w:br/>
        <w:t xml:space="preserve">HEARD the Rapporteur, President Roberto Rustichelli;  </w:t>
        <w:br/>
        <w:t xml:space="preserve">HAVING REGARD to Part II, Title III of Legislative Decree of 6 September 2005, no. 206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  </w:t>
        <w:br/>
        <w:t>HAVING REGARD to the acts of the proceeding;</w:t>
      </w:r>
    </w:p>
    <w:p>
      <w:r>
        <w:t xml:space="preserve">I. THE PARTIES  </w:t>
        <w:br/>
        <w:t xml:space="preserve">1. PANDA LEADS (hereinafter also "LEADS") as a professional, pursuant to Article 18, paragraph 1, letter b), of the Consumer Code.  </w:t>
        <w:br/>
        <w:t xml:space="preserve">The company based in Hong Kong manages multimedia portals that offer the possibility to create a curriculum vitae for a fee, accessible via the website https://cvfacile.com (currently registered at IP address 104.21.0.175) as well as through the website https://expresscv.com/it (IP address 104.21.25.93).  </w:t>
        <w:br/>
        <w:t>2. Unione Nazionale Consumatori, as a reporting consumer association.</w:t>
      </w:r>
    </w:p>
    <w:p>
      <w:r>
        <w:t xml:space="preserve">II. VIOLATIONS OF THE CONSUMER CODE  </w:t>
        <w:br/>
        <w:t xml:space="preserve">3. The proceeding concerns the dissemination through the website https://cvfacile.com and the website https://expresscv.com/it of misleading information regarding the characteristics and economic conditions of the online curriculum vitae creation service, as well as the imposition of obstacles to consumers' exercise of rights arising from the contractual relationship.  </w:t>
        <w:br/>
        <w:t xml:space="preserve">4. The subject of the proceeding is also the omission in the General Terms and Conditions of any indication regarding the existence of the right of withdrawal within 14 days following the subscription of the membership and the methods of exercising it.  </w:t>
        <w:br/>
        <w:t>5. Finally, in the aforementioned General Terms and Conditions, regarding the applicable law and jurisdiction, there is exclusive reference to English law and the courts of England, Wales, Scotland, and Northern Ireland: "These terms of Use […] their subject matter and formation are governed by English law" (Article 22).</w:t>
      </w:r>
    </w:p>
    <w:p>
      <w:r>
        <w:t xml:space="preserve">BULLETIN NO. 20 OF MAY 30, 2022 73  </w:t>
        <w:br/>
        <w:t xml:space="preserve">III. INVESTIGATIVE FINDINGS  </w:t>
        <w:br/>
        <w:t xml:space="preserve">1) The course of the proceeding  </w:t>
        <w:br/>
        <w:t xml:space="preserve">6. Based on the information acquired for the application of the Consumer Code and the reports received from the Unione Nazionale Consumatori and some consumers, with act of 15 October 2021, given the failure of notification via the Italian consulate in Hong Kong, the initiation of the investigative proceeding PS12169 was communicated to PANDA LEADS through publication in the Authority's Bulletin no. 44 of 8 November 2021.  </w:t>
        <w:br/>
        <w:t xml:space="preserve">7. Concurrently with the communication of the initiation of the proceeding, a request for information was made to which the professional did not respond.  </w:t>
        <w:br/>
        <w:t xml:space="preserve">8. With an act published in the Authority's Bulletin no. 6 of 21 February 2022, PANDA LEADS was informed of the conclusion date of the investigative phase pursuant to Article 16, paragraph 1, of the Regulation. The professional did not submit concluding memoranda.  </w:t>
        <w:br/>
        <w:t xml:space="preserve">9. On 24 March 2022, the opinion was requested from the Authority for Guarantees in Communications.  </w:t>
        <w:br/>
        <w:t xml:space="preserve">2) The evidence acquired  </w:t>
        <w:br/>
        <w:t xml:space="preserve">10. The offer of an IT service for assistance in drafting a curriculum vitae is presented in Italian on the homepage of the website https://cvfacile.com.  </w:t>
        <w:br/>
        <w:t xml:space="preserve">At the beginning of the homepage, in a blue background box, the statement in large letters "CREATE YOUR CV ONLINE" is inserted; further down, in smaller letters, it states: "Online CV Editor, easy to use." The following statements follow: "A wide choice of CV templates," "A personalized CV in a few minutes," "A CV downloadable in PDF, TXT, or Word," "New professional opportunities."  </w:t>
        <w:br/>
        <w:t xml:space="preserve">Images of various CV formats available are displayed.  </w:t>
        <w:br/>
        <w:t xml:space="preserve">Further down, the reasons for why it would be advantageous to join the offer are advertised. In particular, it is stated: "1 I am guided in drafting my CV"; "Take advantage of tailored support to create your professional CV. For each section (education, skills, work experience, etc.), an interactive guide helps you improve your professional path. Thanks to your online CV creation platform, you also benefit from personalized consulting to simplify the writing of your CV."  </w:t>
        <w:br/>
        <w:t xml:space="preserve">Further down it reads: "2 Create a unique CV. Since you are unique, your CV must also be unique. That’s why CVFacile offers you a wide choice of CV templates that you can easily customize […]".  </w:t>
        <w:br/>
        <w:t xml:space="preserve">11. The IT process for creating the CV starts immediately by clicking on a green box "create your cv," positioned in several places on the homepage.  </w:t>
        <w:br/>
        <w:t xml:space="preserve">By clicking on this box, one accesses a sequence of web pages that allow choosing a CV template from the proposed formats and entering personal data, educational qualifications, and work experiences.  </w:t>
        <w:br/>
        <w:t>Once the CV is completed in the chosen format, one accesses a web page where a box appears in the center stating "Enter your email address to upload your CV" and, further down, the wording on a blue background "continue," followed by the warning in very small letters "by clicking on 'continue' you accept the general conditions."</w:t>
      </w:r>
    </w:p>
    <w:p>
      <w:r>
        <w:t xml:space="preserve">74 BULLETIN NO. 20 OF MAY 30, 2022  </w:t>
        <w:br/>
        <w:t xml:space="preserve">Continuing, one accesses the next web page titled "choose your tailored offer," which displays three boxes (in yellow, blue, and green) titled respectively: "€0.90 7 days classic," "€1.90 7 days unlimited," and "€7.49 monthly unlimited." Each box lists the characteristics of the service that can be accessed by paying the indicated amount1 and concludes with a button of the same color labeled "CHOOSE."  </w:t>
        <w:br/>
        <w:t xml:space="preserve">Choosing one of the three options shown leads to the payment web page. This page displays, at the top left, the wording "Enter your payment information," followed by boxes for entering credit card details necessary to then directly download the curriculum vitae. At the top right, the chosen option is indicated with the corresponding cost (e.g., "7 days classic €0.90"). Payment is then made by clicking the button "confirm payment."  </w:t>
        <w:br/>
        <w:t xml:space="preserve">12. According to the provisions in the general terms of contract "CVFacile Terms of Service," included in a document for mere consultation drafted exclusively in English, the agreement concluded between the subscriber to the service and the professional has an initial duration of one month, automatically renewed monthly (Article 19). The same general conditions provide for the possibility of canceling the subscription at any time through written communication, giving one month’s notice; in this case, the user must still pay the cost of the service until the end of the notice period (cf. Article 19 cited)2.  </w:t>
        <w:br/>
        <w:t xml:space="preserve">13. Regarding the refund policy, on the web page drafted in English "Refund policy" accessible via a link at the bottom of the homepage, it is provided that consumers can obtain a refund of the amount paid within 7 days of purchasing the service; after this period, any right to a refund is excluded.3  </w:t>
        <w:br/>
        <w:t xml:space="preserve">Furthermore, regarding the methods of contact with the professional, the site provides the possibility to fill out a form to be sent online or, alternatively, to send a communication by regular mail to the declared office of the professional or via email to the address support@cvfacile.com.  </w:t>
        <w:br/>
        <w:t xml:space="preserve">14. Contrary to what is reported on the professional's site, some reporters, even after the initiation of the proceeding4, have reported the impossibility of exercising the right of withdrawal from the contract, stating that they received an unjustified denial, as well as encountering extreme difficulties in contacting the professional. Others have stated that they were forced to block the credit card used for the payment of the CV to avoid further unwanted charges.  </w:t>
        <w:br/>
        <w:t xml:space="preserve">1 For example, "Works on different devices, Download in different formats, Unlimited CVs" for the amount of €0.90, to which are added "Unlimited optimized templates, Unlimited expert advice" by paying €1.90.  </w:t>
        <w:br/>
        <w:t xml:space="preserve">2 Cf. Article 19 which provides: "cvfacile and the Customer both are entitled to terminate the Subscription Agreement at any time by giving one-month notice in writing to the other. For the avoidance of doubt, fees will remain payable by the Customer through to the end of the notice period."  </w:t>
        <w:br/>
        <w:t xml:space="preserve">3 Regarding refunds on the dedicated web page titled "Refund policy," drafted exclusively in English, accessible via a link at the bottom of the homepage it is provided: "We offer a 7 days trial for all purchases made on our website. If you are not satisfied with the product that you have purchased from us, you can get your money back no questions asked. You are eligible for a full reimbursement within 7 calendar days of your purchase. After the 7-day period you will no longer be eligible and won’t be able to receive a refund."  </w:t>
        <w:br/>
        <w:t>4 Reports prot. 79820 of 20 October 2021, prot. 80874 of 25 October 2021 and prot. 13382 of 19 January 2022.</w:t>
      </w:r>
    </w:p>
    <w:p>
      <w:r>
        <w:rPr>
          <w:b/>
        </w:rPr>
        <w:t>[Pages 73–75]</w:t>
      </w:r>
    </w:p>
    <w:p>
      <w:r>
        <w:t xml:space="preserve">BULLETIN NO. 20 OF MAY 30, 2022 75  </w:t>
        <w:br/>
        <w:t xml:space="preserve">15. The general terms and conditions of the contract do not mention the existence of the right of withdrawal within 14 days following the subscription of the subscription and its methods of exercise.  </w:t>
        <w:br/>
        <w:t xml:space="preserve">16. With regard to the applicable law and jurisdiction, exclusive reference is made to English law and the courts of England, Wales, Scotland, and Northern Ireland: “These terms of Use […] their subject matter and formation are governed by English law” (art. 22).  </w:t>
        <w:br/>
        <w:t xml:space="preserve">17. The same content can also be found on the website https://expresscv.com/it, attributable to the same professional PANDA LEADS.  </w:t>
        <w:br/>
        <w:t xml:space="preserve">IV. OPINION OF THE AUTHORITY FOR GUARANTEES IN COMMUNICATIONS  </w:t>
        <w:br/>
        <w:t xml:space="preserve">18. Since the commercial practice subject to this proceeding has been disseminated via the internet, on March 24, 2022, the opinion was requested from the Authority for Guarantees in Communications, pursuant to art. 27, paragraph 6, of the Consumer Code.  </w:t>
        <w:br/>
        <w:t xml:space="preserve">In the opinion received on April 22, 2022, the aforementioned Authority deemed that the means of communication used by the professional is suitable to develop a significant impact on consumers who, based on the information read on the professional's websites, could be induced to make a commercial decision that they otherwise would not have made, thus concretely developing the full promotional potential of the aforementioned means of communication.  </w:t>
        <w:br/>
        <w:t xml:space="preserve">V. EVALUATIONS  </w:t>
        <w:br/>
        <w:t xml:space="preserve">19. This measure concerns the unlawfulness of the behaviors carried out by PANDA LEADS in the context of the offer of the online curriculum vitae creation service through the websites https://cvfacile.com and https://expresscv.com/it. The actions carried out by the professional constitute three distinct violations of the Consumer Code:  </w:t>
        <w:br/>
        <w:t xml:space="preserve">A) the first consisting of the dissemination through the website https://cvfacile.com and the website https://expresscv.com/it of misleading and omissive information regarding the characteristics and economic conditions of the online curriculum vitae creation service, as well as the imposition of obstacles to the exercise by consumers of the rights arising from the contractual relationship;  </w:t>
        <w:br/>
        <w:t xml:space="preserve">B) the second consisting of the failure to comply with the regulations on pre-contractual information regarding the right of withdrawal in distance contracts;  </w:t>
        <w:br/>
        <w:t xml:space="preserve">C) the third consisting of the provision of a forum different from that of the consumer's residence for the resolution of any disputes.  </w:t>
        <w:br/>
        <w:t xml:space="preserve">Practice A  </w:t>
        <w:br/>
        <w:t xml:space="preserve">20. The statements made by the professional on the homepage and on the web pages through which the service is purchased induce one to believe that the underlying contractual relationship is exhausted in obtaining a curriculum in exchange for a one-time payment of the price indicated next to the three proposed options, amounting to between €0.90 and €7.49.  </w:t>
        <w:br/>
        <w:t xml:space="preserve">21. In reality, by subscribing to the service, one unknowingly subscribes to a subscription costing €29.99 per month that renews automatically.  </w:t>
        <w:br/>
        <w:t xml:space="preserve">This circumstance, far from being the subject of adequate and complete information in the pre-contractual phase, is indicated exclusively in art. 19 of the document “General Terms and Conditions of Contract,” drafted in English and accessible via a link at the bottom of the homepage, for consultation only if necessary.  </w:t>
        <w:br/>
        <w:t xml:space="preserve">It is evident that the inclusion of indications regarding essential elements of the advertised offer solely in the “General Conditions” is not suitable to ensure clear and evident information to users, as, for such information to be functional to the purpose, it should be provided by the professional on the pages that must be consulted before making the consumption choice.  </w:t>
        <w:br/>
        <w:t xml:space="preserve">The methods of presenting the service are, therefore, such as to deceive potential buyers about the characteristics and economic conditions of the services offered in violation of Articles 21 and 22 of the Consumer Code.  </w:t>
        <w:br/>
        <w:t xml:space="preserve">22. The general terms and conditions of the contract provide for the possibility for subscribers to cancel the subscription at any time through written communication, as well as to obtain a refund of the amount paid within 7 days of purchasing the service. These provisions are contradicted by the evidence acquired in the proceedings, which shows, on the contrary, that the professional prevents consumers from exercising the rights arising from the contractual relationship in violation of Article 24 of the Consumer Code.  </w:t>
        <w:br/>
        <w:t xml:space="preserve">In fact, some reporters, even after the initiation of the proceedings, report having encountered extreme difficulties in contacting the professional while adhering to the instructions provided on the company websites, as well as having received unjustified refusals to requests to withdraw from the contract and to obtain refunds.  </w:t>
        <w:br/>
        <w:t xml:space="preserve">In some cases, it was even necessary to block credit cards to avoid further unwanted charges.  </w:t>
        <w:br/>
        <w:t xml:space="preserve">Likewise, the provision of a disproportionate notice period for canceling the subscription, the start of which is not specified, also appears to constitute an obstacle to the exercise of contractual rights pursuant to art. 25, paragraph 1, lett. d), of the Consumer Code.  </w:t>
        <w:br/>
        <w:t xml:space="preserve">23. In conclusion, the behaviors described above constitute an unfair and aggressive commercial practice pursuant to Articles 21, 22, 24, 25, paragraph 1, lett. d), of the Consumer Code.  </w:t>
        <w:br/>
        <w:t xml:space="preserve">Illicit B and Illicit C  </w:t>
        <w:br/>
        <w:t xml:space="preserve">24. Furthermore, the “General Terms and Conditions of Contract” fail to indicate the existence of the right of withdrawal within 14 days following the subscription of the subscription and its methods of exercise. This omission constitutes a violation of art. 52 of the Consumer Code. It should be noted in this regard that the provision of a 7-day trial period, during which a full refund of the expenses incurred is provided, does not remedy this lack of provision.  </w:t>
        <w:br/>
        <w:t xml:space="preserve">25. Finally, the provision of a forum different from that of the consumer's residence for the resolution of any disputes is to be considered in contrast with what is established by art. 66-bis of the Consumer Code.  </w:t>
        <w:br/>
        <w:t xml:space="preserve">26. The identified violations constitute a denial of rights deemed fundamental for the proper functioning of online commerce.  </w:t>
        <w:br/>
        <w:t xml:space="preserve">VI. QUANTIFICATION OF THE SANCTION  </w:t>
        <w:br/>
        <w:t xml:space="preserve">27. Pursuant to Article 27, paragraph 9, of the Consumer Code, with the measure that prohibits the unfair commercial practice, the Authority orders the application of an administrative fine from €5,000 to €5,000,000, taking into account the severity and duration of the violation.  </w:t>
        <w:br/>
        <w:t xml:space="preserve">28. In the case of a proceeding concerning a plurality of established administrative violations, the jurisprudence has clarified that, in the presence of a plurality of behaviors with structural and functional autonomy, attributed to the responsibility of the professionals, the criterion of material cumulation of sanctions applies, instead of legal cumulation (see, among others, Council of State, Section VI, judgment no. 209 of January 19, 2012).  </w:t>
        <w:br/>
        <w:t xml:space="preserve">29. Regarding the quantification of the sanction, account must be taken, as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  </w:t>
        <w:br/>
        <w:t xml:space="preserve">30. With reference to the economic dimension of the professional, it is highlighted that PANDA LEADS is a company based in Hong Kong that has not provided any accounting data related to its activity.  </w:t>
        <w:br/>
        <w:t xml:space="preserve">Practice A  </w:t>
        <w:br/>
        <w:t xml:space="preserve">31. With regard to the severity of the violation, account is taken of the particular insidiousness of the behaviors consisting, on the one hand, in the dissemination of omissive and misleading information on elements of fundamental importance for purchasing choices, such as the characteristics and economic conditions of the service offered, as well as in obstructive conduct suitable to create obstacles to the exercise of the right of subscribers to withdraw from the contractual obligation and to obtain the requested refunds. It is also relevant that the practice is disseminated via the internet and therefore capable of reaching a potentially unlimited number of users.  </w:t>
        <w:br/>
        <w:t xml:space="preserve">32. Regarding the duration of the violation, from the elements acquired in the proceedings, it appears that the commercial practice has been in place at least since September 2021 and is still ongoing.  </w:t>
        <w:br/>
        <w:t xml:space="preserve">33. Based on these elements, it is deemed appropriate to determine the amount of the administrative pecuniary sanction for Practice A) at €20,000 (twenty thousand euros).  </w:t>
        <w:br/>
        <w:t xml:space="preserve">Illicit B and Illicit C  </w:t>
        <w:br/>
        <w:t xml:space="preserve">34. With regard to the severity of the violation, it is considered that Illicit B) and C), having been carried out in the context of the offer of an online service, are capable of reaching a considerable number of users, prejudicing the exercise of fundamental rights for the proper functioning of online commerce.  </w:t>
        <w:br/>
        <w:t xml:space="preserve">35. Regarding the duration of the violation, from the elements acquired in the proceedings, it appears that the behaviors in question have been in place at least since September 2021 and are still ongoing.  </w:t>
        <w:br/>
        <w:t>36. Based on these elements, it is deemed appropriate to determine the amount of the administrative pecuniary sanction at €10,000 (ten thousand euros) for Illicit B) and at €10,000 (ten thousand euros) for Illicit C).</w:t>
      </w:r>
    </w:p>
    <w:p>
      <w:r>
        <w:rPr>
          <w:b/>
        </w:rPr>
        <w:t>[Pages 76–78]</w:t>
      </w:r>
    </w:p>
    <w:p>
      <w:r>
        <w:t xml:space="preserve">78 BULLETIN NO. 20 OF MAY 30, 2022  </w:t>
        <w:br/>
        <w:t xml:space="preserve">CONSIDERED, therefore, based on the above considerations and taking into account the opinion of the Authority for Communications Guarantees that the commercial practice under A) is deemed unfair, pursuant to Articles 21, 22, 24, 25, paragraph 1, letter d), of the Consumer Code, as it is capable, through misleading omissions and obstructive conduct, of unduly influencing the average consumer in relation to the exercise of contractual rights;  </w:t>
        <w:br/>
        <w:t xml:space="preserve">CONSIDERED, therefore, based on the above considerations and taking into account the opinion of the Authority for Communications Guarantees that the infringement under B) constitutes a violation of Article 52 of the Consumer Code, as the professional does not provide any information regarding the right of withdrawal and its exercise;  </w:t>
        <w:br/>
        <w:t xml:space="preserve">CONSIDERED, therefore, based on the above considerations and taking into account the opinion of the Authority for Communications Guarantees that the infringement under C) constitutes a violation of Article 66-bis of the Consumer Code, as the professional provides for a forum different from that of the consumer's residence for the resolution of any disputes;  </w:t>
        <w:br/>
        <w:t xml:space="preserve">RESOLVES  </w:t>
        <w:br/>
        <w:t xml:space="preserve">a) that the commercial practice described under letter A) of this measure, carried out by PANDA LEADS, constitutes, for the reasons and within the limits stated in the motivation, an unfair commercial practice pursuant to Articles 21, 22, 24, 25, paragraph 1, letter d), of the Consumer Code and prohibits its dissemination or continuation;  </w:t>
        <w:br/>
        <w:t xml:space="preserve">b) that the conduct described under letter B) of this measure, carried out by PANDA LEADS, constitutes, for the reasons and within the limits stated in the motivation, a violation of Article 52 of the Consumer Code and prohibits its dissemination or continuation;  </w:t>
        <w:br/>
        <w:t xml:space="preserve">c) that the conduct described under letter C) of this measure, carried out by PANDA LEADS, constitutes, for the reasons and within the limits stated in the motivation, a violation of Article 66-bis of the Consumer Code and prohibits its dissemination or continuation;  </w:t>
        <w:br/>
        <w:t xml:space="preserve">d) to impose on PANDA LEADS for the violation referred to in point A) an administrative fine of €20,000 (twenty thousand euros);  </w:t>
        <w:br/>
        <w:t xml:space="preserve">e) to impose on PANDA LEADS for the violation referred to in point B) an administrative fine of €10,000 (ten thousand euros);  </w:t>
        <w:br/>
        <w:t xml:space="preserve">f) to impose on PANDA LEADS for the violation referred to in point C) an administrative fine of €10,000 (ten thousand euros);  </w:t>
        <w:br/>
        <w:t>g) that the professional communicates to the Authority, within sixty days from the notification of this measure, the initiatives taken in compliance with the warnings referred to in points A), B) and C).</w:t>
      </w:r>
    </w:p>
    <w:p>
      <w:r>
        <w:t xml:space="preserve">BULLETIN NO. 20 OF MAY 30, 2022 79  </w:t>
        <w:br/>
        <w:t xml:space="preserve">The administrative fines imposed must be paid within thirty days from the notification of this measure, via bank transfer (in euros) to the Treasury, using the IBAN code IT04A0100003245348018359214 (BIC code: BITAITRRENT), which corresponds to the accounting number 18/3592/14.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fine is increased by one-tenth for each semester starting from the day after the payment deadline until the role is transmitted to the collector for collection; in this case, the increase absorbs the late interest accrued during the same period.  </w:t>
        <w:br/>
        <w:t xml:space="preserve">Immediate communication of the payment must be given to the Authority by sending a copy of the form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fine ranging from €10,000 to €5,000,000. In cases of repeated non-compliance, the Authority may order the suspension of business activity for a period not exceeding thirty days.  </w:t>
        <w:br/>
        <w:t xml:space="preserve">Against this measure, an appeal may be filed with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measure itself.  </w:t>
        <w:br/>
        <w:t xml:space="preserve">THE SECRETARY GENERAL THE PRESIDENT  </w:t>
        <w:br/>
        <w:t>Guido Stazi Roberto Rustichelli</w:t>
      </w:r>
    </w:p>
    <w:p>
      <w:r>
        <w:t xml:space="preserve">80 BULLETIN NO. 20 OF MAY 30, 2022  </w:t>
        <w:br/>
        <w:t xml:space="preserve">PS12298 – FACILE ENERGY - UNREQUESTED ACTIVATIONS  </w:t>
        <w:br/>
        <w:t xml:space="preserve">Notice of initiation of investigative proceedings  </w:t>
        <w:br/>
        <w:t xml:space="preserve">COMPETITION AND MARKET AUTHORITY  </w:t>
        <w:br/>
        <w:t xml:space="preserve">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Authority's resolution of April 1, 2015, in relation to the procedure PS12298.  </w:t>
        <w:br/>
        <w:t xml:space="preserve">I. THE PARTIES  </w:t>
        <w:br/>
        <w:t xml:space="preserve">The company Facile Energy S.r.l., active in the sale of natural gas and electricity to final customers in the free market, as a professional pursuant to Article 18, letter b) of the Consumer Code.  </w:t>
        <w:br/>
        <w:t xml:space="preserve">The consumer associations Adiconsum Padova, Adiconsum dei Laghi - Varese Office, Consumer Users Protection Center, Federconsumatori Arezzo, Federconsumatori Toscana, Federconsumatori Trieste, National Consumers Union as reporters.  </w:t>
        <w:br/>
        <w:t xml:space="preserve">II. THE COMMERCIAL PRACTICES  </w:t>
        <w:br/>
        <w:t xml:space="preserve">Based on the complaints received by the Authority, from July 2021 to April 2022, from individual consumers and consumer associations, it has emerged that Facile Energy would have activated unsolicited supplies of electricity and/or natural gas by providing consumers with misleading and/or omissive information, as well as engaging in conduct characterized by aggressive profiles. Numerous reports also indicate that Facile Energy would have exploited the state of particular contractual and psychological weakness of a significant portion of users, vulnerable individuals due to advanced age or high degrees of disability.  </w:t>
        <w:br/>
        <w:t xml:space="preserve">Below are the conducts carried out by the Professional, which could integrate relevant cases pursuant to the Consumer Code.  </w:t>
        <w:br/>
        <w:t xml:space="preserve">A) Conclusion of contracts and activation of electricity and/or natural gas supplies, in the absence of a corresponding manifestation of will from the consumer, of the customer's signature, or by virtue of false signatures.  </w:t>
        <w:br/>
        <w:t>Numerous complainants have reported that the company Facile Energy would proceed to conclude contracts and activate electricity and/or natural gas supplies, including the issuance of invoices, without having previously obtained the consumer's consent, following a mere phone contact or, in some cases, even in the absence of both a phone contact and a home visit by an agent/procurer of the Professional and without the subsequent sending of the contractual documentation.</w:t>
      </w:r>
    </w:p>
    <w:p>
      <w:r>
        <w:rPr>
          <w:b/>
        </w:rPr>
        <w:t>[Pages 79–81]</w:t>
      </w:r>
    </w:p>
    <w:p>
      <w:r>
        <w:t xml:space="preserve">BULLETIN NO. 20 OF MAY 30, 2022 81  </w:t>
        <w:br/>
        <w:t xml:space="preserve">B) Communication of misleading information, omissions of information, and undue pressures, in order to obtain the conclusion of contracts.  </w:t>
        <w:br/>
        <w:t xml:space="preserve">In the context of distance selling of electricity and/or gas supply services, carried out through home visits (so-called "door-to-door" sales) or by telephone contact, the agents of the company Facile Energy would not inform consumers clearly and understandably, before they are contractually bound, about the identity of the Professional, the characteristics and price of the offer, as well as the possibility of exercising the right of withdrawal.  </w:t>
        <w:br/>
        <w:t xml:space="preserve">They would also have provided information that was untrue, inaccurate, or incomplete regarding the purpose of the visits or calls and the obligations arising from the contract.  </w:t>
        <w:br/>
        <w:t xml:space="preserve">Furthermore, according to reports from consumers, the agents of the Professional would have contracted users of other suppliers by presenting themselves as agents of the latter or stating that Facile Energy had been commissioned by them to temporarily take over the supply relationship, ensuring its continuation in the presence of technical difficulties arising from the original supplier.  </w:t>
        <w:br/>
        <w:t xml:space="preserve">C) Obstacles to the exercise of contractual rights by the user.  </w:t>
        <w:br/>
        <w:t xml:space="preserve">Facile Energy would have demanded payment for the supply even after the user's complaint aimed at disputing the contract or contesting the unsolicited activation of the supply, even sending reminders and warnings despite pending customer complaints.  </w:t>
        <w:br/>
        <w:t xml:space="preserve">Reports in the records also suggest that the Professional has hindered the exercise of the right of withdrawal by providing unclear or misleading information, failing to send the contractual documentation and the withdrawal information to the consumer's home, and, in addition, considering the right of reconsideration exercised within the terms inferred from the asserted date of conclusion of the contract as untimely.  </w:t>
        <w:br/>
        <w:t xml:space="preserve">In any case, many users complain about the impossibility of contacting Facile Energy's customer service at the indicated numbers as well as the inadequate handling of complaints and requests for clarification, which remained without serious and substantial responses, going beyond the mere sending of stereotyped responses, clearly incorrect or irrelevant.  </w:t>
        <w:br/>
        <w:t xml:space="preserve">D) Undue disconnection (or threat of suspension) of withdrawal points.  </w:t>
        <w:br/>
        <w:t xml:space="preserve">Furthermore, following the unsolicited activation of the supply, the Professional, in demanding payment for the supply, would have in some cases threatened or executed the disconnection (so-called disconnection) of the withdrawal point, not preceded by a reduction in power, without prior delivery of the invoices for which payment was requested (or having delivered them late and close to the notice to comply) or, even in the case of timely delivery of the same, without notice and/or while a complaint was pending from consumers.  </w:t>
        <w:br/>
        <w:t xml:space="preserve">III. NOTICE  </w:t>
        <w:br/>
        <w:t xml:space="preserve">Through this notice, interested parties who have submitted a request for intervention pursuant to Article 4 of the Regulation are informed that, with communication dated 27 April 2022, prot. no. 0036825, an investigative procedure has been initiated against the Professional, aimed at verifying any violation of Articles 20, 21, 22, 24, 25, 26 letter f) in conjunction with Article 66 quinquies, 49, 50, 51, 52, 53, 54, and 55 of the Consumer Code.  </w:t>
        <w:br/>
        <w:t xml:space="preserve">It is also informed that interested parties have the right to intervene in the ongoing procedure by submitting a specific act, duly signed, containing the elements indicated in Article 10 of the Regulation.  </w:t>
        <w:br/>
        <w:t>For any communication addressed to the Authority regarding the procedure in question, please cite the Directorate A - Primary Industry, Energy, Transport, and Trade of the Directorate General for Consumer Protection and the reference PS12298.</w:t>
      </w:r>
    </w:p>
    <w:p>
      <w:r>
        <w:t xml:space="preserve">Competition and Market Authority Weekly Bulletin  </w:t>
        <w:br/>
        <w:t xml:space="preserve">Year XXXII - No. 20 - 2022  </w:t>
        <w:br/>
        <w:t xml:space="preserve">Editorial Coordination Giulia Antenucci  </w:t>
        <w:br/>
        <w:t xml:space="preserve">Editorial Staff Valerio Ruocco, Simonetta Schettini, Manuela Villani  </w:t>
        <w:br/>
        <w:t xml:space="preserve">Competition and Market Authority  </w:t>
        <w:br/>
        <w:t xml:space="preserve">Statistics and IT Applications Office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