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https://www.agcm.it/dotcmsdoc/bollettini/2023/20-23.pdf</w:t>
      </w:r>
    </w:p>
    <w:p>
      <w:r>
        <w:t>Pages translated : 37</w:t>
      </w:r>
    </w:p>
    <w:p/>
    <w:p>
      <w:r>
        <w:rPr>
          <w:b/>
        </w:rPr>
        <w:t>[Pages 1–3]</w:t>
      </w:r>
    </w:p>
    <w:p>
      <w:r>
        <w:t>Bulletin</w:t>
        <w:br/>
        <w:t>Weekly</w:t>
        <w:br/>
        <w:t>Year XXXIII - No. 20</w:t>
        <w:br/>
        <w:t>Published on the website www.agcm.it</w:t>
        <w:br/>
        <w:t>May 29, 2023</w:t>
        <w:br/>
        <w:t>New version of May 30, 2023</w:t>
      </w:r>
    </w:p>
    <w:p>
      <w:r>
        <w:t>SUMMARY(*)</w:t>
        <w:br/>
        <w:t>AGREEMENTS AND ABUSE OF DOMINANT POSITION 5</w:t>
        <w:br/>
        <w:t>A562 - FIGC-REGULATION ON THE ORGANIZATION OF AMATEUR TOURNAMENTS</w:t>
        <w:br/>
        <w:t>Decision No. 30636 5</w:t>
        <w:br/>
        <w:t>CONCENTRATION OPERATIONS 15</w:t>
        <w:br/>
        <w:t>C12536 - LAB ANALYSIS GROUP-ENI REWIND/LASER LAB</w:t>
        <w:br/>
        <w:t>Decision No. 30630 15</w:t>
        <w:br/>
        <w:t>C12539 - PENNY MARKET/BRANCHES OF DICO</w:t>
        <w:br/>
        <w:t>Decision No. 30631 19</w:t>
        <w:br/>
        <w:t>ACTIVITIES OF REPORTING AND CONSULTATION 23</w:t>
        <w:br/>
        <w:t>AS1889 - REGULATION OF TARIFFS FOR THE VERIFICATION OF GROUNDING SYSTEMS 23</w:t>
        <w:br/>
        <w:t>UNFAIR COMMERCIAL PRACTICES 26</w:t>
        <w:br/>
        <w:t>IP365 - FACILE ENERGY-UNREQUESTED ACTIVATIONS</w:t>
        <w:br/>
        <w:t>Decision No. 30632 26</w:t>
        <w:br/>
        <w:t>PS12352 - MARTINI DUMAS-PRINT DISTRIBUTION</w:t>
        <w:br/>
        <w:t>Decision No. 30634 30</w:t>
        <w:br/>
        <w:t>(*) In this version of Bulletin No. 20/2023, the text of Decision No. 30634 of May 9, 2023, is published in the corrected version.</w:t>
      </w:r>
    </w:p>
    <w:p>
      <w:r>
        <w:t>BULLETIN NO. 20 OF MAY 29, 2023 5</w:t>
        <w:br/>
        <w:t>AGREEMENTS AND ABUSE OF DOMINANT POSITION</w:t>
        <w:br/>
        <w:t>A562 - FIGC-REGULATION ON THE ORGANIZATION OF AMATEUR TOURNAMENTS</w:t>
        <w:br/>
        <w:t>Decision No. 30636</w:t>
        <w:br/>
        <w:t>THE ANTITRUST AUTHORITY</w:t>
        <w:br/>
        <w:t>IN ITS MEETING of May 16, 2023;</w:t>
        <w:br/>
        <w:t>HEARD the Rapporteur Professor Elisabetta Iossa;</w:t>
        <w:br/>
        <w:t>HAVING REGARD to Article 102 of the Treaty on the Functioning of the European Union (TFEU);</w:t>
        <w:br/>
        <w:t>HAVING REGARD to Council Regulation No. 1/2003 of December 16, 2002, concerning the application of the competition rules laid down in Articles 101 and 102 TFEU;</w:t>
        <w:br/>
        <w:t>HAVING REGARD to the Commission Communication on cooperation within the network of competition authorities, of April 27, 2004;</w:t>
        <w:br/>
        <w:t>HAVING REGARD to Law No. 287 of October 10, 1990 and subsequent amendments;</w:t>
        <w:br/>
        <w:t>HAVING REGARD to the Presidential Decree No. 217 of April 30, 1998, containing "Regulations on investigative procedures under the jurisdiction of the Antitrust Authority";</w:t>
        <w:br/>
        <w:t>HAVING REGARD to Law No. 689 of November 24, 1981;</w:t>
        <w:br/>
        <w:t>HAVING REGARD to the report received from the National Sports Center Libertas on April 6, 2023;</w:t>
        <w:br/>
        <w:t>HAVING REGARD to the documentation in its possession;</w:t>
        <w:br/>
        <w:t>CONSIDERING the following:</w:t>
        <w:br/>
        <w:t>I. THE PARTIES</w:t>
        <w:br/>
        <w:t>1. The Italian Football Federation (hereinafter "FIGC" or "Federation"), founded in 1898, recognized by the Fédération Internationale de Football Association (FIFA) in 1905 and a founding member of the Union of European Football Associations (UEFA) in 1954, is the association of clubs and sports associations that pursue the aim of practicing football in Italy. The FIGC aims to promote and regulate football activities and related aspects, promoting and reconciling the professional dimension with the amateur one through a central structure.</w:t>
        <w:br/>
        <w:t>2. The Federation includes the Leagues, which are responsible for organizing professional (Serie A League, Serie B League, and Lega Pro) and amateur championships (National Amateur League), the Italian Referees Association, which designates referees and assistant referees for matches under the FIGC's jurisdiction, the Technical Components (Italian Footballers Association and Italian Football Coaches Association), the Technical Sector, and the Youth and School Sector. The FIGC also has established the Women's Football Division and the Paralympic and Experimental Football Division.</w:t>
        <w:br/>
        <w:t>The members registered with the FIGC are approximately 1,400,000, of which over 830,000 are active in the youth sector.</w:t>
        <w:br/>
        <w:t>3. The National Sports Center Libertas (hereinafter "CNS Libertas" or "the Reporting Party") is a Sports Promotion Entity (hereinafter EPS) formally established in 1945 and recognized by the Italian National Olympic Committee (hereinafter "CONI") by resolution of June 24, 1976, and by the Ministry of the Interior on December 27, 1979, as a National Entity with a welfare character. CNS</w:t>
      </w:r>
    </w:p>
    <w:p>
      <w:r>
        <w:rPr>
          <w:b/>
        </w:rPr>
        <w:t>[Pages 4–6]</w:t>
      </w:r>
    </w:p>
    <w:p>
      <w:r>
        <w:t>6 BULLETIN NO. 20 OF MAY 29, 2023</w:t>
      </w:r>
    </w:p>
    <w:p>
      <w:r>
        <w:t>Libertas brings together Amateur Sports Associations (hereinafter ASD), sports clubs, and cultural circles that decide to affiliate with it to carry out their recreational and cultural sports activities. The Entity has 130 territorial offices, over 50 technical-sports sectors, and over 9,000 affiliated associations, of which approximately 5,400 operate in the sports sector and are registered with CONI, while the remaining operate in the socio-cultural sector. The members of CNS Libertas related to various sports disciplines number 680,000, of which over 55,500 are in the football sector. The ASDs associated with CNS Libertas in the football sector are 825.</w:t>
      </w:r>
    </w:p>
    <w:p>
      <w:r>
        <w:t>II. THE REPORT</w:t>
      </w:r>
    </w:p>
    <w:p>
      <w:r>
        <w:t>4. In the report, received on April 6, 2023, CNS Libertas contests an alleged abuse of dominant position by FIGC which, by virtue of the absolute prominence it holds in the organization of competitive football competitions, would engage in behaviors aimed at hindering or preventing the affiliated clubs – including numerous ASDs affiliated with different EPS, including CNS Libertas – from participating in youth football competitions of a recreational-amateur nature (i.e., non-competitive) organized by the EPS. The behavior of FIGC would be aimed at extending the dominant position held in competitive competitions to recreational-amateur tournaments, where various EPS operate, in order to increase the number of its members, to the detriment of the EPS themselves as well as the ASDs, which thus see their freedom to choose the tournaments in which to participate their teams and young athletes limited.</w:t>
      </w:r>
    </w:p>
    <w:p>
      <w:r>
        <w:t>5. In this context, FIGC would be implementing an overall strategy aimed at hindering – if not completely eliminating – the participation of affiliated sports associations, and in particular ASDs, in youth recreational-amateur tournaments organized by the EPS. Specifically, FIGC would have engaged in a series of behaviors, consisting of intimidating acts (such as disciplinary measures/referrals before the Territorial Federal Court) and changes to regulatory norms concerning the Youth and School Sector, specifically aimed at limiting the freedom of ASDs affiliated with FIGC to participate in youth tournaments of a recreational-amateur nature organized by the EPS.</w:t>
      </w:r>
    </w:p>
    <w:p>
      <w:r>
        <w:t>6. In support of the claims made, the Reporting Party refers, first of all, to the disciplinary proceeding initiated by FIGC no. 15075/119pfi22-23/PM/fm of March 3, 2023, concerning "investigations regarding presumably unauthorized tournaments organized by sports promotion entities and the possible participation therein of members and clubs affiliated with FIGC." With this proceeding, the Interregional Attorney General of FIGC has referred over 200 subjects – ASDs and their officials – affiliated with both FIGC and EPS active in Campania, for alleged violation of Article 4 paragraph 1 of the Sports Justice Code, in relation to the provision contained in Article 9.3 letter a2), titled "National Character Tournaments," of the Official Communication of the Youth and School Sector no. 1, of July 1, 2021, relating to the 2021-2022 sports season. In particular, the subjects affected by the referral act would have participated in various tournaments organized by EPS, including CNS Libertas, active in the Campania region, without verifying whether federal authorization for the organization and realization of championships/tournaments organized by such Entities had been requested.</w:t>
      </w:r>
    </w:p>
    <w:p>
      <w:r>
        <w:t>7. In this regard, the Reporting Party emphasizes that there is no regulatory provision that prohibits a club registered with FIGC from participating in recreational-amateur events organized by EPS, such as those subject to the disciplinary proceeding. In this regard, CNS Libertas invokes Article 2, paragraph 1 letter a) of the EPS Regulation, approved by CONI with resolution no. 1525 of October 28, 2014 (hereinafter "EPS Regulation"), which provides that EPS may organize and promote, without an agreement with the Federation, for all age groups and social categories, multidisciplinary activities of various kinds (motor-sporting and training activities) of a non-competitive nature.</w:t>
      </w:r>
    </w:p>
    <w:p>
      <w:r>
        <w:t>8. Nor, on the other hand, is there any norm that reserves to FIGC the organization of recreational-amateur events, and until the 2021-22 sports season (cf. Official Communication of FIGC no. 1 of July 1, 2021, Youth and School Sector, 2021-2022 sports season), no prior authorization from the Federation was required for participation in tournaments organized by EPS by clubs affiliated with FIGC. The only requirement was that of Section 1 (Basic Activities), letter n), which only provided that they were EPS recognized by CONI with which a specific agreement had been "signed with the Youth and School Sector." On this point, CNS Libertas clarified that it has repeatedly requested FIGC to enter into such an agreement, but has never received a response, despite numerous reminders.</w:t>
      </w:r>
    </w:p>
    <w:p>
      <w:r>
        <w:t>9. Secondly, the Reporting Party complains about the illegitimate introduction into the FIGC regulations for the 2022/2023 sports year (cf. Official Communication of FIGC no. 1 of July 1, 2022, Youth and School Sector, 2022-2023 sports season), specifically in Section 1 (Basic Activities), letter n), of a new clause that provides, for the participation of clubs affiliated with FIGC in tournaments organized by EPS, in addition to the aforementioned agreement between the EPS and the Federation, also a prior authorization issued by the offices of FIGC competent at the national, regional, or territorial level.</w:t>
      </w:r>
    </w:p>
    <w:p>
      <w:r>
        <w:t>10. The introduction of such a clause, according to CNS Libertas, would also be proof that the aforementioned disciplinary proceeding, initiated by FIGC on March 3, 2023, regarding alleged lack of authorizations for tournaments related to the 2021-2022 season, has no foundation, as no pre-authorization was provided for that season even by FIGC regulations. The Reporting Party emphasizes that the regulatory change concerning the 2022-2023 season would have been made for the specific purpose of hindering, even legally, the participation of ASDs affiliated with FIGC in youth amateur tournaments organized by EPS.</w:t>
      </w:r>
    </w:p>
    <w:p>
      <w:r>
        <w:t>11. Moreover, according to the Reporting Party, the provision – contained both in the Official Communication of FIGC for the 2021-2022 sports season and in that for the 2022-2023 season, regarding the necessary agreement stipulated by the EPS with the Youth and School Sector of FIGC – constitutes a binding element of the organizational freedom of EPS, to the extent that it is not mandatory based on the EPS Regulation approved by CONI mentioned above.</w:t>
      </w:r>
    </w:p>
    <w:p>
      <w:r>
        <w:t>12. Furthermore, as far as CNS Libertas is aware, none of the EPS recognized by CONI has ever managed to enter into an agreement with FIGC. This is also confirmed by what is stated in the Official Communication of July 1, 2021, which states that "at the date of publication of the same, there were no existing Agreements with EPS for the 2021-2022 sports season."</w:t>
      </w:r>
    </w:p>
    <w:p>
      <w:r>
        <w:t>8 BULLETIN NO. 20 OF MAY 29, 2023</w:t>
      </w:r>
    </w:p>
    <w:p>
      <w:r>
        <w:t>The "inertia/refusal" of FIGC is precisely the reason why CNS Libertas was unable to fulfill the obligation of entering into an agreement with the Federation, intending to continue operating through the organization of tournaments in the amateur sector.</w:t>
      </w:r>
    </w:p>
    <w:p>
      <w:r>
        <w:t>III. THE REGULATORY FRAMEWORK OF REFERENCE</w:t>
      </w:r>
    </w:p>
    <w:p>
      <w:r>
        <w:t>13. The regulation of the sports sector in Italy is based on a pyramidal system that is composed, at the international and apex level, of the International Olympic Committee (IOC) and FIFA, while at the national level by CONI, which performs tasks of coordination with international bodies and of guidance and control at the national level.</w:t>
      </w:r>
    </w:p>
    <w:p>
      <w:r>
        <w:t>14. CONI was established in 1914 by delegates from the various National Sports Federations, in order to organize the participation of Italian athletes in the Olympics, in coordination with the IOC. With Law No. 426 of February 16, 1942, CONI is qualified as a non-economic public law entity subject to ministerial supervision. The reorganization of CONI took place with Legislative Decree No. 242 of July 23, 1999 (so-called Melandri law) and, subsequently, with Law No. 178 of August 8, 2002 and Legislative Decree No. 15 of January 8, 2004 (so-called Pescante reform). CONI, defined as the "confederation of National Sports Federations," has statutory powers that, as provided for in Article 2, concern the regulation of the central and peripheral organization of CONI, as well as its functioning.</w:t>
      </w:r>
    </w:p>
    <w:p>
      <w:r>
        <w:t>15. For each sport, CONI recognizes only one National Sports Federation (FSN) or an Associated Sports Discipline (DSA), where a given sport is not already subject to regulation by an FSN. Currently, CONI recognizes 45 FSNs, 18 DSAs, and 14 EPSs. The Statutes of FSNs and DSAs must comply with the fundamental principles issued by the National Council of CONI, last approved with resolution no. 1613 of September 4, 2018. It follows that CONI recognizes FSNs that carry out sports activities in the national territory and, at the international level, are affiliated with an International Federation, managing sports activities in accordance with the Olympic Charter and the rules of the International Federation of belonging.</w:t>
      </w:r>
    </w:p>
    <w:p>
      <w:r>
        <w:t>16. Sports federations "carry out sports activities in harmony with the resolutions and guidelines of the IOC, international federations, and CONI, also considering the public significance of specific types of activities identified in the CONI statute" (Article 15, Legislative Decree No. 242/1999). National sports federations have the nature of associations with legal personality under private law, do not pursue profit-making purposes (paragraph 2), and their budgets are approved by CONI (paragraphs 2 and 3). Pursuant to Article 16 of Legislative Decree No. 242/1999, FSNs have statutory and regulatory powers in accordance with the fundamental principles established by CONI.</w:t>
      </w:r>
    </w:p>
    <w:p>
      <w:r>
        <w:t>17. The Statute of CONI provides that federations "are recognized technical, organizational, and management autonomy, under the supervision of CONI" (Article 20, paragraphs 3 and 4). Furthermore, pursuant to Article 15, paragraph 1, Legislative Decree No. 242/1999, the Statute identifies the public significance activities of federations "related to the admission and affiliation of clubs, sports associations, and individual members, to the revocation (...) of admission or affiliation measures; to the control over the regular conduct of competitions and professional sports championships; to the utilization of public contributions; (...), as well as activities related to Olympic preparation and high level, to the training of technicians, to the utilization and management of public sports facilities" (Article 23 Statute); "the public significance of the activity does not change the ordinary regime of private law of individual acts and the subjective legal situations connected" (Article 23, paragraph 1-bis).</w:t>
      </w:r>
    </w:p>
    <w:p>
      <w:r>
        <w:t>18. The technical regulations, adopted by each federation in compliance with the rules established by the relevant International Federation, are aimed at regulating the conduct of</w:t>
      </w:r>
    </w:p>
    <w:p>
      <w:r>
        <w:rPr>
          <w:b/>
        </w:rPr>
        <w:t>[Pages 7–9]</w:t>
      </w:r>
    </w:p>
    <w:p>
      <w:r>
        <w:t>BULLETIN NO. 20 OF MAY 29, 2023</w:t>
      </w:r>
    </w:p>
    <w:p>
      <w:r>
        <w:t>9</w:t>
      </w:r>
    </w:p>
    <w:p>
      <w:r>
        <w:t>sports events/competitions, making a distinction between competitive, amateur, and recreational activities. These regulations are adopted autonomously by the Federations and are not subject to the control and approval of the National Board of CONI.</w:t>
      </w:r>
    </w:p>
    <w:p>
      <w:r>
        <w:t>19. The FIGC is the association recognized by CONI with the purpose of "promoting and regulating the activity of football and related aspects" (Art. 1, paragraph 1, FIGC Statute). According to the statutory provisions, the FIGC is "the association of clubs and sports associations (the “clubs”) that pursue the aim of practicing football in Italy and of other bodies affiliated to it that carry out activities instrumental to the pursuit of this aim. The federal regulations govern the registration of athletes, coaches, match officials, managers, and other subjects of the federal system" (Art. 1, paragraph 2, FIGC Statute).</w:t>
      </w:r>
    </w:p>
    <w:p>
      <w:r>
        <w:t>20. Pursuant to Article 1, paragraph 1, of the EPS Regulation, sports associations at the national or regional level can be recognized as such "that have as their institutional aim the promotion and organization of motor-sport activities with recreational and educational purposes, and that carry out their functions in compliance with the principles, rules, and competencies of CONI, the National Sports Federations, and the Associated Sports Disciplines and in observance of the anti-doping sports regulations of CONI - NADO."</w:t>
      </w:r>
    </w:p>
    <w:p>
      <w:r>
        <w:t>21. Article 2, paragraph 1, letter a) of this Regulation provides that the "motor-sport" activities promoted by the EPS can be of three types:</w:t>
        <w:br/>
        <w:t>“1) promotional, amateur, and non-professional in nature, even if with competitive modalities, with aims of recreation, growth, health, personal and social maturation;</w:t>
        <w:br/>
        <w:t>2) recreational-motor activities and initiation to sports practice;</w:t>
        <w:br/>
        <w:t>3) competitive performance activities related to their institutional aim in compliance with what is established by the technical regulations of the National Sports Federations or the Associated Sports Disciplines and the principles of Sports Justice issued by CONI to which they must exclusively refer, along with their affiliates, for the best achievement of specific aims prior to the stipulation of appropriate Agreements in accordance with the template issued by CONI.”</w:t>
      </w:r>
    </w:p>
    <w:p>
      <w:r>
        <w:t>22. Therefore, the Agreement does not represent a mandatory requirement for the EPS for the organization of recreational-amateur competitions, but only a requirement for competitive performance activities related to their institutional aim, and solely to ensure compliance with the technical regulations of the FSN or the DSA and the principles of Sports Justice issued by CONI.</w:t>
      </w:r>
    </w:p>
    <w:p>
      <w:r>
        <w:t>23. On February 26, 2019, with resolution no. 68, a "Model Agreement" (Model Agreement FSN_DSA_EPS) was approved by the National Board of CONI aimed at facilitating the signing of agreements between the various sports bodies, in accordance with the provisions for the implementation of the National Qualification System for Sports Operators (SNAQ). This model also indicates the competitive technical level that will remain the responsibility of the FSN and DSA. The agreements signed by the Federations and the EPS do not involve the participation of CONI.</w:t>
      </w:r>
    </w:p>
    <w:p>
      <w:r>
        <w:t>3 In particular, based on Annex 1 (SPORTING ACTIVITY AND DOUBLE REGISTRATION MODALITIES) of the Model Agreement, "the FSN/DSA and the EPS must jointly define the limits of the practice of sports. The definition of sports practice is an extremely important codification activity, as it determines the respective fields of action of the FSN/DSA and the EPS and on it the activities of joint programming are then based. [...] Consider the so-called “competitive sports activity,” for which, pursuant to Article 2 of the decree of the Minister of Health of February 18, 1982, containing “Rules for the health protection of competitive sports activity,” account must be taken of what is established by the rules of the FSN. Based on the regulatory framework, the Sports Promotion Bodies (EPS) can still carry out 'physical-sport activities with recreational and educational purposes' and 'carry out their functions in compliance with the principles, rules, and competencies of CONI, the National Sports Federations, and the Associated Sports Disciplines' (see Art. 26 CONI Statute - Regulation of Sports Promotion Bodies). Similarly, the EPS can carry out 'sports activities with recreational purposes and possibly also results-oriented, with rankings, that are not competitive'” (emphasis added).</w:t>
      </w:r>
    </w:p>
    <w:p>
      <w:r>
        <w:t>10 BULLETIN NO. 20 OF MAY 29, 2023</w:t>
      </w:r>
    </w:p>
    <w:p>
      <w:r>
        <w:t>IV. PRE-INVESTIGATION ACTIVITY CARRIED OUT</w:t>
      </w:r>
    </w:p>
    <w:p>
      <w:r>
        <w:t>24. In order to obtain some clarifications and to have a more complete picture regarding the reported facts, on April 18, 2023, a hearing was held with representatives of CNS Libertas and one of the ASD referred to it, the Associazione Aquilotti Cavesi.</w:t>
      </w:r>
    </w:p>
    <w:p>
      <w:r>
        <w:t>25. In this circumstance, the intervening parties preliminarily represented that, as a rule, the ASDs are affiliated both to the Federation and to the EPS (so-called double affiliation) and, therefore, can participate in the amateur competitions organized by both the FIGC and the EPS. Regarding the choice of the entity (FIGC and/or EPS) with which to register the young football player, this is up to the individual ASD. Furthermore, registration with the EPS and/or with the FIGC does not bind the various ASDs, which are free to choose, according to the principles of the sports system and the rules of CONI, which competition to participate in and with which entity – FIGC or EPS – to carry out the aforementioned activities.</w:t>
      </w:r>
    </w:p>
    <w:p>
      <w:r>
        <w:t>26. It was also clarified that there is a specific interest of the ASDs to remain affiliated with the FIGC, as the Federation organizes competitive tournaments for boys aged 13 to 17 and recognizes the ASDs the so-called preparation bonus if one of their athletes, registered with FIGC, manages to become a professional football player. This bonus is recognized by FIGC to the club that last registered the athlete before the transfer to the professional youth team. The quantification of the bonus is made by a specific Commission of the FIGC. Considering the presence of the preparation bonus, therefore, the ASDs, while adhering to an EPS, have a clear incentive to remain affiliated with the FIGC and to register the most promising young players with it.</w:t>
      </w:r>
    </w:p>
    <w:p>
      <w:r>
        <w:t>27. The Reporter also explained that the FIGC's choice to intervene massively in Campania likely stemmed from the fact that the Federation, in that region, has a particularly weak and poorly structured organization, which has allowed Libertas to expand its intervention spaces, organizing numerous amateur tournaments that have had a wide appeal in the youth sector, diverting resources from the Federation in terms of fewer registrations.</w:t>
      </w:r>
    </w:p>
    <w:p>
      <w:r>
        <w:t>28. In this regard, it should be emphasized that the cost of the FIGC membership card is almost 5 times higher than that of Libertas (19.50 euros vs. 4.5 euros); moreover, the affiliation fee to Libertas for an ASD is 30 euros per year while that to FIGC is double, i.e., 60 euros. Additionally, FIGC charges a fee for each championship in which a player registered with FIGC participates, amounting to 100 euros per player per year. The higher costs associated with registration with FIGC would have pushed many ASDs, at least in the province of Salerno, to join the amateur events organized by other Entities to the detriment of those of FIGC (the athlete must have the organizer's card to participate in a tournament, whether it is FIGC or an EPS). The Ministerial Decree of February 18, 1982 provides that "the competitive qualification for those engaged in sports activities is entrusted to the national sports federations" (Article 1) and that "the assessment of suitability, regarding age and sex, for access to individual competitive sports activities is carried out, among other things, taking into account the rules established by the national sports federations" (Article 2). Due to some interpretative difficulties reported in the application of the ministerial decree, particularly concerning the identification of the limits and characteristics of competitive sports activity, the Circular of the Ministry of Health of January 31, 1983 no. 7 "Rules for the health protection of competitive sports activity" intervened. In this circular, the Ministry limited itself to clarifying that not all sports activity carried out in a competitive form can be classified as competitive activity, without, however, providing elements capable of qualifying competitive activity and delimiting its scope in relation to amateur activity. The circular states that competitive activity "must be understood as that form of sports activity practiced systematically and/or continuously and especially in organized forms by the National Sports Federations, by the Sports Promotion Bodies recognized by CONI and by the Ministry of Public Education regarding the National Youth Games, for the achievement of sports performances of a certain level. Competitive sports activity is therefore not synonymous with competition. The competitive aspect, in fact, which can be present in all sports activities, alone is not sufficient to configure a sports activity in the competitive form."</w:t>
      </w:r>
    </w:p>
    <w:p>
      <w:r>
        <w:t>BULLETIN NO. 20 OF MAY 29, 2023</w:t>
      </w:r>
    </w:p>
    <w:p>
      <w:r>
        <w:t>11</w:t>
      </w:r>
    </w:p>
    <w:p>
      <w:r>
        <w:t>All this, according to the Reporter, would have generated a strong fear on the part of FIGC of losing a significant number of members and, therefore, of revenues. By way of example, ASD Aquilotti Cavese highlighted that, regarding its athletes, 145 are registered with Libertas and only 20 are also registered with FIGC (thus with double registration). This situation, along with the report received from an ASD, would have led the Federation to intervene with the disciplinary procedure of March 3, 2023, in order to send an exemplary signal to the affiliated ASDs. In this regard, it was clarified that to incur a disciplinary measure, it is sufficient for the ASD to be affiliated with FIGC, regardless of the number of FIGC registered players among its athletes and even in cases where the registered players participating in the amateur tournament are not FIGC registered.</w:t>
      </w:r>
    </w:p>
    <w:p>
      <w:r>
        <w:t>29. According to the Reporter, this intervention would not represent an isolated case, as FIGC would have intervened, even in the past, in other regions, albeit with a lesser impact. However, it is difficult to quantify the phenomenon due to the fact that ASDs subject to disciplinary measures often prefer to negotiate with the Federation, without raising the issue with the EPS. Therefore, where the referral is not reported to the EPS, it can only become aware of it following the failure to register with the association in the following year. Finally, it should be noted that the number of amateur tournaments organized by FIGC and various EPS throughout the national territory is in the thousands; therefore, at present, it is difficult to accurately quantify the extent of the phenomenon.</w:t>
      </w:r>
    </w:p>
    <w:p>
      <w:r>
        <w:t>V. EVALUATIONS</w:t>
      </w:r>
    </w:p>
    <w:p>
      <w:r>
        <w:t>a) The relevant market and the dominant position of FIGC</w:t>
      </w:r>
    </w:p>
    <w:p>
      <w:r>
        <w:t>30. This proceeding concerns the organization at the national, regional, and local levels of football events of a promotional, recreational-amateur, and competitive nature for athletes under the age of 17 (so-called Youth and School Sector) in which both EPS and FIGC operate.</w:t>
      </w:r>
    </w:p>
    <w:p>
      <w:r>
        <w:t>31. In this regard, it is important to note that FIGC is the only Federation recognized by CONI for the activity of playing football in Italy, as well as the only representative recognized by the Fédération Internationale de Football Association (FIFA) and a founding member of the Union of European Football Associations (UEFA). As highlighted above, the members of FIGC are approximately 1,400,000, of which over 830,000 are active in the youth sector, and many ASDs are affiliated with the Federation. Furthermore, FIGC holds regulatory and coordination powers over football activities in Italy and enjoys statutory, technical, organizational, and management autonomy under the supervision of CONI.</w:t>
      </w:r>
    </w:p>
    <w:p>
      <w:r>
        <w:t>32. Due to these characteristics, FIGC thus holds a dominant position in the organization of competitive football events, as well as a primary position in the organization of promotional and recreational-amateur events, particularly in the youth sector, as it is an entity that boasts special and exclusive rights that allow it to determine whether and under what conditions affiliated ASDs and their registered members can participate in recreational-amateur competitions, and whether and which EPS can access the market for the organization of these events.</w:t>
      </w:r>
    </w:p>
    <w:p>
      <w:r>
        <w:t>4 See the national precedents A378 E - FEDERITALIA/FEDERAZIONE ITALIANA SPORT EQUESTRI and A396 – GARGANO CORSE ACI, as well as the decision of the Belgian Competition Authority which, in line with the same, qualified the International Equestrian Federation (FEI) as a company that, thanks to exclusive regulatory powers, holds a dominant position in the organization of sporting events. Similarly, the decision of the Bundeskartellamt in the case Deutscher Olympischer Sportbund vs International Olympic Committee (IOC) - Restriction on the (individual) sponsoring of athletes due to Rule 40 § 3 of the Olympic Charter. In this decision, the Bundeskartellamt considered applicable not only Art. 101 TFEU but also Art. 102 TFEU, as it concerned the conduct of multiple companies operating.</w:t>
      </w:r>
    </w:p>
    <w:p>
      <w:r>
        <w:rPr>
          <w:b/>
        </w:rPr>
        <w:t>[Pages 10–12]</w:t>
      </w:r>
    </w:p>
    <w:p>
      <w:r>
        <w:t>12 BULLETIN NO. 20 OF MAY 29, 2023</w:t>
      </w:r>
    </w:p>
    <w:p>
      <w:r>
        <w:t>b) The nature of FIGC</w:t>
      </w:r>
    </w:p>
    <w:p>
      <w:r>
        <w:t>33. Preliminary observations indicate that, as already noted by the Authority based on European jurisprudence in this matter, the regulation by a Sports Federation of economic activities related to the world of sports is fully subject to antitrust scrutiny. According to the European Court of Justice, "the fact that an economic activity is related to sport does not preclude the application of the Treaty rules, including those governing competition law."</w:t>
      </w:r>
    </w:p>
    <w:p>
      <w:r>
        <w:t>Any restrictions arising from sports regulation must therefore be evaluated in light of the context in which they were introduced and the objectives pursued, and, in any case, cannot exceed what is strictly necessary and proportionate to ensure coordination with the sports activities to which they are connected, solely for the purpose of preserving the proper functioning of these latter activities.</w:t>
      </w:r>
    </w:p>
    <w:p>
      <w:r>
        <w:t>34. Within the legal framework illustrated, which is based on the pyramidal system of the IOC/FIFA – CONI – FIGC circuit, the public role of sports federations and the associated existence of a single federation for each sport do not exclude the possibility of antitrust scrutiny regarding the ways in which federations conduct economic activities in the market for organizing sporting events in which they are active. As illustrated, sports activity involves the performance of economic activities; indeed, the organization and management of a sporting event, which is a product of entertainment, generates profit.</w:t>
      </w:r>
    </w:p>
    <w:p>
      <w:r>
        <w:t>35. In particular, FIGC, within the sports system, performs representative, regulatory, and/or organizational activities for businesses active in the football sector. Furthermore, FIGC, as the organizer of events and manager of athlete registrations, directly engages in remunerated economic activities.</w:t>
      </w:r>
    </w:p>
    <w:p>
      <w:r>
        <w:t>c) The contested behaviors and the qualification of the case</w:t>
      </w:r>
    </w:p>
    <w:p>
      <w:r>
        <w:t>36. The reported behaviors appear to be capable of constituting a violation of Article 102 of the TFUE by FIGC. In particular, based on the information and documentation provided by the Whistleblower, FIGC, an operator in a dominant position in the organization of competitive football competitions by virtue of the special and exclusive regulatory and coordination powers granted to it by CONI, appears to have implemented a strategy aimed at hindering or preventing EPS from carrying out their activities of organizing promotional and recreational-amateur events and competitions in the youth sector, at the national, regional, and provincial levels, in order to expand its position in this market and increase the number of its registered members.</w:t>
      </w:r>
    </w:p>
    <w:p>
      <w:r>
        <w:t>37. This strategy has materialized in a series of behaviors aimed at dissuading ASD affiliated with FIGC from participating in youth tournaments of a promotional and recreational-amateur nature organized by EPS. As a collective entity, the coordinated behaviors attributable to a collective entity were in violation of Article 102 TFUE.</w:t>
      </w:r>
    </w:p>
    <w:p>
      <w:r>
        <w:t>5 See, for example, AGCM provision no. 27947, A378E - FEDERITALIA/ITALIAN FEDERATION OF EQUESTRIAN SPORTS (FISE) in Bulletin no. 42/2019, as well as Inquiry IC/27 of 2007 in the professional football sector.</w:t>
      </w:r>
    </w:p>
    <w:p>
      <w:r>
        <w:t>6 See the judgment MOTOE/Hellenic State, case C-49/07.</w:t>
      </w:r>
    </w:p>
    <w:p>
      <w:r>
        <w:t>7 See Court of Justice of the European Union, Meca Medina and Majcen, on "purely sporting" rules Judgment of July 18, 2006, case C-519/04 P, most recently reiterated by the Commission's decision of December 8, 2017, case IV.40208 – International Skating Union’s Eligibility Rules.</w:t>
      </w:r>
    </w:p>
    <w:p>
      <w:r>
        <w:t>BULLETIN NO. 20 OF MAY 29, 2023</w:t>
      </w:r>
    </w:p>
    <w:p>
      <w:r>
        <w:t>It is worth highlighting that all ASDs have a clear interest in maintaining affiliation with FIGC – as well as with an EPS – since FIGC organizes competitive tournaments and recognizes the training award to the clubs where young talents have developed when they subsequently embark on a professional career.</w:t>
      </w:r>
    </w:p>
    <w:p>
      <w:r>
        <w:t>38. More specifically, the behaviors implemented by FIGC would consist, firstly, of intimidating actions, such as the referral act of March 3, 2023, whereby a significant number of subjects (ASD and their executives), affiliated with FIGC, were referred for failing to request prior authorization for participation in tournaments organized by certain EPS in Campania during the 2021-2022 season; this, despite the absence of any provision in this regard both in the EPS Regulation of CONI and in the FIGC regulation of the Youth and School Sector for the 2021-2022 season. Furthermore, FIGC would have improperly used its regulatory and coordination powers granted to it by CONI, introducing in the regulation concerning the Youth and School Sector, at least for the 2021-22 and 2022-23 seasons (Official Communication of July 1, 2021, and Official Communication of July 1, 2022), the necessity of entering into agreements between EPS and FIGC even for promotional and recreational-amateur events, not provided for by the EPS Regulation; moreover, despite repeated requests for agreements from CNS Libertas, FIGC would not have followed up on them.</w:t>
      </w:r>
    </w:p>
    <w:p>
      <w:r>
        <w:t>Finally, by virtue of the same powers, FIGC would have introduced in the regulation for the Youth and School Sector for the 2022-2023 season (Official Communication of July 1, 2022) an additional provision that imposes a necessary pre-authorization for participation in tournaments organized by EPS for clubs affiliated with FIGC, in order to make even more binding, in a regulatory manner, a behavior already widely adopted in practice (see the referral act of March 3, 2023).</w:t>
      </w:r>
    </w:p>
    <w:p>
      <w:r>
        <w:t>39. The behaviors implemented by FIGC – aimed at extending its dominant position in the organization of competitive tournaments to the market for organizing youth competitions of a recreational-amateur nature, where it competes with EPS – would be likely to cause serious harm not only to EPS, significantly reducing the number of ASDs willing to affiliate with them and participate in events organized by them, and consequently also the number of their registered members, but also to ASDs, which would no longer be free to choose the tournaments in which to have their athletes participate.</w:t>
      </w:r>
    </w:p>
    <w:p>
      <w:r>
        <w:t>d) The prejudice to intra-European trade</w:t>
      </w:r>
    </w:p>
    <w:p>
      <w:r>
        <w:t>40. According to the Commission's Communication "Guidelines on the notion of prejudice to trade between Member States under Articles 81 and 82 of the Treaty" (2004/C 101/07), the concept of prejudice to intra-European trade must be interpreted taking into account the direct or indirect, real or potential influence on trade flows between Member States.</w:t>
      </w:r>
    </w:p>
    <w:p>
      <w:r>
        <w:t>41. The described behaviors, which could produce restrictive effects on the entire national market for organizing promotional and recreational-amateur football competitions, particularly in the youth sector, will be assessed pursuant to Article 102 of the TFUE.</w:t>
      </w:r>
    </w:p>
    <w:p>
      <w:r>
        <w:t>THEREFORE, CONSIDERING that the behaviors implemented by FIGC in the relevant markets as identified above, for the reasons stated above, appear to constitute a violation of Article 102 of the TFUE;</w:t>
      </w:r>
    </w:p>
    <w:p>
      <w:r>
        <w:t>14 BULLETIN NO. 20 OF MAY 29, 2023</w:t>
      </w:r>
    </w:p>
    <w:p>
      <w:r>
        <w:t>RESOLVES</w:t>
      </w:r>
    </w:p>
    <w:p>
      <w:r>
        <w:t>a) to initiate the investigation, pursuant to Article 14 of Law No. 287/90, against FIGC to ascertain the existence of one or more violations of competition under Article 102 of the TFUE;</w:t>
      </w:r>
    </w:p>
    <w:p>
      <w:r>
        <w:t>b) to set a deadline of sixty days, starting from the date of notification of this provision, for the legal representatives of the parties to exercise their right to be heard, specifying that the request for a hearing must be received by the Credit, Insurance, Postal Services, Tourism and Sports Directorate of the Competition Department – 2 of this Authority at least fifteen days before the expiration of the above-mentioned deadline;</w:t>
      </w:r>
    </w:p>
    <w:p>
      <w:r>
        <w:t>c) that the person responsible for the procedure is Dr. Fausta Giasolli;</w:t>
      </w:r>
    </w:p>
    <w:p>
      <w:r>
        <w:t>d) that the documents of the procedure can be viewed, at the Credit, Insurance, Postal Services, Tourism and Sports Directorate of the General Directorate of the Competition Department – 2 of this Authority, by the legal representatives of FIGC or by persons delegated by them;</w:t>
      </w:r>
    </w:p>
    <w:p>
      <w:r>
        <w:t>e) that the procedure must be concluded by June 30, 2024.</w:t>
      </w:r>
    </w:p>
    <w:p>
      <w:r>
        <w:t>This provision will be notified to the interested parties and published in the Bulletin of the Antitrust Authority.</w:t>
      </w:r>
    </w:p>
    <w:p>
      <w:r>
        <w:t>THE SECRETARY GENERAL THE PRESIDENT</w:t>
      </w:r>
    </w:p>
    <w:p>
      <w:r>
        <w:t>Guido Stazi Roberto Rustichelli</w:t>
      </w:r>
    </w:p>
    <w:p>
      <w:r>
        <w:rPr>
          <w:b/>
        </w:rPr>
        <w:t>[Pages 13–15]</w:t>
      </w:r>
    </w:p>
    <w:p>
      <w:r>
        <w:t>BULLETIN NO. 20 OF MAY 29, 2023 15</w:t>
      </w:r>
    </w:p>
    <w:p>
      <w:r>
        <w:t>CONCENTRATION OPERATIONS</w:t>
      </w:r>
    </w:p>
    <w:p>
      <w:r>
        <w:t>C12536 - LAB ANALYSIS GROUP-ENI REWIND/LASER LAB</w:t>
      </w:r>
    </w:p>
    <w:p>
      <w:r>
        <w:t>Provision No. 30630</w:t>
      </w:r>
    </w:p>
    <w:p>
      <w:r>
        <w:t>THE ANTITRUST AUTHORITY</w:t>
      </w:r>
    </w:p>
    <w:p>
      <w:r>
        <w:t>IN ITS MEETING of May 9, 2023;</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from Eni S.p.A. and LabAnalysis Group S.r.l. received on April 13, 2023;</w:t>
      </w:r>
    </w:p>
    <w:p>
      <w:r>
        <w:t>HAVING REGARD to the documentation on file;</w:t>
      </w:r>
    </w:p>
    <w:p>
      <w:r>
        <w:t>CONSIDERED the following:</w:t>
      </w:r>
    </w:p>
    <w:p>
      <w:r>
        <w:t>I. THE PARTIES</w:t>
      </w:r>
    </w:p>
    <w:p>
      <w:r>
        <w:t>1. Eni S.p.A. (“Eni”) heads a group of companies active globally in the sectors of exploration and production of hydrocarbons and gas, procurement and sale of natural gas, purchase and marketing of liquefied natural gas (LNG), oil refining and marketing of petroleum products, production and marketing of chemical products, as well as in the markets of electricity generation and sale. Through the wholly-owned subsidiary Eni Rewind S.p.A. (“ER”), the Eni Group is also active in the enhancement of land, water, and waste, whether industrial or resulting from remediation activities, through sustainable remediation and recovery projects in Italy and abroad. ER also operates, although for the almost exclusive benefit of other companies in the Eni Group, in the field of conducting chemical, physical, and microbiological analyses, as well as in research, consulting, and service provision in ecological, environmental, food, safety, quality, anti-pollution (the so-called “ecological consulting” sector, see infra). Eni is listed on the Milan Stock Exchange, in the FTSE MIB index and on the New York Stock Exchange. The main shareholders of Eni are Cassa Depositi e Prestiti S.p.A. (“CDP”, 26.21%) and the Ministry of Economy and Finance (“MEF”, 4.41%)1. The Eni group achieved a consolidated global turnover of approximately 82 billion euros in 2021, of which approximately [30-40]* billion euros were generated in Italy.</w:t>
      </w:r>
    </w:p>
    <w:p>
      <w:r>
        <w:t>2. Lab Analysis Group S.r.l. (“LabAnalysis Group”; together with Eni, the “Parties”) heads a group of companies active in the field of chemical and environmental analyses and is controlled by certain individuals. LabAnalysis Group achieved a consolidated turnover of approximately 85 million euros in 2021, of which approximately [32-100] million euros were generated in Italy.</w:t>
      </w:r>
    </w:p>
    <w:p>
      <w:r>
        <w:t>1 According to the established practice of the European Commission and the Authority, Eni is considered an economic entity with autonomous decision-making power and therefore independent of both CDP and MEF (see, for example, the European Commission decision of September 29, 2010, case COMP/39.315).</w:t>
      </w:r>
    </w:p>
    <w:p>
      <w:r>
        <w:t>* In this version, some data are omitted, as elements of confidentiality or secrecy of the information were deemed to exist.</w:t>
      </w:r>
    </w:p>
    <w:p>
      <w:r>
        <w:t>16 BULLETIN NO. 20 OF MAY 29, 2023</w:t>
      </w:r>
    </w:p>
    <w:p>
      <w:r>
        <w:t>3. Laser Lab S.r.l. (“LaserLab” or the “target”) is a company primarily active in the field of conducting chemical, physical, and microbiological analyses for public and private entities, as well as in research, consulting, and service provision in ecological, environmental, food, safety, quality, anti-pollution, management, design, and construction of anti-pollution plants, remediation of contaminated sites, and service brokerage (as previously defined, the so-called ecological consulting sector). The share capital of LaserLab is currently entirely held by LabAnalysis Group. In 2021, the company achieved a turnover of approximately 16 million euros, of which [10-32] were generated in Italy.</w:t>
      </w:r>
    </w:p>
    <w:p>
      <w:r>
        <w:t>II. DESCRIPTION OF THE TRANSACTION</w:t>
      </w:r>
    </w:p>
    <w:p>
      <w:r>
        <w:t>4. The Parties notified the transfer of LaserLab from the exclusive control of LabAnalysis Group to the joint control of LabAnalysis Group and ER (“Transaction”). In particular, on March 30, 2023, the Parties signed a Share Purchase Agreement (“Agreement”) in which the terms and conditions of the Transaction are detailed. As a result of the Transaction, the share capital of LaserLab will be divided as follows: LabAnalysis Group (70%); ER (30%). The closing of the Transaction is subject to certain suspensive conditions, including its approval by the Authority. The Agreement also provides for the signing of a shareholders' agreement between LabAnalysis Group and ER concerning the rules for the corporate governance and management of LaserLab (“Shareholders' Agreement”).</w:t>
      </w:r>
    </w:p>
    <w:p>
      <w:r>
        <w:t>5. The agreements between the Parties also include certain non-competition and non-solicitation commitments. More specifically, pursuant to Article 2.2.3 of the Shareholders' Agreement, LabAnalysis commits, for a period of 15 years, not to engage, directly and/or indirectly, on its own behalf or on behalf of third parties, in the territory where LaserLab operates, as a partner, director, consultant, or in any other capacity, including through controlled or affiliated companies, in any activity in competition with those carried out by LaserLab (i.e., conducting chemical and microbiological analyses, regarding environmental matrices such as water, soil, waste, emissions, air quality, and physical measurements in outdoor environments for public and private entities).</w:t>
      </w:r>
    </w:p>
    <w:p>
      <w:r>
        <w:t>6. Furthermore, pursuant to Article 2.2.2 of the Shareholders' Agreement, ER commits, for a period of 15 years, to refrain from: (i) acquiring significant stakes in competing companies of LaserLab; (ii) soliciting customers of LaserLab and/or the Environmental Branch (or potential customers) to purchase services in competition with those of LaserLab and/or the Environmental Branch; (iii) diverting agents, distributors, suppliers, and subcontractors, managers, and/or employees of LaserLab and/or the Environmental Branch or soliciting such individuals to resign or to participate or collaborate, directly or indirectly, in the activities of direct or indirect competitors of LaserLab and/or the Environmental Branch.</w:t>
      </w:r>
    </w:p>
    <w:p>
      <w:r>
        <w:t>2 For what is of interest, the Transaction will be structured in various phases, including: the spin-off from LaserLab of real estate, equipment, materials, and financial activities in favor of LabAnalysis Group; the spin-off from LabAnalysis S.r.l. (“LabAnalysis”) - a company whose share capital is entirely held by LabAnalysis Group - of the business branch active in the environmental services sector (“Environmental Branch”), through a proportional partial spin-off between LabAnalysis (the spun-off company) and LaserLab (the beneficiary company); the transfer by LabAnalysis Group to ER of a stake representing 30% (thirty percent) of the share capital and voting rights of LaserLab.</w:t>
      </w:r>
    </w:p>
    <w:p>
      <w:r>
        <w:t>3 Pursuant to the Shareholders' Agreement, the board of directors of LaserLab will be composed of 6 members, of which 4 will be appointed by LabAnalysis Group and 2 will be appointed by ER, while the position of CEO of LaserLab will be held by a member appointed by LabAnalysis Group. In any case, certain resolutions of the Board of Directors of LaserLab - including those relating to the approval of the budget proposal and the approval and/or amendments of the annual budget and/or the industrial plan - cannot be delegated and must be adopted with the favorable vote of at least one of the directors appointed by ER.</w:t>
      </w:r>
    </w:p>
    <w:p>
      <w:r>
        <w:t>BULLETIN NO. 20 OF MAY 29, 2023 17</w:t>
      </w:r>
    </w:p>
    <w:p>
      <w:r>
        <w:t>7. According to the representation of the Parties in the form, both commitments described are intended to allow them to “fully exploit the assets of the joint venture,” as well as to “protect the interests of the founding companies in the joint venture from acts of competition that could be facilitated, for example, by the founding companies' privileged access to the know-how and goodwill transferred or developed by the joint venture” and should therefore be considered as “ancillary restrictions” directly connected and necessary to the concentration pursuant to the Commission's Communication on restrictions directly connected and necessary to concentrations (2005/C-56/03) for the entire duration provided.</w:t>
      </w:r>
    </w:p>
    <w:p>
      <w:r>
        <w:t>III. QUALIFICATION OF THE TRANSACTION</w:t>
      </w:r>
    </w:p>
    <w:p>
      <w:r>
        <w:t>8. The notified transaction, as it involves the acquisition of joint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532 million euros and the total turnover achieved individually, in the last financial year at the national level, by at least two of the companies involved was over 32 million euros.</w:t>
      </w:r>
    </w:p>
    <w:p>
      <w:r>
        <w:t>9. The above-described non-competition and non-solicitation obligations can be considered ancillary restrictions to the Transaction, as they aim to ensure the need to fully exploit the common investment, and have a geographically limited scope of application to the area of activity of the target company.</w:t>
      </w:r>
    </w:p>
    <w:p>
      <w:r>
        <w:t>IV. EVALUATION OF THE CONCENTRATION</w:t>
      </w:r>
    </w:p>
    <w:p>
      <w:r>
        <w:t>Relevant markets and effects of the Transaction</w:t>
      </w:r>
    </w:p>
    <w:p>
      <w:r>
        <w:t>10. Due to the operations of the Target, for the purposes of the Transaction, the relevant market includes environmental analysis, consulting, and monitoring services (the so-called “ecological consulting”). This market, according to what has already been assessed in some previous cases by the Authority, includes the following services: assessment of the quality of water and waste; environmental investigations and remediation; environmental monitoring and remote control (i.e., development of monitoring systems and assessment of the impact of environmental pollutants); setting up environmental management systems in companies; technical-legal assistance related to environmental issues. The demand for environmental consulting services primarily comes from the industrial sector, as well as from public entities that require assistance.</w:t>
      </w:r>
    </w:p>
    <w:p>
      <w:r>
        <w:rPr>
          <w:b/>
        </w:rPr>
        <w:t>[Pages 16–18]</w:t>
      </w:r>
    </w:p>
    <w:p>
      <w:r>
        <w:t>18 BULLETIN NO. 20 OF MAY 29, 2023</w:t>
      </w:r>
    </w:p>
    <w:p>
      <w:r>
        <w:t>specialized consulting on environmental issues. From a geographical perspective, the offer appears characterized by operators whose presence extends throughout the national territory, alongside small businesses at the local level. Due to the characteristics of demand and supply, as well as the absence of administrative constraints limiting the exercise of activity to a local scope, the geographical dimension of the market can be identified at the national level.</w:t>
      </w:r>
    </w:p>
    <w:p>
      <w:r>
        <w:t>11. Based on the Parties' estimates regarding the overall size of the relevant market, and the data provided on the position expressed by them and the target regarding the same, the combined market share resulting from the Transaction stands at a value of [15-20%]. This overall share, already not particularly high in itself, appears to be held within a market that sees the presence of numerous operators and does not seem to be characterized by significant barriers to entry, and thus, the Transaction does not appear to have significant competitive effects.</w:t>
      </w:r>
    </w:p>
    <w:p>
      <w:r>
        <w:t>12. In light of the above considerations, the concentration under examination does not appear to significantly hinder competition conditions in the relevant market or to lead to the establishment or strengthening of a dominant position.</w:t>
      </w:r>
    </w:p>
    <w:p>
      <w:r>
        <w:t>13. Furthermore, considering the nature and operations of the parent companies, whose main activities concern distinct sectors and have very different dimensional characteristics from each other and from those of the common enterprise, it is noted that the Transaction does not appear to have as its object or effect the coordination of the same.</w:t>
      </w:r>
    </w:p>
    <w:p>
      <w:r>
        <w:t>CONSIDERING, therefore, that the Transaction under examination does not significantly hinder effective competition in the affected markets pursuant to Article 6, paragraph 1, of Law No. 287/1990, and does not lead to the establishment or strengthening of a dominant position;</w:t>
      </w:r>
    </w:p>
    <w:p>
      <w:r>
        <w:t>CONSIDERING, furthermore, that the non-competition obligations as agreed between the Parties can be considered ancillary to this Transaction;</w:t>
      </w:r>
    </w:p>
    <w:p>
      <w:r>
        <w:t>RESOLVES</w:t>
      </w:r>
    </w:p>
    <w:p>
      <w:r>
        <w:t>not to initiate the investigation referred to in Article 16, paragraph 4, of Law No. 287/1990.</w:t>
      </w:r>
    </w:p>
    <w:p>
      <w:r>
        <w:t>The above conclusions will be communicated, pursuant to Article 16, paragraph 4, of Law No. 287/90,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7 In particular, in the absence of public sector data, starting from the information derivable from the indicators of Accredia (the Italian accreditation body) and from the turnover values of the main national laboratories operating in the environmental sector, the Parties have estimated an annual value of the ecological consulting services market of at least 300 million euros, an estimate they consider to be largely conservative.</w:t>
      </w:r>
    </w:p>
    <w:p>
      <w:r>
        <w:t>BULLETIN NO. 20 OF MAY 29, 2023</w:t>
      </w:r>
    </w:p>
    <w:p>
      <w:r>
        <w:t>C12539 - PENNY MARKET/BRANCHES OF DICO</w:t>
      </w:r>
    </w:p>
    <w:p>
      <w:r>
        <w:t>Provision No. 30631</w:t>
      </w:r>
    </w:p>
    <w:p>
      <w:r>
        <w:t>THE ANTITRUST AUTHORITY</w:t>
      </w:r>
    </w:p>
    <w:p>
      <w:r>
        <w:t>IN ITS MEETING of May 9, 2023;</w:t>
      </w:r>
    </w:p>
    <w:p>
      <w:r>
        <w:t>HEARD the Rapporteur Professor Elisabetta Iossa;</w:t>
      </w:r>
    </w:p>
    <w:p>
      <w:r>
        <w:t>HAVING REGARD TO Regulation (EC) No. 139/2004;</w:t>
      </w:r>
    </w:p>
    <w:p>
      <w:r>
        <w:t>HAVING REGARD TO Law No. 287 of October 10, 1990;</w:t>
      </w:r>
    </w:p>
    <w:p>
      <w:r>
        <w:t>HAVING REGARD TO the communication made by Penny Market S.r.l., received on April 17, 2023;</w:t>
      </w:r>
    </w:p>
    <w:p>
      <w:r>
        <w:t>HAVING REGARD TO the documentation on file;</w:t>
      </w:r>
    </w:p>
    <w:p>
      <w:r>
        <w:t>CONSIDERED the following:</w:t>
      </w:r>
    </w:p>
    <w:p>
      <w:r>
        <w:t>I. THE PARTIES</w:t>
      </w:r>
    </w:p>
    <w:p>
      <w:r>
        <w:t>1. Penny Market, based in Cernusco sul Naviglio (MI), is a company active in the Italian market for the retail sale of food and non-food products, through the management of discount stores under the "Penny" brand. The company is currently present in Italy with 423 stores. Penny Market is part of the REWE Group, headquartered in Germany (Cologne), which is engaged in large-scale retail trade and also offers tour operator services. In Italy, the REWE Group is active in the markets for the sale and procurement of food and non-food consumer goods exclusively through Penny Market (including controlled companies). Furthermore, none of the companies belonging to the REWE Group is active in vertically related markets. In the financial year 2022, the turnover of the REWE Group amounted to approximately [70-80]* billion euros, of which approximately [70-80] billion euros generated in Europe and [1-2] billion euros in Italy.</w:t>
      </w:r>
    </w:p>
    <w:p>
      <w:r>
        <w:t>2. The Target consists of the branches of business related to 15 stores managed by Dico under the brands Tuodì, Fresco Market, and InGrande located in Lazio and Emilia-Romagna. Specifically, the Target includes:</w:t>
        <w:br/>
        <w:t>a) three supermarkets (ranging in size from 400 to 2,499 sqm) located in the Municipality of Rome and in the provinces of Rimini and Frosinone;</w:t>
        <w:br/>
        <w:t>b) one grocery store (ranging in size from 100 to 399 sqm) located in the Municipality of Rome;</w:t>
        <w:br/>
        <w:t>c) eleven discount stores located in the Municipality of Rome, of which three have an area between 400 and 2,499 sqm and eight have an area between 100 and 399 sqm.</w:t>
      </w:r>
    </w:p>
    <w:p>
      <w:r>
        <w:t>The latest certified financial data of the Target refers to the financial year 2021, in which it generated a total turnover of approximately [32-100] million euros. This figure includes the turnover generated by third parties (the Partners) to whom Dico has entrusted the management of certain departments in the stores (e.g., butcher, bakery, deli, etc.).</w:t>
      </w:r>
    </w:p>
    <w:p>
      <w:r>
        <w:t>* In this version, some data are omitted, as elements of confidentiality or secrecy of the information were deemed to exist.</w:t>
      </w:r>
    </w:p>
    <w:p>
      <w:r>
        <w:t>20 BULLETIN NO. 20 OF MAY 29, 2023</w:t>
      </w:r>
    </w:p>
    <w:p>
      <w:r>
        <w:t>II. DESCRIPTION OF THE TRANSACTION</w:t>
      </w:r>
    </w:p>
    <w:p>
      <w:r>
        <w:t>3. The transaction involves the acquisition by Penny Market of the branches of business related to 15 stores located in the regions of Lazio and Emilia-Romagna, currently managed by the company Dico. The Transaction will be implemented through the completion of an asset purchase agreement (APA) signed between the parties on March 24, 2023.</w:t>
      </w:r>
    </w:p>
    <w:p>
      <w:r>
        <w:t>III. QUALIFICATION OF THE TRANSACTION</w:t>
      </w:r>
    </w:p>
    <w:p>
      <w:r>
        <w:t>4. The notified transaction, as it involves the acquisition of control over parts of a business, constitutes a concentration pursuant to Article 5, paragraph 1, letter b), of Law No. 287/1990. It falls within the scope of application of Law No. 287/1990 as the conditions of Article 1 of EC Regulation 139/2004 do not apply, and it is subject to the obligation of prior notification provided for by Article 16, paragraph 1, of the same law, as the total turnover achieved, in the last financial year at the national level, by the set of companies involved in the transaction exceeded 532 million euros and the turnover achieved in the last financial year at the national level by the companies subject to acquisition exceeded 32 million euros.</w:t>
      </w:r>
    </w:p>
    <w:p>
      <w:r>
        <w:t>IV. EVALUATION OF THE TRANSACTION</w:t>
      </w:r>
    </w:p>
    <w:p>
      <w:r>
        <w:t>The relevant markets</w:t>
      </w:r>
    </w:p>
    <w:p>
      <w:r>
        <w:t>5. This transaction concerns the markets for the retail sale of food and non-food consumer products through Organized Large Distribution (GDO) points of sale. In this sector, multiple operators operate at the national level, with varied sizes and organizational formulas. This sector is usually divided into: Large Distribution (GD), which includes large retail chains organized in the form of a company or group of companies, and Organized Distribution (DO), which includes chains made up of entities that, while being legally distinct, operate in the market under the same brands and/or identifying features, by virtue of their common adherence to associative formulas such as consortia, voluntary unions, service companies, consumer cooperatives, or retailers, etc.</w:t>
      </w:r>
    </w:p>
    <w:p>
      <w:r>
        <w:t>6. According to the established practice of the Authority, the following types of points of sale are also distinguished within the GDO, differentiated based on a series of characteristics (size, positioning, range of products offered, presence of fresh counters, etc.) that contribute to determining their quality and the level of services offered: hypermarkets, supermarkets, grocery stores, and discount stores.</w:t>
      </w:r>
    </w:p>
    <w:p>
      <w:r>
        <w:t>7. As a result of the most recent in-depth investigations conducted within the framework of proceedings for the evaluation of concentration transactions in the GDO sector, the Authority has updated the definition of the commodity markets for hypermarkets, supermarkets, and grocery stores, identifying them as follows:</w:t>
        <w:br/>
        <w:t>i) the market for grocery stores (100-399 sqm), which includes grocery stores and supermarkets (i.e., all points of sale between 100 and 2499 sqm);</w:t>
        <w:br/>
        <w:t>ii) the market for supermarkets (400-2,499 sqm), composed of supermarkets, grocery stores, and hypermarkets (i.e., all points of sale from 100 sqm upwards);</w:t>
      </w:r>
    </w:p>
    <w:p>
      <w:r>
        <w:rPr>
          <w:b/>
        </w:rPr>
        <w:t>[Pages 19–21]</w:t>
      </w:r>
    </w:p>
    <w:p>
      <w:r>
        <w:t>BULLETIN NO. 20 OF MAY 29, 2023 21</w:t>
      </w:r>
    </w:p>
    <w:p>
      <w:r>
        <w:t>iii) the hypermarket market (from 2,500 sqm and above), which includes hypermarkets and supermarkets (i.e., all sales points from 400 sqm and above).</w:t>
      </w:r>
    </w:p>
    <w:p>
      <w:r>
        <w:t>8. In the same precedents, the Authority has deemed that sales points managed under the discount formula should be included in the relevant markets of large-scale distribution of corresponding size (hypermarkets, supermarkets, and convenience stores), as they are considered by consumers to be a substitutable purchasing option with such types of sales points.</w:t>
      </w:r>
    </w:p>
    <w:p>
      <w:r>
        <w:t>9. From a geographical perspective, local markets have been defined consisting of isochrone curves centered on the target sales points, with a width of 10 minutes of driving for the convenience store market and 15 minutes of driving for the supermarket and hypermarket markets.</w:t>
      </w:r>
    </w:p>
    <w:p>
      <w:r>
        <w:t>10. In the case at hand, six sales points belong to the supermarket market and nine points to the convenience store market.</w:t>
      </w:r>
    </w:p>
    <w:p>
      <w:r>
        <w:t>The effects of the operation</w:t>
      </w:r>
    </w:p>
    <w:p>
      <w:r>
        <w:t>11. From a horizontal perspective, the operation does not produce appreciable effects on the relevant markets constituted by the fifteen isochrones built around the sales points of the “target.” In fact, the activities of the Parties overlap only in six local markets, where the market share of the Parties post-operation remains below 5%, with an increase always less than 2%. There are also numerous and qualified competitors in the affected local markets.</w:t>
      </w:r>
    </w:p>
    <w:p>
      <w:r>
        <w:t>12. Even from a vertical perspective, the operation does not seem to present critical issues, since the companies controlled by Penny Market provide only procurement and logistics services to Penny Market itself (in Italy) and to other companies of the REWE Group (abroad), and considering that none of the companies of the REWE Group is active in any vertically related market in Italy.</w:t>
      </w:r>
    </w:p>
    <w:p>
      <w:r>
        <w:t>13. In light of the above considerations, the concentration in question does not appear to significantly hinder effective competition in the relevant markets and does not lead to the establishment or strengthening of a dominant position.</w:t>
      </w:r>
    </w:p>
    <w:p>
      <w:r>
        <w:t>THEREFORE, it is deemed that the operation in question does not significantly hinder, pursuant to Article 6, paragraph 1, of Law No. 287/1990, effective competition in the relevant markets and does not entail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22 BULLETIN NO. 20 OF MAY 29, 2023</w:t>
      </w:r>
    </w:p>
    <w:p>
      <w:r>
        <w:t>BULLETIN NO. 20 OF MAY 29, 2023 23</w:t>
      </w:r>
    </w:p>
    <w:p>
      <w:r>
        <w:t>ACTIVITY OF REPORTING AND CONSULTATION</w:t>
      </w:r>
    </w:p>
    <w:p>
      <w:r>
        <w:t>AS1889 - REGULATION OF TARIFFS FOR THE VERIFICATION OF GROUNDING SYSTEMS</w:t>
      </w:r>
    </w:p>
    <w:p>
      <w:r>
        <w:t>Rome, May 16, 2023</w:t>
      </w:r>
    </w:p>
    <w:p>
      <w:r>
        <w:t>President of the Senate of the Republic</w:t>
      </w:r>
    </w:p>
    <w:p>
      <w:r>
        <w:t>President of the Chamber of Deputies</w:t>
      </w:r>
    </w:p>
    <w:p>
      <w:r>
        <w:t>The Antitrust Authority, in its meeting of May 9, 2023, intended to formulate the following observations pursuant to Article 21 of Law No. 287/1990, regarding the regulation of tariffs imposed for the verifications on devices for protection against lightning strikes, grounding devices for electrical systems, and hazardous electrical systems, as provided by Article 7-bis of the Presidential Decree of October 22, 2001, No. 462, introduced by Article 36, paragraph 1, of Law Decree No. 162 of December 30, 2019, converted, with amendments, by Law No. 8 of February 28, 2020.</w:t>
      </w:r>
    </w:p>
    <w:p>
      <w:r>
        <w:t>As is known, Presidential Decree No. 462/2001, containing the "Regulation for the simplification of the procedure for the declaration of installations and devices for protection against lightning strikes, grounding devices for electrical systems, and hazardous electrical systems," regulates the procedures related to the declaration of installations and devices for protection against lightning strikes, grounding electrical systems, and electrical systems in places with explosion hazards, located in workplaces.</w:t>
      </w:r>
    </w:p>
    <w:p>
      <w:r>
        <w:t>To this end, Articles 4 and 6 provide for the employer's obligation to carry out periodic verifications, respectively for "grounding electrical systems and devices for protection against lightning strikes" (Article 4) and for "systems in places with explosion hazards" (Article 6), establishing that, for the verification, the employer must turn to the Local Health Authority (ASL) or the Regional Agency for Environmental Prevention and Protection (ARPA) or any bodies designated by the Ministry of Enterprises and Made in Italy, based on criteria established by European technical legislation UNI CEI. The subsequent Article 7-bis, paragraph 4, states that "The tariffs for the obligations referred to in Article 4, paragraph 4, and Article 6, paragraph 4, applied by the body that has been commissioned for the verification by the employer, are identified by the decree of the president of the Higher Institute for Prevention and Safety at Work (ISPESL) of July 7, 2005, published in the ordinary supplement No. 125 to the Official Gazette No. 165 of July 18, 2005, and subsequent amendments."</w:t>
      </w:r>
    </w:p>
    <w:p>
      <w:r>
        <w:t>In other words, for the tariffs related to the mandatory verifications imposed by Presidential Decree No. 462/2001, the legislator has expressly referred to the so-called ISPESL Tariff, without providing any possibility of derogation or deviation from it.</w:t>
      </w:r>
    </w:p>
    <w:p>
      <w:r>
        <w:t>In the explanatory report to Law Decree No. 162/2019, which introduced the aforementioned Article 7-bis, the provision is justified by stating that it "provides that private bodies, commissioned</w:t>
      </w:r>
    </w:p>
    <w:p>
      <w:r>
        <w:rPr>
          <w:b/>
        </w:rPr>
        <w:t>[Pages 22–24]</w:t>
      </w:r>
    </w:p>
    <w:p>
      <w:r>
        <w:t>24 BULLETIN NO. 20 OF MAY 29, 2023</w:t>
      </w:r>
    </w:p>
    <w:p>
      <w:r>
        <w:t>of the verification by the employer, pay INAIL 5% of the tariff applied for the verification. To ensure uniformity of payments by private organizations to INAIL, it is necessary to adopt a single national tariff, as has already been done for the verification of lifting equipment and pressure equipment, and for the inspection of motor vehicles, sectors in which – similarly to that of the verification of electrical installations – professionalism and competence must be prioritized, in the interest of the safety of users and workers. The adoption of a single national tariff for the verification of electrical installations is easily achievable, as a national tariff already exists for such verifications [...]”.</w:t>
      </w:r>
    </w:p>
    <w:p>
      <w:r>
        <w:t>In this regard, the Authority notes that the establishment of a tariff for the provision of the services in question appears likely to affect the competitive dynamics among the organizations performing such activities, outright nullifying an important competitive variable, namely price. At the same time, the justifications provided in the Illustrative Report do not seem sufficient to counterbalance the negative effects of the regulation since, as is the case in other sectors, quality and professional standards can be guaranteed – and indeed already appear to be guaranteed – through other mechanisms and controls that are less harmful to competition.</w:t>
      </w:r>
    </w:p>
    <w:p>
      <w:r>
        <w:t>To this end, in line with its previous decisions, the Authority emphasizes that the establishment of a tariff is in conflict with the liberalization measures adopted by the legislator, which aimed to eliminate from the legal system the restrictions on the exercise of economic activities that are not justified by imperative needs of general interest and constitutionally relevant. More specifically, pursuant to Article 34 of Decree Law No. 201 of December 6, 2011, containing “Urgent provisions for growth, equity, and consolidation of public accounts” (so-called Salva Italia) and converted, with amendments, by Law No. 214 of December 22, 2011, “the regulation of economic activities is based on the principle of freedom of access, organization, and conduct, subject to imperative needs of general interest, constitutionally relevant and compatible with the community legal order, which may justify the introduction of prior administrative acts of consent or authorization or control, in compliance with the principle of proportionality. The following restrictions imposed by current regulations are repealed: […] f) the imposition of minimum prices or commissions for the provision of goods or services […]”. Similar provisions were already contained in Decree Law No. 138 of August 13, 2011, containing “Further urgent measures for financial stabilization and development” (so-called Manovra Bis), and converted with amendments by Law No. 148 of September 14, 2011, which, in Article 3, provides for the repeal of regulations imposing “minimum prices or commissions for the provision of goods or services”.</w:t>
      </w:r>
    </w:p>
    <w:p>
      <w:r>
        <w:t>As for the justifications provided by the legislator in the aforementioned Illustrative Report, it is believed that they can be satisfied through other safeguards and controls that are less harmful to competition. In this regard, it should be noted that current legislation already establishes that the organizations that can provide the services in question are subject to prior selection, based on qualitative and professional criteria, being identified by the Ministry of Enterprises and Made in Italy, based on criteria established by European technical regulations UNI CEI; furthermore, these organizations must adhere to stringent guidelines and are subject to oversight and control by public entities such as ASL and ARPA; finally, the services in question appear to be standardized and their execution is temporally regulated by law.</w:t>
      </w:r>
    </w:p>
    <w:p>
      <w:r>
        <w:t>As for the need for uniformity of contributions in favor of INAIL, it is believed that this can be guaranteed through methods other than the provision of a fixed tariff, equally effective but less harmful to competition, such as, for example, the establishment of a fixed contribution instead of a percentage.</w:t>
      </w:r>
    </w:p>
    <w:p>
      <w:r>
        <w:t>In light of the above considerations, the Authority believes that the imposition of a fixed tariff for the services described above is likely to affect the competitive dynamics in their provision and cannot be justified within the framework of balancing the needs for safety protection and those for competition protection, as it is neither necessary nor proportionate to the objective of ensuring the quality level of the service, which already appears to be protected by the aforementioned authorization and control safeguards.</w:t>
      </w:r>
    </w:p>
    <w:p>
      <w:r>
        <w:t>This report will be published in the Bulletin of the Antitrust Authority.</w:t>
      </w:r>
    </w:p>
    <w:p>
      <w:r>
        <w:t>THE PRESIDENT</w:t>
        <w:br/>
        <w:t>Roberto Rustichelli</w:t>
      </w:r>
    </w:p>
    <w:p>
      <w:r>
        <w:t>26 BULLETIN NO. 20 OF MAY 29, 2023</w:t>
      </w:r>
    </w:p>
    <w:p>
      <w:r>
        <w:t>UNFAIR COMMERCIAL PRACTICES</w:t>
        <w:br/>
        <w:t>IP365 - FACILE ENERGY - UNREQUESTED ACTIVATIONS</w:t>
        <w:br/>
        <w:t>Provision No. 30632</w:t>
      </w:r>
    </w:p>
    <w:p>
      <w:r>
        <w:t>THE ANTITRUST AUTHORITY</w:t>
      </w:r>
    </w:p>
    <w:p>
      <w:r>
        <w:t>IN ITS MEETING of May 9, 2023;</w:t>
      </w:r>
    </w:p>
    <w:p>
      <w:r>
        <w:t>HEARD the Rapporteur Professor Elisabetta Iossa;</w:t>
      </w:r>
    </w:p>
    <w:p>
      <w:r>
        <w:t>VIEWED Part II, Title III and Part III, Title III of Legislative Decree No. 206 of September 6, 2005, containing the “Consumer Code” and subsequent amendments (hereinafter, Consumer Code);</w:t>
      </w:r>
    </w:p>
    <w:p>
      <w:r>
        <w:t>NOTED in particular Article 27, paragraph 12, of the Consumer Code, according to which in the event of non-compliance with urgent measures or those prohibiting or removing effects, the Authority applies an administrative pecuniary sanction from 10,000 to 10,000,000 euros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r>
    </w:p>
    <w:p>
      <w:r>
        <w:t>VIEWED resolution No. 30422 of December 13, 2022, with which the Authority established the unfairness of the commercial practices carried out by Facile Energy S.r.l., consisting of the unrequested activation of electricity and gas supplies and the unjustified charge of system costs;</w:t>
      </w:r>
    </w:p>
    <w:p>
      <w:r>
        <w:t>VIEWED the documents of the proceeding;</w:t>
      </w:r>
    </w:p>
    <w:p>
      <w:r>
        <w:t>CONSIDERED the following:</w:t>
      </w:r>
    </w:p>
    <w:p>
      <w:r>
        <w:t>1. With provision No. 30422 of December 13, 2022 (hereinafter “Provision”), the Authority, following the investigative procedure PS12298, established against Facile Energy:</w:t>
        <w:br/>
        <w:t>A) an unfair commercial practice, in violation of Articles 20, 21, 22, 24, 25, and 26 letter f) in conjunction with Article 66 quinquies of the Consumer Code, articulated in the following behaviors: i) conclusion of contracts and activation of electricity and/or natural gas supplies in the absence of a corresponding expression of will from the consumer (unrequested activations ANR); ii) dissemination of misleading and omissive information in order to obtain the conclusion of contracts; iii) imposition of obstacles to the exercise of consumers' contractual rights; iv) undue disconnection of withdrawal points;</w:t>
        <w:br/>
        <w:t>B) an unfair commercial practice, in violation of Articles 20, 21, 22, 24, and 25 of the Consumer Code, consisting of the billing of “system costs,” in contrast with the provision that provides for their elimination and the dissemination of misleading information in response to consumer complaints regarding such unjustified charges;</w:t>
        <w:br/>
        <w:t>C) the violation of consumer protection regulations in the conclusion of distance contracts in contrast with Articles 49, 50, 51, 52, 53, 54, and 55 of the Consumer Code (so-called consumer rights).</w:t>
      </w:r>
    </w:p>
    <w:p>
      <w:r>
        <w:t>2. With the aforementioned Provision, the Authority prohibited the continuation of the established violations, ordering Facile Energy to communicate, within sixty days from the notification of the Provision, which took place on December 28, 2022, the initiatives taken in compliance with the warning.</w:t>
      </w:r>
    </w:p>
    <w:p>
      <w:r>
        <w:rPr>
          <w:b/>
        </w:rPr>
        <w:t>[Pages 25–27]</w:t>
      </w:r>
    </w:p>
    <w:p>
      <w:r>
        <w:t>BULLETIN NO. 20 OF MAY 29, 2023</w:t>
      </w:r>
    </w:p>
    <w:p>
      <w:r>
        <w:t>27</w:t>
        <w:br/>
        <w:t>(relating to the violations under A and C still ongoing at the time of the adoption of the Provision).</w:t>
      </w:r>
    </w:p>
    <w:p>
      <w:r>
        <w:t>3. On February 28, 2023, Facile Energy submitted a Report in which it described the measures taken in compliance with the Provision1.</w:t>
      </w:r>
    </w:p>
    <w:p>
      <w:r>
        <w:t>Regarding the practice under A) Facile Energy has planned:</w:t>
        <w:br/>
        <w:t>- the signing of new service contracts with telesellers and the adoption of new scripts and guidelines;</w:t>
        <w:br/>
        <w:t>- the future introduction of an OTP (one-time password) system for collecting consent and signing the contractual proposal by the customer (the report only includes a quote, not yet accepted, for the purchase of the service without indicating a date of actual adoption);</w:t>
        <w:br/>
        <w:t>- the adoption of binding guidelines for agencies to define the behavior of personnel;</w:t>
        <w:br/>
        <w:t>- the implementation of a third call from the company to the customer (quality call) to communicate the completion of the contract and clarify the deadline for exercising the right of withdrawal (the report only includes a copy of the scripts, without any evidence of actual implementation in terms, for example, of calls made, contracts resolved following the call);</w:t>
        <w:br/>
        <w:t>- the acceptance of the right of withdrawal (provision lacking evidence);</w:t>
        <w:br/>
        <w:t>- the adoption of a detection system (with flag) on the records of the subject requesting an unsolicited activation.</w:t>
      </w:r>
    </w:p>
    <w:p>
      <w:r>
        <w:t>Regarding the violations under C) Facile Energy represented:</w:t>
        <w:br/>
        <w:t>- the adoption, in case of conclusion of the distance contract, of a tracking system for the contractual package sent to the customer at the email address or by post to the customer's address;</w:t>
        <w:br/>
        <w:t>- the indication of a 14-day deadline for exercising the right of withdrawal in the General Conditions of Supply.</w:t>
      </w:r>
    </w:p>
    <w:p>
      <w:r>
        <w:t>4. Following the closure of procedure PS12298, the Authority has received and continues to receive, without interruption, numerous reports concerning the repetition of behaviors deemed incorrect by the Authority with Provision No. 30422 of December 13, 2022.</w:t>
      </w:r>
    </w:p>
    <w:p>
      <w:r>
        <w:t>5. In particular, after the 60-day deadline from the notification of the aforementioned Provision, over 100 complaints have been received, highlighting the persistence of significant issues already contested to Facile Energy in the investigative procedure PS12298.</w:t>
      </w:r>
    </w:p>
    <w:p>
      <w:r>
        <w:t>6. Firstly, numerous reports highlight the persistence of unsolicited activations. In fact, from the complaints, it emerges that Facile Energy has activated supplies, in the absence of the customer's expressed consent to the conclusion of the contract, in violation of Articles 20 and 26, letter f) of the Consumer Code (i) following phone contacts in which operators claim to be calling on behalf of other energy suppliers2 or companies with fictitious names, (ii) with fabricated phone calls3, (iii) in total absence of contacts with the customer. Some of these unsolicited activations concern, according to the reports received, vulnerable consumers and/or those over 75 years of age4.</w:t>
      </w:r>
    </w:p>
    <w:p>
      <w:r>
        <w:t>1 See doc. prot. No. 24249 of February 28, 2023.</w:t>
        <w:br/>
        <w:t>2 See, among others, reports prot. No. 30597 of March 23, 2023; prot. No. 33570 of April 4, 2023; prot. No. 34807 of April 5, 2023; prot. No. 35014 of April 6, 2023; prot. No. 35071 of April 6, 2023; prot. No. 36264 of April 13, 2023.</w:t>
        <w:br/>
        <w:t>3 See, among others, reports prot. No. 35708 of April 11, 2023; prot. No. 35825 of April 11, 2023.</w:t>
        <w:br/>
        <w:t>4 See, among others, report prot. No. 36315 of April 13, 2023.</w:t>
      </w:r>
    </w:p>
    <w:p>
      <w:r>
        <w:t>28 BULLETIN NO. 20 OF MAY 29, 2023</w:t>
      </w:r>
    </w:p>
    <w:p>
      <w:r>
        <w:t>7. Moreover, the reports show that sometimes the unsolicited activations continue to occur without the timely sending of the contractual documentation5 and, in various cases, invoices (even following specific requests)6, so that the customer is not informed of the (unsolicited) activation of a supply with Facile Energy nor, consequently, able to exercise the right of withdrawal.</w:t>
      </w:r>
    </w:p>
    <w:p>
      <w:r>
        <w:t>8. Furthermore, from the complaints of some consumers, it appears that Facile Energy, following the unsolicited activations, continues: (i) to not apply Article 66 quinquies, even months after the alleged commitment to the customer to apply this provision7; (ii) to oppose obstacles to the exercise of contractual rights by the user, particularly through the failure to recognize the right of withdrawal timely exercised8 and the sending of undue payment reminders9 with disconnection or threat of suspension of withdrawal points10.</w:t>
      </w:r>
    </w:p>
    <w:p>
      <w:r>
        <w:t>9. From the elements collected in the documents, it thus emerges the repetition, by the Professional, of the violations established in the aforementioned Provision of December 13, 2022. It follows that the initiatives proposed by the Professional in compliance with the Provision, lacking evidence of their actual implementation, have not resulted in the cessation of the behaviors.</w:t>
      </w:r>
    </w:p>
    <w:p>
      <w:r>
        <w:t>10. Therefore, from the documentary evidence, it appears that the practices deemed incorrect in the aforementioned Provision No. 30422 of December 13, 2022 (communicated to the Professional on December 28, 2022) have not ceased.</w:t>
      </w:r>
    </w:p>
    <w:p>
      <w:r>
        <w:t>11. Therefore, the conditions for initiating the procedure provided for by Article 27, paragraph 12, of the Consumer Code, aimed at imposing an administrative pecuniary sanction from 10,000 to 10,000,000 euros, are met.</w:t>
      </w:r>
    </w:p>
    <w:p>
      <w:r>
        <w:t>CONSIDERING, therefore, that the established facts constitute a case of non-compliance with the Authority's resolution No. 30422 of December 13, 2022, pursuant to Article 27, paragraph 12, of the Consumer Code;</w:t>
      </w:r>
    </w:p>
    <w:p>
      <w:r>
        <w:t>RESOLVES</w:t>
        <w:br/>
        <w:t>a) to contest to the company Facile Energy S.r.l. the violation referred to in Article 27, paragraph 12, of the Consumer Code, for failing to comply with the Authority's resolution No. 30422 of December 13, 2022;</w:t>
        <w:br/>
        <w:t>b) the initiation of the procedure for the possible imposition of the pecuniary sanction provided for by Article 27, paragraph 12, of the Consumer Code;</w:t>
        <w:br/>
        <w:t>c) that the person responsible for the procedure is Dr. Fabio Di Fonzo;</w:t>
      </w:r>
    </w:p>
    <w:p>
      <w:r>
        <w:t>5 See, among others, reports prot. No. 35607 of April 11, 2023; prot. No. 35781 of April 11, 2023; prot. No. 36371 of April 13, 2023.</w:t>
        <w:br/>
        <w:t>6 See, among others, report prot. No. 36360 of April 13, 2023.</w:t>
        <w:br/>
        <w:t>7 See report prot. No. 25779 of March 6, 2023.</w:t>
        <w:br/>
        <w:t>8 See, among others, report prot. No. 29262 of March 17, 2023.</w:t>
        <w:br/>
        <w:t>9 See, among others, reports prot. No. 32588 of March 30, 2023; prot. No. 32749 of March 30, 2023; prot. No. 33421 of April 3, 2023; prot. No. 33569 of April 3, 2023; prot. No. 33811 of April 4, 2023; prot. No. 36203 of April 13, 2023.</w:t>
        <w:br/>
        <w:t>10 See, among others, reports prot. No. 29375 of March 17, 2023; prot. No. 33345 of April 3, 2023.</w:t>
      </w:r>
    </w:p>
    <w:p>
      <w:r>
        <w:t>BULLETIN NO. 20 OF MAY 29, 2023 29</w:t>
      </w:r>
    </w:p>
    <w:p>
      <w:r>
        <w:t>d) that the acts of the procedure can be viewed at the Transport, Energy and Environment Directorate of the Consumer Protection Department of the Authority, by the legal representatives of the professional, or by persons delegated by them;</w:t>
        <w:br/>
        <w:t>e) that, within thirty days from the communication of this provision, the interested parties may submit defensive writings and documents to the Authority, as well as request to be heard;</w:t>
        <w:br/>
        <w:t>f) that the procedure must be concluded within one hundred and twenty days from the date of communication of this provision.</w:t>
      </w:r>
    </w:p>
    <w:p>
      <w:r>
        <w:t>For the purpose of quantifying the possible pecuniary sanction provided for by Article 27, paragraph 12, of the Consumer Code, the company Facile Energy S.r.l.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the Guarantee of Competition and the Market.</w:t>
      </w:r>
    </w:p>
    <w:p>
      <w:r>
        <w:t>THE SECRETARY GENERAL THE PRESIDENT</w:t>
        <w:br/>
        <w:t>Guido Stazi Roberto Rustichelli</w:t>
      </w:r>
    </w:p>
    <w:p>
      <w:r>
        <w:rPr>
          <w:b/>
        </w:rPr>
        <w:t>[Pages 28–30]</w:t>
      </w:r>
    </w:p>
    <w:p>
      <w:r>
        <w:t>30 BULLETIN NO. 20 OF MAY 29, 2023</w:t>
      </w:r>
    </w:p>
    <w:p>
      <w:r>
        <w:t>PS12352 - MARTINI DUMAS - PRESS DISTRIBUTION</w:t>
      </w:r>
    </w:p>
    <w:p>
      <w:r>
        <w:t>Provision No. 30634</w:t>
      </w:r>
    </w:p>
    <w:p>
      <w:r>
        <w:t>THE ANTITRUST AUTHORITY</w:t>
      </w:r>
    </w:p>
    <w:p>
      <w:r>
        <w:t>IN ITS MEETING of May 9, 2023;</w:t>
      </w:r>
    </w:p>
    <w:p>
      <w:r>
        <w:t>HEARD the Rapporteur Professor Elisabetta Iossa;</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Article 5, paragraph 1, letter d), quater of Legislative Decree No. 170 of April 24, 2001;</w:t>
      </w:r>
    </w:p>
    <w:p>
      <w:r>
        <w:t>VIEWED the communication of June 21, 2022, which initiated procedure PS12352 against the company Martini Dumas S.p.A.;</w:t>
      </w:r>
    </w:p>
    <w:p>
      <w:r>
        <w:t>VIEWED its provision of June 21, 2022, which ordered the inspection, pursuant to Article 27, paragraphs 2 and 3, of the Consumer Code, at the headquarters of the company Martini Dumas S.p.A.;</w:t>
      </w:r>
    </w:p>
    <w:p>
      <w:r>
        <w:t>VIEWED its provisions of November 15, 2022, January 10, 2023, and February 28, 2023, which, pursuant to Article 7, paragraph 3, of the Regulation, ordered extensions of the deadline for concluding the procedure for investigative needs;</w:t>
      </w:r>
    </w:p>
    <w:p>
      <w:r>
        <w:t>VIEWED the documents of the procedure;</w:t>
      </w:r>
    </w:p>
    <w:p>
      <w:r>
        <w:t>I. THE PARTY</w:t>
      </w:r>
    </w:p>
    <w:p>
      <w:r>
        <w:t>1. Martini Dumas S.p.A. (hereinafter also "Martini Dumas", the "Professional" or the "Company"), as a professional, pursuant to Article 18, paragraph 1, letter b), of the Consumer Code. The Company is a local distributor of newspapers and periodicals to retailers (such as newsstands, tobacco shops, bars, GDO) within the geographical area of competence (provinces of Pistoia, Lucca, Massa Carrara, and Pisa).</w:t>
      </w:r>
    </w:p>
    <w:p>
      <w:r>
        <w:t>II. THE CONDUCTS</w:t>
      </w:r>
    </w:p>
    <w:p>
      <w:r>
        <w:t>2. The procedure concerns the discriminatory behaviors carried out by the Professional against certain local retail dealers through unjustified failure to supply or unjustified supply in excess or deficiency, as well as undue conditioning of the supply of editorial products to the purchase of additional services/products.</w:t>
      </w:r>
    </w:p>
    <w:p>
      <w:r>
        <w:t>III. THE OUTCOMES OF THE PROCEDURE</w:t>
      </w:r>
    </w:p>
    <w:p>
      <w:r>
        <w:t>III.1 The procedure process</w:t>
      </w:r>
    </w:p>
    <w:p>
      <w:r>
        <w:t>3. With the communication of June 21, 2022, an investigative procedure was initiated against the company Martini Dumas.</w:t>
      </w:r>
    </w:p>
    <w:p>
      <w:r>
        <w:t>4. In the initiation communication, based on some reports received by the Authority, two distinct commercial practices were hypothesized:</w:t>
      </w:r>
    </w:p>
    <w:p>
      <w:r>
        <w:t>BULLETIN NO. 20 OF MAY 29, 2023 31</w:t>
      </w:r>
    </w:p>
    <w:p>
      <w:r>
        <w:t>- the adoption of discriminatory behaviors against certain local retailers, through the unilateral suspension of the supply of editorial products and/or the provision of supplies not in line with the demand of the individual point of sale, for excess or deficiency, based on discretionary evaluations of the Professional, in possible violation of Article 5, paragraph 1, letter d) quater, of Legislative Decree No. 170/2001. The aforementioned suspensions would have been decided by the Company for the alleged economic inconvenience of continuing the supply to the point of sale or following minimal payment delays or disputes regarding the account statement related to deliveries;</w:t>
      </w:r>
    </w:p>
    <w:p>
      <w:r>
        <w:t>- the undue conditioning of the supply of editorial products to the purchase of services and/or additional performances, through the unilateral preparation of private writings, in possible violation of Articles 20, paragraph 2, 24 and 25, paragraph 1, letter a), of the Consumer Code. The signing of such private writings would have been substantially mandatory for retailers, since the Professional would have reserved the right, otherwise, not to activate or to suspend the supply. In particular, Martini Dumas would have imposed i) the supply, for a fee, of additional software for the management of the service to the specific local retailer, ii) the obligation to obtain a bank guarantee to ensure the fulfillment of its payment obligations.</w:t>
      </w:r>
    </w:p>
    <w:p>
      <w:r>
        <w:t>5. On July 5, 2022, an inspection was carried out at the Professional's headquarters.</w:t>
      </w:r>
    </w:p>
    <w:p>
      <w:r>
        <w:t>6. The Professional was heard in a hearing on October 27, 2022, and did not request access to the documents of the procedure.</w:t>
      </w:r>
    </w:p>
    <w:p>
      <w:r>
        <w:t>7. On March 2, 2023, the Party was sent, pursuant to Article 16, paragraph 1, of the Regulation, the Communication of the conclusion date of the investigative phase ("CTI").</w:t>
      </w:r>
    </w:p>
    <w:p>
      <w:r>
        <w:t>8. On March 13, 2023, Martini Dumas submitted its final memorandum and, on March 14, 2023, a request was made to the Authority for Guarantees in Communications (hereinafter also AGCOM) for an opinion pursuant to Article 27, paragraph 1-bis, of the Consumer Code, received on April 11, 2023.</w:t>
      </w:r>
    </w:p>
    <w:p>
      <w:r>
        <w:t>III.2 The evidence acquired</w:t>
      </w:r>
    </w:p>
    <w:p>
      <w:r>
        <w:t>9. Following the investigative activity carried out1, regarding the two conducts contested at the initiation stage, the following emerged.</w:t>
      </w:r>
    </w:p>
    <w:p>
      <w:r>
        <w:t>Conduct a): unjustified failure to supply, or unjustified supply in excess or deficiency compared to the demand from the point of sale</w:t>
      </w:r>
    </w:p>
    <w:p>
      <w:r>
        <w:t>Unjustified supply for deficiency or excess</w:t>
      </w:r>
    </w:p>
    <w:p>
      <w:r>
        <w:t>10. In the responses provided, the Company highlighted that, in general, in the publishing supply chain, the regulation of commercial relations between the publisher and the national distributor, between the national distributor and the local distributor, as well as between the local distributor and retailers, is based on the use of the consignment contract scheme2. Furthermore, from a quantitative perspective, the Company stated that the determination of the number of copies of editorial products to be printed and sent to local distributors constitutes a unilateral choice of the publishers and the interactions between publishers/national distributors and local distributors occur through the interface software called "Inforete"3.</w:t>
      </w:r>
    </w:p>
    <w:p>
      <w:r>
        <w:t>11. The distribution activity of products by Martini Dumas follows a distribution plan, developed based on the quantities of editorial products decided and delivered by the publishers or national distributors and drafted by the Company through the collection and processing of sales data; the latter is derived by difference between the goods delivered to retailers and those returned as unsold, in adherence to the consignment contract scheme applicable to supplies, and taking into account seasonal variability4.</w:t>
      </w:r>
    </w:p>
    <w:p>
      <w:r>
        <w:t>12. Consequently, Martini Dumas stated that it does not operate any discretionary evaluation on the quantity of editorial products supplied. In fact, on one hand, the aforementioned distribution plans are developed based on objective data, relating to the overall print run and the historical number of copies sold by each point of sale5; on the other hand, since the risk of unsold products falls on the publisher, in accordance with the consignment contract scheme, it is always the latter who decides at its discretion the size of the print run, also based on the cost of the product6. Moreover, in order to limit the inconveniences to retailers due to the print run choices of publishers that may result in a supply for deficiency, Martini Dumas has provided for retailers the option to request "Reservations" of a specific number of copies from the Company7.</w:t>
      </w:r>
    </w:p>
    <w:p>
      <w:r>
        <w:t>13. Furthermore, from the documentation acquired during the inspection, some complaints emerged merely concerning the numerical discrepancy between the publications resulting from the delivery notes and those actually delivered to retailers, or between the unsold copies that retailers indicate having delivered to the carriers and those actually received in the Company's warehouses8. The exact counting of sold and returned copies is relevant to the extent that it determines the consideration due from retailers based on the mechanism of the consignment contract. In this regard, the Company argued9 that any errors in the assignment of copies to points of sale compared to what was expected are physiological and must be attributed to the practical methods in which the distribution work is carried out. Predominantly, these are human errors that can be made by employees of the local distributor in carrying out the activity or errors by the publisher in the automatic counting of copies at the printing house.</w:t>
      </w:r>
    </w:p>
    <w:p>
      <w:r>
        <w:t>14. In any case, the incidence of such discrepancies is entirely marginal, as emerges from the data provided by the Professional10 in relation to the years 2019, 2020, and 2021.</w:t>
      </w:r>
    </w:p>
    <w:p>
      <w:r>
        <w:t>3 During the inspection, the Legal Representative clarified the following: "The company Martini Dumas is directly connected via software with the national distributors of newspapers and periodicals, who establish the print runs and the quantities to be sent. In some cases, the assignment to newsstands (...) is also decided by the publishers, or the publishers themselves provide indications on how to carry out the distribution plans. The distribution of copies occurs based on the number assigned by the publishers and is divided among the newsstands based on the historical sales data of the various newsstands, safeguarding - where possible - the reservations entered via the software or by email and fax from the newsstands themselves" (cf. inspection report of July 5, 2022).</w:t>
      </w:r>
    </w:p>
    <w:p>
      <w:r>
        <w:t>4 The processing of data occurs through the use of the "W2" and "4Cast" software, based on statistical-mathematical algorithms that take into account the sales of each individual point of sale (cf. par. 3.2 of the response to the request for information made in the initiation communication).</w:t>
      </w:r>
    </w:p>
    <w:p>
      <w:r>
        <w:t>5 Cf. hearing report of November 9, 2022, prot. n. 86652.</w:t>
      </w:r>
    </w:p>
    <w:p>
      <w:r>
        <w:t>6 Cf. hearing report of November 9, 2022, prot. n. 86652.</w:t>
      </w:r>
    </w:p>
    <w:p>
      <w:r>
        <w:t>7 In the event that there are such reservations, the Professional states that it agrees to the requests if the print runs allow it and if the requests are in line with the historical sales data of the requesters or with their specific needs.</w:t>
      </w:r>
    </w:p>
    <w:p>
      <w:r>
        <w:t>8 Cf. e.g. inspection documents nos. 15-27.</w:t>
      </w:r>
    </w:p>
    <w:p>
      <w:r>
        <w:t>9 Cf. hearing report of November 9, 2022, prot. n. 86652.</w:t>
      </w:r>
    </w:p>
    <w:p>
      <w:r>
        <w:t>10 Cf. attachments to the memorandum of July 22, 2022, prot. n. 57645.</w:t>
      </w:r>
    </w:p>
    <w:p>
      <w:r>
        <w:rPr>
          <w:b/>
        </w:rPr>
        <w:t>[Pages 31–33]</w:t>
      </w:r>
    </w:p>
    <w:p>
      <w:r>
        <w:t>BULLETIN NO. 20 OF MAY 29, 2023 33</w:t>
      </w:r>
    </w:p>
    <w:p>
      <w:r>
        <w:t>Failure to supply (suspension of relations with retailers)</w:t>
      </w:r>
    </w:p>
    <w:p>
      <w:r>
        <w:t>15. Regarding the relationship between the local distributor and retailers, the Company has stated that it welcomes requests to initiate supply relationships from new retailers; however, in certain specific cases, the Professional may refuse to establish a new relationship, “for example, if they become aware of prejudicial information regarding the candidate or if there is market saturation in the area due to the presence of multiple retailers already covering the needs of the readership.” Moreover, the Professional has pointed out that there is no obligation for the local distributor to contract, as has long been clarified by the jurisprudence of legitimacy and merit, specifying that they have refused to initiate new supply relationships in recent years only in cases of objective financial insolvencies.</w:t>
      </w:r>
    </w:p>
    <w:p>
      <w:r>
        <w:t>16. As for the decisions to suspend supplies to retailers, Martini Dumas stated that these were motivated by non-payments (delinquencies/defaults) of the weekly statements, generally repeated over time. Based on the contractual clauses currently governing the supply relationships, the Company has the right to suspend the supply of editorial products in the event of “non-payment or late payment of even one of the Weekly Statements” and “non-renewal or loss of effectiveness, for any reason, of the surety guarantee.” In the latter case, the contract provides that the failure to restore the guarantee within a period of 15 days results in the suspension of the supply.</w:t>
      </w:r>
    </w:p>
    <w:p>
      <w:r>
        <w:t>17. In cases where the relationship is not governed by a written contract, Martini Dumas reported that the right to suspend supplies in the event of non-payment or late payment is expressly indicated in a specific notice, of the following tenor, included in the weekly statements delivered to retailers: “The balance of this statement must be paid no later than Monday, July 4. This serves as a notice of the suspension of supplies in the event of late or non-payment of the statement itself.”</w:t>
      </w:r>
    </w:p>
    <w:p>
      <w:r>
        <w:t>18. The determination of the suspension of supply based on the objective premise of non-payment is corroborated by the correspondence and further documentation acquired during the inspection: in particular, in some internal emails and other documents found during the inspection, the retailers to whom the supply should be suspended are specifically indicated due to the non-payments of the statements.</w:t>
      </w:r>
    </w:p>
    <w:p>
      <w:r>
        <w:t>19. In this regard, Martini Dumas stated the following: i) every week, on the day of closing the statements, a report is prepared containing the names of the newsstands that have not made the payment by the deadline of Monday; ii) the Company intervenes, however, only if the newsstands fail to settle by the end of the same week; iii) before proceeding with the suspension, the Company seeks a dialogue with the newsstand owner to identify an alternative solution, such as deferring payment or installment payment according to a repayment plan. Consequently, the Company, as a matter of practice, does not exercise the right to suspend supplies in the case of occasional and non-systematic delays, always taking action to informally verify, in dialogue with the retailers, the reasons for the delinquency and to find possible remedies (typically, repayment plans, if necessary guaranteed by guarantees and/or sureties) and to reactivate the suspended supplies.</w:t>
      </w:r>
    </w:p>
    <w:p>
      <w:r>
        <w:t>20. The Professional communicated that the repayment plans have an average duration of [1-5] years and that, in the last [1-5] years, [1-5] newsstands have signed a repayment plan while [1-5] have ceased their activity.</w:t>
      </w:r>
    </w:p>
    <w:p>
      <w:r>
        <w:t>21. Martini Dumas also specified that they resort to the further tool of enforcing the surety when the newsstand [omitted].</w:t>
      </w:r>
    </w:p>
    <w:p>
      <w:r>
        <w:t>22. In response to the request for information, the Company also communicated that it had previously availed itself of a third hypothesis of interruption of supply relationships (period 2014 – 2016), namely the termination of some existing supply relationships due to uneconomic conditions. Specifically, this occurred when the costs to supply certain retailers were higher than the revenues, for example due to the location of the retailer, considering that deliveries of supplies are made free of charge at the point of sale. The aforementioned circumstances have led to judicial disputes in two cases, which were resolved favorably for the Company.</w:t>
      </w:r>
    </w:p>
    <w:p>
      <w:r>
        <w:t>Conduct b): undue conditioning of the supply to services, costs, or additional performances charged to retailers through the unilateral preparation of a private writing</w:t>
      </w:r>
    </w:p>
    <w:p>
      <w:r>
        <w:t>23. From a contractual perspective, the relationships between the Company and the retailers are governed according to the scheme of the estimatory contract, generally in written form, except for older relationships. In the “standard supply conditions” effective from 2020, the obligations governing the supply relationship between the Company and the retailers are reported.</w:t>
      </w:r>
    </w:p>
    <w:p>
      <w:r>
        <w:t>24. Regarding the forms of payment guarantees, it appears that the Company requires retailers to provide a bank guarantee on first demand. From the guarantee contract acquired during the inspection, it emerges that an independent guarantee, not accessory to the main obligation, is required to allow the Company to ensure the cash flow to fulfill the payment obligations it assumes towards national publishers and distributors, who usually demand monthly advances on the fees. In this regard, the Company specified that “the financial coverage required is equivalent to the average monthly turnover of the retailer, calculated over the previous 12 months in the case of a contract during the relationship or based on the estimate of sales forecasts in the case of a new business operation.”</w:t>
      </w:r>
    </w:p>
    <w:p>
      <w:r>
        <w:t>25. As for the provision of software for managing the service at the retailer's expense, the information provided indicates that this is an additional service offered for a fee and that the retailer is free to accept it by signing a specific contract. Specifically, as part of a broader process of computerizing procedures that has affected the entire publishing supply chain, for several years the Company has proposed to retailers the granting, in sub-license, of the software “I2.Edicola” for managing the service: in the related “Contract for Additional Services,” prepared in 2020 and expressly intended to replace any previous agreement with the retailers, the optional and additional nature of the service is explicitly mentioned, freely requestable by the retailers.</w:t>
      </w:r>
    </w:p>
    <w:p>
      <w:r>
        <w:t>26. The local distributor provides the retailer, upon request, with free training courses and refresher courses for the correct use of the software. Regarding the price of the service, the Company currently offers retailers two different solutions: a “full” contract, with access to all available services, for a fee of € 20.00 per month, and a “light” contract, limited to the services of acquiring delivery notes and returns, at the price of € 10.00 per month.</w:t>
      </w:r>
    </w:p>
    <w:p>
      <w:r>
        <w:t>27. This application has never been imposed on sales points, being an optional paid service, provided in the interest of both parties and aimed at improving the efficiency of the relationship. According to the data provided by the Company, out of [500-1,000] supplied newsstands, in [1-500] cases the owners of the sales points decided not to use the service.</w:t>
      </w:r>
    </w:p>
    <w:p>
      <w:r>
        <w:t>III.3 The defensive arguments of the Party</w:t>
      </w:r>
    </w:p>
    <w:p>
      <w:r>
        <w:t>28. The Professional on March 13, 2023, submitted their final memorandum, in which they reiterated that they do not arbitrarily assess the quantity of editorial products supplied, highlighting the mere existence of slight, and physiological, discrepancies between the declared and actual data of the copies delivered and returned by the retailers; such discrepancies are managed within the framework of the estimatory contract, which protects retailers against the risk of unsold goods. Furthermore, newsstand owners have suitable tools to avoid the risk of excess supplies (such as the possibility of returns and the non-binding reservation mechanism), while the Company constantly works to limit any harm caused to retailers by the possibility of under-supplies determined by the national distributor.</w:t>
      </w:r>
    </w:p>
    <w:p>
      <w:r>
        <w:t>29. The Professional also reiterated that they have no interest in refusing new supply relationships and using the suspension of supplies as a last resort for serious and repeated defaults, preferring to agree with retailers on repayment plans aimed at deferring or installment payment of the debt.</w:t>
      </w:r>
    </w:p>
    <w:p>
      <w:r>
        <w:rPr>
          <w:b/>
        </w:rPr>
        <w:t>[Pages 34–36]</w:t>
      </w:r>
    </w:p>
    <w:p>
      <w:r>
        <w:t>36 BULLETIN NO. 20 OF MAY 29, 2023</w:t>
      </w:r>
    </w:p>
    <w:p>
      <w:r>
        <w:t>30. Finally, Martini Dumas confirmed that it does not impose additional service provision on retailers, given the additional and optional nature of the proposed software and the non-accessory nature of any guarantee, aimed at ensuring the Company a financial flow to fulfill payment obligations towards national publishers and distributors.</w:t>
      </w:r>
    </w:p>
    <w:p>
      <w:r>
        <w:t>IV. OPINION OF THE AUTHORITY FOR GUARANTEES IN COMMUNICATIONS</w:t>
      </w:r>
    </w:p>
    <w:p>
      <w:r>
        <w:t>31. Since the commercial practice subject to this provision concerns the publishing sector, on March 14, 2023, an opinion was requested from the Authority for Guarantees in Communications, pursuant to Article 27, paragraph 1-bis, of the Consumer Code.</w:t>
      </w:r>
    </w:p>
    <w:p>
      <w:r>
        <w:t>32. With an opinion received on April 11, 2023, the aforementioned Authority expressed the requested opinion.</w:t>
      </w:r>
    </w:p>
    <w:p>
      <w:r>
        <w:t>33. In the opinion, the Authority, after reviewing the possible elements of unfairness hypothesized in the communication initiating the procedure, emphasized that "the Authority's competencies in the publishing sector do not specifically pertain to the distribution of daily and periodic press."</w:t>
      </w:r>
    </w:p>
    <w:p>
      <w:r>
        <w:t>V. CONCLUDING ASSESSMENTS</w:t>
      </w:r>
    </w:p>
    <w:p>
      <w:r>
        <w:t>34. The first hypothesized practice consists of adopting discriminatory behaviors towards certain local retailers, through the unilateral suspension of the supply of editorial products and/or the provision of supplies not in line with the demand of the individual point of sale, either in excess or in deficiency, based on discretionary evaluations of the Professional, in possible violation of Article 5, paragraph 1, letter d) quater, Legislative Decree No. 170/2001. The aforementioned suspensions would have been decided by the Company due to the alleged economic inconvenience of continuing the supply to the point of sale or following minimal payment delays or disputes regarding the statement of account related to deliveries.</w:t>
      </w:r>
    </w:p>
    <w:p>
      <w:r>
        <w:t>35. The second possible hypothesized practice concerns the undue conditioning of the supply of editorial products on the purchase of services and/or additional performances, through the unilateral preparation of private writings, in possible violation of Articles 20, paragraph 2, 24, and 25, paragraph 1, letter a), of the Consumer Code. In particular, Martini Dumas would have imposed i) the provision, for a fee, of additional software for managing the service to the specific local retailer, ii) the obligation to obtain a bank guarantee to ensure the fulfillment of its payment obligations.</w:t>
      </w:r>
    </w:p>
    <w:p>
      <w:r>
        <w:t>36. Regarding the first allegation, the investigative findings outlined above have shown that Martini Dumas is not able to unilaterally determine the quantity of editorial products to be supplied to retailers, as this is determined by national publishers and distributors. Moreover, newsagents have suitable tools to protect themselves from the risk of excess supplies (such as the possibility of return and the non-binding reservation mechanism), while the Company constantly works to limit any harm caused to retailers by the possibility of under-supplies determined by the national distributor.</w:t>
      </w:r>
    </w:p>
    <w:p>
      <w:r>
        <w:t>37. Furthermore, from the documentation in the records, the minor extent of any discrepancies between the declared and actual data of copies delivered and returned by retailers has emerged, which are physiological and managed within the framework of the consignment contract, which protects retailers against the risk of unsold goods. The incidence of such discrepancies is indeed entirely marginal: based on the data provided by the Professional in relation to the years 2019, 2020, and 2021, an average rate (calculated as the average number of missing copies divided by the number of copies distributed to each newsstand) emerges as particularly contained, as summarized in the following table:</w:t>
      </w:r>
    </w:p>
    <w:p>
      <w:r>
        <w:t>Average discrepancy rate in delivery (percentage of missing copies)</w:t>
        <w:br/>
        <w:t>2019 [0-1]%</w:t>
        <w:br/>
        <w:t>2020 [0-1]%</w:t>
        <w:br/>
        <w:t>2021 [0-1]%</w:t>
      </w:r>
    </w:p>
    <w:p>
      <w:r>
        <w:t>38. From the investigations carried out, it also emerged that the Professional has no interest in refusing new supply relationships and resorts to the suspension of supplies only as a last resort for serious and repeated defaults by retailers, preferring to agree with them on repayment plans aimed at deferring or installment payments of the debt. In this perspective, the recourse to the enforcement of the guarantee is limited to the rare cases in which the newsagent fails to comply even with the repayment plan.</w:t>
      </w:r>
    </w:p>
    <w:p>
      <w:r>
        <w:t>39. Finally, it was found that Martini Dumas does not impose additional service provision on retailers. Regarding the provision of software for managing the service, the information acquired revealed its merely optional nature, as the retailer is free to purchase it or not; regarding the guarantee requested from retailers, it was found that it does not have an accessory nature with respect to the main obligation, and that it is aimed at ensuring the Company a financial flow to fulfill its payment obligations that it in turn has towards national publishers and distributors.</w:t>
      </w:r>
    </w:p>
    <w:p>
      <w:r>
        <w:t>40. Based on the above, therefore, no serious, precise, and consistent evidence has emerged to confirm that Martini Dumas has engaged in the unfair commercial practices hypothesized at the outset.</w:t>
      </w:r>
    </w:p>
    <w:p>
      <w:r>
        <w:t>CONSIDERING, therefore, taking into account the opinion of the Authority for Guarantees in Communications, based on and within the limits of the considerations outlined above, that the conduct under examination does not constitute, with respect to the aspects subject to evaluation, violations respectively of Article 5, paragraph 1, letter d) quater, of Legislative Decree No. 24 April 2001, No. 170 and of Articles 20, paragraph 2, 24, and 25, paragraph 1, letter a), of the Consumer Code;</w:t>
      </w:r>
    </w:p>
    <w:p>
      <w:r>
        <w:t>RESOLVES</w:t>
      </w:r>
    </w:p>
    <w:p>
      <w:r>
        <w:t>that the conduct described in point II of this provision, carried out by the company Martini Dumas S.p.A., does not constitute, with respect to the aspects subject to evaluation, violations respectively of Article 5, paragraph 1, letter d) quater, of Legislative Decree No. 24 April 2001, No. 170 and of Articles 20, paragraph 2, 24, and 25, paragraph 1, letter a), of the Consumer Code.</w:t>
      </w:r>
    </w:p>
    <w:p>
      <w:r>
        <w:t>This provision will be communicated to the interested parties and published in the Bulletin of the Authority for Competition and the Market.</w:t>
      </w:r>
    </w:p>
    <w:p>
      <w:r>
        <w:rPr>
          <w:b/>
        </w:rPr>
        <w:t>[Pages 37–37]</w:t>
      </w:r>
    </w:p>
    <w:p>
      <w:r>
        <w:t xml:space="preserve">Antitrust Authority Weekly Bulletin  </w:t>
        <w:br/>
        <w:t xml:space="preserve">of Competition and Market Year XXXIII - No. 20 - 2023  </w:t>
        <w:br/>
        <w:t xml:space="preserve">Editorial Coordination Giulia Antenucci  </w:t>
        <w:br/>
        <w:t xml:space="preserve">Editorial Staff Valerio Ruocco, Manuela Villani  </w:t>
        <w:br/>
        <w:t xml:space="preserve">Antitrust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