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https://www.agcm.it/dotcmsdoc/bollettini/2025/20-25.pdf</w:t>
      </w:r>
    </w:p>
    <w:p>
      <w:r>
        <w:t>Pages translated : 24</w:t>
      </w:r>
    </w:p>
    <w:p/>
    <w:p>
      <w:r>
        <w:rPr>
          <w:b/>
        </w:rPr>
        <w:t>[Pages 1–3]</w:t>
      </w:r>
    </w:p>
    <w:p>
      <w:r>
        <w:t>Bulletin</w:t>
        <w:br/>
        <w:t>Weekly</w:t>
        <w:br/>
        <w:t>Year XXXV - No. 20</w:t>
        <w:br/>
        <w:t>Published on the website www.agcm.it</w:t>
        <w:br/>
        <w:t>May 26, 2025</w:t>
      </w:r>
    </w:p>
    <w:p>
      <w:r>
        <w:t>SUMMARY</w:t>
        <w:br/>
        <w:t>CONCENTRATION OPERATIONS 5</w:t>
        <w:br/>
        <w:t>C12667B - PAC2000A/BRANCHES OF DOC ROMA-UNICOOP FIRENZE - INFORMATION PROVIDED</w:t>
        <w:br/>
        <w:t>Decision No. 31539 5</w:t>
        <w:br/>
        <w:t>C12719 - UNICOOP TIRRENO/COOP CENTRO ITALIA</w:t>
        <w:br/>
        <w:t>Decision No. 31540 7</w:t>
        <w:br/>
        <w:t>REPORTING AND CONSULTATIVE ACTIVITIES 14</w:t>
        <w:br/>
        <w:t>AS2081 - MUNICIPALITY OF GAETA (LT) - MARITIME CONCESSIONS FOR TOURIST-RECREATIONAL PURPOSES 14</w:t>
        <w:br/>
        <w:t>UNFAIR TRADE PRACTICES 18</w:t>
        <w:br/>
        <w:t>PS12805 - DIOR-SUSTAINABILITY</w:t>
        <w:br/>
        <w:t>Decision No. 31548 18</w:t>
      </w:r>
    </w:p>
    <w:p>
      <w:r>
        <w:t>BULLETIN NO. 20 OF MAY 26, 2025 5</w:t>
        <w:br/>
        <w:t>CONCENTRATION OPERATIONS</w:t>
        <w:br/>
        <w:t>C12667B - PAC2000A/BRANCHES OF DOC ROMA-UNICOOP FIRENZE - INFORMATION PROVIDED</w:t>
        <w:br/>
        <w:t>Decision No. 31539</w:t>
        <w:br/>
        <w:t>THE ANTITRUST AUTHORITY</w:t>
        <w:br/>
        <w:t>IN ITS MEETING of May 6, 2025;</w:t>
        <w:br/>
        <w:t>HEARD the Rapporteur, Saverio Valentino;</w:t>
        <w:br/>
        <w:t>HAVING REGARD to Law No. 287 of October 10, 1990;</w:t>
        <w:br/>
        <w:t>HAVING REGARD, in particular, to Article 16-bis, paragraph 1, of Law No. 287/1990, pursuant to which, for the exercise of powers regarding the prohibition of concentration operations referred to in Chapter III of the same law, the Authority may at any time request companies and entities in possession of information to provide information and to exhibit useful documents;</w:t>
        <w:br/>
        <w:t>HAVING REGARD, also, to Article 16-bis, paragraph 2, of Law No. 287/1990, pursuant to which the subjects requested to provide or exhibit the elements referred to in paragraph 1 are subject to the administrative pecuniary sanctions referred to in Article 14, paragraph 5, if they refuse or fail to provide the requested information or to exhibit the requested documents or if they provide information or exhibit documents that are untrue, without justified reason;</w:t>
        <w:br/>
        <w:t>HAVING REGARD, furthermore, to Article 14, paragraph 5, of Law No. 287/1990, pursuant to which an administrative pecuniary sanction of up to 1 percent of the total worldwide turnover achieved during the previous financial year may be applied to companies and associations of companies that, intentionally or through negligence, in response to a request for information, provide inaccurate, incomplete, or misleading information or fail to provide the information within the established deadline;</w:t>
        <w:br/>
        <w:t>HAVING REGARD to Law No. 689 of November 24, 1981;</w:t>
        <w:br/>
        <w:t>HAVING REGARD to the Presidential Decree No. 217 of April 30, 1998;</w:t>
        <w:br/>
        <w:t>HAVING REGARD to its Decision No. 31452 of February 4, 2025, with which the Authority decided to contest, against the company PAC 2000A Soc. Coop., the violation referred to in Article 16-bis, paragraph 2, of Law No. 287/1990, for having provided, during proceeding C12667, untrue information, without justified reason, and to initiate proceedings against the same company for the possible imposition of the pecuniary sanction referred to in Article 14, paragraph 5, of Law No. 287/1990.</w:t>
        <w:br/>
        <w:t>HAVING REGARD to the request for an extension until March 31, 2025, of the thirty-day procedural deadline for the interested parties to exercise their right to submit defensive writings and documents to the Authority and to request to be heard, submitted by the company PAC 2000A Soc. Coop. on February 13, 2025 “mainly due to the need to develop and carry out the defensive activity in parallel and in addition to the ongoing burdensome procedure for the transfer of the sales points subject to commitments referred to in the main proceeding.”</w:t>
        <w:br/>
        <w:t>HAVING REGARD to the request submitted by the company PAC 2000A Soc. Coop. on February 13, 2025, concurrently with the request for extension, in order to be heard by the Offices and, subsequently, in a hearing before the Board;</w:t>
      </w:r>
    </w:p>
    <w:p>
      <w:r>
        <w:rPr>
          <w:b/>
        </w:rPr>
        <w:t>[Pages 4–6]</w:t>
      </w:r>
    </w:p>
    <w:p>
      <w:r>
        <w:t>BULLETIN NO. 20 OF MAY 26, 2025</w:t>
      </w:r>
    </w:p>
    <w:p>
      <w:r>
        <w:t>CONSIDERING the necessity to ensure the Party the broadest exercise of the right of defense in order to fully guarantee the right to adversarial proceedings;</w:t>
      </w:r>
    </w:p>
    <w:p>
      <w:r>
        <w:t>CONSIDERING that on February 26, 2025, the acceptance of the aforementioned requests was communicated to the company PAC 2000A Soc. Coop. PAC;</w:t>
      </w:r>
    </w:p>
    <w:p>
      <w:r>
        <w:t>ALSO CONSIDERING the necessity to ensure the Party the possibility to submit further defensive writings and documents in relation to the Notice of Charges and to be heard before the Board;</w:t>
      </w:r>
    </w:p>
    <w:p>
      <w:r>
        <w:t>IT IS DEEMED, therefore, in order to guarantee the full exercise of the Party's defense rights and to thoroughly evaluate the aspects subject to the proceeding, to extend the deadline for the closure of the proceeding by sixty days, which, at present, must conclude within one hundred and twenty days from the notification of provision no. 31452 of February 4, 2025, and thus by June 6, 2025;</w:t>
      </w:r>
    </w:p>
    <w:p>
      <w:r>
        <w:t>RESOLVES</w:t>
      </w:r>
    </w:p>
    <w:p>
      <w:r>
        <w:t>to extend the deadline for the conclusion of the proceeding to August 5, 2025.</w:t>
      </w:r>
    </w:p>
    <w:p>
      <w:r>
        <w:t>This provision will be notified to the interested party and published in the Bulletin of the Competition and Market Authority.</w:t>
      </w:r>
    </w:p>
    <w:p>
      <w:r>
        <w:t>THE DEPUTY SECRETARY GENERAL THE PRESIDENT</w:t>
        <w:br/>
        <w:t>Serena Stella Roberto Rustichelli</w:t>
      </w:r>
    </w:p>
    <w:p>
      <w:r>
        <w:t>BULLETIN NO. 20 OF MAY 26, 2025</w:t>
      </w:r>
    </w:p>
    <w:p>
      <w:r>
        <w:t>C12719 - UNICOOP TIRRENO/COOP CENTRO ITALIA</w:t>
        <w:br/>
        <w:t>Provision no. 31540</w:t>
        <w:br/>
        <w:t>THE COMPETITION AND MARKET AUTHORITY</w:t>
      </w:r>
    </w:p>
    <w:p>
      <w:r>
        <w:t>IN ITS MEETING of May 6, 2025;</w:t>
      </w:r>
    </w:p>
    <w:p>
      <w:r>
        <w:t>HEARD the Rapporteur, Saverio Valentino;</w:t>
      </w:r>
    </w:p>
    <w:p>
      <w:r>
        <w:t>HAVING REGARD to Regulation (EC) No. 139/2004;</w:t>
      </w:r>
    </w:p>
    <w:p>
      <w:r>
        <w:t>HAVING REGARD to Law No. 287 of October 10, 1990;</w:t>
      </w:r>
    </w:p>
    <w:p>
      <w:r>
        <w:t>HAVING REGARD to the D.P.R. No. 217 of April 30, 1998;</w:t>
      </w:r>
    </w:p>
    <w:p>
      <w:r>
        <w:t>HAVING REGARD to the communication from the companies Unicoop Tirreno Soc. Coop. and Coop Centro Italia Soc. Coop., received on April 14, 2025;</w:t>
      </w:r>
    </w:p>
    <w:p>
      <w:r>
        <w:t>HAVING REGARD to the documentation on file;</w:t>
      </w:r>
    </w:p>
    <w:p>
      <w:r>
        <w:t>CONSIDERING the following:</w:t>
      </w:r>
    </w:p>
    <w:p>
      <w:r>
        <w:t>I. THE PARTIES</w:t>
      </w:r>
    </w:p>
    <w:p>
      <w:r>
        <w:t>1. Unicoop Tirreno Soc. Coop. (VAT No. 00103530499, hereinafter "UTI"), is a cooperative society whose share capital is held by its over 510 thousand members1, none of whom exercise a determining influence2. UTI operates in Italy in wholesale and retail trade in the modern distribution sector of food and non-food products of broad and general consumption, with 120 points of sale, both owned and affiliated with entrepreneurs, located in Tuscany, Lazio, and Umbria under brands referable to the Coop system. UTI is a member, among others, (i) of the national consortium Coop Italia, a consortium company that provides certain services (purchases, marketing activities, production of goods under the "Coop" brand, quality control services, etc.) for the benefit of the associated cooperatives, and (ii) of the Distretto Tirrenico association, the territorial and sectoral articulation of Legacoop that represents the consumer cooperatives based in Tuscany, Umbria, and Lazio, namely – in addition to UTI – Unicoop Firenze, CCI, and Coop Unione Amiatina. Marginally, UTI is active, through a subsidiary, in offering insurance services to its members at its points of sale.</w:t>
      </w:r>
    </w:p>
    <w:p>
      <w:r>
        <w:t>2. In 2023, UTI achieved [omitted]* in Italy a consolidated turnover, net of intergroup sales, of [700-1,000] million euros.</w:t>
      </w:r>
    </w:p>
    <w:p>
      <w:r>
        <w:t>3. Coop Centro Italia Soc. Coop. (VAT No. 02241550546, hereinafter "CCI" or "Target") is a cooperative society whose share capital is held by its over 270 thousand members3, none of whom exercise a determining influence4. CCI operates in Italy in wholesale and retail trade in the modern distribution sector of food and non-food products of broad and general consumption, with 77 points of sale located in the provinces of Perugia, Terni, Macerata, Rieti, Viterbo.</w:t>
      </w:r>
    </w:p>
    <w:p>
      <w:r>
        <w:t>1 As of December 31, 2023, UTI had 524,780 members.</w:t>
        <w:br/>
        <w:t>2 In particular, none of UTI's members holds a stake of at least 10% in the company. In fact, each member of UTI holds a single share, with a nominal value of Euro 25.00, which entitles them to one vote in the relevant assembly.</w:t>
        <w:br/>
        <w:t>* In this version, some data is omitted, as there are elements of confidentiality or secrecy of the information.</w:t>
        <w:br/>
        <w:t>3 As of December 31, 2023, CCI had 308,273 members.</w:t>
        <w:br/>
        <w:t>4 In particular, none of CCI's members holds a stake of at least 10% in the company. In fact, each member of CCI holds a single share, with a nominal value of Euro 25.00, which entitles them to one vote in the relevant assembly.</w:t>
      </w:r>
    </w:p>
    <w:p>
      <w:r>
        <w:t>BULLETIN NO. 20 OF MAY 26, 2025</w:t>
      </w:r>
    </w:p>
    <w:p>
      <w:r>
        <w:t>8. CCI exercises exclusive control over Superconti Supermercati Terni S.r.l. ("Superconti Supermercati"), of which it holds the entire share capital, which: (i) manages the sales network of the "Superconti" brand and the relationships with its direct suppliers; (ii) markets food products (meat processing) produced by the company Superconti Service S.r.l. ("Superconti Service"), which is also under the exclusive control of CCI.</w:t>
      </w:r>
    </w:p>
    <w:p>
      <w:r>
        <w:t>5. In 2023, CCI achieved [omitted] in Italy a consolidated turnover, net of intergroup sales, of [700-1,000] million euros.</w:t>
      </w:r>
    </w:p>
    <w:p>
      <w:r>
        <w:t>II. DESCRIPTION OF THE OPERATION</w:t>
      </w:r>
    </w:p>
    <w:p>
      <w:r>
        <w:t>6. The communicated Operation (hereinafter, "Operation") consists of the merger by incorporation, pursuant to Article 2501 of the Civil Code, of the incorporating company CCI into the incorporated company UTI. As a result of the Operation, CCI will therefore enter into the assets of UTI, extinguishing itself, and the latter will assume all rights, assets, debts, and credits, active and passive legal relationships that previously belonged to CCI.</w:t>
      </w:r>
    </w:p>
    <w:p>
      <w:r>
        <w:t>7. Following the Operation, the company resulting from the incorporation of CCI into UTI will take the name Unicoop Etruria Soc. Coop., whose participation shares will be divided among all current members of UTI and CCI. The governance system of the resulting company will be dualistic, with the provision of a Supervisory Board, elected by the assembly of members, and a Management Board, in turn elected by the Supervisory Board.</w:t>
      </w:r>
    </w:p>
    <w:p>
      <w:r>
        <w:t>III. QUALIFICATION OF THE OPERATION</w:t>
      </w:r>
    </w:p>
    <w:p>
      <w:r>
        <w:t>8. The communicated operation constitutes a concentration, pursuant to Article 5, paragraph 1, letter b), of Law No. 287/1990, as it involves the acquisition of exclusive control of a company.</w:t>
      </w:r>
    </w:p>
    <w:p>
      <w:r>
        <w:t>9.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582 million euros and the total turnover achieved, in the last financial year at the national level, individually by each of the two companies involved was over 35 million euros.</w:t>
      </w:r>
    </w:p>
    <w:p>
      <w:r>
        <w:t>III.1. RELEVANT MARKETS</w:t>
      </w:r>
    </w:p>
    <w:p>
      <w:r>
        <w:t>10. The operation in question concerns the sector of modern distribution of food and non-food products of broad and general consumption (GDO). Competition in this sector is extremely complex, playing out across various strategic variables and different territorial areas.</w:t>
      </w:r>
    </w:p>
    <w:p>
      <w:r>
        <w:t>11. In particular, in this sector, entities operate with extremely varied dimensions, characteristics, and organizational formulas. A first distinction is made between Large Distribution (GD), consisting of chains of points of sale belonging to a single company or group.</w:t>
      </w:r>
    </w:p>
    <w:p>
      <w:r>
        <w:rPr>
          <w:b/>
        </w:rPr>
        <w:t>[Pages 7–9]</w:t>
      </w:r>
    </w:p>
    <w:p>
      <w:r>
        <w:t>BULLETIN NO. 20 OF MAY 26, 2025</w:t>
      </w:r>
    </w:p>
    <w:p>
      <w:r>
        <w:t>9. The corporate groups of companies (the so-called branch companies), and Organized Distribution (DO), which includes chains of points of sale belonging to legally distinct entrepreneurial entities (generally small or medium-sized companies), but linked by a relationship of voluntary collaboration, formalized through contractual ties and/or associative formulas such as consortia, voluntary unions, consumer cooperatives, etc.</w:t>
      </w:r>
    </w:p>
    <w:p>
      <w:r>
        <w:t>12. Regarding the procurement policy, initially, individual points of sale are grouped by a distribution center (or "CE.DI"), which represents the central facility of a chain of supermarkets or hypermarkets that receives the goods, stores them, and supplies the points of sale. A second level of aggregation is represented by purchasing centers, which perform the task of centralized negotiation of supplies (purchasing centers). In turn, purchasing centers can further aggregate into supercenters.</w:t>
      </w:r>
    </w:p>
    <w:p>
      <w:r>
        <w:t>13. Therefore, at the national level, competition within the GDO sector essentially develops among distribution chains, understood as sets of points of sale that operate with a substantial uniformity of brand and image. Competitive comparison occurs on the overall size of the chain itself, the image and penetration capacity of the brand, the location of the points of sale, the coverage of different local markets, procurement policies, etc.</w:t>
      </w:r>
    </w:p>
    <w:p>
      <w:r>
        <w:t>14. In this regard, it should be noted that certain GDO chains – such as Conad, Coop, Pam, Carrefour, Lidl, Eurospin – exhibit significant uniformity among points of sale and, in general, in the commercial policies of the chain itself, consequently emerging a role of the chain in terms of strategies with strategic impact beyond the local perimeter. Conversely, some GDO "alliances" – such as those related to Selex Commerciale or the Végé Group – show greater differentiation among members, who often define, autonomously, the sales format, the store brands (which often differ significantly and have a more local connotation), and other characteristic elements of the commercial profile of the point of sale.</w:t>
      </w:r>
    </w:p>
    <w:p>
      <w:r>
        <w:t>15. At the local level, however, competitive comparison takes place more properly on policies directed at consumers, focused on selling prices, assortment, promotions, loyalty policies at the point of sale, and more generally retail-level commercial strategies.</w:t>
      </w:r>
    </w:p>
    <w:p>
      <w:r>
        <w:t>16. It is therefore possible to identify a first aspect, represented by the local markets for the retail sale of food and non-food consumer goods, while another aspect is represented by the national market for the procurement of food and non-food consumer goods.</w:t>
      </w:r>
    </w:p>
    <w:p>
      <w:r>
        <w:t>III.1.a. The markets for the retail sale of food and non-food consumer goods</w:t>
      </w:r>
    </w:p>
    <w:p>
      <w:r>
        <w:t>17. The present operation concerns the markets for the retail sale of food and non-food consumer goods through GDO points of sale. In this sector, various operators operate at the national level, with varied sizes and organizational formulas. In particular, the following types of points of sale are distinguished within the GDO: hypermarkets, supermarkets, convenience stores, and discount stores.</w:t>
      </w:r>
    </w:p>
    <w:p>
      <w:r>
        <w:t>18. In the context of the most recent measures related to concentration operations in the GDO sector, the Authority has, first of all, included points of sale managed under the discount formula in the relevant markets relating to the corresponding types of GDO points of sale, namely convenience stores (100-399 sqm), supermarkets (400-2,499 sqm), and hypermarkets (from 2,500 sqm and above), as they are considered by consumers to be a substitutable purchasing option with such other types of GDO points of sale.</w:t>
      </w:r>
    </w:p>
    <w:p>
      <w:r>
        <w:t>19. Furthermore, with reference to hypermarkets, supermarkets, and convenience stores, the Authority has defined the following distinct product markets (referred to below as M01, M02, and M03):</w:t>
        <w:br/>
        <w:t>i. [M01] the market for convenience stores, including all points of sale with a size between 100 and 2,499 sqm (i.e., convenience stores, supermarkets, and discount stores smaller than 2,500 sqm);</w:t>
        <w:br/>
        <w:t>ii. [M02] the market for supermarkets, including all points of sale with a size of 100 sqm and above (i.e., supermarkets, convenience stores, hypermarkets, and discount stores);</w:t>
        <w:br/>
        <w:t>iii. [M03] the market for hypermarkets, including all points of sale from 400 sqm and above (i.e., hypermarkets, supermarkets, and discount stores of a size equal to or greater than 400 sqm).</w:t>
      </w:r>
    </w:p>
    <w:p>
      <w:r>
        <w:t>20. From a geographical perspective, local markets have been defined consisting of isochrones centered on the target points of sale with a width of 10 minutes of driving for the market of convenience stores and 15 minutes of driving for the markets of supermarkets and hypermarkets.</w:t>
      </w:r>
    </w:p>
    <w:p>
      <w:r>
        <w:t>21. In this regard, it is noted that Target is active through:</w:t>
        <w:br/>
        <w:t>i. 6 convenience stores under the "Coop," "Incoop," "Superconti," and "inSuperconti" brands, with a surface area of less than 400 sqm, located in the following provinces: Perugia, Viterbo, and Terni;</w:t>
        <w:br/>
        <w:t>ii. 67 supermarkets under the "Coop" and "Incoop" brands, with a surface area between 400 and 2,499 sqm, located in the following provinces: Livorno, Grosseto, Lucca, Frosinone, Rome, Terni, and Viterbo;</w:t>
        <w:br/>
        <w:t>iii. 4 hypermarkets under the "Coop" and "Ipercoop" brands, with a surface area greater than 2,499 sqm, located in the following provinces: L'Aquila, Perugia, and Terni.</w:t>
      </w:r>
    </w:p>
    <w:p>
      <w:r>
        <w:t>22. Therefore, in this case, the markets concerned are those of convenience stores, supermarkets, and hypermarkets, as described above.</w:t>
      </w:r>
    </w:p>
    <w:p>
      <w:r>
        <w:t>III.1.b. The markets for the procurement of food and non-food consumer goods</w:t>
      </w:r>
    </w:p>
    <w:p>
      <w:r>
        <w:t>23. The markets for the procurement of food and non-food consumer goods pertain to the purchases made by GDO chains, which represent the demand side, directly from producers of food and non-food consumer goods, which constitute the supply side, for resale in the modern distribution channel.</w:t>
      </w:r>
    </w:p>
    <w:p>
      <w:r>
        <w:t>24. As is known, in order to obtain more favorable conditions regarding the quantities demanded for branded products from industry, it is common for GDO chains to aggregate (in the form of business associations and medium-large consortia) in so-called "purchasing centers (or alliances)."</w:t>
      </w:r>
    </w:p>
    <w:p>
      <w:r>
        <w:t>25. The Authority has left open the exact product market definition and also in this case it is considered unnecessary to arrive at an exact product market delineation for procurement markets since it does not appear likely to create significant effects on competition in the procurement markets for food and non-food consumer goods.</w:t>
      </w:r>
    </w:p>
    <w:p>
      <w:r>
        <w:t>26. Furthermore, these markets generally have a national dimension, with both purchases and related negotiations taking place at the national level. Exceptions may include certain categories of fresh or locally typical products, characterized by more limited market dimensions, which are generally excluded from the scope of negotiation of purchasing centers.</w:t>
      </w:r>
    </w:p>
    <w:p>
      <w:r>
        <w:t>III.2. The effects of the operation</w:t>
      </w:r>
    </w:p>
    <w:p>
      <w:r>
        <w:t>III.2.a. The markets for the retail sale of food and non-food consumer goods</w:t>
      </w:r>
    </w:p>
    <w:p>
      <w:r>
        <w:t>27. In the local markets, consisting, respectively, of points of sale between 100 sqm and 2,499 sqm for convenience stores located within a driving distance of less than 10 minutes and all GDO points of sale larger than 100 sqm located within a maximum driving isochrone of 15 minutes from each point of sale subject to transfer, the concentration operation under examination will involve the acquisition of points of sale under the "Coop," "Incoop," "Superconti," "inSuperconti," and "Ipercoop" brands.</w:t>
      </w:r>
    </w:p>
    <w:p>
      <w:r>
        <w:t>28. For the purposes of evaluating the effects of the operation, it is observed that it generates horizontal overlaps in 10 isochrones.</w:t>
      </w:r>
    </w:p>
    <w:p>
      <w:r>
        <w:rPr>
          <w:b/>
        </w:rPr>
        <w:t>[Pages 10–12]</w:t>
      </w:r>
    </w:p>
    <w:p>
      <w:r>
        <w:t>BULLETIN NO. 20 OF MAY 26, 2025</w:t>
      </w:r>
    </w:p>
    <w:p>
      <w:r>
        <w:t>Table 1 Isochrones with Overlaps</w:t>
        <w:br/>
        <w:t>Brand of Share</w:t>
        <w:br/>
        <w:t>No. Type Address Share CCI Share UTI</w:t>
        <w:br/>
        <w:t>centroid (Target) joint</w:t>
        <w:br/>
        <w:t>1 Superconti Superette (M01) [omitted] [5-10%] [20-25%] [25-30%]</w:t>
        <w:br/>
        <w:t>Supermarket</w:t>
        <w:br/>
        <w:t>2 Superconti [omitted] [35-40%] [1-5%] [40-45%]</w:t>
        <w:br/>
        <w:t>(M02)</w:t>
        <w:br/>
        <w:t>Supermarket</w:t>
        <w:br/>
        <w:t>3 Coop Centro Italia [omitted] [35-40%] [1-5%] [40-45%]</w:t>
        <w:br/>
        <w:t>(M02)</w:t>
        <w:br/>
        <w:t>Supermarket</w:t>
        <w:br/>
        <w:t>4 Superconti [omitted] [10-15%] [15-20%] [25-30%]</w:t>
        <w:br/>
        <w:t>(M02)</w:t>
        <w:br/>
        <w:t>Supermarket</w:t>
        <w:br/>
        <w:t>5 Superconti [omitted] [10-15%] [10-15%] [25-30%]</w:t>
        <w:br/>
        <w:t>(M02)</w:t>
        <w:br/>
        <w:t>Supermarket</w:t>
        <w:br/>
        <w:t>6 Superconti [omitted] [1-5%] [15-20%] [15-20%]</w:t>
        <w:br/>
        <w:t>(M02)</w:t>
        <w:br/>
        <w:t>7 Superconti Superette (M01) [omitted] [10-15%] [10-15%] [20-25%]</w:t>
        <w:br/>
        <w:t>Supermarket</w:t>
        <w:br/>
        <w:t>8 Superconti [omitted] [1-5%] [5-10%] [5-10%]</w:t>
        <w:br/>
        <w:t>(M02)</w:t>
        <w:br/>
        <w:t>Supermarket</w:t>
        <w:br/>
        <w:t>9 Superconti [omitted] [0-1%] [5-10%] [5-10%]</w:t>
        <w:br/>
        <w:t>(M02)</w:t>
        <w:br/>
        <w:t>Supermarket</w:t>
        <w:br/>
        <w:t>10 Superconti [omitted] [0-1%] [5-10%] [5-10%]</w:t>
        <w:br/>
        <w:t>(M02)</w:t>
        <w:br/>
        <w:t>29. From the analysis of the market shares of the Party post-merger, it is therefore possible to observe that in 5 isochrones (isochrones no. 6, 7, 8, 9, and 10) the concentration operation will not result in market shares exceeding the attention threshold of 25% (with increases brought by the Target not particularly significant, sometimes below 1% (except for isochrone no. 7), such as to exclude any risk of competitive concerns.</w:t>
      </w:r>
    </w:p>
    <w:p>
      <w:r>
        <w:t>30. With reference, on the other hand, to the isochrones where the operation results in post-merger market shares exceeding 25%, it is noted that, in catchment areas no. 1, no. 4, and no. 5, the joint shares are slightly above 25% and equal to [25-30%], [25-30%], and [25-30%] respectively, and the increase in market shares is between [5-10%] and [10-15%], with diversion ratio values, in the worst-case scenario – for isochrone no. 4 – equal to approximately the threshold value of 20% and lower than this value in the other isochrones, whose values are around 4% for isochrone no. 5, and around 17% for isochrone no. 1.</w:t>
      </w:r>
    </w:p>
    <w:p>
      <w:r>
        <w:t>31. In fact, according to the established practice of the Authority regarding the assessment of concentrations in the organized food distribution sector, the quantitative evidence related to the market shares held by the parties and competitors in the relevant markets has been supplemented, where deemed necessary, with indicators such as the so-called diversion ratio, an index capable of capturing the actual substitutability (and mutual competition) relationships between retail outlets included in the same relevant market, considering a threshold value of 20%. Below this threshold, unilateral effects of significance can be excluded prima facie, based on the indicators used in the experience and practice of competition authorities at the international level.</w:t>
      </w:r>
    </w:p>
    <w:p>
      <w:r>
        <w:t>32. It is also noted that in these local markets, numerous retail outlets belonging to important competing brand groups operate – such as, among others, [omitted] – with joint market shares for the group exceeding [10-15%] and in some cases, in isochrone no. 1, with the first competitor having shares well above those of the Parties (i.e., [omitted] with a market share of [45-50%]).</w:t>
      </w:r>
    </w:p>
    <w:p>
      <w:r>
        <w:t>33. Therefore, due to the contained post-merger shares and diversion ratio values never exceeding the threshold of 20% and the presence of numerous and qualified retail outlets, in the local markets of isochrones no. 1, no. 4, and no. 5, the Operation does not seem to raise competitive concerns.</w:t>
      </w:r>
    </w:p>
    <w:p>
      <w:r>
        <w:t>34. Finally, in isochrones no. 2 and no. 3, the new entity will hold a market share of approximately [40-45%]. However, even in this case, the quantitative analysis highlights that the operation in question is not likely to give rise to significant unilateral effects in the considered local markets as: (i) in both isochrones, the increase in shares is minimal, being equal to [1-5%]; (ii) the diversion ratio is 0.6% for isochrone no. 2, and 0.4% for isochrone no. 3, thus, well below the attention threshold of 20% considered. In both isochrones, the presence of qualified competitors is also noted – such as, [omitted] – each with market shares between approximately [10-15%] and [15-20%].</w:t>
      </w:r>
    </w:p>
    <w:p>
      <w:r>
        <w:t>35. Moreover, it is worth noting that these are companies belonging to the Coop Italia system, as such already characterized by a more subdued competitive pressure due to the common brand and the affiliation system.</w:t>
      </w:r>
    </w:p>
    <w:p>
      <w:r>
        <w:t>III.2.b. The markets for the procurement of food and non-food consumer goods</w:t>
      </w:r>
    </w:p>
    <w:p>
      <w:r>
        <w:t>36. In the GDO sector, over twenty distribution chains currently operate, of which ten have a total national share exceeding 3%.</w:t>
      </w:r>
    </w:p>
    <w:p>
      <w:r>
        <w:t>37. Due to the fact that both UTI and CCI belong to the same purchasing center, Coop Italia, the operation does not change the positioning of UTI in the national procurement market.</w:t>
      </w:r>
    </w:p>
    <w:p>
      <w:r>
        <w:t>III.3. Conclusions</w:t>
      </w:r>
    </w:p>
    <w:p>
      <w:r>
        <w:t>38. In light of the above considerations, therefore, the concentration under examination does not appear to significantly hinder competition in the affected local markets.</w:t>
      </w:r>
    </w:p>
    <w:p>
      <w:r>
        <w:t>IT IS DEEMED, therefore, that the operation under examination does not significantly hinder effective competition in the relevant market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the Minister of Enterprises and Made in Italy.</w:t>
      </w:r>
    </w:p>
    <w:p>
      <w:r>
        <w:t>This provision will be published in the Bulletin of the Antitrust Authority.</w:t>
      </w:r>
    </w:p>
    <w:p>
      <w:r>
        <w:t>THE DEPUTY SECRETARY GENERAL THE PRESIDENT</w:t>
        <w:br/>
        <w:t>Serena Stella Roberto Rustichelli</w:t>
      </w:r>
    </w:p>
    <w:p>
      <w:r>
        <w:t>ACTIVITY OF REPORTING AND CONSULTATION</w:t>
      </w:r>
    </w:p>
    <w:p>
      <w:r>
        <w:t>AS2081 - MUNICIPALITY OF GAETA (LT) - MARITIME STATE CONCESSIONS FOR TOURIST-RECREATIONAL PURPOSES</w:t>
      </w:r>
    </w:p>
    <w:p>
      <w:r>
        <w:t>Rome, February 24, 2025</w:t>
      </w:r>
    </w:p>
    <w:p>
      <w:r>
        <w:t>Municipality of Gaeta</w:t>
      </w:r>
    </w:p>
    <w:p>
      <w:r>
        <w:t>The Antitrust Authority, in its meeting of February 18, 2025, resolved to issue a reasoned opinion, pursuant to Article 21-bis of Law No. 287 of October 10, 1990, regarding the managerial determination of the Department of Economic Development, Construction, Planning Activities, and Heritage (SEAP) of the Municipality of Gaeta dated January 10, 2025, No. 13, concerning "Criteria and sub-criteria for the awarding of maritime state concessions for tourist-recreational purposes – participation requirements for procedures – uniform discipline Rif, DGC No. 143 of 06/19/2024," known to the Authority on January 20, 2025, and also transmitted by the Entity on January 29, 2025.</w:t>
      </w:r>
    </w:p>
    <w:p>
      <w:r>
        <w:t>With the managerial determination No. 13/2025, the Municipality of Gaeta – after recalling the previous jurisprudential rulings concerning the same Municipality (including the ruling of the TAR Latina No. 728/2024) and Resolution No. 143/2024 (already subject to a reasoned opinion1), as well as emphasizing the need to proceed with the issuance of maritime state concessions for tourist-recreational purposes – approves the criteria for the conduct of public evidence procedures for the awarding of concessions and establishes the uniform discipline to which the administrative action must adhere.</w:t>
      </w:r>
    </w:p>
    <w:p>
      <w:r>
        <w:t>In this regard, while appreciating the Municipality's intent to prioritize the technical quality of the offers, the Authority intends to make the following considerations regarding various profiles of competitive criticality identified.</w:t>
      </w:r>
    </w:p>
    <w:p>
      <w:r>
        <w:t>Preliminarily, it should be noted that the provisions contained in the measure in question are also applicable to project financing procedures initiated by the Municipality of Gaeta2, as emerges from the literal wording of the text of the determination in question3.</w:t>
      </w:r>
    </w:p>
    <w:p>
      <w:r>
        <w:t>1 See S4921B – Maritime state concessions in the Municipality of Gaeta – New resolutions.</w:t>
      </w:r>
    </w:p>
    <w:p>
      <w:r>
        <w:t>2 As is known to this Municipality, the Council Resolutions of August 24, 2024, Nos. 41, 42, 43, 44, and 45, concerning five project financing requests, have already been contested in the reasoned opinion S4921B, the content of which is important to recall with particular reference to the possibility of using the project financing tool for the assignment of the maritime state concessions in question.</w:t>
      </w:r>
    </w:p>
    <w:p>
      <w:r>
        <w:t>3 This refers, in particular, to the inclusion among the requests from the market of those for project financing (letter h. of the determination) and to the tenth criterion which provides for the attribution of 15 points for "interventions/actions complementary to bathing activities to be carried out on public or private sites/areas, different from those granted in concession." The same is also indicated by the fact that all the measures in question (both the council measures examining the project financing proposals referred to in the reasoned opinion S4921B and the Determination No. 13/2025) are aimed at implementing Resolution No. 143/2024.</w:t>
      </w:r>
    </w:p>
    <w:p>
      <w:r>
        <w:rPr>
          <w:b/>
        </w:rPr>
        <w:t>[Pages 13–15]</w:t>
      </w:r>
    </w:p>
    <w:p>
      <w:r>
        <w:t>BULLETIN NO. 20 OF MAY 26, 2025</w:t>
      </w:r>
    </w:p>
    <w:p>
      <w:r>
        <w:t>With reference to the procedure to be followed, Determination No. 13/2025 confirms the direction (already criticized in the previous motivated opinion) to preferentially resort to the granting of concessions upon request, predominantly with local publicity4, rather than providing for procedural forms of official initiation, with adequate publicity5.</w:t>
      </w:r>
    </w:p>
    <w:p>
      <w:r>
        <w:t>In this regard, it is recalled that recently the Council of State, with judgment of December 16, 2024, No. 10131, affirmed the principle that “the requirements of impartiality, maximum participation, non-discrimination, and equal treatment can be ensured […] only by the prior announcement of a tender, whose notice must provide at least, among other things and first of all, the object and duration of the concession, the amount of the fee (updated) to be paid, the participation requirements, the award criteria in compliance with, precisely, the principles of equal treatment, maximum participation, and proportionality.” In particular, the administrative judge continues, “[t]he archaic and informal model of Article 37 of the Navigation Code can no longer be considered adequate to the needs of transparency and competitiveness that permeate this sector of the legal system, in the evolution it has undergone, like other sectors of the legal system”6.</w:t>
      </w:r>
    </w:p>
    <w:p>
      <w:r>
        <w:t>Also regarding the criteria for evaluating offers, Determination No. 13/2025 confirms a preference for entities already holding maritime state concessions. Although it is specified that the technical and professional experience to be evaluated may also have been acquired by the applicant in carrying out comparable activities with the services subject to concession (criterion 5), one of the evaluation criteria is that of having used a maritime state concession as a predominant source of income (criterion 6). This must also be evaluated together with the circumstance that registration with the Chambers of Commerce for the specific activity to be carried out on the state-owned area is required under penalty of exclusion from public evidence procedures (letter c. of the determination).</w:t>
      </w:r>
    </w:p>
    <w:p>
      <w:r>
        <w:t>In this regard, it is recalled that, on several occasions7, the Authority has highlighted the competitive restrictions that may arise from participation requirements or evaluation criteria of the application where the possibility is not provided for the experience and professionalism required to have been gained by the operator also in carrying out extra-concession activities. Such provisions may indeed prove unjustifiably restrictive and lacking the characteristics of necessity and proportionality, as they preclude the possibility of participation in the procedure for new entrants and are likely to integrate a preference in favor of operators already active in the market.</w:t>
      </w:r>
    </w:p>
    <w:p>
      <w:r>
        <w:t>Further competitive criticalities also emerge from the regulation of compensation to the outgoing concessionaire, with reference both to the recognition of fair remuneration for investments made in the last five years and to the procedure that the Municipality intends to follow.</w:t>
      </w:r>
    </w:p>
    <w:p>
      <w:r>
        <w:t>The publication in GURI and in GUUE is only provided for concession requests lasting more than ten years.</w:t>
      </w:r>
    </w:p>
    <w:p>
      <w:r>
        <w:t>See AS2029 – Extension of maritime, lacustrine, and river state concessions for tourism and recreational purposes, sent to ANCI and the Permanent Conference for relations between the State, Regions, and the Autonomous Provinces of Trento and Bolzano, published in the Authority Bulletin No. 32/2024.</w:t>
      </w:r>
    </w:p>
    <w:p>
      <w:r>
        <w:t>It follows, according to the Council of State, that “If this is the case, as this Council of State has had the opportunity to note also in its most recent jurisprudence (see, for all, Cons. St., section VII, May 20, 2024, Nos. 4479, 4480, and 4481), it is well understood why Article 37 of the Navigation Code cannot guarantee the adequacy of that selective procedure which, even if it does not require the same degree of complexity that characterizes the public contracts code […], as the jurisprudence of this Council of State constantly asserts […], cannot be satisfied with a procedural model built on the renewal request of the outgoing concessionaire, published with the so-called "notice" only at the local level, awaiting potential competitors to formulate observations or submit their own applications, without prior determination, by the public authority, of impartial, transparent, and proportional criteria for participation in the tender.”</w:t>
      </w:r>
    </w:p>
    <w:p>
      <w:r>
        <w:t>See AS2029, cited; AS2024 – Municipality of Ginosa (TA) – maritime state concessions for tourism and recreational purposes, in Bulletin No. 3/2025.</w:t>
      </w:r>
    </w:p>
    <w:p>
      <w:r>
        <w:t>Regarding the first aspect, the position expressed by the Authority8 limits the recognition of compensation to the outgoing concessionaire, to be used as a base in the selective procedure, only to cases of protection of the legitimate expectation (where applicable) of the same concessionaire and, in any case, limited to the value of any investments made by them and not yet amortized at the end of the concession, for which sale on a secondary market is not possible9. In this way, without prejudice to the provisions of Article 49 of the Navigation Code10, the need to reimburse the unrecovered costs borne by the outgoing concessionaire would be compatible with assignment procedures consistent with both the principles of competition and the incentives to make investments11.</w:t>
      </w:r>
    </w:p>
    <w:p>
      <w:r>
        <w:t>With reference to the second aspect, the Authority has already indicated12 the opportunity for the professional, called to quantify this value, to be appointed by a third party with respect to the interested concessionaires (such as the granting entity) and that the quantification be carried out with expertise, based on current, certain, and transparent evaluation parameters, to protect all parties, as well as published by the granting entity in time for potential participants to take it into account within the competitive procedure. In this way, in fact, the comparative procedure for granting concessions would be more transparent, fair, and objective.</w:t>
      </w:r>
    </w:p>
    <w:p>
      <w:r>
        <w:t>Finally, regarding the timing for conducting the tender procedures, it is necessary to note that Determination No. 13/2025 does not generally provide any timeline or other indication regarding the conclusion of the procedures for the assignment of concessions. It should also be added that, despite the judgment of the TAR Latina No. 728/2024 having already declared the extension ordered by the Municipality until December 31, 2024, the Entity will most likely have to further extend the concessions existing in the municipal territory, pending the conduct of the selective procedures.</w:t>
      </w:r>
    </w:p>
    <w:p>
      <w:r>
        <w:t>In light of the considerations just made, the Authority believes that the managerial determination No. 13/2025 is in conflict with competitive principles to the extent that it prevents the competitive comparison that should be guaranteed in the assignment of services affecting scarce state resources, in a market context where competitive dynamics are already particularly weakened due to the long duration of the concessions currently in force. In particular, the municipal provision in question is in conflict with Article 49 TFEU, as it unjustifiably limits the freedom of establishment and the free movement of services in the internal market, as well as with the EU regulatory provisions regarding public assignments, with particular reference to Article 12 of the Services Directive.</w:t>
      </w:r>
    </w:p>
    <w:p>
      <w:r>
        <w:t>Pursuant to Article 21-bis, paragraph 2, of Law No. 287/1990, the Municipality of Gaeta must communicate to the Authority, within sixty days from the receipt of this opinion, the initiatives taken to remove the above-mentioned competition violations. If within the aforementioned term such initiatives do not prove to be compliant with the competitive principles expressed above, the Authority may file an appeal within the following thirty days.</w:t>
      </w:r>
    </w:p>
    <w:p>
      <w:r>
        <w:t>THE PRESIDENT</w:t>
        <w:br/>
        <w:t>Roberto Rustichelli</w:t>
      </w:r>
    </w:p>
    <w:p>
      <w:r>
        <w:t>_______________________________________________________________________________</w:t>
      </w:r>
    </w:p>
    <w:p>
      <w:r>
        <w:t>Communication regarding the Authority's decision not to appeal pursuant to Article 21-bis of Law No. 287/1990 against the managerial determination of the Department of Economic Development, Construction, Planning Activities, and Heritage (SEAP) of the Municipality of Gaeta of January 10, 2025, No. 13, concerning “Criteria and sub-criteria for the assignment of maritime state concessions for tourism and recreational purposes – participation requirements for the procedures – uniform regulation Rif, DGC No. 143 of June 19, 2024.”</w:t>
      </w:r>
    </w:p>
    <w:p>
      <w:r>
        <w:t>The Authority, on February 18, 2025, resolved to issue a motivated opinion to the Municipality of Gaeta pursuant to Article 21-bis of Law No. 287/1990, regarding the managerial determination of the Department of Economic Development, Construction, Planning Activities, and Heritage (SEAP) of the Municipality of Gaeta of January 10, 2025, No. 13, concerning “Criteria and sub-criteria for the assignment of maritime state concessions for tourism and recreational purposes – participation requirements for the procedures – uniform regulation Rif, DGC No. 143 of June 19, 2024.”</w:t>
      </w:r>
    </w:p>
    <w:p>
      <w:r>
        <w:t>In its opinion, the Authority deemed that the provision in question is in conflict with competitive principles and with the EU regulations referred to in Article 49 TFEU and Article 12 of Directive 2006/123/EC (the so-called Services Directive), to the extent that it prevents the competitive comparison that should be guaranteed in the assignment of services affecting scarce state resources, in a market context where competitive dynamics are already particularly weakened due to the long duration of the concessions currently in force.</w:t>
      </w:r>
    </w:p>
    <w:p>
      <w:r>
        <w:t>With communication dated April 24, 2025, subsequently supplemented on May 20, 2025, the Municipality of Gaeta provided a response to the aforementioned motivated opinion, transmitting to the Authority the Managerial Determination No. 554 of May 20, 2025, titled “Modification and integration of the Managerial Determination No. 13 of January 10, 2025 concerning Criteria and sub-criteria for the assignment of maritime state concessions for tourism and recreational purposes – participation requirements for the procedures – uniform regulation Rif, DGC No. 143 of June 19, 2024.”</w:t>
      </w:r>
    </w:p>
    <w:p>
      <w:r>
        <w:t>Taking into account the Entity's response, in the meeting of May 20, 2025, the Authority resolved not to challenge the deliberation in question before the competent Regional Administrative Court.</w:t>
      </w:r>
    </w:p>
    <w:p>
      <w:r>
        <w:rPr>
          <w:b/>
        </w:rPr>
        <w:t>[Pages 16–18]</w:t>
      </w:r>
    </w:p>
    <w:p>
      <w:r>
        <w:t>BULLETIN NO. 20 OF MAY 26, 2025</w:t>
      </w:r>
    </w:p>
    <w:p>
      <w:r>
        <w:t>UNFAIR TRADE PRACTICES</w:t>
        <w:br/>
        <w:t>PS12805 - DIOR-SUSTAINABILITY</w:t>
        <w:br/>
        <w:t>Provision No. 31548</w:t>
        <w:br/>
        <w:t>THE ANTITRUST AUTHORITY</w:t>
      </w:r>
    </w:p>
    <w:p>
      <w:r>
        <w:t>IN ITS MEETING of May 13, 2025;</w:t>
      </w:r>
    </w:p>
    <w:p>
      <w:r>
        <w:t>HEARD the Rapporteur, Professor Elisabetta Iossa;</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 (hereinafter, "Regulation");</w:t>
      </w:r>
    </w:p>
    <w:p>
      <w:r>
        <w:t>HAVING REGARD to the "Regulation on investigative procedures in matters of consumer protection and misleading and comparative advertising," adopted by the Authority with resolution No. 31356 of November 5, 2024 (hereinafter, "New Regulation");</w:t>
      </w:r>
    </w:p>
    <w:p>
      <w:r>
        <w:t>HAVING REGARD to the communication of July 9, 2024, which initiated proceeding PS12805 against the companies Christian Dior Couture S.A., Christian Dior Italia S.r.l. and Manufactures Dior S.r.l.;</w:t>
      </w:r>
    </w:p>
    <w:p>
      <w:r>
        <w:t>HAVING REGARD to its provision of July 9, 2024, which ordered the inspection, pursuant to Article 27, paragraphs 2 and 3, of the Consumer Code, at the premises, including secondary ones, the locations and offices of Christian Dior Italia S.r.l. and the companies controlled by it;</w:t>
      </w:r>
    </w:p>
    <w:p>
      <w:r>
        <w:t>HAVING REGARD to the communication of January 23, 2025, which extended the deadline for concluding the proceeding to April 4, 2025, considering the investigative and procedural requirements aimed at ensuring the full exercise of the right of defense;</w:t>
      </w:r>
    </w:p>
    <w:p>
      <w:r>
        <w:t>HAVING REGARD to the communication of March 19, 2025, which extended the deadline for concluding the proceeding to May 14, 2025, considering the investigative and procedural requirements aimed at ensuring the full exercise of the right of defense;</w:t>
      </w:r>
    </w:p>
    <w:p>
      <w:r>
        <w:t>HAVING REGARD to the communication received on October 25, 2024, whereby the companies Christian Dior Couture S.A., Christian Dior Italia S.r.l. and Manufactures Dior S.r.l. submitted, pursuant to Article 27, paragraph 7, of the Consumer Code and Article 10 of the Regulation, a proposal for commitments, subsequently supplemented on October 30, 2024, on March 7, 2025, and finally, in the definitive and consolidated version, on March 12, 2025;</w:t>
      </w:r>
    </w:p>
    <w:p>
      <w:r>
        <w:t>HAVING REGARD to the documents of the proceeding;</w:t>
      </w:r>
    </w:p>
    <w:p>
      <w:r>
        <w:t>I. THE PARTIES</w:t>
      </w:r>
    </w:p>
    <w:p>
      <w:r>
        <w:t>1. The company Christian Dior Couture S.A. (hereinafter, "Dior SA"), as a professional, pursuant to Article 18, letter b), of the Consumer Code, manages the website https://www.dior.com/it (hereinafter, "Dior Site"), on which it is possible to purchase, primarily, clothing, accessories, textile products, footwear, and related accessories. Dior SA is part of the LVMH Moët Hennessy Louis Vuitton SE Group (hereinafter, "LVMH Group").</w:t>
      </w:r>
    </w:p>
    <w:p>
      <w:r>
        <w:t>2. The company Christian Dior Italia S.r.l. (hereinafter, "Dior Italia"), as a professional, pursuant to Article 18, letter b), of the Consumer Code, is active in trade, sales and marketing, and in the creation and production, primarily, of clothing, accessories, textile products, footwear, and related accessories. Dior Italia is 100% controlled by Dior SA.</w:t>
      </w:r>
    </w:p>
    <w:p>
      <w:r>
        <w:t>3. The company Manufactures Dior S.r.l. (hereinafter, "MD" and, together with Dior SA and Dior Italia, "Dior" or "Professionals"), as a professional, pursuant to Article 18, letter b), of the Consumer Code, is active in the development, creation, production, and sale, primarily, of footwear and leather goods, clothing products, and related accessories. MD is 100% controlled by Dior Italia.</w:t>
      </w:r>
    </w:p>
    <w:p>
      <w:r>
        <w:t>II. THE COMMERCIAL PRACTICE</w:t>
      </w:r>
    </w:p>
    <w:p>
      <w:r>
        <w:t>4. The proceeding concerns the conduct of the Professionals consisting of making untrue ethical and social responsibility statements. This is because Dior, according to the initiation of the investigation, would have entrusted, directly or indirectly, the production of some of its leather goods to workshops that employed labor with inadequate wages, working hours beyond legal limits, and insufficient health and safety conditions, in contrast to the ethical and social responsibility statements adopted.</w:t>
      </w:r>
    </w:p>
    <w:p>
      <w:r>
        <w:t>III. THE OUTCOMES OF THE PROCEEDING</w:t>
      </w:r>
    </w:p>
    <w:p>
      <w:r>
        <w:t>I.1. The course of the proceeding</w:t>
      </w:r>
    </w:p>
    <w:p>
      <w:r>
        <w:t>5. In relation to the described conduct, the initiation of investigative proceeding No. PS12805 was communicated to Dior Italia and MD on July 16, 2024, and to Dior SA on July 19, 2024.</w:t>
      </w:r>
    </w:p>
    <w:p>
      <w:r>
        <w:t>6. Concurrently with the initiation communication, in order to acquire useful knowledge elements for the evaluation of the commercial practice in question, a request for information was made to the Professionals, pursuant to Article 27, paragraphs 3 and 4, of the Consumer Code and Article 12, paragraph 1, of the Regulation.</w:t>
      </w:r>
    </w:p>
    <w:p>
      <w:r>
        <w:t>7. On July 16 and 17, 2024, inspections were carried out at some locations of Dior Italia and MD, its subsidiary.</w:t>
      </w:r>
    </w:p>
    <w:p>
      <w:r>
        <w:t>8. On July 25, 2024, the Professionals responded to a request for information made during the inspection activities.</w:t>
      </w:r>
    </w:p>
    <w:p>
      <w:r>
        <w:t>9. On July 26, 2024, the Professionals requested an extension of the deadlines to request confidentiality and the exclusion of documentation acquired during the inspection activities, to respond to the requests for information, to submit defensive memoranda, as well as any commitments. On September 5, 2024, the Professionals also requested an additional extension of the deadlines to request confidentiality and the exclusion of documentation acquired during the inspection activities and to respond to the requests for information and submit defensive memoranda.</w:t>
      </w:r>
    </w:p>
    <w:p>
      <w:r>
        <w:t>10. The Professionals had access to the documents of the proceeding on September 5, 2024, responded to the request for information on October 1, 2024, and were heard in hearings on October 28, 2024, and February 3, 2025.</w:t>
      </w:r>
    </w:p>
    <w:p>
      <w:r>
        <w:t>11. Furthermore, on October 1, 2024, and January 24, 2025, the Professionals submitted infra-procedural memoranda and, on October 25, 2024, submitted a proposal for commitments, supplemented1, in the definitive and consolidated version, on March 12, 2025, pursuant to Article 27, paragraph 7, of the Consumer Code and Article 9 of the Regulation as well as Article 10 of the New Regulation.</w:t>
      </w:r>
    </w:p>
    <w:p>
      <w:r>
        <w:t>12. On March 20, 2025, the closure of the investigative phase was communicated to the Party pursuant to Article 17, paragraph 1, of the New Regulation.</w:t>
      </w:r>
    </w:p>
    <w:p>
      <w:r>
        <w:t>13. On April 3, 2025, a request was sent to the Direction Générale de la Concurrence de la Consommation et de la Répression des Fraudes in France, pursuant to Legislative Decree No. 70 of April 9, 2003, implementing Directive 2000/31/EC concerning certain legal aspects of information society services, in particular electronic commerce, in the internal market, asking whether it intended to take measures regarding the conduct subject to the proceeding.</w:t>
      </w:r>
    </w:p>
    <w:p>
      <w:r>
        <w:t>14. On April 28, 2025, a notification of the intention to adopt a measure regarding the conduct subject to the proceeding was sent to the European Commission and the Direction Générale de la Concurrence de la Consommation et de la Répression des Fraudes in France, pursuant to Article 5, paragraph 3, letter b), of Legislative Decree No. 70 of April 9, 2003, implementing Directive 2000/31/EC.</w:t>
      </w:r>
    </w:p>
    <w:p>
      <w:r>
        <w:t>15. On May 9, 2025, the opinion of the Authority for Communications Guarantees was received.</w:t>
      </w:r>
    </w:p>
    <w:p>
      <w:r>
        <w:t>I.2. The commitments of the Professionals</w:t>
      </w:r>
    </w:p>
    <w:p>
      <w:r>
        <w:t>16. With a note received lastly, in the definitive and consolidated version, on March 12, 2025, the Professionals submitted the following proposal for commitments, pursuant to Article 27, paragraph 7, of the Consumer Code and Article 10 of the New Regulation, transmitting the non-confidential version on April 4, 2025.</w:t>
      </w:r>
    </w:p>
    <w:p>
      <w:r>
        <w:t>Commitment I - “Changes to the Dior website to increase transparency regarding sustainability in the Production Chain”</w:t>
      </w:r>
    </w:p>
    <w:p>
      <w:r>
        <w:t>Dior commits to modify the page of its website dedicated to sustainability (https://www.dior.com/it_it/fashion/news-savoir-faire/folder-novita-ed-eventi/dior-sustainability) specifying the content of the ethical and social responsibility statements. In particular, Dior commits to intervene on the information relating, among other things, to the organization of MD's production, the ethical and legal standards imposed on suppliers, and the functioning of MD's audit system. Regarding the organization of production, Dior will indicate, among other things:</w:t>
        <w:br/>
        <w:t>- that it makes use of third-party laboratories, reporting the selection, evaluation, and control criteria applied;</w:t>
        <w:br/>
        <w:t>- that such laboratories are subject to regular audits;</w:t>
        <w:br/>
        <w:t>- that if a laboratory were to violate the ethical and legal standards imposed by Dior, the Professionals would intervene with the utmost severity activating all contractual tools at their disposal.</w:t>
      </w:r>
    </w:p>
    <w:p>
      <w:r>
        <w:t>With regard to the content of the ethical statements made, the Professionals will indicate, among other things, that:</w:t>
        <w:br/>
        <w:t>- “the pursuit of Dior's social responsibility objectives is a path of, and in, constant progression and improvement, especially when it involves third parties”;</w:t>
        <w:br/>
        <w:t>- MD “commits to regularly select and control its laboratories and suppliers with the aim of reducing the risk of possible violations of the relevant legislation and the ethical principles imposed by the General Conditions of Purchase and the Supplier Code of Conduct”;</w:t>
        <w:br/>
        <w:t>1 Subsequently supplemented on October 30, 2024, and March 7, 2025.</w:t>
      </w:r>
    </w:p>
    <w:p>
      <w:r>
        <w:rPr>
          <w:b/>
        </w:rPr>
        <w:t>[Pages 19–21]</w:t>
      </w:r>
    </w:p>
    <w:p>
      <w:r>
        <w:t>BULLETIN NO. 20 OF MAY 26, 2025</w:t>
      </w:r>
    </w:p>
    <w:p>
      <w:r>
        <w:t>21. "In case of non-compliance, MD promptly reacts by requesting the immediate interruption from the laboratory or third-party supplier involved or, in more serious cases, terminating the contractual relationship with the latter."</w:t>
      </w:r>
    </w:p>
    <w:p>
      <w:r>
        <w:t>Finally, with reference to the controls at the laboratories of its production chain, Dior:</w:t>
        <w:br/>
        <w:t>- will report the number of audits conducted during each calendar year starting from 2025;</w:t>
        <w:br/>
        <w:t>- will indicate the type of audit conducted; and</w:t>
        <w:br/>
        <w:t>- will account for the outcomes of such audits in aggregate form, "indicating in particular (a) how many audits resulted in a positive outcome (characterized by the absence of remarks or, in any case, only marginal remarks) and (b) how many instead resulted in an unsatisfactory outcome and therefore required the timely adoption of actions aimed at remedying the irregularities found."</w:t>
      </w:r>
    </w:p>
    <w:p>
      <w:r>
        <w:t>This commitment will be implemented within two months from the notification of this provision.</w:t>
      </w:r>
    </w:p>
    <w:p>
      <w:r>
        <w:t>Commitment II - "Strengthening the current selection and audit process of MD suppliers"</w:t>
        <w:br/>
        <w:t>Dior commits to strengthening its selection and audit process for MD suppliers, primarily by introducing new types of audits in addition to the existing ones and, furthermore, creating a new department within MD to manage and supervise this auditing activity, which also includes any remedial plans that may be imposed on suppliers. Moreover, Dior commits to developing an internal digital platform to upload, store, and monitor "all data and documents necessary to verify compliance by the laboratories with applicable ethical and legal standards." Finally, the Professionals commit to updating the General Conditions of Purchase to "make even clearer and more transparent the rights and duties of MS suppliers and sub-suppliers, including those regarding compliance with legality and ethical standards" as well as to modify the composition of the Supervisory Body 231 and the Board of Statutory Auditors.</w:t>
      </w:r>
    </w:p>
    <w:p>
      <w:r>
        <w:t>This commitment will be implemented within two months from the notification of this provision.</w:t>
      </w:r>
    </w:p>
    <w:p>
      <w:r>
        <w:t>Commitment III - "Active support for promoting ethical standards in the made in Italy production chain"</w:t>
        <w:br/>
        <w:t>Dior commits to supporting specific initiatives "aimed at identifying victims of labor exploitation and accompanying them towards dedicated protection, training, assistance, and socio-labor inclusion paths, benefiting all those workers exposed to irregular employment conditions (including those from the laboratories of the various production chains involved in the investigations of the Milan Prosecutor's Office and Court, regardless of the reference brand and/or whether any authority has initiated an investigative procedure), provided they are regularly present in the territory and therefore able to legitimately provide their services ('Initiatives')."</w:t>
      </w:r>
    </w:p>
    <w:p>
      <w:r>
        <w:t>To this end, Dior:</w:t>
        <w:br/>
        <w:t>a) "will identify one or more organizations or entities, of a public or private nature, independent from Dior and with proven experience and competence, that will be responsible for preparing and implementing concrete projects to realize the Initiatives";</w:t>
        <w:br/>
        <w:t>b) will obtain from the subjects referred to in the previous point a commitment to execute periodic reporting of the activities carried out and the concrete outcomes achieved and to ensure broad participation in the Initiatives;</w:t>
        <w:br/>
        <w:t>c) will finance the Initiatives with a sum of two million euros, to be disbursed within a maximum period of five years from the closure of this proceeding. Regarding this sum, Dior will not request any tax benefit.</w:t>
      </w:r>
    </w:p>
    <w:p>
      <w:r>
        <w:t>To concretely implement this commitment, Dior will send within four months from the notification of this proceeding a report "aimed at illustrating: (i) the specific Initiatives for the allocation of the aforementioned sums, (ii) the organizations or entities promoting them; (iii) the amounts allocated to each individual Initiative and (iv) the timing of disbursement of the amounts."</w:t>
      </w:r>
    </w:p>
    <w:p>
      <w:r>
        <w:t>Commitment IV - Establishment of a new corporate function</w:t>
        <w:br/>
        <w:t>Dior commits to establishing a new corporate function at MD - "which will ultimately report to Christian Dior Couture S.A. to ensure the independence of its operations from the production activities based in Italy" - with the tasks of:</w:t>
        <w:br/>
        <w:t>- "verifying and monitoring compliance with the LVMH Code of Conduct, the LVMH Supplier Code of Conduct, and applicable regulations by MD and its subsidiaries (including joint ventures);</w:t>
        <w:br/>
        <w:t>- periodically reporting to the MD Supervisory Body 231 any violations or deficiencies in existing procedures;</w:t>
        <w:br/>
        <w:t>- participating as a permanent member of the MD Supplier Evaluation Committee in the qualification procedure of the same;</w:t>
        <w:br/>
        <w:t>- supporting MD in conducting audits on suppliers (possibly also through direct participation in them) to ensure full adherence to corporate compliance objectives;</w:t>
        <w:br/>
        <w:t>- supporting MD in the full and correct implementation of its 231 model, in concert with the Supervisory Body, conducting internal controls and adopting all procedures and protocols that will prove useful in reducing crime risks and pursuing the ethical values promoted by Dior and the LVMH Group;</w:t>
        <w:br/>
        <w:t>- drafting an annual report on the activities carried out in the previous 12 months, a copy of which will be provided to AGCM at least 30 days before its adoption."</w:t>
      </w:r>
    </w:p>
    <w:p>
      <w:r>
        <w:t>This commitment will be implemented within three months from the notification of this provision.</w:t>
      </w:r>
    </w:p>
    <w:p>
      <w:r>
        <w:t>Commitment V - Internal and external training</w:t>
        <w:br/>
        <w:t>"Dior will organize at least twice a year ad hoc seminars for internal functions active in Italy dealing with marketing, communication, and media, focusing on consumer protection legislation and the application practices of AGCM, with a specific focus on commercial statements regarding ethical standards and the importance of complying with legal and ethical standards throughout the supply chain.</w:t>
      </w:r>
    </w:p>
    <w:p>
      <w:r>
        <w:t>Dior also commits to organizing at least twice a year training activities for external suppliers and their sub-suppliers aimed at detailing the regulations regarding labor law and workplace safety as well as the ethical principles set forth in the Supplier Code of Conduct, thus contributing to the broader dissemination of knowledge of these matters by its Production Chain."</w:t>
      </w:r>
    </w:p>
    <w:p>
      <w:r>
        <w:t>This commitment will be implemented within three months from the notification of this provision.</w:t>
      </w:r>
    </w:p>
    <w:p>
      <w:r>
        <w:t>IV. OPINION OF THE AUTHORITY FOR GUARANTEES IN COMMUNICATIONS</w:t>
        <w:br/>
        <w:t>17. Since the commercial practice subject to this provision has been disseminated through the internet, on April 11, 2025, an opinion was requested from the Authority for Guarantees in Communications, pursuant to Article 27, paragraph 6, of the Consumer Code.</w:t>
      </w:r>
    </w:p>
    <w:p>
      <w:r>
        <w:t>18. With resolution no. 108/25/CONS of April 30, 2025, received on May 9, 2025, the aforementioned Authority expressed its opinion, limiting its evaluations to the suitability of the specific means of communication used to disseminate the commercial practice to impact and amplify any misleading and/or incorrect nature of the same practice.</w:t>
      </w:r>
    </w:p>
    <w:p>
      <w:r>
        <w:t>BULLETIN NO. 20 OF MAY 26, 2025</w:t>
      </w:r>
    </w:p>
    <w:p>
      <w:r>
        <w:t>19. In particular, the aforementioned Authority, considering that "the means of communication and purchase used, in relation to the service offered by the Companies, is suitable for developing a significant impact on consumers who, based on the information read on the sites/apps used by the Companies, could be induced to make a commercial decision that they otherwise would not have made, thus concretely developing the full potential of the promotion and sales methods used," deemed that "in this case, the Internet is a communication tool suitable for significantly influencing the realization of the commercial practice for which this Authority's opinion is requested."</w:t>
      </w:r>
    </w:p>
    <w:p>
      <w:r>
        <w:t>V. EVALUATION OF THE COMMITMENTS</w:t>
        <w:br/>
        <w:t>20. The Authority believes that the commitments proposed by the Professionals, assessed for their admissibility in light of the circumstances of the specific case and what emerged from the inspection findings, are suitable to remedy the possible illegitimacy profiles of the contested commercial practice in the initiation communication of July 9, 2024, considering that they take into account all the profiles subject to the proceeding and are resolutive of the related issues. On a general level, it is observed that in the face of ethical-social statements disseminated by a company, which are capable of attracting an ever-increasing number of consumers drawn by the social values promoted by brands, the standard of diligence required by consumer protection legislation imposes the adoption of behaviors aimed at giving concrete and positive implementation to the ethical commitments undertaken, beyond mere compliance with regulatory prescriptions.</w:t>
      </w:r>
    </w:p>
    <w:p>
      <w:r>
        <w:t>21. Firstly, the measures referred to in Commitment I are deemed suitable, as the Professionals commit to increasing the accuracy of information related to the production chain for leather goods, established in Italy, by modifying the page of the website www.dior.com dedicated to sustainability. This will occur through the indication, among other things: (i) of the production facilities of MD, the management methods of production (both internal and through external laboratories); (ii) of the ethical and legal standards imposed on suppliers and (iii) of the number of audits conducted, with the related outcomes (in aggregate form) and the adoption of any corrective actions. These measures allow for the specification and clarification of the sustainability information provided by Dior to consumers, increasing its clarity, accuracy, and specificity, in line with the principles applicable to ethical and social responsibility statements, outlined by the European Commission in the aforementioned Guidelines.</w:t>
      </w:r>
    </w:p>
    <w:p>
      <w:r>
        <w:t>22. At the same time, with the measure referred to in Commitment II, the Professionals commit, on the one hand, to strengthen checks and audits on suppliers, also by creating a new corporate department dedicated to managing audits and a digital platform dedicated to this purpose, and, on the other hand, to update the General Conditions of Purchase, the composition of the Supervisory Body 231, and the Board of Statutory Auditors of MD.</w:t>
      </w:r>
    </w:p>
    <w:p>
      <w:r>
        <w:t>23. Furthermore, through the measures referred to in Commitment IV, an additional new corporate function will be created within MD, essentially tasked with verifying and monitoring compliance by MD and its subsidiaries with the LVMH Code of Conduct, the LVMH Supplier Code of Conduct, and applicable regulations by MD, operating closely.</w:t>
      </w:r>
    </w:p>
    <w:p>
      <w:r>
        <w:rPr>
          <w:b/>
        </w:rPr>
        <w:t>[Pages 22–24]</w:t>
      </w:r>
    </w:p>
    <w:p>
      <w:r>
        <w:t>BULLETIN NO. 20 OF MAY 26, 2025</w:t>
      </w:r>
    </w:p>
    <w:p>
      <w:r>
        <w:t>24. The contact with the Supervisory Body pursuant to Legislative Decree No. 231/2001, reporting any violations to it, and ultimately to Dior SA.</w:t>
      </w:r>
    </w:p>
    <w:p>
      <w:r>
        <w:t>24. Of particular relevance are the measures referred to in Commitment III, whereby the Professionals commit to financially support initiatives aimed at identifying victims of labor exploitation and accompanying them towards dedicated protection, training, assistance, and socio-labor inclusion pathways. This is because such initiatives will benefit workers exposed to irregular employment conditions and will include workers from the various production supply chains involved in investigations by the Prosecutor's Office and the Court of Milan. To this end, Dior commits to financially support the aforementioned initiatives, with the sum of two million euros over five years, and to obtain from the promoters of the same a periodic report on the activities carried out and the concrete results achieved, including with reference to the number of workers involved for each year of execution of the related projects.</w:t>
      </w:r>
    </w:p>
    <w:p>
      <w:r>
        <w:t>25. Finally, in this articulated framework of measures, Commitment V is also significant, whereby, with the aim of increasing awareness among its suppliers and subcontractors regarding labor law and workplace safety regulations as well as the ethical principles set forth in the LVMH Supplier Code of Conduct, Dior commits to conduct training activities in their favor at least twice a year. Furthermore, Dior commits to also conduct training activities internally, for the active functions in Italy dealing with marketing, communication, and media, at least twice a year, focusing on consumer protection regulations and the application practices of the Competition and Market Authority, with a specific focus on commercial statements regarding ethical standards and the importance of adhering to such standards throughout the supply chain.</w:t>
      </w:r>
    </w:p>
    <w:p>
      <w:r>
        <w:t>26. In light of the above considerations, it is believed that the commitments presented meet the requirements set forth in Article 27, paragraph 7, of the Consumer Code.</w:t>
      </w:r>
    </w:p>
    <w:p>
      <w:r>
        <w:t>IT IS DEEMED, therefore, that the commitments presented by the companies Christian Dior Couture S.A., Christian Dior Italia S.r.l., and Manufactures Dior S.r.l., in the terms indicated above, are suitable to eliminate the possible profiles of unfairness of the commercial practices subject to investigation;</w:t>
      </w:r>
    </w:p>
    <w:p>
      <w:r>
        <w:t>IT IS DEEMED to make the aforementioned commitments mandatory for the companies Christian Dior Couture S.A., Christian Dior Italia S.r.l., and Manufactures Dior S.r.l.;</w:t>
      </w:r>
    </w:p>
    <w:p>
      <w:r>
        <w:t>IT IS DEEMED, therefore, to be able to close the proceeding without establishing the infringement;</w:t>
      </w:r>
    </w:p>
    <w:p>
      <w:r>
        <w:t>RESOLVES</w:t>
      </w:r>
    </w:p>
    <w:p>
      <w:r>
        <w:t>a) to make mandatory pursuant to Article 27, paragraph 7, of the Consumer Code and Article 10, paragraph 2, letter a), of the New Regulation, for the companies Christian Dior Couture S.A., Christian Dior Italia S.r.l., and Manufactures Dior S.r.l. the commitments presented by them, in their final version dated March 12, 2025, as described in the attached declaration, which constitutes an integral part of the provision;</w:t>
      </w:r>
    </w:p>
    <w:p>
      <w:r>
        <w:t>b) to close the proceeding without establishing the infringement, pursuant to Article 27, paragraph 7, of the Consumer Code and Article 10, paragraph 2, letter a), of the New Regulation;</w:t>
      </w:r>
    </w:p>
    <w:p>
      <w:r>
        <w:t>c) that the companies Christian Dior Couture S.A., Christian Dior Italia S.r.l., and Manufactures Dior S.r.l. inform the Authority of the implementation of the commitments within one hundred twenty days from the date of publication of this resolution and, subsequently, submit a report by January 31 of the following five years from the adoption of this resolution, to account for the activities carried out, the concrete results achieved as well as the payment of the amounts, regarding Commitment III.</w:t>
      </w:r>
    </w:p>
    <w:p>
      <w:r>
        <w:t>Pursuant to Article 10, paragraph 3, of the New Regulation, the proceeding may be reopened ex officio, where:</w:t>
      </w:r>
    </w:p>
    <w:p>
      <w:r>
        <w:t>a) the Professionals do not implement the commitments undertaken;</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activities for a period not exceeding thirty days.</w:t>
      </w:r>
    </w:p>
    <w:p>
      <w:r>
        <w:t>This provision will be notified to the interested parties and published in the Bulletin of the Competition and Market Authority.</w:t>
      </w:r>
    </w:p>
    <w:p>
      <w:r>
        <w:t>THE DEPUTY SECRETARY GENERAL THE PRESIDENT</w:t>
      </w:r>
    </w:p>
    <w:p>
      <w:r>
        <w:t>Serena Stella Roberto Rustichelli</w:t>
      </w:r>
    </w:p>
    <w:p>
      <w:r>
        <w:t>Competition and Market Authority Weekly Bulletin Year XXXV - No. 20 - 2025</w:t>
      </w:r>
    </w:p>
    <w:p>
      <w:r>
        <w:t>Editorial Coordination Giulia Antenucci</w:t>
      </w:r>
    </w:p>
    <w:p>
      <w:r>
        <w:t>Editorial Staff Angela D’Auria, Valerio Ruocco, Manuela Villani</w:t>
      </w:r>
    </w:p>
    <w:p>
      <w:r>
        <w:t>Competition and Market Authority Document Management, Protocol and Statistical Services Piazza Giuseppe Verdi, 6/a - 00198 Rome Tel.: 06-858211 Fax: 06-85821256 Web: https://www.agcm.it</w:t>
      </w:r>
    </w:p>
    <w:p>
      <w: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