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https://www.agcm.it/dotcmsdoc/bollettini/2020/21-20.pdf</w:t>
      </w:r>
    </w:p>
    <w:p>
      <w:r>
        <w:t>Pages translated : 19</w:t>
      </w:r>
    </w:p>
    <w:p/>
    <w:p>
      <w:r>
        <w:rPr>
          <w:b/>
        </w:rPr>
        <w:t>[Pages 1–3]</w:t>
      </w:r>
    </w:p>
    <w:p>
      <w:r>
        <w:t>Bulletin</w:t>
        <w:br/>
        <w:t>Weekly</w:t>
        <w:br/>
        <w:t>Year XXX - No. 21</w:t>
        <w:br/>
        <w:t>Published on the website www.agcm.it</w:t>
        <w:br/>
        <w:t>May 25, 2020</w:t>
        <w:br/>
        <w:t>New version of March 5, 2021</w:t>
      </w:r>
    </w:p>
    <w:p>
      <w:r>
        <w:t>SUMMARY(*)</w:t>
        <w:br/>
        <w:t>REPORTING AND ADVISORY ACTIVITIES 5</w:t>
        <w:br/>
        <w:t>AS1660 - CRITERIA FOR ALLOCATION AMONG BENEFICIARY ENTITIES AND PROCEDURES FOR THE DISBURSEMENT OF RESOURCES FROM THE FUND FOR PLURALISM AND INNOVATION OF INFORMATION IN FAVOR OF LOCAL TELEVISION AND RADIO BROADCASTERS 5</w:t>
        <w:br/>
        <w:t>AS1661 - REGION OF UMBRIA - MINING CONCESSION TO THE COMPANY OF MINERAL WATERS ROCCHETTA 9</w:t>
        <w:br/>
        <w:t>AS1661B - LEGISLATION ESTABLISHING THE BUSINESS RATING WITH PARTICULAR REGARD TO THE RELATIONSHIP BETWEEN BUSINESS RATING AND LEGALITY RATING 13</w:t>
        <w:br/>
        <w:t>UNFAIR TRADE PRACTICES 17</w:t>
        <w:br/>
        <w:t>PS11771 - ANTICOVID BRACELETS</w:t>
        <w:br/>
        <w:t>Provision No. 28241 17</w:t>
        <w:br/>
        <w:t>(*) This version of Bulletin No. 21/2020 includes the text of report No. AS1661B not included in the previous version due to a material error in composition.</w:t>
      </w:r>
    </w:p>
    <w:p>
      <w:r>
        <w:t>BULLETIN NO. 21 OF MAY 25, 2020 5</w:t>
        <w:br/>
        <w:t>REPORTING AND ADVISORY ACTIVITIES</w:t>
        <w:br/>
        <w:t>AS1660 - CRITERIA FOR ALLOCATION AMONG BENEFICIARY ENTITIES AND PROCEDURES FOR THE DISBURSEMENT OF RESOURCES FROM THE FUND FOR PLURALISM AND INNOVATION OF INFORMATION IN FAVOR OF LOCAL TELEVISION AND RADIO BROADCASTERS</w:t>
        <w:br/>
        <w:t>Rome, May 20, 2020</w:t>
        <w:br/>
        <w:t>President of the Senate of the Republic</w:t>
        <w:br/>
        <w:t>President of the Chamber of Deputies</w:t>
        <w:br/>
        <w:t>President of the Council of Ministers</w:t>
        <w:br/>
        <w:t>Minister of Economic Development</w:t>
        <w:br/>
        <w:t>The Italian Competition Authority, in its meeting of May 6, 2020, intended to express some considerations, pursuant to Article 21 of Law No. 287 of October 10, 1990, regarding the competitive issues that have arisen from the application of the Decree of the President of the Republic of August 23, 2017, No. 146, “Regulation concerning the criteria for allocation among beneficiary entities and the procedures for the disbursement of resources from the Fund for pluralism and innovation of information in favor of local television and radio broadcasters,” with particular regard to the methods of allocation of resources among local television broadcasters.</w:t>
        <w:br/>
        <w:t>The regulatory framework</w:t>
        <w:br/>
        <w:t>Law No. 208 of December 28, 2015, “Provisions for the formation of the annual and multiannual budget of the State,” establishing the Fund for pluralism and innovation of information, indicating, in general, a distribution of resources aimed at achieving objectives of public interest, such as the promotion of pluralism of information, support for employment in the sector, improvement of the qualitative levels of the content provided, and encouragement of the use of innovative technologies, has referred to a specific decree for the definition...</w:t>
      </w:r>
    </w:p>
    <w:p>
      <w:r>
        <w:rPr>
          <w:b/>
        </w:rPr>
        <w:t>[Pages 4–6]</w:t>
      </w:r>
    </w:p>
    <w:p>
      <w:r>
        <w:t>6 BULLETIN NO. 21 OF MAY 25, 2020</w:t>
      </w:r>
    </w:p>
    <w:p>
      <w:r>
        <w:t>of the criteria for allocation and the procedures for the disbursement of resources from the Fund in favor of local television and radio broadcasters, starting from the year 20161.</w:t>
      </w:r>
    </w:p>
    <w:p>
      <w:r>
        <w:t>In this perspective, the Decree of the President of the Republic of August 23, 2017, No. 146 (hereinafter also referred to as the “Decree”), the provisions of which are the subject of this report, established the criteria for the allocation of resources from the Fund for pluralism and innovation of information, overcoming the previous regulation in this area, introduced by the Ministerial Decree of November 5, 2004, No. 292, which has already been the subject of intervention by this Authority2.</w:t>
      </w:r>
    </w:p>
    <w:p>
      <w:r>
        <w:t>With specific reference to local television broadcasters, to which 85% of the Fund's contributions are allocated, Article 4 of the Decree establishes that the broadcasters eligible to benefit from the contributions are those that: i) have a minimum number of employees and journalists in compliance with social security contributions, defined in relation to the resident population in the territory where the broadcasts take place3; ii) commit to not broadcasting, during the time slot 7:00 AM - 12:00 AM, telemarketing programs exceeding certain limits4; iii) adhere to self-regulatory codes regarding telemarketing5, protection of minors on TV6, and commentary on sporting events7; iv) starting from the application for the year 2019, have broadcast, in the calendar year preceding the year of application submission, at least two daily editions of local news broadcasts in the time slot 7:00 AM - 11:00 PM.</w:t>
      </w:r>
    </w:p>
    <w:p>
      <w:r>
        <w:t xml:space="preserve">The subsequent Article 6 of the Decree establishes that the evaluation criteria for the applications of commercial television broadcasters for the purpose of allocating contributions take into account the following parameters: </w:t>
        <w:br/>
        <w:t xml:space="preserve">a) average number of employees and average number of journalists (registered in the relevant register), actually engaged in the activity of providing audiovisual media services for the region and the brand/schedule subject to the application, employed in the previous two years (with indefinite, fixed-term, apprenticeship, solidarity, part-time contracts); </w:t>
        <w:br/>
        <w:t xml:space="preserve">b) weighted average of the average daily audience rating (so-called Auditel); </w:t>
        <w:br/>
        <w:t>c) total costs incurred in the previous year for expenses on innovative technologies.</w:t>
      </w:r>
    </w:p>
    <w:p>
      <w:r>
        <w:t>The allocation procedure, managed by the Ministry of Economic Development, provides that each broadcaster is assigned three distinct scores, defined, respectively, based on the three criteria mentioned above, as well as an overall score, resulting from the sum of the three analytical scores. The overall score is relevant for the purpose of defining the national unique ranking, while for the allocation of resources, the scores achieved in relation to each criterion are considered separately.</w:t>
      </w:r>
    </w:p>
    <w:p>
      <w:r>
        <w:t>More precisely, the Decree provides that 80% of the total available resources (for commercial televisions) is allocated based on the scores assigned according to the parameter related to employees and journalists, 17% is allocated based on the scores assigned according to the parameter related to audience ratings (or revenues from advertising space sales), and the remaining 3% is allocated based on the scores assigned according to the parameter related to costs for expenses on innovative technologies.</w:t>
      </w:r>
    </w:p>
    <w:p>
      <w:r>
        <w:t>Article 6, paragraph 2, of the Decree also provides that the first one hundred broadcasters in the national ranking are allocated 95% of the available resources, while the remaining 5% is distributed among those ranked from the one hundred first place onwards.</w:t>
      </w:r>
    </w:p>
    <w:p>
      <w:r>
        <w:t>Competitive Considerations</w:t>
      </w:r>
    </w:p>
    <w:p>
      <w:r>
        <w:t>The Authority positively notes how D.P.R. No. 146/2017 has concentrated the disbursement of contributions under Law No. 208/2015 in favor of broadcasters that ensure efficiency objectives, also in terms of business organization, and that invest in quality editorial activity by providing, among the admission criteria, additional and stricter requirements compared to those provided by the previous system, which appear aimed at designing a more selective system for the distribution of state resources.</w:t>
      </w:r>
    </w:p>
    <w:p>
      <w:r>
        <w:t>In this context of greater selectivity, the Authority considers it appropriate that the evaluation criteria for the applications that determine the distribution of resources among broadcasters are oriented towards the principle of protecting competition and the pluralism of information.</w:t>
      </w:r>
    </w:p>
    <w:p>
      <w:r>
        <w:t>In this perspective, the provision according to which 95% of the available resources is allocated to the first one hundred television broadcasters in the ranking, while the remaining 5% is distributed among those ranked from the one hundred first place onwards, presents competitive criticalities. This provision, in fact, is likely to create an imbalance in the distribution of resources among broadcasters that, positioned in the same area of the ranking (around the one hundredth position), must be considered characterized by comparable levels of efficiency. In particular, this could have distorting implications for competition to the extent that two or more of the broadcasters affected by the discontinuity introduced by the aforementioned specification operate in the same local area.</w:t>
      </w:r>
    </w:p>
    <w:p>
      <w:r>
        <w:t>In order to eliminate this unjustified disparity of treatment, while ensuring more effective protection of the pluralism of information, which Law No. 208/2015 expressly refers to among the public interest objectives to be pursued, the distribution of the total resources of the Fund could foresee two portions to be allocated, one among all broadcasters meeting the eligibility requirements, in proportion to their respective score in the overall ranking, the other, in equal parts among the broadcasters, ensuring that this latter portion of resources has a sufficient amount to guarantee adequate funding to smaller broadcasters.</w:t>
      </w:r>
    </w:p>
    <w:p>
      <w:r>
        <w:t>The Authority hopes that the above considerations may be useful in promoting a revision of the provisions regarding the distribution of resources from the Fund for pluralism and innovation of information in favor of television broadcasters dictated by the Decree of the President of the Republic of August 23, 2017, No. 146.</w:t>
      </w:r>
    </w:p>
    <w:p>
      <w:r>
        <w:t>This report will be published in the Bulletin of the Italian Competition Authority.</w:t>
      </w:r>
    </w:p>
    <w:p>
      <w:r>
        <w:t>THE PRESIDENT</w:t>
      </w:r>
    </w:p>
    <w:p>
      <w:r>
        <w:t>Roberto Rustichelli</w:t>
      </w:r>
    </w:p>
    <w:p>
      <w:r>
        <w:rPr>
          <w:b/>
        </w:rPr>
        <w:t>[Pages 7–9]</w:t>
      </w:r>
    </w:p>
    <w:p>
      <w:r>
        <w:t>BULLETIN NO. 21 OF MAY 25, 2020</w:t>
      </w:r>
    </w:p>
    <w:p>
      <w:r>
        <w:t>AS1661 - REGION OF UMBRIA - MINING CONCESSION TO THE COMPANY OF MINERAL WATERS ROCCHETTA</w:t>
      </w:r>
    </w:p>
    <w:p>
      <w:r>
        <w:t>Rome, May 20, 2020</w:t>
      </w:r>
    </w:p>
    <w:p>
      <w:r>
        <w:t>President of the Region of Umbria</w:t>
      </w:r>
    </w:p>
    <w:p>
      <w:r>
        <w:t>President of the Regional Council of Umbria</w:t>
      </w:r>
    </w:p>
    <w:p>
      <w:r>
        <w:t>The Italian Competition Authority has received a report regarding possible distortions of competition attributable, among other things, to the Managerial Determination No. 9873 of December 18, 2015, of the Region of Umbria, by which the latter granted Rocchetta S.p.A., pursuant to Article 18 of Regional Law Umbria No. 22/2008, a 25-year extension of the mining concession for the extraction and exploitation of "Rocchetta" mineral water and also expanded the concession itself, authorizing the extraction and exploitation of the different mineral water "Serrasanta" (included within the same territory), without having previously initiated a competitive public procedure for the selection of the concessionaire.</w:t>
      </w:r>
    </w:p>
    <w:p>
      <w:r>
        <w:t>In this regard, in its meeting of May 6, 2020, the Authority deemed it appropriate to carry out, pursuant to Article 21 of Law No. 287/1990, some considerations regarding the provisions of Regional Law No. 22/2008, Rules for the research, cultivation, and use of natural mineral waters, spring waters, and thermal waters, particularly regarding Articles 10 and 11, which govern the conditions and procedures for obtaining the issuance of a concession, and Articles 17 and 18, which set forth the conditions and procedures for obtaining, respectively, the renewal and extension of the original concession.</w:t>
      </w:r>
    </w:p>
    <w:p>
      <w:r>
        <w:t>Article 10 of Regional Law No. 22/2008, titled "Application for the issuance of the concession," establishes that the concession for the cultivation of natural mineral water deposits "is granted to any subject who requests it provided that, in relation to the planned investments, they have the necessary technical and economic suitability [...]. The application for the issuance of the concession is published for fifteen consecutive days in the Official Register of the municipalities affected by the concession. The publication is preceded by a notice in the Official Bulletin of the Region at the expense of the applicant." Article 11, "Competing applications for the issuance of the concession," in paragraph 2, specifies that, in the case of "competing applications, the concession is granted to the subject who presents the most suitable technical-economic capacity for the cultivation and use of the waters and the best investment program [...]."</w:t>
      </w:r>
    </w:p>
    <w:p>
      <w:r>
        <w:t>Article 17 of Regional Law No. 22/2008, "Renewal of the concession," establishes that "the holder of the concession may request its renewal within the year preceding its expiration. The manager of the regional service proceeds to the renewal, provided that the conditions set forth by this law are met, in accordance with the procedures of Article 10 and Article 12. [...]. 2. The request for renewal of the concession is published in accordance with the procedures of Article 10, paragraph 3. 3. In the event of failure to submit a request for renewal of the concession or in the event of denial of renewal, the manager of the regional service shall initiate a specific public procedure by publishing a notice aimed at identifying a new concessionaire." Article 18, "Extension of the concession," states that "1. The holder of the concession may request, prior to renewal, the extension of the same in order to carry out new additional investments necessary for the use of the waters. 2. The request for extension of the concession is published in accordance with the procedures of Article 10, paragraph 3. 3. [...] The maximum duration of the extension is twenty-five years."</w:t>
      </w:r>
    </w:p>
    <w:p>
      <w:r>
        <w:t>Based on the above provisions, both the issuance and the extension or renewal of concessions related to the research, cultivation, and use of natural mineral waters, spring waters, and thermal waters can be carried out without the prior initiation of competitive public procedures for the selection of the concessionaire, with competitive comparison being somewhat "substituted" by a mere mechanism of publicity of the requests received. Only in the case of failure to request renewal or in the event of a denial of renewal does the regional law establish the obligation to initiate a public tender.</w:t>
      </w:r>
    </w:p>
    <w:p>
      <w:r>
        <w:t>On this point, it is noted that the Authority has repeatedly emphasized that the regulation of the concessionary instrument should be inspired by principles suitable for minimizing administrative discretion in the selection of concessionaires, respecting the community principles of equal treatment, non-discrimination, transparency, and proportionality. In this sense, in line with the now consolidated orientation that European principles expressly established for public contracts and service performances must also apply to concessions of public goods, the Authority believes that only the use of public procedures for the selection of the concessionaire, both in the initial awarding phase and in the extension or renewal phase of the concession, can guarantee, even in the presence of the necessary exclusivity of the concession, at least a periodic competitive comparison for the awarding.</w:t>
      </w:r>
    </w:p>
    <w:p>
      <w:r>
        <w:t>Furthermore, with specific reference to the practice adopted by many administrations to proceed with an almost automatic renewal or extension of concessions, the Authority has expressly stated that "the automatic extension of existing concessions would not allow for capturing the benefits that would derive from periodic competition for the awarding through public procedures."</w:t>
      </w:r>
    </w:p>
    <w:p>
      <w:r>
        <w:t>In relation to the automatic renewal of concessions for the bottling of mineral waters, the Authority has also previously expressed itself regarding a regional law of Campania, noting its "potential harm to competitive comparison among companies and to the needs for transparency and efficiency inherent in an economic sector that involves the use of public goods." The considerations made in that circumstance echoed, moreover, the logical process of the ruling with which the Constitutional Court had recently declared the unconstitutionality of a previous law of the Campania Region (Article 2 of Regional Law No. 11/2010), which had originally regulated the mechanism of automatic renewal of the aforementioned concessions: the norm, in particular, expressly excluding water public services from the scope of application of Legislative Decree No. 59/2010, allowed the Regional Administration to renew public water concessions for bottling in the absence of an obligation to initiate a competitive procedure.</w:t>
      </w:r>
    </w:p>
    <w:p>
      <w:r>
        <w:t>In this regard, the Court observed that such a mechanism "affects the regulation concerning services in the internal market, which falls within the legislative competence of the state, as it is aimed at protecting competition (Article 117, second paragraph, letter e), Constitution), ensuring the correct and uniform functioning of the market."</w:t>
      </w:r>
    </w:p>
    <w:p>
      <w:r>
        <w:t>Finally, reference must be made to Legislative Decree No. 152/2006 (Environmental Regulations) which, regarding the maximum duration and issuance of water derivation concessions, including those under examination for the cultivation and use of natural mineral waters, provides, in Article 96, paragraph 8, that: "The first paragraph of Article 21 of the Royal Decree of December 11, 1933, No. 1775, is replaced by the following: 'All derivation concessions are temporary. The duration of the concessions, [...], may not exceed thirty years [...].' The same norm, in Article 96, paragraph 11, provides that 'Regions regulate the procedures for issuing public water derivation concessions in compliance with the directives on the management of water assets.'"</w:t>
      </w:r>
    </w:p>
    <w:p>
      <w:r>
        <w:t>Regional Law No. 22/2008 under examination is therefore also in contrast with national regulations in the matter, to the extent that it provides for renewal and extension procedures that, surreptitiously, allow for the extension of the duration of concessions beyond the maximum limit set by law. The renewal and extension procedures provided for by the regional law, in addition to not being provided for by national regulations - which significantly only recalls the case of issuance - are also carried out, as already noted, in the absence of an adequate competitive comparison that allows for contestability and re-awarding of the concessions to any interested third parties.</w:t>
      </w:r>
    </w:p>
    <w:p>
      <w:r>
        <w:t>In light of the above, the Authority believes that the cited regional norms are likely to produce potential harm to competitive comparison among companies and to the needs for transparency and efficiency.</w:t>
      </w:r>
    </w:p>
    <w:p>
      <w:r>
        <w:rPr>
          <w:b/>
        </w:rPr>
        <w:t>[Pages 10–12]</w:t>
      </w:r>
    </w:p>
    <w:p>
      <w:r>
        <w:t>12 BULLETIN NO. 21 OF MAY 25, 2020</w:t>
        <w:br/>
        <w:t xml:space="preserve">of efficiency inherent to an economic sector that involves the use of public assets. Such rules, therefore, to the extent that they allow for the assignment, extension, or renewal of water public concessions in the absence of competitive public procedures, appear to be in conflict with national and community principles regarding competition and may, in this sense, present profiles of unconstitutionality for violation of Article 117, paragraph 2, letter e), of the Constitution. </w:t>
        <w:br/>
        <w:t xml:space="preserve">For the purpose of a more effective implementation of competitive mechanisms in the bottling and marketing of mineral waters, the Authority therefore hopes for the reform, in the described sense, of Articles 10, 11, 17, and 18 of Regional Law Umbria No. 22/2008. </w:t>
        <w:br/>
        <w:t xml:space="preserve">This report will be published in the Authority's Bulletin pursuant to Article 26 of Law No. 287/1990. </w:t>
        <w:br/>
        <w:t xml:space="preserve">THE PRESIDENT </w:t>
        <w:br/>
        <w:t>Roberto Rustichelli</w:t>
      </w:r>
    </w:p>
    <w:p>
      <w:r>
        <w:t xml:space="preserve">BULLETIN NO. 21 OF MAY 25, 2020 13 </w:t>
        <w:br/>
        <w:t xml:space="preserve">AS1661B - LEGISLATION ESTABLISHING THE BUSINESS RATING WITH </w:t>
        <w:br/>
        <w:t xml:space="preserve">PARTICULAR REGARD TO THE RELATIONSHIP BETWEEN BUSINESS RATING AND </w:t>
        <w:br/>
        <w:t xml:space="preserve">LEGALITY RATING </w:t>
        <w:br/>
        <w:t xml:space="preserve">Rome, May 21, 2020 </w:t>
        <w:br/>
        <w:t xml:space="preserve">Senate of the Italian Republic </w:t>
        <w:br/>
        <w:t xml:space="preserve">Chamber of Deputies </w:t>
        <w:br/>
        <w:t xml:space="preserve">Presidency of the Council of Ministers </w:t>
        <w:br/>
        <w:t xml:space="preserve">In the performance of the institutional activities of the Italian Competition Authority (AGCM) and the National Anti-Corruption Authority (ANAC), the opportunity has arisen to provide guidance regarding the need to define the relationship between business rating and legality rating. </w:t>
        <w:br/>
        <w:t xml:space="preserve">The Italian Competition Authority (“AGCM”) and the National Anti-Corruption Authority (“ANAC”), each within the scope of their respective competencies, therefore intend to formulate the following considerations on the interpretation and definition of the applicable regulations regarding business rating, pursuant to Articles 21 of Law No. 287 of October 10, 1990, and 213, paragraph 3, of Legislative Decree No. 50 of April 18, 2016. </w:t>
        <w:br/>
        <w:t xml:space="preserve">Premise for the coordination between legality rating and business rating </w:t>
        <w:br/>
        <w:t xml:space="preserve">For the purpose of coordinating between legality rating and business rating, the legislator now has a greater awareness of the margins for the use of both, acquired through the increasing application of the former and the deepening of the potential of the latter. </w:t>
        <w:br/>
        <w:t xml:space="preserve">These institutions represent, in the European landscape, original creations of national legislation, as they are not provided for by sector directives, introduced as indices for measuring the reputation of the enterprise, in order to increase efficiency and transparency rates in the market. </w:t>
        <w:br/>
        <w:t xml:space="preserve">Within the general framework, the respective peculiarities have gradually been defined, regarding the nature and purpose of the two institutions. The legality rating promotes the introduction of ethical principles in business behaviors, facilitating the obtaining of public or private financing in the presence of virtuous governance, inspired by legality, respect for ethics, workplace safety, and the environment. The business rating translates the reliability of the economic operator regarding the quality of the final performance that it can ensure based on past performances, reducing execution risks, price risks, as well as corruption risks. </w:t>
        <w:br/>
        <w:t>The outlined differences, when appropriately regulated, allow operators to use the two ratings also in a complementary manner, without overlaps that could generate confusion and/or distortions of competition.</w:t>
      </w:r>
    </w:p>
    <w:p>
      <w:r>
        <w:t xml:space="preserve">14 BULLETIN NO. 21 OF MAY 25, 2020 </w:t>
        <w:br/>
        <w:t xml:space="preserve">The regulatory framework </w:t>
        <w:br/>
        <w:t xml:space="preserve">The reference regulatory framework is outlined, within the Public Contracts Code, by Articles 83 "Selection criteria and investigative assistance", 93 "Guarantees for participation in the procedure", 95 "Criteria for awarding the contract" and 213 "National Anti-Corruption Authority". </w:t>
        <w:br/>
        <w:t xml:space="preserve">In the original setting of the Code, the legality rating represented a component of the business rating. The previous text of Article 83, paragraph 10, Legislative Decree No. 50/2016 provided: "The reputational requirements underlying the business rating referred to in this paragraph take into account, in particular, the legality rating detected by ANAC in collaboration with the Italian Competition Authority, pursuant to Article 213, paragraph 7, as well as the previous behaviors of the enterprise, with reference to compliance with deadlines and costs in the execution of contracts." With this provision, Article 213, paragraph 7, was consistent in that it (still) provides that "The legality rating also contributes to the determination of the business rating referred to in Article 83, paragraph 10." </w:t>
        <w:br/>
        <w:t xml:space="preserve">The business rating was therefore relevant only for the purpose of selecting bidders, as a primary index "of structural capacity and reliability of the enterprise", so that, in this context, it was deemed appropriate to qualify reliability by looking not only at the history of public contracts entered into and executed but also at social, ethical, and environmental reputation, of which the legality rating is an expression. </w:t>
        <w:br/>
        <w:t xml:space="preserve">Moreover, it is emphasized that the business rating did not appear either for the purpose of reducing the amount of the guarantee due to participate in public procedures, pursuant to Article 93, paragraph 7, Legislative Decree No. 50/2016, nor as a criterion for evaluating offers, pursuant to Article 95, paragraph 13, of the same decree. </w:t>
        <w:br/>
        <w:t xml:space="preserve">With respect to this regulation, it was highlighted that the use of subjective indicators in reputational criteria could clash with the fundamental objective of the Code to ensure the widest participation of small and medium-sized enterprises, thus violating the principles of equality and non-discrimination, particularly regarding new entrants, those without an operational base in Italy, as well as those with revenues below the threshold set by the law establishing the legality rating. </w:t>
        <w:br/>
        <w:t xml:space="preserve">The legislator shared the concerns raised and with Legislative Decree No. 56/2017 eliminated the subjective characteristics of economic operators from the business rating to refer it, primarily, to past performances: the current Article 83, paragraph 10, of the Code has indeed eliminated the reference to the legality rating as a constitutive element of the former. </w:t>
        <w:br/>
        <w:t xml:space="preserve">Furthermore, the business rating has been given a space similar to that of the legality rating regarding guarantees for participation in tenders, as well as for calculating the economically most advantageous offer. </w:t>
        <w:br/>
        <w:t xml:space="preserve">As a result, primarily, the modification of Article 93, paragraph 7, cited in the part in which, among the conditions under which the enterprise benefits from the reduction of the amount of the provisional or definitive guarantee, grants a 30% reduction to economic operators in possession of the legality rating and the business rating or the certification of the organizational model pursuant to Legislative Decree 231/2001 or other specific certifications. </w:t>
        <w:br/>
        <w:t>1 Cf. ANAC Report No. 2/2017.</w:t>
      </w:r>
    </w:p>
    <w:p>
      <w:r>
        <w:rPr>
          <w:b/>
        </w:rPr>
        <w:t>[Pages 13–15]</w:t>
      </w:r>
    </w:p>
    <w:p>
      <w:r>
        <w:t>BULLETIN NO. 21 OF MAY 25, 2020 15</w:t>
      </w:r>
    </w:p>
    <w:p>
      <w:r>
        <w:t>Secondly, the range of award criteria contained in Article 95 is expanded, as paragraph 13 establishes that, in accordance with EU principles, contracting authorities "indicate in the tender notice, in the announcement or in the invitation the award criteria they intend to apply to the evaluation of the offer in relation to the higher legality and business rating, to the evaluation of the impact generated referred to in Article 1, paragraph 382, letter b), of Law No. 208 of December 28, 2015, even if the bidder is a subject other than benefit corporations, as well as to facilitate the participation of micro, small and medium enterprises, young professionals, and newly established companies in the awarding procedures."</w:t>
      </w:r>
    </w:p>
    <w:p>
      <w:r>
        <w:t>Reasons for the report</w:t>
      </w:r>
    </w:p>
    <w:p>
      <w:r>
        <w:t>With the removal of the reference to the legality rating from Article 83, paragraph 10, of the Code, there currently exists a lack of coordination between legal provisions, as the text of Article 213, paragraph 7, remains unchanged, according to which "the legality rating also contributes to the determination of the business rating referred to in Article 83, paragraph 10," a provision that should therefore be repealed. Given the previous, now outdated, parallelism, maintaining the reference to the legality rating within Article 213, paragraph 7, risks confusing contracting authorities regarding the scope of the two institutions.</w:t>
      </w:r>
    </w:p>
    <w:p>
      <w:r>
        <w:t>In order to eliminate contradictions and uncertainties in the use of the two institutions and to ensure the reliability of economic operators, with a view to the efficiency of the public procurement system, the AGCM and ANAC believe that Article 213, paragraph 7, of the Code should be brought back to its purpose of regulating solely the collaboration aimed at detecting business behaviors worthy of evaluation for the purpose of attributing the legality rating, without the latter also contributing to the determination of the business rating.</w:t>
      </w:r>
    </w:p>
    <w:p>
      <w:r>
        <w:t>This is in line with the structural and teleological diversity that is reiterated here: the legality rating aims to promote and introduce principles of ethical behavior in business dynamics, while the business rating is designed to ensure the reliability of economic operators in contracts with the public administration, based on past performances.</w:t>
      </w:r>
    </w:p>
    <w:p>
      <w:r>
        <w:t>Another point of concern relates to the current formulation of Articles 93, paragraph 7, and 95, paragraph 13, of Legislative Decree No. 50/2016. Regarding both, the 2017 amendment intended to respond to the need to include the business rating alongside the legality rating, attesting to their conceptual and functional independence. On the other hand, the comparison between the two norms generates doubts when read according to a strictly literal interpretation. The wording of Article 93, paragraph 7, leads one to believe that the business rating must be held jointly with the legality rating, as there is the conjunction "and" as opposed to the disjunction "or" for the other certifications useful for the reduction of the security amount. Conversely, in Article 95, paragraph 13, the use of coordinating conjunctions indicates optional elements in the calculation of the reward, which contracting authorities could request alternatively or concurrently, even cumulatively.</w:t>
      </w:r>
    </w:p>
    <w:p>
      <w:r>
        <w:t>Adhering to the interpretation just outlined has its logic insofar as the context of each norm is distinguished. The alternative nature of the criteria for the attribution of scores is imposed by the tendency for freedom of choice granted to contracting authorities in the awarding process, in line with regulatory indications, but also according to the needs of the individual contract. Conversely, the security is relevant at the stage of selecting bidders, a moment when legislative predetermination is stricter as it must ensure the most correct participation.</w:t>
      </w:r>
    </w:p>
    <w:p>
      <w:r>
        <w:t>However, it would be more in line with the approach dictated by Legislative Decree No. 56/2017 to overcome the simultaneous ownership of the two ratings as a condition for the reduction of the security, as it is no longer justifiable in light of their diversity and renewed autonomy. In this sense, the opinion rendered by the Council of State on the corrective, in which it deemed it appropriate to signal to the Government the possibility of providing the benefit for both ratings, possibly considering a regulation for the accumulation of the two, supports this. In other words, the first option considered by the administrative judge was the provision of the benefit for both, albeit not cumulatively.</w:t>
      </w:r>
    </w:p>
    <w:p>
      <w:r>
        <w:t>The undersigned Authorities hope that the considerations made may stimulate the modification and coordination of the regulatory provisions contained in the Public Contracts Code, in accordance with competitive principles, in order to allow for the experimentation of the business rating institution, overcoming some of the regulatory difficulties that have so far prevented its initiation.</w:t>
      </w:r>
    </w:p>
    <w:p>
      <w:r>
        <w:t>For the Italian Competition Authority For the National Anti-Corruption Authority</w:t>
      </w:r>
    </w:p>
    <w:p>
      <w:r>
        <w:t>THE PRESIDENT THE ACTING PRESIDENT</w:t>
      </w:r>
    </w:p>
    <w:p>
      <w:r>
        <w:t>Roberto Rustichelli Francesco Merloni</w:t>
      </w:r>
    </w:p>
    <w:p>
      <w:r>
        <w:t>2 Opinion of March 30, 2017, No. 782, Meeting of the Special Commission of March 22, 2017, on the supplementary and corrective provisions to Legislative Decree No. 50 of April 18, 2016.</w:t>
      </w:r>
    </w:p>
    <w:p>
      <w:r>
        <w:t>BULLETIN NO. 21 OF MAY 25, 2020 17</w:t>
      </w:r>
    </w:p>
    <w:p>
      <w:r>
        <w:t>UNFAIR TRADE PRACTICES</w:t>
      </w:r>
    </w:p>
    <w:p>
      <w:r>
        <w:t>PS11771 - ANTICOVID BRACELETS</w:t>
      </w:r>
    </w:p>
    <w:p>
      <w:r>
        <w:t>Provision No. 28241</w:t>
      </w:r>
    </w:p>
    <w:p>
      <w:r>
        <w:t>THE ITALIAN COMPETITION AUTHORITY</w:t>
      </w:r>
    </w:p>
    <w:p>
      <w:r>
        <w:t>IN ITS MEETING of May 20, 2020;</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w:t>
      </w:r>
    </w:p>
    <w:p>
      <w:r>
        <w:t>VIEWED the communication initiating proceeding PS11771 of May 22, 2020, aimed at verifying the existence of unfair commercial practices in violation of Articles 20, 21, paragraph 1, letter b), 23, letter s), and 25, letter c), of the Consumer Code, by the individual enterprise L.A.M. of Luciano Mion – Center for Geobiology and Naturopathy;</w:t>
      </w:r>
    </w:p>
    <w:p>
      <w:r>
        <w:t>CONSIDERED the following:</w:t>
      </w:r>
    </w:p>
    <w:p>
      <w:r>
        <w:t>I. FACT</w:t>
      </w:r>
    </w:p>
    <w:p>
      <w:r>
        <w:t>According to information acquired ex officio (on May 14, 2020) and the report from the Ministry of Health received on May 18, 2020, it emerged that the professional disseminates, on the website https://www.geolam.info/, commercial communications aimed at promoting the products: (i) "Transmission Plus Multifunction Bracelet for Personal Use Anti Covid-19" (priced at €649.00); (ii) "Combined Plaque IMMUNITARIO + PSICHE" (priced at €220.00); (iii) "IMMUNITARIO Plaque" (priced at €180.00); (iv) "Transmission Personal Use Bracelet" (priced at €59.00); (v) "Transmission Personal Use Pendant" (priced at €79.00); and (vi) "Combiplus Multifunction Card for Personal Use and for Environments" (at a price ranging from €69.00 to €4,056.00). More precisely, the claims used suggest that the first three products have an "anti Covid-19" effect, that they help "to counteract Covid-19 and other bacteria and viruses," that it is possible to "counteract the coronavirus thanks to some [...] devices" marketed by the professional, and that some devices "and in particular the Transmission Plus [...] help to effectively counteract Covid-19, as they improve the respiratory process while also strengthening the immune system." In particular for products (iv), (v), and (vi), the professional specifies that they "help to counteract the coronavirus" (capitalized in the original).</w:t>
      </w:r>
    </w:p>
    <w:p>
      <w:r>
        <w:t>Various contents of the site (starting from the home page) are aimed at illustrating the alleged effectiveness of the devices in question: for this purpose, among other things, the alleged statements of "some doctors" are highlighted.</w:t>
      </w:r>
    </w:p>
    <w:p>
      <w:r>
        <w:rPr>
          <w:b/>
        </w:rPr>
        <w:t>[Pages 16–18]</w:t>
      </w:r>
    </w:p>
    <w:p>
      <w:r>
        <w:t>18 BULLETIN NO. 21 OF MAY 25, 2020</w:t>
      </w:r>
    </w:p>
    <w:p>
      <w:r>
        <w:t>engaged in the fight against Covid-19” and of “people suffering from interstitial pneumonia caused by Covid-19,” as well as news about the use of devices to eliminate electromagnetic signals emitted by the virus.</w:t>
      </w:r>
    </w:p>
    <w:p>
      <w:r>
        <w:t>On the page https://www.geolam.info/prodotto/transmission-plus-braccialetto-multifunzioni-ad-uso-personale/, for example, the professional describes the various characteristics of the “new device called ‘Transmission Plus’,” including that it causes the “[e]mission in opposition of phase (with the same frequency but opposite polarity) of the specific electromagnetic signals emitted by the COVID-19 virus and other viruses and bacteria derived from a swab of a positive.” In a video present on the same page, the professional shows a doctor conducting an experiment with one of the devices advertised, then stating that, thanks to the Transmission Plus, “the immune system is immediately and significantly reactivated and the oxygenation of the body is greatly increased due to the declustering of red blood cells, and all this makes it even clearer why the Transmission Plus also contrasts Covid-19, given the greater oxygenation that occurs practically after just a few moments” since “the Coronavirus at the pulmonary level unfortunately causes this specific problem.” Furthermore, on the page https://www.geolam.info/prodotto/transmission-braccialetto-per-uso-personale/, the professional shows a “Test with Hospital Ultrasound System” that would demonstrate the effects of the device “Transmission bracelet for personal use” “on the greater and significant oxygenation that occurs thanks to the […] device that allows for this reason to also contrast the CORONAVIRUS, since it particularly affects the respiratory system” (see at the addresses https://www.geolam.info/prodotto/transmission-ciondolo-per-uso-personale/ and https://www.geolam.info/prodotto/combiplus-card-multifunzione-ad-uso-personale-e-per-ambienti/, similar claims regarding the “Transmission pendant for personal use” and the “Combiplus multifunction card for personal and environmental use”).</w:t>
      </w:r>
    </w:p>
    <w:p>
      <w:r>
        <w:t>Each device examined is presented as a “parapharmaceutical,” using a green cross on a white background very similar to the red one stamped on pharmaceutical packaging, without, however, as stated in a disclaimer present in the middle of the home page and at the end of the page https://www.geolam.info/prodotto/transmission-plus-braccialetto-multifunzioni-ad-uso-personale/, such products having received recognition as “medicines” pursuant to Article 1, paragraph 1, Legislative Decree 219/2006.</w:t>
      </w:r>
    </w:p>
    <w:p>
      <w:r>
        <w:t>In addition to offering the “Transmission Plus Bracelet […] anti Covid-19” at the price of €649.00, the professional proposes two less expensive solutions: the “immune” plaque, which acts “by eliminating the frequency disharmonies emitted by many altering agents, including a myriad of viruses and bacteria including those specific to Coronaviruses […]” at the price of €180.00; and the “combined plaque immune + psyche,” “only until the end of the pandemic,” at the discounted price of €220.00 instead of €360.00.</w:t>
      </w:r>
    </w:p>
    <w:p>
      <w:r>
        <w:t>In this regard, the examined site highlights that the “Transmission Plus Bracelet” can be purchased on the page https://www.geolam.info/prodotto/transmission-plus-braccialetto-multifunzioni-ad-uso-personale/ by clicking the “Buy” button; while the “immune” plaque and the “combined plaque immune + psyche” can be purchased through a link present on the cited page that leads to the address https://www.geolam.info/prodotto/peptide/. In particular, at this last address, the professional states that “all balancing plaques are registered parapharmaceuticals with their own individual code.” It is also noted that the devices “Transmission bracelet for personal use,” “Transmission pendant for personal use,” and “Combiplus multifunction card for personal and environmental use” are respectively purchasable at the addresses https://www.geolam.info/prodotto/transmission-braccialetto-per-uso-personale/, https://www.geolam.info/prodotto/transmission-ciondolo-per-uso-personale/ and https://www.geolam.info/prodotto/combiplus-card-multifunzione-ad-uso-personale-e-per-ambienti/ by clicking the “Buy” button.</w:t>
      </w:r>
    </w:p>
    <w:p>
      <w:r>
        <w:t>II. EVALUATIONS</w:t>
      </w:r>
    </w:p>
    <w:p>
      <w:r>
        <w:t>The elements described above lead to the belief that the conduct attributed to the professional is prima facie in violation of Articles 20, 21, paragraph 1, letter b), 23, letter s), and 25, letter c), of the Consumer Code.</w:t>
      </w:r>
    </w:p>
    <w:p>
      <w:r>
        <w:t>In fact, from the perspective of fumus boni iuris, the practice in question appears to be incorrect. Specifically, the professional adopts sales methods for the products that seem particularly misleading and aggressive, in disregard of consumer rights, which can be significantly influenced in their decision-making capacity and unduly induced to purchase the devices also in light of the current health emergency.</w:t>
      </w:r>
    </w:p>
    <w:p>
      <w:r>
        <w:t>From the perspective of periculum in mora, it is noted that the practice is still ongoing and exploits the vulnerability of consumers, due to the ongoing pandemic, to induce them to purchase very expensive products, based on the false assumption of their preventive and curative efficacy against Covid-19.</w:t>
      </w:r>
    </w:p>
    <w:p>
      <w:r>
        <w:t>In particular, the urgency of intervention is highlighted given the seriousness of the commercial practice that, leveraging the spread of Covid-19, exploits the ongoing pandemic to induce consumers to purchase the advertised devices that they would not otherwise choose.</w:t>
      </w:r>
    </w:p>
    <w:p>
      <w:r>
        <w:t xml:space="preserve">CONSIDERED, in light of the above considerations, that there are extreme seriousness, urgency, and necessity for the precautionary measure of the Authority pursuant to Article 27, paragraph 3, of the Consumer Code and Article 8, paragraph 3, of the Regulation, consisting of: </w:t>
        <w:br/>
        <w:t xml:space="preserve">i) in the current nature of the contested conduct; </w:t>
        <w:br/>
        <w:t xml:space="preserve">ii) in the involvement of the generality of consumers due to the spread of Covid-19; </w:t>
        <w:br/>
        <w:t>iii) in the exploitation of the ongoing pandemic to induce consumers to purchase the products;</w:t>
      </w:r>
    </w:p>
    <w:p>
      <w:r>
        <w:t>THOUGHT, therefore, that from the examination of the acts of the procedure, elements emerge that support the need to proceed with particular urgency to prevent the above-described commercial practice – consisting of inducing consumers, through the site https://www.geolam.info/, to purchase the products “Transmission Plus multifunction bracelet for personal use anti Covid-19,” “combined plaque IMMUNE + PSYCHE,” “IMMUNE plaque,” “Transmission bracelet for personal use,” “Transmission pendant for personal use,” and “Combiplus multifunction card for personal and environmental use” based on the false assumption of their specific preventive and curative efficacy against Covid-19 – from continuing to be carried out during the course of the substantive proceedings;</w:t>
      </w:r>
    </w:p>
    <w:p>
      <w:r>
        <w:t>THOUGHT, therefore, that the conditions exist for the adoption of provisional precautionary measures pursuant to Article 27, paragraph 3, of the Consumer Code and Article 8, paragraph 3, of the Regulation against the professional with reference to the website https://www.geolam.info/;</w:t>
      </w:r>
    </w:p>
    <w:p>
      <w:r>
        <w:t>20 BULLETIN NO. 21 OF MAY 25, 2020</w:t>
      </w:r>
    </w:p>
    <w:p>
      <w:r>
        <w:t>ORDERS</w:t>
      </w:r>
    </w:p>
    <w:p>
      <w:r>
        <w:t>a) that, pursuant to Article 27, paragraph 3, of the Consumer Code and Article 8, paragraph 3, of the Regulation, the individual business L.A.M. of Luciano Mion – Center for Geobiology and Naturopathy eliminate, from the date of communication of this provision and during the proceedings, any reference to the preventive and curative efficacy against Covid-19 of the products “Transmission Plus multifunction bracelet for personal use anti Covid-19,” “combined plaque IMMUNE + PSYCHE,” “IMMUNE plaque,” “Transmission bracelet for personal use,” “Transmission pendant for personal use,” and “Combiplus multifunction card for personal and environmental use,” advertised and marketed through the domain name https://www.geolam.info/ currently registered at IP address 35.214.128.162;</w:t>
      </w:r>
    </w:p>
    <w:p>
      <w:r>
        <w:t>b) that the professional presents, within three days from the communication of this provision, a report accounting for the initiatives taken in compliance with what is ordered in sub a);</w:t>
      </w:r>
    </w:p>
    <w:p>
      <w:r>
        <w:t>c) that the interested party may, within seven days from the communication of this provision, submit written statements and documents;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communicated to the interested parties and published in the Bulletin of the Italian Competition Authority.</w:t>
      </w:r>
    </w:p>
    <w:p>
      <w:r>
        <w:t>Against this provision, an appeal may be submitted to the TAR for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THE SECRETARY GENERAL THE PRESIDENT</w:t>
      </w:r>
    </w:p>
    <w:p>
      <w:r>
        <w:t>Filippo Arena Roberto Rustichelli</w:t>
      </w:r>
    </w:p>
    <w:p>
      <w:r>
        <w:rPr>
          <w:b/>
        </w:rPr>
        <w:t>[Pages 19–19]</w:t>
      </w:r>
    </w:p>
    <w:p>
      <w:r>
        <w:t>Competition Authority Weekly Bulletin</w:t>
        <w:br/>
        <w:t>of Competition and Market Year XXX - No. 21 - 2020</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