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https://www.agcm.it/dotcmsdoc/bollettini/2022/21-22.pdf</w:t>
      </w:r>
    </w:p>
    <w:p>
      <w:r>
        <w:t>Pages translated : 229</w:t>
      </w:r>
    </w:p>
    <w:p/>
    <w:p>
      <w:r>
        <w:rPr>
          <w:b/>
        </w:rPr>
        <w:t>[Pages 1–3]</w:t>
      </w:r>
    </w:p>
    <w:p>
      <w:r>
        <w:t>Bulletin</w:t>
        <w:br/>
        <w:t>Weekly</w:t>
        <w:br/>
        <w:t>Year XXXII - No. 21</w:t>
        <w:br/>
        <w:t>Published on the website www.agcm.it</w:t>
        <w:br/>
        <w:t>June 6, 2022</w:t>
      </w:r>
    </w:p>
    <w:p>
      <w:r>
        <w:t>SUMMARY</w:t>
        <w:br/>
        <w:t>AGREEMENTS AND ABUSE OF DOMINANT POSITION 5</w:t>
        <w:br/>
        <w:t>A524 - LEADIANT BIOSCIENCES/DRUG FOR THE TREATMENT OF CEREBROTENDINOUS XANTHOMATOSIS</w:t>
        <w:br/>
        <w:t>Decision No. 30156 5</w:t>
        <w:br/>
        <w:t>CONCENTRATION OPERATIONS 150</w:t>
        <w:br/>
        <w:t>C12447 – POSTE PAY/LIS HOLDING</w:t>
        <w:br/>
        <w:t>Decision No. 30157 150</w:t>
        <w:br/>
        <w:t>C12452 - EXOR-INVIN/LIFENET</w:t>
        <w:br/>
        <w:t>Decision No. 30158 158</w:t>
        <w:br/>
        <w:t>C12443 - BPER BANCA/BANCA CARIGE</w:t>
        <w:br/>
        <w:t>Decision No. 30165 162</w:t>
        <w:br/>
        <w:t>ACTIVITIES OF REPORTING AND CONSULTATION 174</w:t>
        <w:br/>
        <w:t>AS1838 - LOMBARDY REGION - REGIONAL LAW DECEMBER 16, 2021 RELATING TO</w:t>
        <w:br/>
        <w:t>SPORTS PROFESSIONS RELATED TO MOUNTAINS 174</w:t>
        <w:br/>
        <w:t>UNFAIR TRADE PRACTICES 176</w:t>
        <w:br/>
        <w:t>PS11961 - ALTROCONSUMO CONNECT-BROKERAGE ACTIVITIES</w:t>
        <w:br/>
        <w:t>Decision No. 30151 176</w:t>
        <w:br/>
        <w:t>PS10888 - TIM-PASSEPARTOUT</w:t>
        <w:br/>
        <w:t>Decision No. 30159 184</w:t>
        <w:br/>
        <w:t>PS12240 - E-COMMERCE SPECIALIST-HWONLINE/ONLINE SALES</w:t>
        <w:br/>
        <w:t>Decision No. 30160 197</w:t>
        <w:br/>
        <w:t>PS12298 - FACILE ENERGY-UNREQUESTED ACTIVATIONS</w:t>
        <w:br/>
        <w:t>Decision No. 30166 207</w:t>
        <w:br/>
        <w:t>PS12313 - ETORO/ADVERTISING WITHOUT COMMISSIONS</w:t>
        <w:br/>
        <w:t>Notice of initiation of investigative proceedings 218</w:t>
        <w:br/>
        <w:t>PS12314 - DEGIRO/ADVERTISING WITHOUT COMMISSIONS</w:t>
        <w:br/>
        <w:t>Notice of initiation of investigative proceedings 224</w:t>
        <w:br/>
        <w:t>CONFLICT OF INTEREST 229</w:t>
        <w:br/>
        <w:t>SI1204B - RENATO BRUNETTA-MINISTER OF PUBLIC ADMINISTRATION - OPINION</w:t>
      </w:r>
    </w:p>
    <w:p>
      <w:r>
        <w:t>BULLETIN NO. 21 OF JUNE 6, 2022 5</w:t>
        <w:br/>
        <w:t>AGREEMENTS AND ABUSE OF DOMINANT POSITION</w:t>
        <w:br/>
        <w:t>A524 - LEADIANT BIOSCIENCES/DRUG FOR THE TREATMENT OF CEREBROTENDINOUS XANTHOMATOSIS</w:t>
        <w:br/>
        <w:t>Decision No. 30156</w:t>
        <w:br/>
        <w:t>THE ANTITRUST AUTHORITY</w:t>
        <w:br/>
        <w:t>IN ITS MEETING of May 17, 2022;</w:t>
        <w:br/>
        <w:t>HEARD the Rapporteur Professor Michele Ainis;</w:t>
        <w:br/>
        <w:t>HAVING REGARD to Article 102 of the Treaty on the Functioning of the European Union (TFEU);</w:t>
        <w:br/>
        <w:t>HAVING REGARD to Council Regulation (EC) No. 1/2003 of December 16, 2002, concerning</w:t>
        <w:br/>
        <w:t>the application of the competition rules laid down in Articles 81 and 82 of the EC Treaty (now Articles</w:t>
        <w:br/>
        <w:t>101 and 102 TFEU);</w:t>
        <w:br/>
        <w:t>HAVING REGARD to the Commission Communication on cooperation within the network of competition</w:t>
        <w:br/>
        <w:t>authorities of April 27, 2004;</w:t>
        <w:br/>
        <w:t>HAVING REGARD to Law No. 287 of October 10, 1990;</w:t>
        <w:br/>
        <w:t>HAVING REGARD to the Presidential Decree No. 217 of April 30, 1998;</w:t>
        <w:br/>
        <w:t>HAVING REGARD to its Decision No. 27940 of October 8, 2019, which initiated, against the companies</w:t>
        <w:br/>
        <w:t>Essetifin S.p.A., Leadiant Biosciences S.p.A., Leadiant Biosciences Ltd., Leadiant GmbH and Sigma-Tau Arzneimittel GmbH in liquidation, a proceeding to ascertain the existence of a violation of Article 102 TFEU;</w:t>
        <w:br/>
        <w:t>HAVING REGARD to its Decision No. 28325 of August 4, 2020, which rejected the commitments submitted by the companies Essetifin S.p.A., Leadiant Biosciences S.p.A., Leadiant Biosciences Ltd., Leadiant GmbH and Sigma-Tau Arzneimittel GmbH in liquidation;</w:t>
        <w:br/>
        <w:t>HAVING REGARD to its Decisions No. 28377 of October 13, 2020, No. 29704 of June 8, 2021, No. 29855 of October 19, 2021 and No. 29982 of February 8, 2022, by which the deadline for closing the investigative proceeding was extended, most recently to May 20, 2022, in order to ensure the Parties the broadest exercise of the right of defense and to fully guarantee the right to adversarial proceedings;</w:t>
        <w:br/>
        <w:t>HAVING REGARD to the Communication of the Investigative Findings, transmitted to the Parties on September 22, 2021, pursuant to Article 14 of the Presidential Decree No. 217 of April 30, 1998;</w:t>
        <w:br/>
        <w:t>HAVING REGARD to the final submissions of the companies Essetifin S.p.A., Leadiant Biosciences Ltd., Leadiant GmbH and Sigma-Tau Arzneimittel GmbH in liquidation, and of Altroconsumo, received on January 28, 2022;</w:t>
        <w:br/>
        <w:t>HEARD in the final hearing the representatives of the companies Essetifin S.p.A., Leadiant Biosciences Ltd., Leadiant GmbH and Sigma-Tau Arzneimittel GmbH in liquidation, and of Altroconsumo, on February 14, 2022;</w:t>
        <w:br/>
        <w:t>HAVING REGARD to the acts of the proceeding and the documentation acquired during the investigation;</w:t>
      </w:r>
    </w:p>
    <w:p>
      <w:r>
        <w:rPr>
          <w:b/>
        </w:rPr>
        <w:t>[Pages 4–6]</w:t>
      </w:r>
    </w:p>
    <w:p>
      <w:r>
        <w:t>6 BULLETIN NO. 21 OF JUNE 6, 2022</w:t>
        <w:br/>
        <w:t>CONSIDERED the following;</w:t>
        <w:br/>
        <w:t>I. THE PARTIES</w:t>
        <w:br/>
        <w:t>I.1 The reported company</w:t>
        <w:br/>
        <w:t>1. Essetifin S.p.A. (formerly Sigma Tau Finanziaria S.p.A.), the holding company of the Leadiant group, is a company engaged in the management of equity investments and wholly controls Leadiant Biosciences Ltd., a company under British law, and Leadiant Biosciences Inc., a company under U.S. law1.</w:t>
        <w:br/>
        <w:t>2. Leadiant Biosciences Ltd. is a company active in the market for the production and sale of orphan drugs. Leadiant Biosciences Ltd. is the new corporate name adopted in December 2016 by Sigma Tau Rare Disease Ltd., a company to which, in May 2015, as a result of a more complex sale operation of the companies and assets of the group2, the business units related to the orphan drug activities of Sigma Tau Pharmaceuticals Ltd., belonging to the former Sigma Tau Group3, were transferred.</w:t>
        <w:br/>
        <w:t>3. Leadiant GmbH is a company under German law active in the market for the production and sale of pharmaceuticals, wholly controlled by Leadiant Biosciences Ltd.4.</w:t>
        <w:br/>
        <w:t>4. Sigma Tau Arzneimittel GmbH in liquidation is a company under German law wholly controlled by Essetifin S.p.A.5, previously active in the market for the production and sale of pharmaceuticals.</w:t>
        <w:br/>
        <w:t>5. Essetifin S.p.A., Leadiant Biosciences Ltd., Leadiant GmbH, and Sigma Tau Arzneimittel GmbH in liquidation are thus part of the same corporate group6 and will hereinafter, as appropriate, be jointly referred to as "Leadiant" or the "Party," except where the precise corporate identity of each of them, or of the former Sigma Tau group companies of which they are successors, is necessary for understanding the facts under investigation.</w:t>
        <w:br/>
        <w:t>1 The investigation was also initiated against Leadiant Biosciences S.p.A., a group company established on January 30, 2017, by Essetifin S.p.A., which wholly controlled it. Leadiant Biosciences S.p.A. in turn wholly controlled Leadiant Biosciences Ltd. and Leadiant Biosciences Inc. However, on July 22, 2021, Leadiant Biosciences S.p.A. merged by incorporation into Essetifin S.p.A. As a result of this operation, Essetifin S.p.A. directly controls, and no longer indirectly, the two English and U.S. companies.</w:t>
        <w:br/>
        <w:t>2 See the Authority's provision of March 25, 2015, on case C11988 – Marino Golinelli &amp; c./Sigma Tau Finanziaria and other companies and parts of companies.</w:t>
        <w:br/>
        <w:t>3 See doc. 78.388. Previously, Sigma Tau Pharmaceutical Ltd. had acquired the business unit related to orphan drugs in December 2013 as a result of a merger by incorporation of Sigma Tau Rare Disease S.A., a company under Portuguese law, established in 2011 and belonging to the former Sigma Tau group.</w:t>
        <w:br/>
        <w:t>4 See doc. 110.4B.</w:t>
        <w:br/>
        <w:t>5 See doc. 110.4B.</w:t>
        <w:br/>
        <w:t>6 See Court of Justice, October 24, 1996, in case C-73/95, Viho v. European Commission; Tribunal of First Instance, December 12, 2007, in case T-112/05, Akzo Nobel NV et al. v. European Commission.</w:t>
      </w:r>
    </w:p>
    <w:p>
      <w:r>
        <w:t>BULLETIN NO. 21 OF JUNE 6, 2022 7</w:t>
        <w:br/>
        <w:t>The turnover of the Leadiant group in 2021 was [100-200]* million euros.</w:t>
        <w:br/>
        <w:t>I.2 The complainant</w:t>
        <w:br/>
        <w:t>6. Altroconsumo is a consumer association registered in the list of the most representative associations at the national level maintained by the Ministry of Economic Development.</w:t>
        <w:br/>
        <w:t>II. THE INVESTIGATIVE PROCEDURE</w:t>
        <w:br/>
        <w:t>II.1 The opening of the investigation file ex officio and the subsequent complaint</w:t>
        <w:br/>
        <w:t>7. Between the end of August 2018 and the beginning of September 2018, news related to certain events concerning the production and sale of the orphan drug called Chenodeoxycholic Acid Leadiant® for the treatment of an ultra-rare disease called cerebrotendinous xanthomatosis (CTX) in the Dutch and Italian markets was disseminated through the press, both nationally and internationally7.</w:t>
        <w:br/>
        <w:t>8. In August 2018, the Dutch Pharmaceutical Accountability Foundation (Dutch agency monitoring drug price levels) sent a report to the Dutch antitrust authority regarding Leadiant Biosciences Ltd.'s request to health insurers for payment of a price for the sale of this product amounting to approximately 15,300 euros for a package of 100 capsules of 250 mg. This price was deemed absolutely unjustified, especially considering that until then, Dutch patients suffering from CTX had been treated in the Netherlands with a drug from Leadiant Biosciences Ltd. containing the same active ingredient, authorized for the treatment of gallstones and used off-label for the treatment of the rare disease, sold at a price of approximately 30 euros per package, but then withdrawn from the market.</w:t>
        <w:br/>
        <w:t>9. Chenodeoxycholic Acid Leadiant® was introduced into the Italian market in June 2017. However, in the absence of a price agreement between the company and the Italian Medicines Agency (AIFA), it was marketed according to the rules of the so-called "non-negotiated class C" (Cnn), that is, at a price freely set by the company, which in the aforementioned article was indicated as equal to 169,000 euros per year, at the expense of the patients8.</w:t>
        <w:br/>
        <w:t>10. Prior to the marketing authorization of Chenodeoxycholic Acid Leadiant®, Italian patients affected by CTX were similarly treated with the drug owned by Leadiant Biosciences Ltd. based on chenodeoxycholic acid registered for the treatment of gallstones but administered off-label for the treatment of the rare disease9. Furthermore, previously, the Oncological and Clinical Pharmacy (hereinafter, the "Pharmacy") of the University Hospital of Siena (hereinafter, "AOU Senese") had produced the drug in galenic form, with the aim of administering it free of charge to all patients suffering from CTX10.</w:t>
        <w:br/>
        <w:t>11. Based on this information, on September 25, 2018, the investigation file A524 was opened ex officio.</w:t>
        <w:br/>
        <w:t>12. Subsequently, on July 31, 2019, a report was received from Altroconsumo, in which the association denounced the unlawfulness of Leadiant Biosciences Ltd.'s conduct from an antitrust perspective, as it was likely to constitute an exploitative abuse under the guise of unjustifiably burdensome prices pursuant to Article 102, letter a), TFEU.</w:t>
        <w:br/>
        <w:t>II.2 The pre-investigative and investigative activities</w:t>
        <w:br/>
        <w:t>13. In order to acquire useful elements to understand the market context in which the orphan drug under investigation was situated and to know the status and/or outcome of the negotiation of the price of Chenodeoxycholic Acid Leadiant®, on September 26, 2018, a request for information was sent to AIFA, to which the Agency responded on October 22, 201811.</w:t>
        <w:br/>
        <w:t>14. Starting from September 2018, moreover, the competent investigative departments of other national competition authorities, such as the Authority for Consumers &amp; Markets (ACM) of the Netherlands, which had already initiated an investigative procedure regarding the case in relation to the Dutch market, and the Comisión Nacional de los Mercados y la Competencia (CNMC) of Spain, which was assessing the existence of the requirements to initiate it in relation to the Spanish market12, were repeatedly heard within the ECN network established by Regulation (EC) No. 1/2003.</w:t>
        <w:br/>
        <w:t>15. In particular, following numerous contacts with the ACM, pursuant to Article 12 of Regulation (EC) No. 1/2003, on May 9, 2019, a copy of the exclusive supply contract for chenodeoxycholic acid signed on November 16, 2016, by Sigma Tau Rare Disease Ltd. (now Leadiant Biosciences Ltd.) with the Italian chemical company, Prodotti Chimici e Alimentari S.p.A.13, was acquired, and then, on June 5, 2019, a copy of some documents in the records of the procedure initiated by the ACM itself14.</w:t>
        <w:br/>
        <w:t>16. Furthermore, in order to deepen the various phases that characterized the decades-long clinical experience developed by AOU Senese in relation to the treatment of the rare disease, between March and May 2019, a specialist doctor from AOU Senese and several pharmacists from the Pharmacy of the same AOU were contacted several times15. On May 10, 2019, the representatives of the Pharmacy were heard in a hearing16.</w:t>
        <w:br/>
        <w:t>17. Subsequently, as mentioned, on July 31, 2019, the report from Altroconsumo was received17.</w:t>
        <w:br/>
        <w:t>10 See doc. 6.</w:t>
        <w:br/>
        <w:t>11 See docs. 2 and 3.</w:t>
        <w:br/>
        <w:t>12 See https://www.acm.nl/en/publications/acm-extends-its-investigation-orphan-drug-cdca-leadiant and https://www.cnmc.es/prensa/inocacion-leadiant-20201222.</w:t>
        <w:br/>
        <w:t>13 See docs. 5, 5.1, and 5.2.</w:t>
        <w:br/>
        <w:t>14 See docs. 7 and 7.1.</w:t>
        <w:br/>
        <w:t>15 See doc. 6.13.</w:t>
        <w:br/>
        <w:t>16 See docs. 4 and 6.</w:t>
        <w:br/>
        <w:t>17 See doc. 8.</w:t>
      </w:r>
    </w:p>
    <w:p>
      <w:r>
        <w:rPr>
          <w:b/>
        </w:rPr>
        <w:t>[Pages 7–9]</w:t>
      </w:r>
    </w:p>
    <w:p>
      <w:r>
        <w:t>BULLETIN NO. 21 OF JUNE 6, 2022 9</w:t>
        <w:br/>
        <w:t>18. Finally, on September 7, 2019, in order to obtain more updated information on the developments of the orphan drug price negotiation procedure, a second request for information was sent to AIFA, to which the Agency responded on October 4, 201918.</w:t>
        <w:br/>
        <w:t>19. On October 8, 2019, the Authority initiated, pursuant to Article 102 TFEU and Article 14 of Law No. 287/1990, an investigation procedure against the companies Essetifin S.p.A., Leadiant Biosciences S.p.A., Leadiant Biosciences Ltd., Leadiant GmbH, and Sigma Tau Arzneimittel GmbH in liquidation, in order to verify the existence of any behaviors contrary to competition law carried out by the aforementioned companies.</w:t>
        <w:br/>
        <w:t>20. On October 15, 2019, inspections were carried out at the offices in Rome of Essetifin S.p.A. and Leadiant Biosciences S.p.A.19, at the offices of Industria Chimica Emiliana S.p.A. (in Reggio Emilia)20 and its subsidiary Prodotti Chimici e Alimentari S.p.A. (in Basaluzzo)21, as well as at the offices of Leadiant GmbH and Sigma Tau Arzneimittel GmbH in liquidation in Munich22. Finally, on October 15-17, 2019, inspections were conducted at the office of Leadiant Biosciences Ltd. in Windsor. The inspections at the offices of the foreign companies Leadiant Biosciences Ltd., Leadiant GmbH, and Sigma Tau Arzneimittel GmbH in liquidation were carried out, respectively, by the British Competition Authority (Competition and Markets Authority) and the German Competition Authority (Bundeskartellamt), in execution of two requests for cooperation pursuant to Article 22 of Regulation (EC) No. 1/200323.</w:t>
        <w:br/>
        <w:t>21. The documents collected during the inspection by the Competition and Markets Authority were transmitted to the Authority on December 4, 2019, pursuant to Article 12 of Regulation (EC) No. 1/2003 and were simultaneously included in the investigation file24. The documents obtained during the inspection by the Bundeskartellamt were transmitted to the Authority on June 30, 2020, pursuant to Article 12 of Regulation (EC) No. 1/2003 and were simultaneously included in the investigation file25.</w:t>
        <w:br/>
        <w:t>22. On July 8, 2020, following the extension of the deadline for the submission of commitments requested by the Party26 and the automatic suspension of the deadlines for administrative proceedings provided for by Article 103 of Decree Law No. 18/2020, and subsequently by Article 37 of Decree Law No. 23/202027, a form for the submission of commitments pursuant to Article 14-ter of Law No. 287/1990 related to the procedure in question28 was received from the companies of the Leadiant group. The Authority rejected the commitments with a resolution of August 6, 2020, considering the Authority's interest in proceeding with the determination of the infringement29.</w:t>
        <w:br/>
        <w:t>23. During the proceedings, the Directorate made requests for information to the company regarding, among other things, the costs incurred for the launch of Chenodeoxycholic Acid Leadiant® on the European market30.</w:t>
        <w:br/>
        <w:t>24. Furthermore, in order to obtain relevant information for the proceedings, AIFA and the companies Industria Chimica Emiliana S.p.A. (hereinafter, "ICE") and Prodotti Chimici Alimentari S.p.A. (hereinafter, "PCA") were heard twice in hearings31.</w:t>
        <w:br/>
        <w:t>25. During the investigation, the companies of the Leadiant group repeatedly accessed the records32, submitted two memoranda33, and were heard in a hearing on May 7, 202134.</w:t>
        <w:br/>
        <w:t>26. The investigation procedure was extended four times, first on October 13, 202035, then on June 8, 202136, then on October 19, 202137, and finally on February 8, 202238.</w:t>
        <w:br/>
        <w:t>27. On September 22, 2021, the Communication of Investigative Findings39 was notified to the Parties.</w:t>
        <w:br/>
        <w:t>28. The Parties submitted their final memoranda on January 28, 202240 and were heard in a final hearing before the College on February 14, 202241.</w:t>
        <w:br/>
        <w:t>III. INVESTIGATIVE FINDINGS</w:t>
        <w:br/>
        <w:t>III.1 The regulatory framework</w:t>
        <w:br/>
        <w:t>29. Chenodeoxycholic Acid Leadiant® is the so-called hybrid version of an existing drug, called Xenbilox®, also owned by Leadiant while it was on the market. Therefore, the set of European rules regarding the marketing authorization (AIC) of so-called hybrid medicines42 is primarily relevant. Furthermore, since it is a so-called "orphan" drug, the case must also be examined in light of the provisions of Regulation (EC) No. 141/2000 and subsequent acts issued by the European Commission in this regard.</w:t>
        <w:br/>
        <w:t>29 V. docc. 88 and 89.</w:t>
        <w:br/>
        <w:t>30 V. doc. 99, 105, 107 and 110.</w:t>
        <w:br/>
        <w:t>31 V. doc. 72 and 108 and 69 and 120.1.</w:t>
        <w:br/>
        <w:t>32 V. docc. 66, 67, 78, 79, 96, 98, 100, 101 and 116, 168-bis, 168-ter, 168-quater, 170, 180, 188 and 189.</w:t>
        <w:br/>
        <w:t>33 V. docc. 84 and 140.</w:t>
        <w:br/>
        <w:t>34 V. doc. 122.</w:t>
        <w:br/>
        <w:t>35 V. docc. 90, 91 and 93.</w:t>
        <w:br/>
        <w:t>36 V. docc. 134-137.</w:t>
        <w:br/>
        <w:t>37 V. docc. 171-173.</w:t>
        <w:br/>
        <w:t>38 V. docc. 199-200.</w:t>
        <w:br/>
        <w:t>39 V. docc. 159-160.</w:t>
        <w:br/>
        <w:t>40 V. docc. 185, 186 and 187.</w:t>
        <w:br/>
        <w:t>41 V. docc. 201, 201-bis, 202 and 202-bis.</w:t>
        <w:br/>
        <w:t>42 V. Directive 83/2001/EC, as amended by Directive 2004/27/EC.</w:t>
      </w:r>
    </w:p>
    <w:p>
      <w:r>
        <w:t>BULLETIN NO. 21 OF JUNE 6, 2022 11</w:t>
        <w:br/>
        <w:t>Finally, in light of the decades-long experience of Italian hospitals in the galenic production of drugs based on chenodeoxycholic acid, the rules governing the so-called "galenic preparations" will be illustrated.</w:t>
        <w:br/>
        <w:t>III.1.1 The European regulation on the marketing authorization of so-called hybrid drugs</w:t>
        <w:br/>
        <w:t>30. The request for AIC for drugs other than the so-called originators is governed by Article 10 of Directive 83/2001/EC, which provides for more streamlined procedures than those under full knowledge (governed by Article 8, paragraph 3, letter i) of the same Directive) applicable to AIC requests for originator drugs, and therefore referred to as "abbreviated."</w:t>
        <w:br/>
        <w:t>31. The greater simplicity and speed of the "abbreviated" authorization procedures lies in the possibility for the applicant companies not to repeat the clinical trials already conducted to demonstrate the safety, efficacy, and quality of the originator drug, but to limit themselves to proving the bioequivalence43 between the drug for which the AIC is requested and the originator, which thus serves as the so-called "reference" medicine.</w:t>
        <w:br/>
        <w:t>32. Within the framework of the "abbreviated" procedures, the European legislator has provided for a "simple" procedure (Article 10, paragraph 1 of Directive 83/2001/EC) and a "hybrid" procedure (Article 10, paragraph 3, of the same Directive). The former is used by drugs that fall within the legal definition of "generic medicine" as per Article 10, paragraph 2, letter b), or that meet "the criteria of identity of qualitative and quantitative composition in active ingredients, identity of pharmaceutical form, and bioequivalence"44 with respect to the "reference" drug, while the latter is used by drugs that present some differences compared to the "reference" medicine45.</w:t>
        <w:br/>
        <w:t>33. Such differences between the two may reside a) in the different therapeutic indication or b) in the different route of administration or different dosage.</w:t>
        <w:br/>
        <w:t>34. In both cases, the "hybrid" authorization procedure referred to in Article 10, paragraph 3, of the Directive allows for reference to the clinical data of the "reference" medicine, subject to their necessary integration to address the existing differences. In particular, in the case under a), the submission of clinical documentation attesting to the safety and efficacy of the drug for the different therapeutic use is additionally required.</w:t>
        <w:br/>
        <w:t>35. The case at hand falls under the hypothesis under a): Chenodeoxycholic Acid Leadiant® is, in fact, as previously mentioned, a so-called hybrid drug of the "reference" medicine Xenbilox®, to which it is identical from a chemical and pharmaceutical standpoint, but differs from it in terms of the different therapeutic indication. For the purpose of the AIC request for the orphan drug, therefore, Sigma Tau used a</w:t>
        <w:br/>
        <w:t>43 Two drugs are considered bioequivalent when, at the same dose, they have the same bioavailability, or when the amount of active ingredient made available in the systemic circulation and the time it takes to reach its maximum concentration in the blood after administration of the drug are so similar that they do not result in significant differences in terms of efficacy and safety. Bioequivalence is presumed between two drugs when they are pharmaceutical equivalents, that is, they contain the same active ingredient, in the same dosage, and have the same pharmaceutical form. See EMA, Guidelines on the Investigation of Bioequivalence, 2010, available at https://www.ema.europa.eu/en/documents/scientific-guideline/guideline-investigation-bioequivalence-rev1_en.pdf.</w:t>
        <w:br/>
        <w:t>44 See CJEU, December 3, 1998, in case C-368/96, Generics (medicines Captopril, Acyclovir, and Ranitidine), in Collection 1988, p.I-7967, point 36, confirmed by CJEU, April 29, 2004, in case C-106/01, SangStat v. Novartis Pharmaceuticals (medicine Sandimmun), unpublished but available on the Court's website, point 33.</w:t>
        <w:br/>
        <w:t>45 See CJEU, SangStat, cited, points 52 and 55.</w:t>
      </w:r>
    </w:p>
    <w:p>
      <w:r>
        <w:rPr>
          <w:b/>
        </w:rPr>
        <w:t>[Pages 10–12]</w:t>
      </w:r>
    </w:p>
    <w:p>
      <w:r>
        <w:t>BULLETIN NO. 21 OF JUNE 6, 2022</w:t>
      </w:r>
    </w:p>
    <w:p>
      <w:r>
        <w:t>12</w:t>
        <w:br/>
        <w:t>part of the dossier of the latter medicine, supplementing it with additional documentation (see better infra par. 144).</w:t>
      </w:r>
    </w:p>
    <w:p>
      <w:r>
        <w:t>36. The requirement for the submission of additional clinical documentation may be waived, as occurred in the present case, in exceptional circumstances, pursuant to Article 14, paragraph 8, of Regulation (EC) No. 726/2004: in cases where it is impossible to provide comprehensive information on the efficacy and safety of the medicine under normal conditions of use, the issuance of the marketing authorization (AIC) is conditioned upon the fulfillment of certain requirements, including stricter pharmacovigilance and the completion of the missing clinical studies within a given timeframe.</w:t>
      </w:r>
    </w:p>
    <w:p>
      <w:r>
        <w:t>37. The additional documentation produced by Sigma Tau in the context of the AIC application for Chenodeoxycholic Acid Leadiant® did not contain the necessary clinical documentation for the complete proof of the efficacy and safety of the new therapeutic indication, and the orphan drug was therefore authorized "in exceptional circumstances" (see par. 155 infra).</w:t>
      </w:r>
    </w:p>
    <w:p>
      <w:r>
        <w:t>III.1.2 The European Regulation on Orphan Drugs</w:t>
      </w:r>
    </w:p>
    <w:p>
      <w:r>
        <w:t>38. "Orphan" drugs are defined as those used for the treatment of rare diseases, designated as such when they meet the requirements established by Article 3, paragraph 1, of Regulation (EC) No. 141/2000, namely when a) they are intended to treat a condition that poses a threat to life or causes chronic debilitation affecting no more than 5 individuals per 10,000 in the European Union (prevalence criterion), or a condition that poses a threat to life or causes chronic debilitation and is unlikely, in the absence of incentives, to be commercially viable enough to justify the necessary investment (return on investment criterion); and when b) there are no satisfactory authorized therapies in the European Union or, if they exist, the medicine in question will have "significant beneficial effects" for individuals affected by that condition (significant benefit criterion).</w:t>
      </w:r>
    </w:p>
    <w:p>
      <w:r>
        <w:t>39. The European Commission can therefore grant orphan designation to a drug – upon a favorable opinion from the Committee for Orphan Medicinal Products (COMP) of the EMA – where the applicant company is able to demonstrate one of the two requirements indicated under a) and the requirement under b), as provided by the aforementioned regulatory provision.</w:t>
      </w:r>
    </w:p>
    <w:p>
      <w:r>
        <w:t>40. Subsequently, where the conditions are met, the European Commission may grant the AIC to the orphan drug, upon a favorable opinion from the Committee for Medicinal Products for Human Use (CHMP) of the EMA. At the same time, the COMP of the EMA verifies the continued fulfillment of the requirements for orphan designation, through a comparative examination with therapies that may already be authorized for the treatment of the rare condition.</w:t>
      </w:r>
    </w:p>
    <w:p>
      <w:r>
        <w:t>46 Article 3, paragraph 2, of Commission Regulation (EC) No. 847/2000 of April 27, 2000 provides that: "For the purposes of implementing Article 3 of Regulation (EC) No. 141/2000 concerning orphan medicinal products, the following definition applies: - 'significant benefit' means a substantial improvement in the patient's condition from a clinical perspective or from the perspective of overall care." The Communication on the application of Articles 3, 5, and 7 of Regulation (EC) No. 141/2000 concerning orphan medicinal products of November 18, 2016 at point B.5 establishes that a significant beneficial effect consists of "substantial improvement in the patient's condition from a clinical perspective," that is, improved efficacy, a better safety profile, or better tolerability of the drug; while, "substantial improvement in the patient's condition from the perspective of overall care" may be based on ease of self-administration, or better adherence to therapy due to a change in the pharmaceutical form.</w:t>
      </w:r>
    </w:p>
    <w:p>
      <w:r>
        <w:t>47 See EU Court, September 9, 2010, in case T-74/08, Now Pharm v. European Commission, par. 43; Court of Justice, March 3, 2016, in case C-138/15, Teva Pharma and Teva Pharmaceuticals Europe v. EMA, par. 64; EU Court, March 22, 2018, in case T-80/16 Shire Pharmaceuticals Ireland Ltd. v. EMA, par. 68. See also the Communication on the application of Articles 3, 5, and 7 of Regulation (EC) No. 141/2000 concerning orphan medicinal products of November 18, 2016 at point B.5.</w:t>
      </w:r>
    </w:p>
    <w:p>
      <w:r>
        <w:t>41. Only following the positive outcome of such scrutiny, as provided by Article 8, paragraph 1, of Regulation (EC) No. 141/2000, do the companies holding the AIC of an orphan drug enjoy a ten-year commercial exclusivity (starting from the moment the AIC is granted), by virtue of a prohibition on the European Union and the Member States to grant other AICs for "similar" medicines with the same therapeutic indications. According to Article 8, paragraph 3, letter c), of Regulation (EC) No. 141/2000, this market exclusivity is subject to exceptions and does not prevent the authorization of a similar drug with the same therapeutic indications as the already authorized orphan medicine, inter alia, when the applicant company demonstrates that its medicine is safer, more effective, or otherwise clinically superior. The commercial exclusivity also does not apply when the AIC application concerns "non-similar" drugs to the already authorized orphan medicine (even if they have the same therapeutic indications).</w:t>
      </w:r>
    </w:p>
    <w:p>
      <w:r>
        <w:t>III.1.3 National Regulation on Galenic Preparations</w:t>
      </w:r>
    </w:p>
    <w:p>
      <w:r>
        <w:t>42. According to Article 3, paragraph 1, letters a) and b) of Legislative Decree No. 219/2006, galenic drugs are:</w:t>
        <w:br/>
        <w:t>a) medicines prepared in a pharmacy based on a medical prescription intended for a specific patient, referred to as "magistral formulas," more comprehensively regulated by Article 5 of Law Decree No. 23 of February 17, 1998, converted, with amendments, by Law No. 94/98;</w:t>
        <w:br/>
        <w:t>b) medicines prepared in a pharmacy according to the indications of the European Pharmacopoeia or the national Pharmacopoeias in force in the Member States of the European Union, referred to as "official formulas," and intended to be supplied directly to undifferentiated patients, customers of that pharmacy.</w:t>
      </w:r>
    </w:p>
    <w:p>
      <w:r>
        <w:t>43. According to Article 5, paragraph 2, of Law Decree No. 23 of February 17, 1998, converted, with amendments, by Law No. 94/98, if there is a medicinal specialty on the market based on a specific active ingredient authorized for the treatment of a specific condition, the doctor is not allowed to prescribe to a patient a magistral formula (or "preparation") based on the same active ingredient, unless the prescription, specifically for the purposes of personalizing therapy, provides for a different dosage or different excipients.</w:t>
      </w:r>
    </w:p>
    <w:p>
      <w:r>
        <w:t>III.2 Chenodeoxycholic Acid (CDCA)</w:t>
      </w:r>
    </w:p>
    <w:p>
      <w:r>
        <w:t>44. Chenodeoxycholic acid (CDCA) is a so-called primary bile acid, produced by the liver and derived from cholesterol. Together with cholic acid, CDCA is the main component of bile and plays a key role in the processes of digestion and absorption of lipids.</w:t>
      </w:r>
    </w:p>
    <w:p>
      <w:r>
        <w:t>45. CDCA was first isolated in 1924, first from the bile of domestic geese and then from human bile, and its chemical configuration was precisely defined in the 1930s. The process of synthesizing the active ingredient is currently not covered by industrial patents.</w:t>
      </w:r>
    </w:p>
    <w:p>
      <w:r>
        <w:t>III.2.1 The Production Process of CDCA as a Pharmaceutical Grade Active Ingredient</w:t>
      </w:r>
    </w:p>
    <w:p>
      <w:r>
        <w:t>46. CDCA as a pharmaceutical grade active ingredient is a naturally derived substance that cannot be produced in the laboratory from synthetic material. The main raw material from which this active ingredient is derived is bovine bile, but it can also be obtained from poultry or swine bile.</w:t>
      </w:r>
    </w:p>
    <w:p>
      <w:r>
        <w:t>47. The production of CDCA using bovine bile is structured as follows: from animal bile, cholic acid, that is, the other primary bile acid, is extracted, which is then purified in order to obtain, through various steps of chemical synthesis, ursodeoxycholic acid, a secondary bile acid; CDCA is an intermediate product in the synthesis process of ursodeoxycholic acid from cholic acid.</w:t>
      </w:r>
    </w:p>
    <w:p>
      <w:r>
        <w:t>48. For production purposes, a continuous supply of raw material in sufficient quantities is necessary; therefore, especially regarding bovine bile, companies producing CDCA must maintain stable commercial relationships with operators in the market for the extraction and collection of raw material (that is, with livestock slaughterhouses) that allow them to satisfactorily procure it.</w:t>
      </w:r>
    </w:p>
    <w:p>
      <w:r>
        <w:t>49. The production of CDCA must also comply with strict manufacturing processes to achieve the purity standards required by the industry (the so-called pharmaceutical grade). In particular, in the European Union (but also in the United States), the sector is subject to regulatory standards established by Good Manufacturing Practices (GMP), which impose on manufacturing companies the compliance, also for traceability purposes, with certain quality and safety requirements among the highest in the chemical industry, from raw materials to the finished product. These standards are more stringent than those imposed in other countries, such as, for example, India and China.</w:t>
      </w:r>
    </w:p>
    <w:p>
      <w:r>
        <w:rPr>
          <w:b/>
        </w:rPr>
        <w:t>[Pages 13–15]</w:t>
      </w:r>
    </w:p>
    <w:p>
      <w:r>
        <w:t>BULLETIN NO. 21 OF JUNE 6, 2022 15</w:t>
        <w:br/>
        <w:t>50. The production process of CDCA is not complex in itself. This is true even after the purity standard required in the European Union for the synthesis of CDCA from the raw material was made more stringent with the definition in 2019 of a new test, following a revision procedure of the monograph of the European Pharmacopoeia carried out by the European Directorate for the Quality of Medicines and Health of the Council of Europe (EDQM).</w:t>
      </w:r>
    </w:p>
    <w:p>
      <w:r>
        <w:t>III.2.2 Companies active in the supply of CDCA</w:t>
        <w:br/>
        <w:t>51. Considering the predominant method of extraction of CDCA (i.e., from bovine bile), taking into account the stringent production standards required in the European Union for the production of pharmaceutical active ingredients and the small size of the market, only a limited number of companies have been, and still are, active in the supply of CDCA for pharmaceutical use.</w:t>
        <w:br/>
        <w:t>52. The aforementioned documentation indeed indicates that, in Sigma Tau's opinion, there were only two operators capable of sourcing raw material in adequate quantities. One of these was, and is, the Italian company PCA, which, in addition to being a world leader in the production of ursodeoxycholic acid, has also been the main producer of CDCA at the European level for many years. The chemical company, in fact, has been part of a corporate group since 2008, at the head of which is ICE (with which PCA has recently merged), which controls a number of companies active in the extraction, collection, and processing of bovine bile in the major production areas, namely in Mexico, Costa Rica, Colombia, Brazil, Argentina, Uruguay, Paraguay, South Africa, India, Australia, and the USA.</w:t>
        <w:br/>
        <w:t>53. The documentation acquired in the records shows that PCA has long been recognized as an operator with significant know-how, a high level of regulatory compliance, which is expressed in the ability to adhere to GMP and to obtain and maintain a regulatory dossier (i.e., the so-called Drug Master File or DMF), and enjoys an excellent commercial reputation, generally in the production of pharmaceutical-grade active ingredients derived from bile acids, as well as in the production of this specific molecule. In fact, at the end of 2011, the EDQM turned to PCA as the only producer of the active ingredient in the territory of the European Union to refer to for improving the synthesis process of CDCA in terms of the level of permissible impurities. Since then and until 2019, the chemical company, involving Sigma Tau (which later became Leadiant), which had meanwhile developed a new purity test for CDCA, then transferred to PCA and implemented by the latter, closely collaborated with the EDQM, and the Agency largely relied on PCA's contribution for the development of the new test.</w:t>
        <w:br/>
        <w:t>54. The other company that possesses similar characteristics is explicitly mentioned in a document from February 2016 and implicitly in other documents from 2017: it is the New Zealand company New Zealand Pharmaceuticals Ltd. (hereinafter, "NZP"), which was later acquired by ICE in August 2020.</w:t>
        <w:br/>
        <w:t>55. This company was considered by Sigma Tau when, during 2016, it conducted research to identify any other sources of CDCA supply other than PCA (with which it had an exclusive supply contract since June 2008). However, as far as Sigma Tau was aware, NZP was at that time commercially engaged with another pharmaceutical company, the American Retrophin Inc. [now Travere Therapeutics Inc.]. From the research conducted in July 2016, it also emerged that there were, at least abstractly, 13 suppliers of CDCA, located inside and outside the European Union, including PCA and ICE, two German companies, one American, one Mexican, and several Chinese companies. However, the quality of the raw material (apart from that produced by PCA and ICE) was unknown. For these reasons, in August 2016, Sigma Tau believed it had no alternative sources of supply to PCA.</w:t>
        <w:br/>
        <w:t>56. The documentation acquired in the records indeed accounts for the sporadic existence of extra-EU sources of CDCA production, particularly Chinese ones, which, however, for a long time were unable to comply with the regulatory specifications required by European regulation and to pass the quality controls required by GMP to access European markets.</w:t>
        <w:br/>
        <w:t>57. Some documents indicate, in fact, that in 2017 PCA itself believed that extra-EU suppliers of CDCA, particularly those from China, would not pose "a problem" for Sigma Tau.</w:t>
        <w:br/>
        <w:t>58. The inferior quality of the raw material coming from extra-EU markets, particularly Asian ones, is indeed evidenced by several inspection documents that account for the unsuccessful attempt by some Spanish pharmacies, the hospital in Amsterdam, as well as that in Antwerp, to produce CDCA in galenic form between the end of 2017 and during 2018 based on raw material imported from China by a pharmaceutical active ingredient wholesaler. In particular, the inspections carried out by the competent Dutch authorities in August 2018, at the request of Leadiant, highlighted the presence in the magistral preparations produced by the Amsterdam hospital of excessive impurity levels compared to those provided for by the monograph of the European Pharmacopoeia, resulting in the interruption of the preparation. This indicates that, as PCA also confirmed in the hearing, the only alternative source of CDCA production of which there is evidence in those years "turned out to be unable to produce an active ingredient compliant with the purity standards required by the European Pharmacopoeia."</w:t>
        <w:br/>
        <w:t>59. As a result, the same wholesaler, in October 2018, returned after two years to turn to PCA, as a certified producer in Europe, the only one with this characteristic according to what Leadiant itself stated in an internal company document from April 2018.</w:t>
        <w:br/>
        <w:t>60. The quality level of the raw material coming from Asian producers has only recently improved. Some documents in the records, including the hearing minutes of PCA, indicate that in February 2020, the Amsterdam hospital resumed the galenic production of CDCA thanks to the use of raw material from another Asian source that has so far proven to comply with European regulatory specifications, even in the new version resulting from the modification of the European Pharmacopoeia. This supplying company is, therefore, currently to be counted among the sources of CDCA production capable of supplying the markets of the European Union, exclusively to support magistral production.</w:t>
      </w:r>
    </w:p>
    <w:p>
      <w:r>
        <w:rPr>
          <w:b/>
        </w:rPr>
        <w:t>[Pages 16–18]</w:t>
      </w:r>
    </w:p>
    <w:p>
      <w:r>
        <w:t xml:space="preserve">BULLETIN NO. 21 OF JUNE 6, 2022  </w:t>
        <w:br/>
        <w:t xml:space="preserve">III.3 Pharmaceutical uses of CDCA: the treatment of CTX  </w:t>
        <w:br/>
        <w:t xml:space="preserve">61. Since their introduction to the market in the early 1970s, drugs based on chenodeoxycholic acid have been authorized for sale by the individual national regulatory authorities of the European Union only for the treatment of gallstones87. However, as early as the beginning of the 1990s (and in the literature even in the 1980s), CDCA was no longer considered adequate to the international standards established for the dissolution of gallstones and was surpassed by other treatments that proved to be more effective for this therapeutic indication88.  </w:t>
        <w:br/>
        <w:t xml:space="preserve">62. As documented by numerous scientific studies published in the early 1980s89, the medical-scientific community discovered that the active ingredient has therapeutic utility in another medical field: it has been shown to be effective from the outset in the treatment of cerebrotendinous xanthomatosis (or CTX).  </w:t>
        <w:br/>
        <w:t xml:space="preserve">63. CTX is a disease caused by a congenital defect in the synthesis of primary bile acids. Patients affected by this condition are unable to produce sufficient amounts of chenodeoxycholic acid due to mutations in the CYP27A1 gene, which cause a deficiency of the hepatic enzyme sterol 27-hydroxylase. The enzymatic defect leads to the accumulation of cholestanol and cholesterol in many tissues, including tendons and the central nervous system, generating the so-called tendon and/or cerebral xanthomas, which cause neurological, cognitive, and systemic dysfunctions90. It is therefore a very serious progressive disease that impedes normal development, generally leading to loss of autonomy and early death. It affects a very small portion of the population in Europe (the diagnosed patients in Europe amount to 25091), and is therefore an ultra-rare disease. The countries where it is most prevalent are Italy, the Netherlands, Belgium, Spain, France, the United Kingdom, and, to a lesser extent, Germany. The exact number of patients diagnosed with CTX is not precisely known as there are various conflicting sources on this matter. From the information gathered and the inspection evidence, it emerges that the patients present in Italy are about 45 (41 in 2020)92, in Spain 5093, in the Netherlands about 6094, and in the United Kingdom about 2495. Thus, it is a market of very small size96.  </w:t>
        <w:br/>
        <w:t xml:space="preserve">64. Since the discovery of this new therapeutic use, CDCA-based drugs have been used for the treatment of CTX and, until the introduction of the orphan drug by Leadiant, have been prescribed off label.  </w:t>
        <w:br/>
        <w:t xml:space="preserve">65. It appears that Sigma Tau commissioned market research in September 2014, which highlighted that CDCA, from the perspective of prescription patterns, had long been the "standard of care" for CTX in most EU member states (France, United Kingdom, Italy, Germany, Spain, Sweden, Netherlands, and Austria)97.  </w:t>
        <w:br/>
        <w:t xml:space="preserve">66. One of the world's leading experts on CTX, defined as a "world key opinion leader" by Sigma Tau98 - a specialist physician from AOU Senese who, with his team, conducted a retrospective study for Sigma Tau in support of the request for AIC for the orphan drug (on which see better paragraphs 145-147 infra) - during the approval procedure of the framework agreement concerning the conduct of said study, to the Ethics Committee of the Tuscany Region, in October 2014, stated that “[...] its use [of CDCA. Ed.] in the therapy of cerebrotendinous xanthomatosis (rare disease) is well established and scientifically recognized for many years. The prescription of the drug in question is part of normal clinical practice”99.  </w:t>
        <w:br/>
        <w:t xml:space="preserve">67. This assessment is also confirmed by documents relating to subsequent years. From further market research commissioned between late 2015 and early 2016, it emerged that for the interviewed specialist physicians, CDCA was the preferred therapy in the majority of cases (15 out of 16 physicians) in France, Spain, Germany, Italy, the Netherlands, Belgium, and the United Kingdom100. Documents from 2016 also highlight that another renowned expert on the pathology in Europe, who conducted a second retrospective study for Sigma Tau in support of the request for AIC for the orphan drug (on which see better paragraph 149 infra), believed that CDCA was a therapy “worldwide accepted (literature), applied (treating physicians), and effective (open-label, single arm study)”101.  </w:t>
        <w:br/>
        <w:t xml:space="preserve">68. The same scientific literature compiled by the same company and presented in support of its request for orphan designation and AIC for CDCA as a treatment for CTX indicates that the active ingredient is the “treatment of choice”102 and that its efficacy in treating the rare disease has been specifically observed with the administration to patients of 250 mg of CDCA three times a day103.  </w:t>
        <w:br/>
        <w:t xml:space="preserve">69. Some recent qualified institutional sources also indicate that, despite the absence of prospective clinical studies, the “first-line treatment” for CTX is CDCA104. This is particularly true in Italy, where this active ingredient has always been the drug of choice for the treatment of the rare disease because, when taken regularly at the above-mentioned dose, it slows the spontaneous progression of the disease in most patients, stabilizing neurological and psychiatric manifestations and slowing the increase in size of tendon xanthomas105.  </w:t>
        <w:br/>
        <w:t xml:space="preserve">70. Finally, the aforementioned specialist physician from AOU Senese, in a hearing, stated that, based on his forty years of experience, CDCA is “to be prioritized in the treatment of the rare pathology in question” and that “there is a clear consensus in the international medical-scientific community that CDCA is the therapy of choice for CTX”106.  </w:t>
        <w:br/>
        <w:t xml:space="preserve">71. The physician also stated that, at present, there is no therapy other than CDCA, even in experimental phases. The only lines of research currently existing – which aim at the future development of gene therapy – are at an embryonic stage. Furthermore, given the scarcity of funding, research on this therapy is progressing very slowly and even if it were to prove effective, it would not be introduced to the market for at least ten years from now107.  </w:t>
        <w:br/>
        <w:t xml:space="preserve">III.3.1 CDCA-based drugs  </w:t>
        <w:br/>
        <w:t>72. From the information acquired in the records, it emerged that, since the 1970s, CDCA-based drugs have been sold in some European countries under various commercial names (Quenobilan® and Quenocol® in Spain, Chenodex® in France, Xebyl® in Portugal, Chenofalk® in the Netherlands, Belgium, and Germany108). In Italy, the following four CDCA-based products were available: Chenossil®,</w:t>
      </w:r>
    </w:p>
    <w:p>
      <w:r>
        <w:rPr>
          <w:b/>
        </w:rPr>
        <w:t>[Pages 19–21]</w:t>
      </w:r>
    </w:p>
    <w:p>
      <w:r>
        <w:t>BULLETIN NO. 21 OF JUNE 6, 2022 21</w:t>
        <w:br/>
        <w:t>Chenofalk®, Fluibil® and Chenocol®109. Quenobilan®, Quenocol® and Chenofalk® were produced using the raw material supplied by PCA and ICE110. Among the various products mentioned, in particular, Chenofalk® was administered off-label by Italian doctors to treat patients affected by CTX.</w:t>
      </w:r>
    </w:p>
    <w:p>
      <w:r>
        <w:t>73. Chenofalk® became unavailable in the Italian market as early as 1996, and the other drugs based on chenodeoxycholic acid that were then present in the domestic market became increasingly less available over time and were ultimately no longer marketed between the late 1990s and the early 2000111.</w:t>
      </w:r>
    </w:p>
    <w:p>
      <w:r>
        <w:t>74. In light of the difficulty in procuring CDCA-based drugs, already in the second half of the 1990s, at the request of the specialist doctors of the AOU Senese who were treating several patients affected by CTX112, it decided to ensure the therapeutic continuity for these patients by producing the drug in a galenic form113.</w:t>
      </w:r>
    </w:p>
    <w:p>
      <w:r>
        <w:t>75. The galenic production of CDCA began in 1997. Since then, the Pharmacy has always purchased the active ingredient from ICE through an intermediary114 and with this production has also supplied pharmacies of other Italian hospitals/ASLs115.</w:t>
      </w:r>
    </w:p>
    <w:p>
      <w:r>
        <w:t>76. The cost of the raw material was €0.083 per capsule, to which were added professional fees applied according to the rates then in force, resulting in a total production cost of €0.67 per capsule. The price for 100 capsules of 250 mg was thus €67, leading to an annual therapy cost per patient of €733.65116.</w:t>
      </w:r>
    </w:p>
    <w:p>
      <w:r>
        <w:t>77. However, in 2005, ICE informed the Pharmacy that it no longer intended to produce the active ingredient in question. In 2007, the Pharmacy then purchased the last 75 kg of stock of the active ingredient from PCA, which was used for galenic production until November 2015, at which point the raw material stocks ran out117.</w:t>
      </w:r>
    </w:p>
    <w:p>
      <w:r>
        <w:t>78. In other national markets of the European Union, doctors continued to administer (off-label) the aforementioned CDCA-based drugs to patients affected by CTX, at least until they became available: from the information obtained, it emerges, in particular, that Chenofalk® became unavailable in the Belgian market starting in 2005 and from that moment the drug was imported from Germany where it had been marketed since the late 1970118, initially under the same trade name119 and then under the trade name Xenbilox®; in the Netherlands, the drug was marketed under the name Chenofalk® until the end of 2009 (from mid-2008 on import from Germany) and then as Xenbilox® (see paragraphs 97 and 106 infra)120. Similarly, Quenobilan® and Quenocol® definitively left the Spanish market between the second half of 2008 and the beginning of 2009 and since then Xenbilox® has been imported from Germany121. Chenodex® has not been sold on the French market since 1999 and its corresponding AIC was withdrawn in early 2005. In its place, Xenbilox® was present in the French market122. Xebyl® has not been marketed in the Portuguese market since 2011123.</w:t>
      </w:r>
    </w:p>
    <w:p>
      <w:r>
        <w:t>79. The documentation acquired in the records indicates, therefore, that starting from 2011 (and from the beginning of 2016 regarding Italy) and until the introduction of the orphan drug from Leadiant on the market, the only CDCA-based drug actually available in Europe was Xenbilox® owned by Sigma Tau124.</w:t>
      </w:r>
    </w:p>
    <w:p>
      <w:r>
        <w:t>80. Similarly, starting in June 2017, patients taking Xenbilox® were administered Leadiant Chenodeoxycholic Acid, the only CDCA-based product registered for the treatment of CTX, currently available on the domestic market125, as well as in other national markets of the European Union126.</w:t>
      </w:r>
    </w:p>
    <w:p>
      <w:r>
        <w:t>81. The aforementioned specialist doctor from AOU Senese stated in the hearing that, in his opinion, there is no therapeutic difference between the magistral preparations based on CDCA from the Pharmacy, Xenbilox®, and Leadiant Chenodeoxycholic Acid® (hereinafter also “CDCA Leadiant®”), which he has administered over time to his patients127.</w:t>
      </w:r>
    </w:p>
    <w:p>
      <w:r>
        <w:t>III.4 Other drugs used for the treatment of CTX</w:t>
      </w:r>
    </w:p>
    <w:p>
      <w:r>
        <w:t>82. Although CDCA-based drugs constitute the predominantly chosen therapy by doctors for the treatment of CTX, the inspection documentation reveals that there are also other therapies that have sometimes been used by doctors for the treatment of this disease: cholic acid, ursodeoxycholic acid, and statins (in particular, simvastatin, lovastatin, and pravastatin).</w:t>
      </w:r>
    </w:p>
    <w:p>
      <w:r>
        <w:t>83. Ursodeoxycholic acid and statins, however, have been subject to extremely limited clinical practice that has immediately revealed the production of scarcely appreciable effects in correcting the metabolic alterations associated with CTX and has therefore led doctors, especially in Italy128, to not consider them effective for the rare disease and thus substitutable for CDCA129.</w:t>
      </w:r>
    </w:p>
    <w:p>
      <w:r>
        <w:t>84. Regarding cholic acid, the aforementioned market research commissioned by Sigma Tau in September 2014 evidenced that this active ingredient was only used in some sporadic cases as therapy for the treatment of the rare disease130 and that, according to most clinical studies and specialist doctors, in non-naïve patients, CDCA should not be replaced with cholic acid for the treatment of CTX131.</w:t>
      </w:r>
    </w:p>
    <w:p>
      <w:r>
        <w:t>85. An explanation for this, according to such research, lay in the fact that in several EU member states, cholic acid was considered by doctors to be less effective than CDCA in treating CTX132. This was true, and still is, for Italy where the leading experts in the national territory showed strong skepticism regarding the use of cholic acid for the treatment of the rare disease133, potentially usable in pediatric patients134, and the interviewees (defined as "payers") believed that an increase in the price of the CDCA-based drug would not lead to the substitution of this active ingredient with cholic acid, precisely due to the lower efficacy of this active ingredient on CTX135.</w:t>
      </w:r>
    </w:p>
    <w:p>
      <w:r>
        <w:t>86. Neither the authorization of Kolbam®, based on cholic acid, by the European Commission as an on-label drug for the treatment of CTX in 2014136 nor its introduction into the French market, which in principle could have constituted a factor capable of overturning this situation, has changed the prevailing opinion among specialists.</w:t>
      </w:r>
    </w:p>
    <w:p>
      <w:r>
        <w:rPr>
          <w:b/>
        </w:rPr>
        <w:t>[Pages 22–24]</w:t>
      </w:r>
    </w:p>
    <w:p>
      <w:r>
        <w:t>BULLETIN NO. 21 OF JUNE 6, 2022</w:t>
      </w:r>
    </w:p>
    <w:p>
      <w:r>
        <w:t>24. The therapeutic hierarchy137 has significantly altered the choices of doctors. The documentation acquired indicates, in fact, that even before obtaining these administrative titles, CDCA, although an off-label medicine, continued to remain, even in France, the treatment of choice for CTX138.</w:t>
      </w:r>
    </w:p>
    <w:p>
      <w:r>
        <w:t>87. The obtaining of orphan designation and the AIC (see paragraphs 152-154 infra) has definitively established the therapeutic superiority of CDCA also on a regulatory level, and reduced the competition from cholic acid to a marginal issue, as the company itself had already predicted in November 2016 (“[m]arginal competition by Cholic Acid in Europe”)139 and as other more recent documents from 2019 confirm140.</w:t>
      </w:r>
    </w:p>
    <w:p>
      <w:r>
        <w:t>88. Lastly, the specialist doctor from the AOU Senese heard in the hearing (see paragraph 70 supra) stated that the “level of cholic acid in bile plays a lesser role in the development of the rare disease compared to that of CDCA. […] there are only two publications that describe the results of administering cholic acid to patients affected by the rare disease […]. Based on these two studies, it can be stated that cholic acid has some efficacy on the disease, but this remains much less documented compared to the efficacy of CDCA”141.</w:t>
      </w:r>
    </w:p>
    <w:p>
      <w:r>
        <w:t>89. Regarding the presence and/or use of cholic acid-based drugs in the Italian market, it is noted that Kolbam®, although available in some national markets of the European Union, has never been authorized in Italy142. Moreover, as of now, the drug is no longer marketed in any Member State, as its AIC was revoked by the European Commission on July 13, 2020, at the request of the producing company143.</w:t>
      </w:r>
    </w:p>
    <w:p>
      <w:r>
        <w:t>90. Furthermore, there is another cholic acid-based drug, Orphacol®, authorized in 2013 for the treatment of congenital defects in the synthesis of primary bile acids other than those causing CTX144. Orphacol® is registered and marketed in Italy145, but from the information acquired, there is no evidence to suggest that the off-label use of this drug for the treatment of the rare disease in question has become common practice in the national market, as it appears from what the specialist doctor from the AOU Senese stated in the hearing that CDCA is the only therapy ever used in Italy for the treatment of CTX146.</w:t>
      </w:r>
    </w:p>
    <w:p>
      <w:r>
        <w:t>137 See doc. 22.7.17.</w:t>
        <w:br/>
        <w:t>138 See doc. 78.343 which highlights that in 2015 French neurologists were trying to convince the national authorities that it would be better to continue prescribing CDCA to patients with CTX, rather than redirecting them to cholic acid. See doc. 78.105, annex “Market Research_clinician-FINAL” from which it emerges that the French doctor interviewed during a market research commissioned by Sigma Tau between late 2015 and early 2016 stated: “… wants to use CDCA instead [and] so was happy to hear that Kolbam’s MA had been annulled…”.</w:t>
        <w:br/>
        <w:t>139 See doc. 78.236.</w:t>
        <w:br/>
        <w:t>140 See docs. 22.5.17 and 78.165.</w:t>
        <w:br/>
        <w:t>141 See doc. 133.</w:t>
        <w:br/>
        <w:t>142 See doc 3.</w:t>
        <w:br/>
        <w:t>143 See https://www.ema.europa.eu/en/documents/public-statement/public-statement-kolbam-withdrawal-marketing-authorisation-european-union_en.pdf.</w:t>
        <w:br/>
        <w:t>144 The drug was classified as orphan on December 18, 2002. After a similarly lengthy dispute, the European Commission granted the AIC for the drug with a decision on September 12, 2013. On the different therapeutic indication for which Orphacol has been authorized, see also doc. 3.2.</w:t>
        <w:br/>
        <w:t>145 Orphacol® has been authorized for sale in Italy since January 20, 2017, and is classified as a class H medicine.</w:t>
        <w:br/>
        <w:t>146 See doc. 133.</w:t>
      </w:r>
    </w:p>
    <w:p>
      <w:r>
        <w:t>BULLETIN NO. 21 OF JUNE 6, 2022</w:t>
      </w:r>
    </w:p>
    <w:p>
      <w:r>
        <w:t>On the other hand, the off-label use of cholic acid after the registration of the orphan drug has been deemed unlikely by the same company147.</w:t>
      </w:r>
    </w:p>
    <w:p>
      <w:r>
        <w:t>III.5 The facts subject to verification</w:t>
        <w:br/>
        <w:t>III.5.1 The conception of the orphan drug registration project for the treatment of CTX (2007-2014)</w:t>
      </w:r>
    </w:p>
    <w:p>
      <w:r>
        <w:t>91. Sigma Tau began to undertake the project of registering CDCA as an orphan drug for the treatment of CTX in 2006 in the United States148. In that year, the U.S. subsidiary of the former Sigma Tau group requested orphan designation for CDCA, obtaining it in February 2007149.</w:t>
      </w:r>
    </w:p>
    <w:p>
      <w:r>
        <w:t>92. Immediately thereafter, and in particular in April 2007, Sigma Tau began to evaluate, through a consulting company, the possibility of registering CDCA as an orphan drug for the treatment of CTX also in Europe and already at that time envisioned selling the future orphan drug at a higher price than that at which a CDCA-based drug, registered for the treatment of gallstones but administered off-label for the treatment of CTX, was then sold, which the company was preparing to acquire. To achieve this goal, the company intended to gradually increase the price of that product (“step price increase”150).</w:t>
      </w:r>
    </w:p>
    <w:p>
      <w:r>
        <w:t>93. The company identified Chenofalk®, owned by the pharmaceutical company Dr. Falk Pharma GmbH151, as the drug to acquire specifically to obtain the availability of the dossier and the administrative rights related to CDCA to request the registration of the drug for the treatment of CTX152.</w:t>
      </w:r>
    </w:p>
    <w:p>
      <w:r>
        <w:t>94. In May 2007, the company contacted the EMA to illustrate and prepare its request for orphan designation. However, following discussions with the Agency, it realized that it was unable to provide all the clinical information required by the Agency, and therefore temporarily set aside the registration project153.</w:t>
      </w:r>
    </w:p>
    <w:p>
      <w:r>
        <w:t>95. Nevertheless, the company decided to at least proceed with the initial part of the project, and on June 19, 2008, Sigma Tau Pharmaceuticals Inc. purchased from Dr. Falk Pharma GmbH the entire dossier related to Chenofalk®, including the AIC of the drug valid for the German market154, taking over the distribution activity of the product155.</w:t>
      </w:r>
    </w:p>
    <w:p>
      <w:r>
        <w:t>96. Following the acquisition of the distribution rights for Chenofalk®, in order to secure a reliable source of raw material for the future production of the drug, Sigma Tau Pharmaceuticals Inc. and PCA, after initial contacts that took place between the second half of 2007 and the first half of 2008156, entered into an exclusive supply agreement on June 24, 2008157.</w:t>
      </w:r>
    </w:p>
    <w:p>
      <w:r>
        <w:t>97. The AIC of Chenofalk® valid in the German market was then attributed to Sigma Tau Arzneimittel GmbH on October 14, 2008158. From that moment on, the German subsidiary distributed the drug in Germany at an ex-factory price of 37.75 euros (excluding VAT) and at a public price of 58.69 euros (including VAT) for a package of 100 capsules of 250 mg159. From Germany, the medicine was also exported to several Member States, including the Netherlands160, France, and Belgium161.</w:t>
      </w:r>
    </w:p>
    <w:p>
      <w:r>
        <w:t>98. Various documents dating from a period between mid-2008 and mid-2009 confirm that Sigma Tau intended to pursue its commercial strategy through a gradual increase in the price of the product sold in Germany162, to be applied even before the registration of the orphan drug, in order to prepare not only the German market but also other European markets for the higher price of the orphan drug163.</w:t>
      </w:r>
    </w:p>
    <w:p>
      <w:r>
        <w:t>99. In particular, the company was aware that only if it were a monopolist in the sale of CDCA-based drugs throughout Europe164 could it apply a “premium price” already for the drug sold off-label for the treatment of CTX while awaiting the obtaining of the</w:t>
      </w:r>
    </w:p>
    <w:p>
      <w:r>
        <w:rPr>
          <w:b/>
        </w:rPr>
        <w:t>[Pages 25–27]</w:t>
      </w:r>
    </w:p>
    <w:p>
      <w:r>
        <w:t>BULLETIN NO. 21 OF JUNE 6, 2022 27</w:t>
        <w:br/>
        <w:t>orphan designation165. Some consulting firms, in the first half of 2007 and then at the beginning of 2008, therefore suggested to the company to verify how to prevent other parties from producing CDCA-based drugs166. Sigma Tau thus identified some "competing MAs"167, namely those of the only CDCA-based medicines other than Sigma Tau's Chenofalk® still existing in the European Union, Quenobilan®, Quenocol® in Spain, and Xebyl® in Portugal (see paragraph 78 supra), which it planned to acquire, as well as the MA of Chenofalk® valid for the Netherlands, which was held by another company and regarding which Sigma Tau asked itself "how to proceed"168.</w:t>
      </w:r>
    </w:p>
    <w:p>
      <w:r>
        <w:t>100. A document on file shows that, after the spontaneous exit from the market of Quenobilan® and Quenocol®, the German subsidiary of the former Sigma Tau group acquired the ownership of the MA of Chenofalk® valid for the Netherlands in September 2009169. However, the company never used it, although it considered it strategic to maintain its formal validity170. The request for revocation was finally submitted on September 9, 2015171.</w:t>
      </w:r>
    </w:p>
    <w:p>
      <w:r>
        <w:t>101. The company expected a significant increase in revenue generated by the application throughout Europe of a price that, thanks to the application of the projected premium price, could range from a minimum of 1,327 euros to a maximum of 3,318 euros per package, with an annual therapy cost per patient ranging from 14,600 euros to 36,500 euros172.</w:t>
      </w:r>
    </w:p>
    <w:p>
      <w:r>
        <w:t>102. Such pricing assessments reflected the indications expressed already in April 2007 by the aforementioned consulting firm, which, based on market research, indicated that demand was willing to accept an annual price range per patient between 10,000 and 40,000 euros and, in particular, considered, within this range, an annual price of 14,600 euros (and thus a price of 1,327 euros per package) as "reasonable." The consulting firm also believed that in some markets a higher projected price could be obtained, but that this possibility might not align with the company's ethics173.</w:t>
      </w:r>
    </w:p>
    <w:p>
      <w:r>
        <w:t>103. In order to justify the application of such a price even before the registration of the orphan drug, Sigma Tau (as suggested by the consulting firm) intended to leverage the de facto status of the product as an orphan drug (following a specific awareness campaign among all relevant stakeholders) and proceed with "customized" sales of the drug administered (initially) off label174. Essential, in any case, was obtaining the orphan designation for the drug and the MA for the new indication and the associated ten-year exclusivity that would ensure the company significant expected profitability.</w:t>
      </w:r>
    </w:p>
    <w:p>
      <w:r>
        <w:t>104. Two of the aforementioned documents in particular highlight the company's awareness of the complexity of implementing a strategy aimed at applying the projected premium price in Germany, where the reimbursement price of the future orphan drug to be administered for the treatment of CTX (whether administered off label or registered for this therapeutic indication) could have been anchored by pharmaceutical regulation to the then-current reimbursement price for Chenofalk®175.</w:t>
      </w:r>
    </w:p>
    <w:p>
      <w:r>
        <w:t>105. In order to minimize this circumstance, the company envisioned two hypotheses: the simple increase of the price of Chenofalk® or its withdrawal from the market and subsequent reintroduction at a higher price176.</w:t>
      </w:r>
    </w:p>
    <w:p>
      <w:r>
        <w:t>106. Not having acquired the "Falk" brand along with the regulatory dossier, on December 15, 2009, Sigma Tau changed the trade name of Chenofalk® to Xenbilox®177 and from February 2010178 increased the ex-factory price of the drug to 660 euros per package (which was then reflected in sales made in other Member States of the European Union)179. This commercial operation was not welcomed by the competent German authorities, who, however, could not prevent it180.</w:t>
      </w:r>
    </w:p>
    <w:p>
      <w:r>
        <w:t xml:space="preserve">173 See doc. 96.213.  </w:t>
        <w:br/>
        <w:t xml:space="preserve">174 See doc. 96.213 (“CTX patients will be managed through named patient supplies up until CDC indication is licensed”), docs. 96.75, 96.99, and 96.165, 22.7.3 (both attachments).  </w:t>
        <w:br/>
        <w:t xml:space="preserve">175 See docs. 96.213 and 96.99.  </w:t>
        <w:br/>
        <w:t xml:space="preserve">176 See docs. 22.7.3, attachment “006060_2 Report”, 96.99, and 96.165.  </w:t>
        <w:br/>
        <w:t xml:space="preserve">177 See doc. 127.  </w:t>
        <w:br/>
        <w:t xml:space="preserve">178 See doc. 127.  </w:t>
        <w:br/>
        <w:t xml:space="preserve">179 See docs. 96.141 and 96.143.  </w:t>
        <w:br/>
        <w:t>180 See doc. 22.7.17: “Regarding price the history of CDCA, price activity may be very controversial. It was sold as Chenofalk by Dr Falk Pharma at € 58.69 for 100 capsules of 250 mg. Chenofalk went off the market and Xenbilox was introduced by Sigma Tau at € 861.14 for 100 capsules of 250 mg. Since it was a new product, no rebate was applicable. The system could not do anything against this price increase, but it was commented on negatively.”</w:t>
      </w:r>
    </w:p>
    <w:p>
      <w:r>
        <w:t>BULLETIN NO. 21 OF JUNE 6, 2022 29</w:t>
        <w:br/>
        <w:t xml:space="preserve">III.5.2 The price increase of Xenbilox® in 2014  </w:t>
        <w:br/>
        <w:t>107. The second part of the project, consisting of the market launch of the orphan drug based on CDCA registered for the treatment of CTX at a high price, long planned, actually took off only in 2014 (for the reasons that will be explained below in paragraphs 145 and following)181.</w:t>
      </w:r>
    </w:p>
    <w:p>
      <w:r>
        <w:t>108. Between March and April 2014, the company began to plan how to implement a new price increase for Xenbilox®, not only for the German market but for all of Europe182. It was aware that an increase in the ex-factory price of the product in Germany to 860 euros per package - the first hypothesis of price increase found in the acquired documentation - would be nullified by the so-called price moratorium introduced in German law a few years earlier183, which would still impose maintaining the reimbursement price at 660 euros. However, in light of the lack of profit increase in Germany, the company would see its profits grow abroad, where sales were not subject to the reimbursement price constraint. For foreign sales, the company planned to use a German wholesaler, Juers Pharma Import Export GmbH (hereinafter, "Juers Pharma"), to which it would apply a selling price very close to 860 euros per package, [omitted]. The wholesaler would take care of the commercial relationships with distributors in the importing countries, thus assuming responsibility for the price increase184, to be set precisely at 860 euros plus transportation costs185.</w:t>
      </w:r>
    </w:p>
    <w:p>
      <w:r>
        <w:t>181 See doc. 96.83 dated April 2014 (“For Xenbilox we have no intention to touch the current MA. The plan is to submit an ODD and later a CTX file in ST UK name. After approval we withdraw German product MA. Still this is not yet a plan just an intention chart (before implementation we need to check a few things namely if there are other active MAs in EU that could easily jeopardize our future pricing)”).</w:t>
      </w:r>
    </w:p>
    <w:p>
      <w:r>
        <w:t>182 See doc. 96.141 (“You remember that we spoke about a price increase for Xenbilox. Last week I have met […] the Managing Director of “Juers Imports/Exports” and we have developed an idea how we can keep the price in Germany but increase it for foreign markets (by rationing German wholesalers and have Juers as our wholesaler and point of sale for Xenbilox – who would sell the product to (foreign) customers at a higher price”). See docs. 22.7.32 and 78.49 (“we are planning to implement a significant price increase for international shipments outside Germany (where no price increase is possible due to local MA and price reimbursement). We aim to a max price equal to 4,000 euros x unit outside Germany, with a weighted average selling price of 3,500 euros x unit including Germany”).</w:t>
      </w:r>
    </w:p>
    <w:p>
      <w:r>
        <w:t>183 The so-called price moratorium was first introduced in 2010 in German law and was reformed in May 2017 through the law on strengthening pharmaceutical supply (“Gesetz zur Stärkung der Arzneimittelversorgung” or briefly AMVSG). The price moratorium prevents increases in the reimbursement price of drugs already on the market, requiring manufacturers to grant health insurers a discount equal to any price increase compared to the prices of August 1, 2009. The 2017 amendment extended the validity of the price moratorium until December 31, 2022, pending an update of reimbursement prices based on inflation in 2018.</w:t>
      </w:r>
    </w:p>
    <w:p>
      <w:r>
        <w:t>184 The company was informed as early as the beginning of 2008 about the price freedom enjoyed by a pharmaceutical distributor in most European countries in a system where medicines, especially those without an MA for a given therapeutic indication, are imported and administered off label to individual patients at the specific request of the doctor (“Named Patient Supplies” mentioned in docs. 96.99 and 96.213). See in particular doc. 22.7.3, attachment “006060_2 Report” (“[…] In most cases, distributors are free to set the price they want. Exceptions are Spain (a state pricing committee evaluates) and France (where a formal national process is adhered to, though there is pricing flexibility). […] In terms of price-setting, this will mostly be at the distributor’s discretion, though in some countries price will be negotiated with the state authorities (e.g. Spain)”).</w:t>
      </w:r>
    </w:p>
    <w:p>
      <w:r>
        <w:t>185 See doc. 96.141 (“[…] how we can increase our profit without being stuck by the price moratorium. Here is the idea: Xenbilox units sold in 2013: 3,125 units (all sold at 660 Euro per unit = 2.06m Euro) Units sold to German wholesaler: 614 (we have to assume these packs stay in the German market, however I strongly believe that ca. 300 packs are still being sold to foreign markets) Units sold to distributors with high likelihood of being sent to a foreign market: 1,627 Units sold directly to a foreign market: 884</w:t>
      </w:r>
    </w:p>
    <w:p>
      <w:r>
        <w:rPr>
          <w:b/>
        </w:rPr>
        <w:t>[Pages 28–30]</w:t>
      </w:r>
    </w:p>
    <w:p>
      <w:r>
        <w:t>BULLETIN NO. 21 OF JUNE 6, 2022</w:t>
      </w:r>
    </w:p>
    <w:p>
      <w:r>
        <w:t>109. In April 2014, the company evaluated a second hypothesis for an ex-factory price increase of Xenbilox®, amounting to 950 euros per pack186. Subsequently, a third hypothesis for a price increase was evaluated: in the minutes of the meeting of the Operational Team Rare Diseases of Sigma Tau, held in Munich on May 6, 2014, the "short term" and "medium/long term" objectives of the Xenbilox® project were indicated, defined in the same minutes as "2014 Very Important Project". The short-term objective consisted of a “price increase (in 2 steps) =&gt; 1st step July 1, 2014: 2400 € / pack =&gt; 2nd step Jan 1, 2014 [2015, ed. note]: 4000 € / pack”187. The medium-long term objective consisted of the “registration process… to get the ODD [Orphan Drug Designation, ed. note]”188 for the therapeutic indication of CTX. The submission to the EMA was planned for the following month of September.</w:t>
      </w:r>
    </w:p>
    <w:p>
      <w:r>
        <w:t>110. This significant price increase of Xenbilox® was, therefore, identified by the company as the first operational step of the project to obtain orphan designation and registration of CDCA with the new therapeutic indication. Similar indications also emerge from the presentation related to the Strategic Plan of the Global Rare Disease Business Unit, dated August 2014, where possible revenue increases resulting from the project of “Xenbilox price increase and global registration”189 were estimated.</w:t>
      </w:r>
    </w:p>
    <w:p>
      <w:r>
        <w:t>111. The documentation on record indicates that from July 1, 2014, Sigma Tau finally increased, as a short-term objective, the ex-factory price of Xenbilox®, sold in Germany at 2,900 euros per pack190.</w:t>
      </w:r>
    </w:p>
    <w:p>
      <w:r>
        <w:t>112. From July 2, 2014, until October 2016, sales of Xenbilox® in EEA and non-EEA countries were primarily made by Juers Pharma, which purchased the medicine from Sigma Tau Arzneimittel GmbH, and, except in some countries, including Italy, to a lesser extent also from the latter191.</w:t>
      </w:r>
    </w:p>
    <w:p>
      <w:r>
        <w:t>113. In response to the complaints of some patients who lamented their or their insurance's inability to afford such a price, the company, in a letter from July 2014, justified this increase with the need to finance the development of the orphan indication of the drug (“In order to be able to maintain and further develop CDCA for this rare disease indication, Sigma Tau has to revise the price in accordance to an orphan indication (CTX)”)192.</w:t>
      </w:r>
    </w:p>
    <w:p>
      <w:r>
        <w:t>114. An internal company document from September 2015 shows how the price increase implemented in July 2014 allowed Sigma Tau to significantly increase the revenue related to Xenbilox®, which grew from about 2 million euros in 2013193 to over 7 million euros in 2015194.</w:t>
      </w:r>
    </w:p>
    <w:p>
      <w:r>
        <w:t>115. This price increase did not immediately affect Italy, where patients were treated until November 2015 through the administration of magistral preparations based on CDCA produced by the Pharmacy of the AOU Senese.</w:t>
      </w:r>
    </w:p>
    <w:p>
      <w:r>
        <w:t>116. With the end of the galenic preparation of the Pharmacy and until the introduction in Italy of Chenodeoxycholic Acid Leadiant® in June 2017, the Italian ASLs, including the AOU Senese, could no longer resort to the galenic production of the Pharmacy and had to import Xenbilox® from Germany pursuant to D.M. February 11, 1997 and subsequent amendments195 to ensure therapeutic continuity for their patients (see paragraphs 130, 133, and 134 infra). For example, in 2016, the ASL of Oristano purchased Xenbilox® at a final price, including the wholesaler's margin and other intermediaries involved in distribution, which varied between 3,400 and 3,600 euros per pack196.</w:t>
      </w:r>
    </w:p>
    <w:p>
      <w:r>
        <w:t>III.5.3 The obtaining of preliminary orphan designation in 2014</w:t>
      </w:r>
    </w:p>
    <w:p>
      <w:r>
        <w:t>117. On August 28, 2014, Sigma Tau Pharmaceuticals Ltd. requested the recognition of Sigma Tau Chenodeoxycholic Acid as an orphan drug for the treatment of CTX based on the criteria of prevalence and significant beneficial effects (see paragraph 38 supra)197.</w:t>
      </w:r>
    </w:p>
    <w:p>
      <w:r>
        <w:t>118. The orphan designation was obtained preliminarily by Sigma Tau Pharmaceuticals Ltd. on December 16, 2014198 (and was then transferred to Sigma Tau Arzneimittel GmbH on May 7, 2015199). In particular, the Committee for Orphan Medicinal Products (COMP) of the EMA granted the orphan designation based on the examination of the scientific literature that highlighted the efficacy of CDCA on the main symptoms of CTX, produced by Sigma Tau itself and used by the company to invoke the existence of “significant beneficial effects” of CDCA compared to existing therapies (specifically compared to cholic acid contained in Kolbam® and Orphacol®)200.</w:t>
      </w:r>
    </w:p>
    <w:p>
      <w:r>
        <w:t>119. The importance that the orphan designation held within the project emerges from the documents on record, which highlight that it was the company's intention to proceed with the request for the AIC for the new therapeutic indication exclusively in the case of definitive obtaining of such administrative title, the possession of which alone would have allowed it to request higher reimbursement prices201.</w:t>
      </w:r>
    </w:p>
    <w:p>
      <w:r>
        <w:t>III.5.4 The price hypotheses of the orphan drug</w:t>
      </w:r>
    </w:p>
    <w:p>
      <w:r>
        <w:t>120. Once the ex-factory price of Xenbilox® was increased to 2,900 euros per pack in the German market (on July 1, 2014), Sigma Tau began planning the subsequent price increase, to be applied as soon as the drug obtained definitive orphan designation. In a document from July 2014, Sigma Tau's evaluations regarding the European market were found, in the hypothesis of confirmation of the orphan designation by the end of 2015 and the consequent launch of the orphan drug in the first quarter of 2016; on this occasion, estimates of the Net Present Value (so-called NPV analysis) of the project for the registration and marketing of CDCA as an orphan drug for the treatment of CTX were developed, elaborating two possible scenarios, a “base case” and a “best case” scenario (see section III.6.2.i infra). These estimates relied on a price hypothesis per pack of the future drug of 5,000 euros (i.e., a price hypothesis of 55,000 annually per patient), which showed extremely high profitability202.</w:t>
      </w:r>
    </w:p>
    <w:p>
      <w:r>
        <w:t>121. These price hypotheses were well above the values that would have emerged as a result of the aforementioned market research commissioned in September 2014 by Sigma Tau to acquire the evaluation of doctors and stakeholders expressing the demand for the drug regarding the price level of a CDCA-based drug registered for CTX. From these, it emerged that in France, for example, the price deemed appropriate for therapy was around 25-35,000 euros per year, in Italy around 15-20,000 euros per year203, and in Spain it was around 20-30,000 euros per year, while in the United Kingdom this rose to 50,000 pounds per year, although some interviewees noted that 200 V. EMA, Public summary of opinion, cit. 201 V. docc. 22.7.105, all., 22.7.129 (“in case of negative response, STRD will definitively withdraw the EMA authorization filing and will continue to sell Xenbilox under current procedures without any room for sales expansion”; “In case of negative response to the appeal to COMP opinion: - With no ODD, request for approval withdrawn; - Xenbilox sold off-label; - No price increase vs current; - No volume increase”), 22.7.49, 78.8, 78.236, 78.239, 96.104. 202 V. doc. 95.6. 203 V. doc. 22.7.17 (“Given the current very-low price that CDCA is available for, it was unsurprising that when pricing was discussed, responses were constrained by the peculiarity of the situation in Italy ‘The actual cost of the CDCA internally produced is very cheap, maybe too cheap! I am not sure but I think that the cost of a capsule is lower than 1€’ ‘If the cost of an industrially-manufactured CDCA will be too far from the actual cost calculated through the value based system (14€ for a capsule) probably the National and the Regional Health Authorities will consider it too expensive’ If CDCA were supplied conventionally, annual costs of €15-20,000 were considered appropriate, but we also heard; ‘a very old molecule very easy to be manufactured is never too cheap!’”).</w:t>
      </w:r>
    </w:p>
    <w:p>
      <w:r>
        <w:rPr>
          <w:b/>
        </w:rPr>
        <w:t>[Pages 31–33]</w:t>
      </w:r>
    </w:p>
    <w:p>
      <w:r>
        <w:t>BULLETIN NO. 21 OF JUNE 6, 2022 33</w:t>
        <w:br/>
        <w:t>had indicated that for an effective but old drug, the annual cost of therapy should settle around £4,000-6,000204.</w:t>
      </w:r>
    </w:p>
    <w:p>
      <w:r>
        <w:t>122. A document from December 2014 highlights Sigma Tau's awareness of the possibility that the application of a high price for the orphan drug would be received negatively by the medical community: “Sigma Tau want to increase the monthly treatment cost of Xenbilox® and have already introduced some price increases but there are some concerns regarding a potential back-lash from treating clinicians”205.</w:t>
      </w:r>
    </w:p>
    <w:p>
      <w:r>
        <w:t>123. A document from October 2015 shows that new market research commissioned by Sigma Tau indicated the existence of four competitive risk factors that could compromise the application of the pricing policy envisaged by the company. These factors were identified as the presence of Xenbilox® in some national markets, the production of magistral preparations in Italy, the need to justify such a price request in light of the investments made, and finally the price of registered medicines for other ultra-rare diseases, including Orphacol®206. In particular, the research conducted highlighted the extreme reluctance of the interviewed subjects (health economists, doctors, and pharmacists consulting national regulatory authorities) to make a price comparison between CDCA and the aforementioned other drugs207.</w:t>
      </w:r>
    </w:p>
    <w:p>
      <w:r>
        <w:t>124. An internal email from January 2016208 included a presentation containing the guidelines of the Long Range Plan 2016-2020 of Sigma Tau's Global Rare Disease business unit. In light of a revised internal planning, which envisaged the approval of orphan drug designation by the EMA for August 2016 and the subsequent launch of the product for the following October, three new pricing hypotheses for the orphan drug were developed: 1) the first, defined as “realistic,” amounted to €6,000 per package; 2) the second amounted to €7,500 per package (“higher price”); 3) the third, the most optimistic, was €10,000 per package (“significantly higher price”). The presentation concluded by stating that “Xenbilox/CDCA approval and launch in Europe and possibly in the US represents a unique and exciting opportunity to grow and further develop the business.” These three pricing hypotheses were used in subsequent documents found referring to the period prior to the launch of the orphan drug on the market. In no case was a price higher than €10,000 per package hypothesized209.</w:t>
      </w:r>
    </w:p>
    <w:p>
      <w:r>
        <w:t>204 See doc. 22.7.17.</w:t>
        <w:br/>
        <w:t>205 See doc. 78.71.</w:t>
        <w:br/>
        <w:t>206 See doc. 78.80 (“Based on discussions with Sigma Tau there were 4 price ‘points’ that could be relevant to the project. Price of compounded CDCA (Italy). Price of off-label Xenbilox (Netherlands and Spain but price may not be visible). Premium price required by Sigma Tau to justify the investment. Prices of other ultra-orphan products that have a similar clinical impact. […] Expectation that prices 2-3x the Xenbilox price was feasible with an ideal upper limit of approx. €100,000/annum. Key risk were seen as follows: Presence of compounded CDCA: Lower threat. Withdrawal of Xenbilox: Needs to be well managed. Potential indication restriction: Probably only an issue if CDCA perceived to be “very” high price”).</w:t>
        <w:br/>
        <w:t>207 See doc. 78.80 (“None of the respondents wanted to use benchmark or analogue products produced for the pricing exercise. […] In some cases respondents were slightly affronted that an attempt was being made to make pricing decisions by this approach”).</w:t>
        <w:br/>
        <w:t>208 See doc. 95.4.</w:t>
        <w:br/>
        <w:t>209 In particular, doc. 78.27 (email titled “Xenbilox 5 years plan + PY sales”) from September 2016 – the one closest to the launch of CDCA Leadiant® on the market - refers to the base scenario, i.e. €6,000.</w:t>
      </w:r>
    </w:p>
    <w:p>
      <w:r>
        <w:t>34 BULLETIN NO. 21 OF JUNE 6, 2022</w:t>
        <w:br/>
        <w:t>III.5.5 The conclusion of a new exclusive supply agreement for CDCA with PCA in 2016</w:t>
      </w:r>
    </w:p>
    <w:p>
      <w:r>
        <w:t>125. From some documents acquired in the case file, it appears that as early as 2008 the pharmaceutical company became aware that if it charged particularly high prices for the orphan drug, pharmacists might resort to the preparation of a magistral production210. However, as mentioned, in June 2008 Sigma Tau secured exclusivity in the procurement of the raw material from the only existing supplier in Europe (see paragraphs 52, 53, 59, and 96 supra). As a result, several Italian ASLs that intended to set up their own magistral production could not access the raw material from PCA, to which they had turned211. In at least two cases, the requesting doctors were redirected towards the purchase of Chenofalk®212. But this demand for CDCA was ultimately satisfied by the Pharmacy of the AOU Senese, which provided its magistral drugs based on CDCA to other Italian hospitals thanks to the stock of raw material accumulated in 2007 (see paragraph 75 supra).</w:t>
      </w:r>
    </w:p>
    <w:p>
      <w:r>
        <w:t>126. Subsequently, in September 2014, the company was reiterated by a consulting firm that, especially for an “old drug,” the production of magistral preparations, as was happening in Italy, could pose a risk to the success of the pricing strategy that Sigma Tau intended to apply213. Hence the necessity for the pharmaceutical company, suggested in 2015, to have exclusivity over the raw material214 and, specifically for Italy, to attempt to put a “stop” to the magistral production of the hospital in Siena and replace it with Xenbilox®215.</w:t>
      </w:r>
    </w:p>
    <w:p>
      <w:r>
        <w:t>127. In order to confirm its exclusivity on the procurement of the raw material, at the beginning of 2015 Sigma Tau Pharmaceuticals Inc. contacted PCA with the proposal to conclude a new exclusive supply agreement for the active ingredient216. In view of this, the pharmaceutical company first requested PCA to carry out activities aimed at preparing the DMF, to improve the production of the active ingredient, through the implementation of the new purity test developed by Sigma Tau itself (see paragraph 53 supra)217. These activities were effectively carried out by the chemical company for a total fee of [€300,000-400,000]218.</w:t>
      </w:r>
    </w:p>
    <w:p>
      <w:r>
        <w:t>210 See doc. 22.7.3, annex “006060_2 Report” (“If ST charges prices significantly higher than currently available product, pharmacists will seek to supply using this lower-priced product instead of branded Chenorm if the two are interchangeable”).</w:t>
        <w:br/>
        <w:t>211 See docs. 25.3.10, 25.3.32, 28.2.17, 28.2.18, 28.2.21, 28.2.26, 28.2.168, 28.2.169, 28.2.170, 28.2.171.</w:t>
        <w:br/>
        <w:t>212 See docs. 28.2.17, 28.2.18, 28.2.26, 28.2.173.</w:t>
        <w:br/>
        <w:t>213 See doc. 22.7.17: “Strategies to get around paying very high prices for old drugs include import from other countries and suggesting small batch manufacturing by pharmacies. CDCA seems to be available to be bought for compounding so this will remain a risk in Germany (as it is already done in Italy)”.</w:t>
        <w:br/>
        <w:t>214 See doc. 78.34: “how can ST minimise the risk from compounded product availability in each country? How are compounding companies obtaining the API for CDCA? (High minimum order quantities and low prescribed volumes mean that API likely to be out of date). ST should have exclusive use for all API destined for use in CTX patients”.</w:t>
        <w:br/>
        <w:t>215 See doc. 22.7.17: “[…] need to establish if will help Xenbilox supply […] Discussions in Italy to understand if any possibility to replace self-compounded CDCA with Xenbilox”; “understand what, if anything, it would take to stop the hospital making its own CDCA and instead purchase imported CDCA”, doc. 78.44 (“The idea of buying their product was just to eliminate it”), doc. 78.52 (“stop them selling CDCA”).</w:t>
        <w:br/>
        <w:t>216 See doc. 78.203.</w:t>
        <w:br/>
        <w:t>217 See docs. 28.2.32-28.2.42, 28.2.67 and 78.203.</w:t>
        <w:br/>
        <w:t>218 See docs. 28.2.79, 28.2.81, 28.2.92, 28.2.102, 28.2.128, 28.2.134, 78.13, 78.199, 110.4B.</w:t>
      </w:r>
    </w:p>
    <w:p>
      <w:r>
        <w:t>BULLETIN NO. 21 OF JUNE 6, 2022 35</w:t>
        <w:br/>
        <w:t>128. The conclusion of the new exclusive supply agreement was preceded by a long negotiation219, which saw the parties opposing each other on various issues, including, in particular, the scope and reciprocity of the exclusivity220.</w:t>
      </w:r>
    </w:p>
    <w:p>
      <w:r>
        <w:t>129. In relation to this clause, some documents from March 2016 highlight that during the negotiations the parties deemed it necessary to find a legal justification for this clause, which referred to the market exclusivity arising from the orphan designation221. However, some subsequent documents from October 2016 confirm that the pharmaceutical company's concern was actually to prevent pharmacies from preparing magistral production using PCA's raw material (“the concern is that a compounding pharmacy could look to buy API from you on the grounds that it was to be used for a bile acid disorder other than CTX and then use some it for CTX patients”)222.</w:t>
      </w:r>
    </w:p>
    <w:p>
      <w:r>
        <w:t>130. In the meantime, prior to the conclusion of the new agreement, in November 2015 the Pharmacy of the AOU Senese stopped producing magistral drugs based on CDCA because it had run out of raw material (see paragraph 77 supra). In January 2016, the Pharmacy communicated the raw material shortage to Sigma Tau, which, during a meeting, declared itself unwilling to provide it with other raw material, but proposed that the orphan drug produced by the company be supplied directly to the patients of the Azienda Ospedaliera Universitaria Senese223. Conversely, the possibility was raised that the AOU Senese could avail itself of the so-called early access under Law No. 648/1996 for drugs not registered in Italy and still in the experimental phase224 225.</w:t>
      </w:r>
    </w:p>
    <w:p>
      <w:r>
        <w:t>131. The request for authorization to AIFA was carefully monitored and guided by Sigma Tau, which considered the matter “delicate,” as it could have significant implications, not only in Europe but also beyond, on the pricing strategy that the company intended to implement226, especially if such request, not being able to concern the orphan drug, which at the time was still not in production, related to Xenbilox®227, a circumstance that the company</w:t>
      </w:r>
    </w:p>
    <w:p>
      <w:r>
        <w:rPr>
          <w:b/>
        </w:rPr>
        <w:t>[Pages 34–36]</w:t>
      </w:r>
    </w:p>
    <w:p>
      <w:r>
        <w:t>36 BULLETIN NO. 21 OF JUNE 6, 2022</w:t>
        <w:br/>
        <w:t>intended to absolutely avoid228. The company, therefore, took time, even though it was aware of the potential negative consequences this would have on patients229, and in the meantime decided to redirect the AOU Senese towards the purchase of Xenbilox® from Juers Pharma230.</w:t>
      </w:r>
    </w:p>
    <w:p>
      <w:r>
        <w:t>132. In mid-February 2016, however, the AOU Senese urged the company to provide what was necessary to initiate the request procedure to AIFA for early access pursuant to Law No. 648/1996231, as the stock of magistral preparations already prepared would allow it to provide the medicine only to three patients and only for the following two or three months232. The serious supply problem and the difficulty in ensuring continuity of therapy for its patients, however, remained even in mid-March, generating strong concern and disappointment among the doctors in Siena (“Unfortunately, the information we received, not from AIFA but from Dr. [N.], who as you will remember was supposed to send us all the documents to forward the procedure to AIFA, was that we would have to wait until April, the time necessary for the completion of I no longer remember what on their part... contrary to all the principle statements made and reiterated that patients should not experience any discomfort resulting from the 'industrial process', they will and how [indeed. n.d.r] and we with them...”)233.</w:t>
      </w:r>
    </w:p>
    <w:p>
      <w:r>
        <w:t>133. From the documentation acquired, it emerges that by the end of March 2016 the request had not yet been finalized, because, contrary to initial forecasts (which contemplated the start of production in April 2016), the product was not yet in production and did not have a commercial name234. Patients affected by CTX followed by the AOU Senese were therefore treated with the administration of Xenbilox® imported from Germany235.</w:t>
      </w:r>
    </w:p>
    <w:p>
      <w:r>
        <w:t>134. With the end of the galenic preparation by the Pharmacy of the AOU Senese, other public facilities in Italy also encountered significant difficulties in obtaining the drug to continue the therapy that had been administered to their patients until then. Therefore, they again turned to PCA (or to Sigma Tau itself) to obtain the active ingredient and proceed to the galenic preparation, however without success, given the exclusivity that bound the chemical company since 2008236.</w:t>
      </w:r>
    </w:p>
    <w:p>
      <w:r>
        <w:t>135. In June 2016, PCA, concerned about the growing and pressing demand for CDCA from Italian hospitals, which complained about the severe shortage of the active ingredient and the risk to their patients, reported the problem to the pharmaceutical company, suggesting a waiver of the exclusivity clause contained in the supply contract with Sigma Tau. The latter considered such requests as potential threats to the introduction of the orphan drug at the desired price in the Italian market, and especially to its future reimbursement by the NHS, and therefore opposed them by disseminating the message in the market that the only source that hospitals should rely on was Sigma Tau itself (with the purchase of Xenbilox®)237.</w:t>
      </w:r>
    </w:p>
    <w:p>
      <w:r>
        <w:t>136. The new exclusive supply agreement for CDCA was signed between Sigma Tau Rare Disease Ltd. and PCA on November 11, 2016, and fully replaced the agreement between Sigma Tau Pharmaceuticals Inc. and the same PCA dated June 24, 2008, which was consensually resolved238.</w:t>
      </w:r>
    </w:p>
    <w:p>
      <w:r>
        <w:t>137. The new agreement has a duration of 7 years, automatically renewable for another two, and is valid globally. Inter alia, it provides that the pharmaceutical company may purchase CDCA exclusively from PCA and use this active ingredient solely for the production and marketing of Sigma Tau® Chenodeoxycholic Acid for the treatment of CTX (art. 2.2); similarly, further binding the chemical company more than in the past, the agreement establishes that PCA sells CDCA exclusively to the pharmaceutical company for the production and marketing of the aforementioned product (art. 2.3)239. The exclusivity binding the chemical company does not prevent it from supplying the raw material to third parties if the CDCA is needed to produce other drugs for different treatments. Article 5.1 of the agreement also provides for a fee for PCA equal to [1,000-5,000] euros/kg – whereas under the 2008 agreement PCA initially received a fee of [1-500] euros/kg for the years 2008 and 2009, subsequently increased to [500-1,000] euros/kg240 – and the payment to PCA of two royalties, each equal to [200,000-300,000] euros, upon Sigma Tau obtaining the AIC from EMA and FDA (art. 7.2)241.</w:t>
      </w:r>
    </w:p>
    <w:p>
      <w:r>
        <w:t>138. Various pieces of evidence acquired in the records highlight that, in compliance with the exclusivity clause contained in the November 2016 agreement, PCA has refused over the years multiple requests for the supply of CDCA, aimed at feeding the production activity of galenic medicines.</w:t>
      </w:r>
    </w:p>
    <w:p>
      <w:r>
        <w:t>139. Between 2017 and 2019, PCA was indeed contacted by various operators supplying pharmaceutical-grade active ingredients from hospital pharmacies in some European countries - including Italy according to the assessments of the pharmaceutical company itself - who intended to proceed to the galenic preparation242, as well as once again, during this time frame, by two Italian doctors who were treating patients affected by CTX and who, in at least one case considering the price at which the orphan drug was sold “extremely burdensome” and “unacceptable,” similarly requested the active ingredient to be able to prepare the drug themselves243. Similar disappointment was shown by another Italian doctor, who, aware of the previously existing galenic production and considering the price of Xenbilox® already high, evaluated very negatively the price at which Leadiant intended to introduce (and later introduced) Leadiant® CDCA into the Italian market and highlighted its inequity compared to the investments made244. Moreover, the company was aware that this position would be shared, in addition to the medical-scientific community, also by AIFA245.</w:t>
      </w:r>
    </w:p>
    <w:p>
      <w:r>
        <w:t>140. In response to such requests, PCA has always refused the supply of CDCA (sometimes citing the end of stocks246) and has promptly reported to Leadiant all requests received. For its part, Leadiant has always closely monitored PCA's behavior, verifying, especially in the first six months of 2017, that it had not supplied the active ingredient to companies that could serve hospital pharmacies, including those in Italy247.</w:t>
      </w:r>
    </w:p>
    <w:p>
      <w:r>
        <w:t>III.5.6 Obtaining the definitive orphan designation and AIC in 2017</w:t>
      </w:r>
    </w:p>
    <w:p>
      <w:r>
        <w:t>141. After Sigma Tau Arzneimittel GmbH transferred the German AIC of Xenbilox® to Sigma Tau Rare Disease Ltd.248 in August 2015, on October 29, 2015, the German subsidiary of the group submitted the AIC request for Sigma Tau Chenodeoxycholic Acid, through the aforementioned abbreviated “hybrid” authorization procedure (see paragraphs 32-35 supra)249.</w:t>
      </w:r>
    </w:p>
    <w:p>
      <w:r>
        <w:t>142. The dossier submitted by Sigma Tau Arzneimittel GmbH for the orphan drug AIC request drew part of the data from the Xenbilox® dossier (which, as mentioned above in paragraph 35, is</w:t>
      </w:r>
    </w:p>
    <w:p>
      <w:r>
        <w:rPr>
          <w:b/>
        </w:rPr>
        <w:t>[Pages 37–39]</w:t>
      </w:r>
    </w:p>
    <w:p>
      <w:r>
        <w:t>BULLETIN NO. 21 OF JUNE 6, 2022 39</w:t>
        <w:br/>
        <w:t>the so-called reference drug of the orphan drug250), and in particular to Module 4 concerning the pre-clinical studies of a pharmacological, pharmacokinetic, and toxicological nature of the drug251. The other parts of the dossier - the product quality profiles (Module 3) and the clinical trial of the drug (Module 5) - were developed by the company.</w:t>
      </w:r>
    </w:p>
    <w:p>
      <w:r>
        <w:t>143. In Module 3, the company presented the results of the tests conducted to improve the quality of the product. The documentation obtained highlights that Sigma Tau did not conduct bioequivalence studies, given that the two molecules were identical from a pharmaceutical standpoint, in terms of composition (active ingredient and excipients) and dosage, in addition to being produced based on the raw material from the same chemical company, namely PCA252.</w:t>
      </w:r>
    </w:p>
    <w:p>
      <w:r>
        <w:t>144. In Module 5, which concerns the "additional documentation" required by the applicable regulations for proving the efficacy and safety of "hybrid" drugs in the new therapeutic indication (see paragraph 34 supra), the company presented two retrospective studies based on the administration of two similar CDCA-based drugs (Xenbilox in one case, and the galenic preparations from the Pharmacy of the AOU Senese in the other case253) to patients affected by CTX followed by the two main centers for the rare disease existing in Europe254, in lieu of controlled prospective studies with placebo (clinical trials), the primary method of clinical experimentation. The company deemed it unnecessary to conduct prospective clinical studies, considering that their complete execution, which involves the creation of a control group, or a group of patients to whom the drug is not administered, would pose ethical issues, as patients included in such a group are effectively denied access to therapy, and since in any case the low prevalence of the disease would not allow for the creation of a statistically significant patient sample on which to conduct the clinical trials255.</w:t>
      </w:r>
    </w:p>
    <w:p>
      <w:r>
        <w:t>250 See EMA, Assessment report, cited, p. 5.g</w:t>
        <w:br/>
        <w:t>251 The content of the dossier is specified in Annex I of Directive 2001/83/EC, which contains "rules and analytical, toxicological, and clinical protocols regarding tests conducted on medicinal products." In the first of the four parts into which Annex I is divided (titled "requirements for the standardized marketing authorization dossier"), there are 5 modules, one of which, as relevant here, is dedicated to chemical, pharmaceutical, and biological information for medicinal products containing chemical and/or biological active substances ("Module 3"), one dedicated to non-clinical reports ("Module 4"), in which evidence of pharmacological, pharmacokinetic, and toxicological studies conducted on the medicinal product subject to the application is required, and one on clinical studies ("Module 5"). See doc. 138.4.13.</w:t>
      </w:r>
    </w:p>
    <w:p>
      <w:r>
        <w:t>252 See docs. 95.5, 95.6, 78.30, annex "Annex 1", p. 28 ("This product does not meet the definition of a generic, nor are there changes to the bioavailability as the reference and proposed product are the same"), 78.60, 78.211, 78.352, annex "Chenodeoxycholic acid – 2nd LoOI", 78.357 ("[…] the retrospective data that will be collected have been obtained with a galenic formulation of chenodeoxycholic acid and the retrospective protocol is purposely focused on chenodeoxycholic acid and not Xenbilox. The Univ of Siena will prepare a technical report that will in some way 'validate' it and will highlight overlapping features with Xenbilox indicating the same API. […] the galenic formulation manufactured in house at the pharmacy can be considered pharmaceutically equivalent and this means at least in the EU no bioequivalence studies are required. The API comes from the same manufacturer and the excipients and composition are according to the Ph.Eur monograph for CDCA"). See also EMA, Assessment report, cited, p. 8.</w:t>
      </w:r>
    </w:p>
    <w:p>
      <w:r>
        <w:t>253 To support the consistency between the two retrospective studies (conducted based on the administration of the galenic drug and Xenbilox®) presented in support of its AIC application, Sigma Tau conducted a comparison activity between the capsules produced by the Pharmacy of the AOU Senese and Xenbilox®. See doc. 78.44. See also EMA, Assessment Report, cited, p. 35: "Results of studies of dissolution comparing the two products demonstrated that, despite minor differences in excipients contained in the compounded and reference formulations, both products can be considered similar."</w:t>
      </w:r>
    </w:p>
    <w:p>
      <w:r>
        <w:t>254 See doc. 72.1, p. 18.</w:t>
      </w:r>
    </w:p>
    <w:p>
      <w:r>
        <w:t>255 See docs. 78.30, annex "Annex 1 – Overview of product development", 78.45, 78.60, 78.66, 78.68, 78.69, 78.70, 78.346, 78.351, annex "CDCA reg strategy EU_21.01.16.pptx", 78.405.</w:t>
      </w:r>
    </w:p>
    <w:p>
      <w:r>
        <w:t>40 BULLETIN NO. 21 OF JUNE 6, 2022</w:t>
        <w:br/>
        <w:t>145. Around mid-2014, Sigma Tau Pharmaceuticals Inc. had indeed begun to collaborate directly with the specialist doctor of the AOU Senese to verify his availability to conduct a retrospective study on the 25 patients affected by the rare disease and treated for decades with CDCA in galenic form at the AOU Senese256.</w:t>
      </w:r>
    </w:p>
    <w:p>
      <w:r>
        <w:t>146. Sigma Tau was not the only company to contact the University of Siena for the conduct of such a study. In fact, Retrophin Inc. (hereinafter also "Retrophin"), holder since 2014 of an orphan drug based on CDCA authorized for the treatment of gallstones in the United States but administered for the treatment of CTX, Chenodal257, had made a similar attempt, which however proved unsuccessful258. The exclusive collaboration of the University of Siena with Sigma Tau began at least in May 2014 and continued in the months leading up to the submission of the orphan designation request for CDCA259.</w:t>
      </w:r>
    </w:p>
    <w:p>
      <w:r>
        <w:t>147. The established collaboration was then formalized. In October 2014, in fact, Sigma Tau Research Switzerland S.A. and the AOU Senese entered into an agreement concerning one of the two aforementioned retrospective studies260, which then merged in December 2014 into a framework agreement between Sigma Tau Pharmaceuticals Inc. and the Company that governs, in addition to the execution of the study, also the transfer of all data, knowledge, and results obtained therein261. In particular, Article 7 of the agreement provides that the scientific results obtained are the property of Sigma Tau (now Leadiant). Similarly, letter c) of the framework agreement provides for the obligation of the University Hospital Company of Siena to transfer to Sigma Tau all data, knowledge, and results obtained during the retrospective study and the prohibition of transferring, selling, licensing, or otherwise assigning the data and/or related rights to third parties. Furthermore, Sigma Tau Research Switzerland S.A. entered into a protocol with the hospital which inter alia provides in Article 12.4 for the mandatory transfer of the data obtained in the retrospective studies to Sigma Tau262.</w:t>
      </w:r>
    </w:p>
    <w:p>
      <w:r>
        <w:t>148. All of this, namely the exclusivity in favor of the company on the data and results of the study established at the end of 2014 as well as the simultaneous obtaining by Sigma Tau of the preliminary orphan designation263, was deemed by the company itself sufficient in itself for the U.S. company not to have access to the European market264.</w:t>
      </w:r>
    </w:p>
    <w:p>
      <w:r>
        <w:t>149. In addition, in early 2015, Sigma Tau Pharmaceuticals Ltd. entered into a similar agreement with the Dutch hospital Casinius Wilhelmina in Nijmegen concerning the conduct of another retrospective study based on the off-label administration of Xenbilox® to 35 patients since 1981. Similar contractual obligations regarding Sigma Tau's exclusive ownership of the data underlying the retrospective study and the related results are contained in Article 4 of the agreement and in Article 12.4 of a second protocol also entered into with Sigma Tau Pharmaceuticals Ltd.265.</w:t>
      </w:r>
    </w:p>
    <w:p>
      <w:r>
        <w:t>150. According to the information that the same company included in its regulatory dossier submitted to AIFA for the purpose of requesting reimbursement for Chenodeoxycholic Acid Leadiant®, information also confirmed in the hearing by the specialist doctor of the AOU Senese266, the two retrospective studies are the largest ever conducted globally, not only in terms of the patient sample involved but especially in terms of the length of the observation period of the results of the administration of CDCA to said patients267.</w:t>
      </w:r>
    </w:p>
    <w:p>
      <w:r>
        <w:t>151. The retrospective study of the University Hospital Company of Siena and the retrospective study of the Dutch hospital Casinius Wilhelmina in Nijmegen cost Sigma Tau, respectively, [100,000-200,000] euros268 and [100,000-200,000] euros269, for a total of [300,000-400,000] euros, to which could be added [200,000-300,000] euros corresponding to the royalty provided for in the contract entered into between Sigma Tau Research Switzerland S.A. and the AOU Senese270.</w:t>
      </w:r>
    </w:p>
    <w:p>
      <w:r>
        <w:t>152. The company submitted the AIC application on September 14, 2015271. From the inspection documentation, it emerges that within the AIC attribution procedure, in September 2016, the Committee for Medicinal Products for Human Use (CHMP) of the EMA, in giving a positive opinion to the AIC request, considered that Sigma Tau's CDCA was not "similar," pursuant to Article 8, paragraph 1,</w:t>
      </w:r>
    </w:p>
    <w:p>
      <w:r>
        <w:t>263 See doc. 95.15, from which it emerges that the company at the end of 2014 believed that "ODD protects against other CDCA products." This circumstance then evidently convinced Sigma Tau that Retrophin Inc. would not enter the European market, so much so that it assumed to possess 100% of the market. See docs. 22.7.129 and 95.15 ("Retrophin will not enter RoW market"). See also doc. 78.249 from which it emerges that Sigma Tau in July 2015 stated that the U.S. competitor "is thought to have pulled out of Europe (in terms of plans to launch there) since ST obtained the Orphan designation for CDCA so Retrophin’s CDCA is not expected to be a competitor in Europe."</w:t>
      </w:r>
    </w:p>
    <w:p>
      <w:r>
        <w:t>264 In July 2015, in fact, the company itself was discussing internally the potential effects that the registration of Chenodal would have on the European market, concluding that if Retrophin Inc. wanted to request orphan designation also in Europe, it could not use the data from the Italian center or the Dutch one, due to Sigma Tau's exclusivity over such data ("Require EU case studies to support EU filing and ST has exclusive agreement with [F.] and potentially [V.] to have access to their case studies so Retrophin could not use these major centres" (see doc. 78.249).</w:t>
      </w:r>
    </w:p>
    <w:p>
      <w:r>
        <w:t>265 See docs. 22.7.117, 78.41, 78.224, 78.227, and 78.237.</w:t>
      </w:r>
    </w:p>
    <w:p>
      <w:r>
        <w:t>266 See doc. 133.</w:t>
      </w:r>
    </w:p>
    <w:p>
      <w:r>
        <w:t>267 See doc. 72.1, from which it emerges that in terms of patient sample, the two retrospective studies are the largest; in the reimbursement dossier, a Spanish study is also cited with a patient sample comparable to those of the two Dutch and Italian studies, but still lower (23 patients). The samples from other studies are significantly smaller. See also doc. 140.3.</w:t>
      </w:r>
    </w:p>
    <w:p>
      <w:r>
        <w:t>268 See doc. 6.8.</w:t>
      </w:r>
    </w:p>
    <w:p>
      <w:r>
        <w:t>269 See docs. 78.222, 78.223, 78.237, and 78.387.</w:t>
      </w:r>
    </w:p>
    <w:p>
      <w:r>
        <w:t>270 See doc. 141.</w:t>
      </w:r>
    </w:p>
    <w:p>
      <w:r>
        <w:t>271 See EMA, Assessment Report, cited.</w:t>
      </w:r>
    </w:p>
    <w:p>
      <w:r>
        <w:rPr>
          <w:b/>
        </w:rPr>
        <w:t>[Pages 40–42]</w:t>
      </w:r>
    </w:p>
    <w:p>
      <w:r>
        <w:t>BULLETIN NO. 21 OF JUNE 6, 2022</w:t>
      </w:r>
    </w:p>
    <w:p>
      <w:r>
        <w:t>42</w:t>
      </w:r>
    </w:p>
    <w:p>
      <w:r>
        <w:t>of Regulation (EC) No. 141/2000272, neither Kolbam® nor Orphacol®273, given the structural differences between CDCA and cholic acid, their different modes of action, and their consequent different biochemical actions, highlighted by Sigma Tau during the procedure274. The judgment of non-similarity thus allowed the company not to suffer the prohibitive effects related to the market exclusivity already enjoyed by Kolbam® and Orphacol® (see paragraph 41 supra).</w:t>
      </w:r>
    </w:p>
    <w:p>
      <w:r>
        <w:t>153. Furthermore, after an initial negative opinion in October 2016275, following the appeal filed by Sigma Tau (which had become Leadiant), in February 2017 the Committee for Orphan Medicinal Products (COMP) of the EMA finally deemed that the requirements for orphan designation remained and confirmed the orphan drug status for CDCA276, basing this decision on the clinical evidence provided by the same company regarding the possession by CDCA of "significant beneficial effects," especially neurologically, compared to cholic acid, contained in Kolbam® and Orphacol®277.</w:t>
      </w:r>
    </w:p>
    <w:p>
      <w:r>
        <w:t>154. The marketing authorization (AIC) for Chenodeoxycholic Acid Sigma Tau® was granted to Sigma Tau Arzneimittel GmbH on April 10, 2017. Therefore, according to the community register, the 10 years of market exclusivity expire on April 12, 2027.</w:t>
      </w:r>
    </w:p>
    <w:p>
      <w:r>
        <w:t>155. Given the difficulty of exhaustively demonstrating the safety and efficacy profile of the drug278 for the reasons mentioned above, the AIC for the orphan drug was granted by the European Commission "in exceptional circumstances"279, that is, subject to the obligation imposed on the holder to collect data on the long-term safety and efficacy of the treatment for patients affected by CTX and to submit the results by 2022 (and then every 5 years). This conditional release compensates for the absence of complete clinical data supporting the AIC application by the applicant company.</w:t>
      </w:r>
    </w:p>
    <w:p>
      <w:r>
        <w:t>156. On May 12, 2017, the orphan drug was renamed Chenodeoxycholic Acid Leadiant®. On May 31, 2017, the related AIC was transferred from Sigma Tau Arzneimittel GmbH to Leadiant GmbH, a newly established company of the former Sigma Tau group (see better section III.5.7.ii infra)280.</w:t>
      </w:r>
    </w:p>
    <w:p>
      <w:r>
        <w:t>157. On June 12, 2017, the definitive orphan designation of Chenodeoxycholic Acid Leadiant® was also transferred from Sigma Tau Arzneimittel GmbH to Leadiant GmbH281.</w:t>
      </w:r>
    </w:p>
    <w:p>
      <w:r>
        <w:t>III.5.7 The differentiation strategy of CDCA Leadiant® from Xenbilox®</w:t>
      </w:r>
    </w:p>
    <w:p>
      <w:r>
        <w:t>158. The documentation acquired in the records highlights that in order to launch the new orphan drug on the market and support the proposed pricing policy (see section III.5.4 supra), Sigma Tau implemented a differentiation strategy of the same from Xenbilox®282, which unfolded through two closely linked lines of action: the withdrawal of Xenbilox® from the German market before the launch of CDCA Leadiant®, and the creation of a new company, different from Sigma Tau Arzneimittel GmbH, namely Leadiant GmbH, to which the AIC of the orphan drug would be attributed.</w:t>
      </w:r>
    </w:p>
    <w:p>
      <w:r>
        <w:t>i) The withdrawal of Xenbilox® from the German market and from other national markets</w:t>
      </w:r>
    </w:p>
    <w:p>
      <w:r>
        <w:t>159. The decision to proceed with the withdrawal of Xenbilox® from the German market was evaluated in the early months of 2014283, and then considered with greater determination in September 2014, immediately after the company had requested preliminary orphan designation for CDCA (see paragraph 117 supra), since the commissioned consultations clearly indicated that the desired price increase would not be possible without the withdrawal of Xenbilox® from the market284. In this case, the identity between the active ingredient of the orphan drug and that of the off-label drug would indeed have triggered the price moratorium and would have obliged the company to reimburse the German health insurers the difference between the currently approved reimbursement price for Xenbilox® and the price of the future orphan drug (in the form of a discount on the price), hindering the revenue maximization goal that the company had set out to achieve285. A price increase, and more generally the freedom to set it, would conversely have been practicable in Germany only if the orphan drug had been qualified as a product that, from a commercial and regulatory perspective, could be considered new compared to Xenbilox®286.</w:t>
      </w:r>
    </w:p>
    <w:p>
      <w:r>
        <w:t>160. Given the multiple implications of this strategy, the company carried out the withdrawal operation managing it carefully287. On one hand, indeed, the withdrawal of Xenbilox® from the market appeared useful to make it seem that the orphan drug was considered new and thus to avoid anchoring its reimbursement price to that of the off-label medicine288; on the other hand, however, if the orphan drug had turned out to be new, it would have been subjected to the evaluation procedure289 by the German regulatory authorities of the added therapeutic value290, which the company initially wanted to avoid291.</w:t>
      </w:r>
    </w:p>
    <w:p>
      <w:r>
        <w:t>161. Subsequently, the company evaluated the hypothesis of subjecting the orphan drug to said evaluation procedure of added therapeutic value, as it realized that even if Xenbilox® had been withdrawn from the market, the rules on the pricing of newly introduced drugs on the market and owned by companies that had previously marketed drugs with the same active substance and with a comparable pharmaceutical form292 would still have tied the reimbursement price of the orphan drug to that of the old off-label medicine293. If, on the other hand, it had managed to demonstrate that the orphan drug possessed an added therapeutic value compared to Xenbilox®, it could have detached itself from the reimbursement price of the latter medicine and not have to grant the discount to health insurers294.</w:t>
      </w:r>
    </w:p>
    <w:p>
      <w:r>
        <w:t>162. Nevertheless, the outcome of this procedure, according to an external consultant, remained uncertain, inter alia due to the absence of prospective studies to support it. In particular, the consultant suggested to the company to request the activation of the evaluation procedure only if it was actually convinced that it could demonstrate a significant added therapeutic value that</w:t>
      </w:r>
    </w:p>
    <w:p>
      <w:r>
        <w:rPr>
          <w:b/>
        </w:rPr>
        <w:t>[Pages 43–45]</w:t>
      </w:r>
    </w:p>
    <w:p>
      <w:r>
        <w:t>BULLETIN NO. 21 OF JUNE 6, 2022 45</w:t>
        <w:br/>
        <w:t>justified the anticipated price increase that the company intended to apply for the orphan drug (at that time €10,000 per package)295. Otherwise, he suggested requesting formal confirmation from the competent authority regarding the fact that the evaluation procedure was not applicable to the orphan drug296.</w:t>
      </w:r>
    </w:p>
    <w:p>
      <w:r>
        <w:t>163. The non-mandatory nature of the evaluation procedure for the added therapeutic value of the orphan drug was communicated in December 2015 by the competent German authority, to which Sigma Tau had turned with a request for clarification sent at the end of October 2015297. This was precisely because the drug was not new and contained the same active ingredient as an already existing medicine. Consequently, despite the planned withdrawal of Xenbilox®, the orphan drug would fall within the scope of the price moratorium and would have forced Sigma Tau to return to the health insurance funds the difference between the launch price of the orphan drug and the reimbursement price of Xenbilox®298.</w:t>
      </w:r>
    </w:p>
    <w:p>
      <w:r>
        <w:t>164. However, the price moratorium would not have been applicable if at the time of the launch of the orphan drug on the German market, in addition to the unavailability of Xenbilox® in the official price list, the holder of the marketing authorization (AIC) of the new orphan drug had been a company different from that holding the distribution rights of Xenbilox®299 (see the following section).</w:t>
      </w:r>
    </w:p>
    <w:p>
      <w:r>
        <w:t>165. Therefore, the planning of the withdrawal of Xenbilox® from the German market continued in the following months300 and in May 2016 the company decided that Xenbilox® would be withdrawn at the moment the launch of the new product was completed, which in turn depended on when the company would obtain the AIC for the orphan drug301.</w:t>
      </w:r>
    </w:p>
    <w:p>
      <w:r>
        <w:t>166. In September 2016, after obtaining the positive opinion of the COMP of the EMA on the AIC request for the orphan drug, Sigma Tau began to define the withdrawal strategy more concretely, identifying for the first time a precise, albeit not definitive, timeline: the company decided to initiate the withdrawal procedure for Xenbilox® at the end of September 2016, fulfilling the last orders in October 2016, and to conclude it between April and May 2017, withdrawing any packages still on the market302. In mid-October 2016, Sigma Tau sold the existing stock of Xenbilox® to the wholesaler Juers Pharma, which continued to sell the product to end customers until the definitive withdrawal of the drug from the market303.</w:t>
      </w:r>
    </w:p>
    <w:p>
      <w:r>
        <w:t>167. The previously mentioned documentation also refers to the reasons, already identified on other occasions, that should have supported the decision to withdraw Xenbilox® from the German market304. These reasons emerge from an earlier document, from September 2015, in which it is established that the withdrawal would be justified by the fact that the original therapeutic indication, the treatment of gallstones, no longer had a market, as much more effective therapies had now become established305. However, from the internal correspondence of the company in the second half of May 2017, it emerges that the real reason for the withdrawal of Xenbilox® from the market was strategic (“I confirm that Xenbilox is only recalled locally in Germany. It is recalled only for strategic reasons, not for a quality or a safety reason”306), that is, functional to avoid that at the time of negotiating the price of the orphan drug, the competent authorities could refer to Xenbilox®, as had been feared multiple times in the above-mentioned documentation.</w:t>
      </w:r>
    </w:p>
    <w:p>
      <w:r>
        <w:t>168. Between March and April 2017, the company also decided to request the removal of Xenbilox® from the official price list after the conclusion of the withdrawal procedure of Xenbilox® from the market, that is, in the first half of May 2017, to obtain it between the end of May and the beginning of June 2017307. Immediately after, the inclusion of the orphan drug in the official price list was requested308. This avoided the formal coexistence of the two products, Xenbilox® and the orphan drug, on the market309.</w:t>
      </w:r>
    </w:p>
    <w:p>
      <w:r>
        <w:t>169. Sigma Tau (now become Leadiant) did not conversely request the revocation of the AIC of Xenbilox®310. The definitive revocation of the AIC of Xenbilox® was requested from the German regulatory authorities only in June 2019311.</w:t>
      </w:r>
    </w:p>
    <w:p>
      <w:r>
        <w:t>170. The inspection documentation indicates that the strategy aimed at avoiding the coexistence on the market of Xenbilox® and CDCA Leadiant® played a role in the negotiations initiated before the other national regulatory authorities312, including AIFA (see paragraphs 197, 199, and 203 below)313.</w:t>
      </w:r>
    </w:p>
    <w:p>
      <w:r>
        <w:t>ii) The creation of a new German company that would hold the AIC for the orphan drug</w:t>
      </w:r>
    </w:p>
    <w:p>
      <w:r>
        <w:t>171. From some documents from early 2016, it emerges that the company had decided to create a new company in Germany (Leadiant GmbH). In a presentation from that time, the company conducted an assessment of the advantages and disadvantages of this choice, concluding that there were several positive aspects resulting from it: among these, the possibility of obtaining the desired price for the future orphan drug314.</w:t>
      </w:r>
    </w:p>
    <w:p>
      <w:r>
        <w:t>172. The aforementioned document from March 2016 explicitly states the link between the creation of the new company and the implications of this decision on the price of the future orphan drug: according to the company, neither Sigma Tau Rare Disease Ltd., holder of the AIC for Xenbilox® at that time, nor Sigma Tau Arzneimittel GmbH, previous holder of the AIC for Xenbilox®, could hold the AIC for the new orphan drug, without the competent authorities referring to the reimbursement price of the first drug in determining the reimbursement price of the second. Hence the need to create a new entity, controlled by Sigma Tau Rare Disease Ltd. (“As we discussed before we will need a newco in Germany because neither ST GmbH nor STRDL can be MA holders and/or distributors of the new CDCA without an immediate reference to the old Xenbilox® price. A name change is not enough. This must be a new pharmaceutical entrepreneur (new numbers, register, etc). However the newco can be fully owned by STRDL”315).</w:t>
      </w:r>
    </w:p>
    <w:p>
      <w:r>
        <w:t>173. In November 2016, when Sigma Tau Rare Disease Ltd. was about to change its name to Leadiant Biosciences Ltd. (in December 2016)316, doubts arose internally within the company regarding the appropriateness of also having Xenbilox® owned by a company of the Leadiant group, albeit different from the German subsidiary itself. It was feared, in other words, that notifying the British regulatory authorities of the change of name of the holder of the AIC for Xenbilox® from Sigma Tau Rare Disease Ltd. to Leadiant Biosciences Ltd. would lead the two products, Xenbilox® and the orphan drug, to fall within the same corporate group and would cause the German regulatory authorities to associate them in the procedure for determining the reimbursement price for the orphan drug. In this way, the efforts related to the creation of a new German company, functional to realizing the profits derived from 312 V. doc. 78.329 (“If a rebranding process is implemented in Germany, and the manufacturer of both drugs remains the same (Sigma Tau), Spanish authorities will try to use the previous price of Xenbilox as an external reference price instead of the new branded product’s price. However, Xenbilox has not received a formal price from the Spanish authorities, thereby avoiding a formal ability to act as a reference. Sigma Tau can argue the product is different because it has a new indication unrelated to the previous one, and that research activities have been conducted to prove the efficacy and safety of this new orphan indication”).</w:t>
      </w:r>
    </w:p>
    <w:p>
      <w:r>
        <w:t>313 V. doc. 108.</w:t>
      </w:r>
    </w:p>
    <w:p>
      <w:r>
        <w:t>314 V. docc. 22.7.50.</w:t>
      </w:r>
    </w:p>
    <w:p>
      <w:r>
        <w:t>315 V. doc. 96.79.</w:t>
      </w:r>
    </w:p>
    <w:p>
      <w:r>
        <w:t>316 V. doc. 28.2.96.</w:t>
      </w:r>
    </w:p>
    <w:p>
      <w:r>
        <w:rPr>
          <w:b/>
        </w:rPr>
        <w:t>[Pages 46–48]</w:t>
      </w:r>
    </w:p>
    <w:p>
      <w:r>
        <w:t>BULLETIN NO. 21 OF JUNE 6, 2022</w:t>
      </w:r>
    </w:p>
    <w:p>
      <w:r>
        <w:t>48. from the introduction in Germany of the orphan drug at a higher price than that applied for Xenbilox®317.</w:t>
      </w:r>
    </w:p>
    <w:p>
      <w:r>
        <w:t>174. However, the internal discussion concluded in March 2017 that the existence of a controlling relationship between Leadiant Biosciences Ltd. and Leadiant GmbH would not have called into question the autonomy of the latter under German law318.</w:t>
      </w:r>
    </w:p>
    <w:p>
      <w:r>
        <w:t>175. In August 2017, the association of German health insurers sent a communication to Leadiant GmbH stating that the provisions of the price moratorium for newly introduced drugs on the market owned by companies that had previously marketed drugs with the same active ingredient and with a comparable pharmaceutical form were applicable to the case at hand, and requested a discount on the price equal to the difference between that price and the reimbursement price of the previously marketed drug, Xenbilox®, amounting to 660 euros per package319.</w:t>
      </w:r>
    </w:p>
    <w:p>
      <w:r>
        <w:t>176. Between August and September 2017, Sigma Tau and the association exchanged some correspondence in which the company emphasized that Leadiant GmbH was a new company and not a spin-off or successor of Sigma Tau Arzneimittel GmbH, from which it had not acquired any assets, rights, or obligations. Therefore, the two companies should be considered distinct and independent. Similarly, it asserted that the orphan drug was a new drug and not Xenbilox® with a new trade name320.</w:t>
      </w:r>
    </w:p>
    <w:p>
      <w:r>
        <w:t>177. The documentation in the records shows that the company managed to convince the association of health insurers of the correctness of its thesis and to avoid it requesting a discount during the determination of the reimbursement price of the orphan drug, referring to the lower price of Xenbilox®321.</w:t>
      </w:r>
    </w:p>
    <w:p>
      <w:r>
        <w:t>III.5.8 Market reactions to the price of the orphan drug in Germany and other European countries</w:t>
      </w:r>
    </w:p>
    <w:p>
      <w:r>
        <w:t>178. Some internal documents reveal Leadiant's awareness of the German regulator's opposition to the price at which the orphan drug was launched on the market322, amounting to approximately [20,000-30,000] euros per package323, especially in light of the perception of the commercial operation as a mere "repurposing"324.</w:t>
      </w:r>
    </w:p>
    <w:p>
      <w:r>
        <w:t>179. The negative reaction to the price at which the orphan drug was launched in Germany was also manifested in the press, to which Sigma Tau responded by emphasizing the differences between CDCA Leadiant® and Xenbilox®, registered for the treatment of a different disease, from which many more patients suffered, and on the fact that Leadiant had to incur significant research and development and registration costs for the orphan drug325.</w:t>
      </w:r>
    </w:p>
    <w:p>
      <w:r>
        <w:t>180. Despite this complicated institutional context, the company deemed it useful to maintain the orphan drug on the German market at a high price, as this price, at least for the first year in which the company had the freedom to choose its level, would serve as a reference for negotiations in other European countries326.</w:t>
      </w:r>
    </w:p>
    <w:p>
      <w:r>
        <w:t>181. Other documents obtained in the records also reflect the equally negative reaction of some stakeholders, representing the demand for the drug, to the prices proposed by Leadiant in various EU countries for the launch of CDCA Leadiant®.</w:t>
      </w:r>
    </w:p>
    <w:p>
      <w:r>
        <w:t>182. A document from October 2017, in particular, highlights the negative reaction of Austrian doctors to the price of the orphan drug327.</w:t>
      </w:r>
    </w:p>
    <w:p>
      <w:r>
        <w:t>183. Additionally, a letter from April 2018 sent by the Dutch Ministry of Health to the President of the House of Representatives of the States General contains a negative assessment of the price of the orphan drug, in light of the related investment in innovation made. In particular, the Minister believed that the annual price of 160,000-220,000 euros proposed by Leadiant to Dutch insurers was inappropriate in relation to the activities carried out by the company for obtaining orphan designation, based on mere recognition of the scientific literature and having commissioned two retrospective studies showing the effect of the drug on the disease, activities considered useful but not "revolutionary" and deserving of the economic remuneration requested by the company328.</w:t>
      </w:r>
    </w:p>
    <w:p>
      <w:r>
        <w:t>III.5.9 The introduction of Chenodeoxycholic Acid Leadiant in Italy and the negotiation of the price with AIFA</w:t>
      </w:r>
    </w:p>
    <w:p>
      <w:r>
        <w:t>184. Regarding the introduction of the orphan drug into the Italian market, the documentation in the records highlights that in the first half of 2016 the company was preparing for a preliminary meeting with AIFA to be held in June 2016, in view of the start of the price negotiation procedure in Italy. A particular document reveals that the company instructed a consulting firm, which assisted it during the negotiation, about the information to be included in the reimbursement dossier for the orphan drug: it was to be described, not as a drug based on a known active ingredient with a new therapeutic indication, but as a completely new drug for the Italian market329. Similarly, another document from the same period (June 2016) indicates that the company intended to operate "in Italy, carefully avoiding creating [...] links with the name Sigma-Tau"330.</w:t>
      </w:r>
    </w:p>
    <w:p>
      <w:r>
        <w:t>185. For this reason, the company was concerned, for example, about avoiding that, close to the start of the price negotiation procedure for the orphan drug with AIFA, hospitals would not request the Agency for access to the so-called AIFA National Fund 5%331 for the purchase of Xenbilox®, but rather request it for the new orphan drug soon to be introduced on the market332.</w:t>
      </w:r>
    </w:p>
    <w:p>
      <w:r>
        <w:t>186. In March 2017, the company began gathering the necessary information to include in the reimbursement dossier to be submitted to AIFA not only the data relating to investments in research and development made in Italy in the three-year period 2014-2016, but also those relating to other medicines, different and unrelated to CDCA333. The research led to the identification, within these overall investments, of an amount of costs related to the registration project of the orphan drug in Italy which – excluding the price paid to the University of Siena for conducting the retrospective study – amounted to approximately [100,000-200,000] euros334.</w:t>
      </w:r>
    </w:p>
    <w:p>
      <w:r>
        <w:t>187. By the end of May 2017, the Chief Financial Officer (CFO) of the company also indicated that the total investments in research and development made in Italy by Sigma Tau/Leadiant between 2014 and 2017, also related to products other than CDCA, amounted to approximately [2-3] million euros (of which [100,000-200,000] euros related to CDCA)335.</w:t>
      </w:r>
    </w:p>
    <w:p>
      <w:r>
        <w:t>188. Meanwhile, the company, expecting difficult discussions with national authorities regarding the price it intended to ask for the orphan drug in relation to the investments made for its development336, in view of the negotiation procedure to be initiated with AIFA, also verified the amount of external costs incurred so far for the CDCA project globally, thus establishing in detail (item by item) that these, for the</w:t>
      </w:r>
    </w:p>
    <w:p>
      <w:r>
        <w:t>330. See doc. 78.95.</w:t>
      </w:r>
    </w:p>
    <w:p>
      <w:r>
        <w:t>331. The law establishing AIFA provides for a national fund for the use of orphan drugs for rare diseases and medicines that represent a hope for treatment, pending commercialization, for particular and serious pathologies (Article 48, paragraph 19, letter a, of Law Decree No. 269 of September 30, 2003, converted by Law No. 326 of November 24, 2003). This fund is financed by 5% of the annual expenses for the promotional activities of pharmaceutical companies. Requests for access to the fund are submitted to AIFA, through the Regions, by the reference Centers that care for the patients, or by specialist structures identified by the Regions, with the definition of the diagnosis and the therapeutic plan.</w:t>
      </w:r>
    </w:p>
    <w:p>
      <w:r>
        <w:t>332. See doc. 22.7.150, from which it emerges that an Italian hospital, BESTA, which in March 2017 intended to purchase Xenbilox® and request access to the AIFA National Fund 5%: the company therefore hypothesized providing the orphan drug free of charge to the hospital to avoid it requesting access to the Fund for Xenbilox® and to prepare the reports that would allow the future sale of CDCA Leadiant® or in any case to request access to the Fund for the price proposed to AIFA, and doc. 78.90. Similarly, the University Hospital of Siena intended to submit the same request (see doc. 78.86).</w:t>
      </w:r>
    </w:p>
    <w:p>
      <w:r>
        <w:t>333. See docs. 78.420 ("The P&amp;R dossier that Dario and Lucia are assembling for AIFA must include the R&amp;D investments that the 'Company or Group' has sustained in the last three years in Italy and asked me some support on this. R&amp;D costs independently of the specific product (CDCA in this case) and of the Applicant (e.g. Germany) can be indicated. They refer generically to the Leadiant Group and to R&amp;D projects and for this reason we can also include costs sustained in Italy for example on Heparanase (which I have) or other projects") and 78.168.</w:t>
      </w:r>
    </w:p>
    <w:p>
      <w:r>
        <w:t>334. See docs. 78.420 and 78.421.</w:t>
      </w:r>
    </w:p>
    <w:p>
      <w:r>
        <w:t>335. See docs. 78.449, 78.463, 78.172, 78.173.</w:t>
      </w:r>
    </w:p>
    <w:p>
      <w:r>
        <w:t>336. See doc. 78.438 ("In the spirit of expecting very difficult discussions concerning our proposed price vs R&amp;D investment..."). The awareness of this had, moreover, developed even in March 2016: "[...] it would seem inevitable that at some point we will have to offer to 'open our books' in order to assist with the justification of price for CDCA [...]" (see doc. 78.441).</w:t>
      </w:r>
    </w:p>
    <w:p>
      <w:r>
        <w:rPr>
          <w:b/>
        </w:rPr>
        <w:t>[Pages 49–51]</w:t>
      </w:r>
    </w:p>
    <w:p>
      <w:r>
        <w:t>BULLETIN NO. 21 OF JUNE 6, 2022 51</w:t>
        <w:br/>
        <w:t>the years 2014-2017, amounted to approximately [10-20] million euros337. Of these, only a minimal part is actually classifiable as research and development investments338. Other documents in the records, internal to the company, dating back to the years 2014-2017, account for the estimates of costs in research and development, which were not particularly significant, that the company had incurred or expected to incur for the launch of the orphan drug on the European market339.</w:t>
      </w:r>
    </w:p>
    <w:p>
      <w:r>
        <w:t>189. The request for reimbursement and classification of Chenodeoxycholic Acid Leadiant® was submitted to AIFA by Leadiant on June 15, 2017. With this request, the company proposed a public price of 25,592.64 euros (and an ex-factory price of 15,506.93 euros) for a package of 100 capsules of 250 mg340; given that patients take three capsules of 250 mg per day, or 1,095 capsules per year, the annual cost of therapy per patient would thus be 280,239.41 euros (to which the legal reductions of 5% + 5% would apply).</w:t>
      </w:r>
    </w:p>
    <w:p>
      <w:r>
        <w:t>190. The request was examined by the Technical Scientific Commission (CTS) of AIFA341. By determination of August 4, 2017, AIFA included the drug in class Cnn (i.e., the class in which drugs for which the price negotiation procedure is still ongoing are automatically included, pursuant to Article 12, paragraph 5, of Law No. 189/2012) at a price equal to that proposed by the company in the reimbursement request342.</w:t>
      </w:r>
    </w:p>
    <w:p>
      <w:r>
        <w:t>191. Therefore, pending the achievement of a price agreement, CDCA Leadiant® was sold at a free price to the Italian Local Health Authorities (ASL), which purchased it using the import procedure referred to in the aforementioned Ministerial Decree of February 11, 1997343 at the ex-factory price of 15,506.93 euros per package of 100 capsules of 250 mg344.</w:t>
      </w:r>
    </w:p>
    <w:p>
      <w:r>
        <w:t>192. In December 2017, Leadiant received a request from a hospital for free supply of the orphan drug based on the so-called compassionate use, but decided to refuse this request because it would have implied the absence of profits in Italy until the end of the negotiation procedure with AIFA345.</w:t>
      </w:r>
    </w:p>
    <w:p>
      <w:r>
        <w:t>193. In the following months, the Health Technology Assessment (HTA) Sector and the CTS of AIFA conducted their investigation on the drug, noting that the evidence supporting the effectiveness of the treatment was obtained mainly in an academic setting, in one case using the active ingredient of the drug in galenic form, which during the registration process of the drug was no longer available, effectively interrupting the treatment of a portion of patients346.</w:t>
      </w:r>
    </w:p>
    <w:p>
      <w:r>
        <w:t>194. As a result of this investigation, the Prices and Reimbursements Committee (CPR) of AIFA, in its meeting of March 19, 2018, considered that the ex-factory price of 15,506.93 euros per package requested by the company, which was five times the price of the previously used product, Xenbilox®, in light of the activities carried out for the introduction of the drug on the market (the presentation of retrospective studies and literature review), could not be accepted without further elements that could justify it. Therefore, the Committee requested in writing that the company present a cost-based justification347. Similarly, the CPR believed that the number of patients affected by CTX in Italy three years later would be higher (90) than that estimated by the company (49)348.</w:t>
      </w:r>
    </w:p>
    <w:p>
      <w:r>
        <w:t>195. Some documents acquired in the file indicate that, between March and April 2018, the company discussed internally how to respond to the Agency and prepared a draft letter in which it indicated the number of patients served up to that point (37) and the amount of investments in research and development made in Italy (see paragraph 187 supra). At the same time, it decided to avoid as much as possible any reference to Xenbilox® in order to exclude the existence of any commercial link with that drug349.</w:t>
      </w:r>
    </w:p>
    <w:p>
      <w:r>
        <w:t>196. This response to AIFA was sent on April 10, 2018. With it, the company also requested to be convened for a new meeting, informing the Agency that it was willing to reach an agreement that included the reimbursement to the ASL of any difference between the negotiated price and the price paid by them for the purchase of the orphan drug350.</w:t>
      </w:r>
    </w:p>
    <w:p>
      <w:r>
        <w:t>197. In the meeting of May 29, 2018, the CPR of AIFA noted the unavailability in the Italian market of the only drug that had been used for the treatment of CTX in Italy following importation from abroad, Xenbilox®351. In this regard, during the hearing, AIFA stated that it perceived the withdrawal of this drug from the Italian market as a significant obstacle in the price negotiation procedure for CDCA Leadiant® and as one of the tools, along with the change of ownership of the new orphan drug, for the artificial differentiation of the two products352.</w:t>
      </w:r>
    </w:p>
    <w:p>
      <w:r>
        <w:t>198. On June 14, 2018, the CPR of AIFA sent a communication convening the company for June 26, 2018, and, in response to the counterarguments, stated what had already been expressed in the meetings of March 19 and May 29, 2018: “considering that the authorization procedure was based exclusively on retrospective studies and literature data, it reiterates that it cannot accept a price five times higher than the previously authorized product XENBILOX (...)”353.</w:t>
      </w:r>
    </w:p>
    <w:p>
      <w:r>
        <w:t>199. The company intended to respond that the only correlation existing with Xenbilox® derived from the fact that the latter medicine is the so-called reference drug for CDCA Leadiant®. For the rest, there was no correlation, since Leadiant had never marketed any CDCA-based drug in the Italian territory nor had it ever dealt with the price at which Xenbilox® had been marketed in Italy. In this way, the company believed it could avoid entering into the merits of any discussion related to Xenbilox®354. However, this line of argument was not unanimously shared either within the company or by external consultants, as it was considered risky and ineffective355. The company then considered stating at least that the off-label drug was authorized only in Germany and that in Italy it was imported by third parties356. However, since this path was also considered dangerous, the company ultimately decided to limit itself to stating that Xenbilox®, approved in Germany for the treatment of gallstones and used as the so-called reference drug in the hybrid authorization procedure of the orphan drug, was a distinct product357.</w:t>
      </w:r>
    </w:p>
    <w:p>
      <w:r>
        <w:t>200. In the days leading up to the meeting with AIFA, Leadiant also developed some price/volume agreement hypotheses to propose to the Agency, envisioning obtaining a compromise price that, in the worst-case scenario (which it had expressly decided to reserve for subsequent rounds of negotiation), could be around 9,000 euros358.</w:t>
      </w:r>
    </w:p>
    <w:p>
      <w:r>
        <w:t>201. During the meeting on June 26, 2018, it emerged that, as already noted by the HTA Sector in September 2017, there was no on-label medicine available on the domestic market that could be considered a therapeutic alternative, as Kolbam® was not authorized in Italy and Orphacol® was registered for other therapeutic uses359.</w:t>
      </w:r>
    </w:p>
    <w:p>
      <w:r>
        <w:t>202. In the same meeting, the company illustrated the characteristics of the product, the authorization process, sales data, and prices applied in other EU countries. For its part, the CPR has</w:t>
      </w:r>
    </w:p>
    <w:p>
      <w:r>
        <w:rPr>
          <w:b/>
        </w:rPr>
        <w:t>[Pages 52–54]</w:t>
      </w:r>
    </w:p>
    <w:p>
      <w:r>
        <w:t>54 BULLETIN NO. 21 OF JUNE 6, 2022</w:t>
        <w:br/>
        <w:t>renewed to the company its concerns regarding the requested price level, once again referring to the fact that the molecule underlying the orphan drug was old and had been available on the Italian market at a price five times lower than that requested by the company360. In response, Leadiant outlined the cost items that made up the financial investment made by the company to keep the orphan drug on the market. However, this was not deemed sufficient by the CPR, which requested the submission of documentation proving such costs.</w:t>
      </w:r>
    </w:p>
    <w:p>
      <w:r>
        <w:t>203. Furthermore, the CPR requested clarifications regarding the unavailability of the molecule, not only in the Italian market but also in other national markets of the EU, even for other therapeutic indications, after the approval of the orphan drug by the EMA. To this latter question, Leadiant responded that there was a market exclusivity linked to obtaining the orphan designation361.</w:t>
      </w:r>
    </w:p>
    <w:p>
      <w:r>
        <w:t>204. Leadiant also stated that it was unable to document in detail the production costs of the drug and proposed to the Agency two different price/volume agreements (quantity discounts) with three price tiers362. For its part, the CPR of AIFA replied to both proposals that the starting price requested by the company was too high, asking for a new proposal that aligned the price with that of Xenbilox® and thus made the cost of therapy sustainable for the NHS. At Leadiant's request, the negotiation was therefore suspended pending the submission by the company of a new proposal within 15 days363.</w:t>
      </w:r>
    </w:p>
    <w:p>
      <w:r>
        <w:t>205. Subsequently, in July 2018, the company deemed it preferable, despite AIFA's request, not to proceed with the quantification of research and development costs364.</w:t>
      </w:r>
    </w:p>
    <w:p>
      <w:r>
        <w:t>206. In the absence of any response from Leadiant, on November 9, 2018, the competent HTA Sector of AIFA sent a reminder to the company. Leadiant did not respond to this communication. On February 15, 2019, the CPR of AIFA then sent a second reminder, giving the company a deadline of thirty days to transmit the response365.</w:t>
      </w:r>
    </w:p>
    <w:p>
      <w:r>
        <w:t>207. Following these reminders, on March 11, 2019, the company sent a new reimbursement dossier, announcing a new price proposal366, which was actually detailed on April 1, 2019. It provided for a new price/volume agreement with three new tiers based on three different discounts still on the initially proposed ex factory price of €15,506.93 per package367. On April 15, 2019, the CPR decided not to accept the proposal and in turn made a counterproposal368. After several exchanges of correspondence aimed at finding an agreement369, the parties met again on July 22-25, 2019. However, even on this occasion, they were unable to reach a compromise. The negotiation table was therefore interrupted once again, and the procedure was suspended until a date to be determined. The CPR also made it known that it was still waiting for precise data on the production costs of the drug and in particular on the investments in research and development made by Leadiant, as well as information on the reimbursement prices practiced in other member states mentioned by the company during the meeting370.</w:t>
      </w:r>
    </w:p>
    <w:p>
      <w:r>
        <w:t>208. In September 2019, AIFA again requested Leadiant to send the information regarding cost data, along with the indication of the reimbursement price practiced in other member states of the European Union371. The information requested by the Agency was sent by Leadiant with two communications, respectively, on October 11, 2019372 and November 26, 2019373. In particular, in the first communication, the company provided information regarding the prices practiced for CDCA Leadiant® in Germany (as mentioned, approximately [€20,000-30,000]) and in the United Kingdom (approximately [£10,000-20,000])374; in the second communication (therefore sent after the notification of the initiation of the Authority's measure), it provided information regarding the costs incurred for the launch of the orphan drug.</w:t>
      </w:r>
    </w:p>
    <w:p>
      <w:r>
        <w:t>209. More precisely, in the second communication, Leadiant, based on the study conducted by the consulting firm Copenhagen Economics following the initiation of the investigation procedure pursuant to Article 102, letter a), TFEU by the Dutch ACM375, stated that it had spent nearly [€30-40] million between 2014 and 2017 – an amount that represents the total direct and indirect costs incurred to bring the CDCA product to market, including the development of the new test for the production of the updated active ingredient, the pharmaceutical product, and the development of the dossier for the European AIC – and expected to spend [€100-200] million from 2017 to 2023 (for a total of approximately [€100-200] million), due to the activities imposed by the EMA for maintaining the AIC (patient registry and compliance with the requirements imposed by national laws to be able to place the product on the respective markets).</w:t>
      </w:r>
    </w:p>
    <w:p>
      <w:r>
        <w:t>210. The figures contained in the consulting firm's study were revised downward by Leadiant itself in February 2020, during discussions with the Dutch Competition Authority376. In particular, it appears that the costs initially provided by Leadiant contained significant intercompany items that should not have been included. The corrected costs (which generally correspond to the costs communicated by the company during the procedure, see section III.6.2.ii below) amount, for the period 2014-2023, to approximately [€70-80] million, which is less than half of the costs provided in the discussions with AIFA. However, according to the information acquired during the investigation, AIFA was not provided by Leadiant with additional and different cost information compared to that offered in November 2019377.</w:t>
      </w:r>
    </w:p>
    <w:p>
      <w:r>
        <w:t>III.5.10 The final outcome of the price negotiation for CDCA Leadiant® with AIFA</w:t>
      </w:r>
    </w:p>
    <w:p>
      <w:r>
        <w:t>211. Following the receipt by AIFA of the aforementioned information in October and November 2019, a new meeting was held on December 18, 2019, between Leadiant and the CPR, during which the parties reached an agreement on the price of CDCA Leadiant®, valid from March 2020 for a period of 24 months378.</w:t>
      </w:r>
    </w:p>
    <w:p>
      <w:r>
        <w:t>212. From the information acquired during the investigation, it emerged that, for the purpose of reaching the agreement, the cost data provided by the company did not play an effective role, as they did not possess the degree of detail required by the CPR nor were they sufficiently documented. Therefore, the CPR of AIFA, in accepting Leadiant's new proposal for an agreement, adopted an approach primarily based on the therapeutic value of the drug379.</w:t>
      </w:r>
    </w:p>
    <w:p>
      <w:r>
        <w:t>213. Regarding the content of the agreement, AIFA stated that it provides for the application of a confidential discount of [50-60%] on the price requested by the company, the definition of a maximum expenditure ceiling of €2.8 million per year, and the recourse to payback in case of exceeding this ceiling. These parameters were set taking into account a number of patients equal to [40-50], thus closer to the company's estimates (see par. 196 above), and the expected purchase of approximately [400-500] packages in a year. Under these conditions, the NHS pays CDCA Leadiant® [€5,000-7,000] per package380. The expenditure ceiling has not yet been exceeded, and the number of packages needed to reach it is higher than the sales forecasts in Italy formulated by Leadiant itself until 2023381.</w:t>
      </w:r>
    </w:p>
    <w:p>
      <w:r>
        <w:t>214. Furthermore, the payback clause contained in the agreement provides that Leadiant shall return the difference between the price negotiated with AIFA and the price previously practiced to the ASLs and Regions by Leadiant for the sale of the orphan drug when the drug was in class Cnn (i.e., when it had not yet been classified and could only be purchased at a price freely defined by the company). According to the company's estimates, included in the negotiated agreement signed with the Agency, this difference was quantified at a total amount of [€6-7] million382.</w:t>
      </w:r>
    </w:p>
    <w:p>
      <w:r>
        <w:rPr>
          <w:b/>
        </w:rPr>
        <w:t>[Pages 55–57]</w:t>
      </w:r>
    </w:p>
    <w:p>
      <w:r>
        <w:t>BULLETIN NO. 21 OF JUNE 6, 2022 57</w:t>
        <w:br/>
        <w:t xml:space="preserve">215. During the two hearings, the representatives of the Agency stated that the agreement reached, although sufficiently satisfactory, considering the starting negotiating positions - the initial price proposed by Leadiant, which was 5 times that of Xenbilox®, and the discount requested by AIFA equal to 80% of the price proposed by Leadiant383 - must be evaluated in light of the context in which the negotiation took place. </w:t>
        <w:br/>
        <w:t xml:space="preserve">216. In particular, according to AIFA, several elements that negatively influenced the course of the negotiation of the price of CDCA Leadiant® and its outcome must be considered: the drug had, in fact, been on the market for about two and a half years and the ASLs, incurring significant expenditure, had long been using the orphan drug classified in Cnn as therapy for patients suffering from CTX, to whom therapeutic continuity had to be guaranteed; the negotiations, which had been interrupted several times due to a lack of agreement on the price, had been ongoing for a long time and this indicated a substantial disinterest on the part of the company in reaching a compromise and made more plausible the scenario in which the negotiation procedure would end without an agreement and CDCA Leadiant® would be definitively included in class C384; finally, the Agency had no therapeutic alternatives. Therefore, in light of the difficult context in which the negotiation took place, the Agency considered that the ex-factory price of the orphan drug of [5,000-7,000] euros per package was the best result it could achieve at that moment to avert the possibility that the drug would be definitively included in class C at the ex-factory price of 15,506.93 euros per package. </w:t>
        <w:br/>
        <w:t xml:space="preserve">217. In the absence of these contextual elements, the Agency would have deemed it appropriate to grant the company a price increase of a few percentage points (less than 10%) compared to the price paid by the ASLs for the importation of Xenbilox® between 2016 and 2017. This is because, compared to Xenbilox®, the orphan drug presents a unique added value, given that it is registered for the treatment of the rare disease that until then had been treated with off-label drugs385. </w:t>
        <w:br/>
        <w:t xml:space="preserve">III.6 Analysis of the prices charged by Leadiant in Italy </w:t>
        <w:br/>
        <w:t xml:space="preserve">III.6.1 Introduction </w:t>
        <w:br/>
        <w:t xml:space="preserve">218. In this section, we will identify the necessary elements for the analysis of the prices applied by Leadiant to the CDCA Leadiant® drug in Italy starting from June 2017. In particular, based on the evidence in the records, Leadiant has charged the following prices: </w:t>
        <w:br/>
        <w:t xml:space="preserve">- the ex-factory price per package of 15,506.93 euros, applied from the start of the marketing of the drug in Italy (June 2017) until the agreement reached with AIFA that became operational in March 2020, following the initiation of the investigation procedure; </w:t>
        <w:br/>
        <w:t xml:space="preserve">- the ex-factory price per package of [5,000-7,000] euros (net of legal reductions), subject of the agreement with AIFA, applied from March 2020 and still in effect. In order to give retroactive application to the negotiated price for all purchases made by the NHS since the marketing of CDCA Leadiant®, Leadiant committed, as already illustrated, to refund the hospitals [6-7] million euros of the revenues generated from the sales of the orphan drug made </w:t>
        <w:br/>
        <w:t xml:space="preserve">383 See doc. 72 and 72.1. </w:t>
        <w:br/>
        <w:t xml:space="preserve">384 That this was a scenario concretely contemplated by Leadiant in September 2018 not only for Italy but more generally for all countries where the company was conducting price negotiations is evident from doc. 22.7.12. </w:t>
        <w:br/>
        <w:t>385 See doc. 108.</w:t>
      </w:r>
    </w:p>
    <w:p>
      <w:r>
        <w:t xml:space="preserve">58 BULLETIN NO. 21 OF JUNE 6, 2022 </w:t>
        <w:br/>
        <w:t xml:space="preserve">while it was classified in class Cnn386. This amount was, as of May 7, 2021, not fully refunded, with approximately [300,000-400,000] euros pending payment to the NHS387. </w:t>
        <w:br/>
        <w:t xml:space="preserve">219. These prices will be compared with the costs incurred by Leadiant for the activities necessary for the registration of CDCA as an orphan drug and for subsequent production, marketing, and maintenance in commerce. </w:t>
        <w:br/>
        <w:t xml:space="preserve">220. In order to assess the profitability of CDCA Leadiant® and, therefore, whether there is a disproportion between the price and the costs incurred, two different methodologies of analysis will be used in this case: the first consists of measuring the internal rate of return (IRR) of the registration and marketing project of the orphan drug for the treatment of CTX (hereinafter also referred to as the "CDCA project"); the second measures the difference between the revenues from the sales of CDCA Leadiant® and the so-called cost plus, that is, the costs incurred for the realization of the product plus a reasonable profit for the business activity. </w:t>
        <w:br/>
        <w:t xml:space="preserve">221. It should be noted that the first of the two methodologies described above is the same one adopted by Sigma Tau in July 2014 to assess the profitability of the CDCA project388. </w:t>
        <w:br/>
        <w:t xml:space="preserve">222. In the continuation of this section, the two methodologies will be illustrated, and the analysis of the profitability of CDCA Leadiant® carried out by the company itself in the initial phases of the project will be presented first, based on the first of the two methodologies. This assessment was carried out globally, separately for the United States and the Rest of the World389, an aggregate that also includes Europe. </w:t>
        <w:br/>
        <w:t xml:space="preserve">223. Based on the same methodology and with the actual and forecast data provided by the company during the proceedings, we will analyze the excessiveness of the price of CDCA Leadiant® for Italy. Subsequently, we will proceed to analyze the price applied by Leadiant based on the second methodology, namely the cost plus. </w:t>
        <w:br/>
        <w:t xml:space="preserve">III.6.2 The IRR analysis </w:t>
        <w:br/>
        <w:t xml:space="preserve">224. The first methodology for analyzing price excessiveness employed here uses one of the tools used in corporate finance to support corporate investment decisions, namely the internal rate of return (IRR)390. </w:t>
        <w:br/>
        <w:t xml:space="preserve">386 See doc. 72.1. </w:t>
        <w:br/>
        <w:t xml:space="preserve">387 See doc. 122. </w:t>
        <w:br/>
        <w:t xml:space="preserve">388 Generally, companies choose which projects to develop and which to abandon based on their prospective profitability, adjusted for risk factors. </w:t>
        <w:br/>
        <w:t xml:space="preserve">389 This formulation mirrors that used by the same company. See doc. 95.6, defined interchangeably as "Rest of the World," "RoW," or "EU &amp; Other Markets," in contrast to "US Market." </w:t>
        <w:br/>
        <w:t xml:space="preserve">390 The IRR of an investment project is the discount rate that makes the sum of the present value of the cash flows (negative and positive) generated by the project equal to zero. The formula for calculating the IRR (denoted by i in the formula) is as follows: </w:t>
        <w:br/>
        <w:t xml:space="preserve">where: </w:t>
        <w:br/>
        <w:t xml:space="preserve">t = time periods; </w:t>
        <w:br/>
        <w:t xml:space="preserve">CFt = cash flow (positive or negative) at time t. </w:t>
        <w:br/>
        <w:t>A methodology for analyzing investment projects that is substantially equivalent to the IRR is the Net Present Value (NPV), calculated as the sum of the present value of the cash flows generated by the</w:t>
      </w:r>
    </w:p>
    <w:p>
      <w:r>
        <w:t xml:space="preserve">BULLETIN NO. 21 OF JUNE 6, 2022 59 </w:t>
        <w:br/>
        <w:t xml:space="preserve">project net of the initial expenditure: if the NPV is positive, the project is profitable. The IRR represents the discount rate that makes the NPV equal to zero. </w:t>
        <w:br/>
        <w:t>391 See doc. 95.6 (“A top level assessment has been carried out to understand the value associated with different future options”).</w:t>
      </w:r>
    </w:p>
    <w:p>
      <w:r>
        <w:rPr>
          <w:b/>
        </w:rPr>
        <w:t>[Pages 58–60]</w:t>
      </w:r>
    </w:p>
    <w:p>
      <w:r>
        <w:t>60 BULLETIN NO. 21 OF JUNE 6, 2022</w:t>
        <w:br/>
        <w:t>it was hypothesized to sell the drug. In particular, as can be seen in the "Assumptions" section of the document, a first increase in the ex-factory price to 2,900 euros was planned for mid-2014 (which actually occurred), a second increase to 4,100 euros at the beginning of 2015, and a final increase to 5,000 euros per package in the second half of 2015 coinciding with the obtaining of orphan designation; these increases would be effective in all countries of the "Rest of the World" aggregate except for Germany (whose sales were estimated at 10% of the total), where, considering the price moratorium (see para. 108 supra), it was hypothesized that the price would not increase until 2017, when it would reach the level of 5,000 euros already practiced in other European countries392. It should be noted that in the assumptions present in the document, there is always the assumption of a monopoly position of Sigma Tau in Europe ("market share 100%" in Figure 1 and Figure 2).</w:t>
      </w:r>
    </w:p>
    <w:p>
      <w:r>
        <w:t>230. In particular, when applying the NPV model, the company (which hypothesized the marketing of the orphan drug starting in 2016) considered two scenarios. A base scenario, more cautious, in which, in the absence of changes to the company's operating model, it assumed modest growth (from 1.7% to 2.5%) in the diagnosis rate of the disease in the affected population (Figure 1), and a more optimistic scenario, in which, in light of higher costs incurred by the company aimed at improving the diagnosis of the disease, it would be diagnosed in 10% of cases (Figure 2).</w:t>
      </w:r>
    </w:p>
    <w:p>
      <w:r>
        <w:t>231. In the first scenario ("base case"), discounting the expected cash flows for the period 2015-2024393 using a project WACC of 12%, Sigma Tau obtained an NPV of over 58 million euros. In the second scenario ("best case"), the NPV exceeded 107 million euros, despite discounting the expected cash flows using a project WACC of 15%, which is higher than in the previous scenario, in order to account for the additional risk arising from the higher costs to be incurred to improve the diagnosis of the disease (and thus achieve higher sales volumes). The IRR calculated based on this data appears to assume an infinite value in both scenarios, as Sigma Tau anticipated generating positive cash flows in every year of the project and, mathematically, the only IRR value that can zero out the NPV assumes an infinite value.</w:t>
      </w:r>
    </w:p>
    <w:p>
      <w:r>
        <w:t>232. These results stem from the fact that Sigma Tau anticipated increasing the ex-factory price of Xenbilox® from 660 to 2,900 euros per package - as indeed occurred in July 2014 - already at the beginning of the project, prior to the start of the application for registration of the orphan drug, as previously illustrated, to finance its costs (essentially the registration expenses estimated for the years 2014, 2015, and 2016). The revenues of the project considered by Sigma Tau in estimating the cash flows take into account the sales of Xenbilox® at the increased price, as well as the sales of the orphan drug, once confirmation of the orphan designation was obtained, at the hypothesized price of 5,000 euros per package.</w:t>
      </w:r>
    </w:p>
    <w:p>
      <w:r>
        <w:t>392 The "Average Selling Prices" reported in the two Figures for the years 2014-2016 represent weighted averages of the subsequent price increases applied in the fractions of the year and take into account the assumption that sales in Germany did not undergo such increases.</w:t>
      </w:r>
    </w:p>
    <w:p>
      <w:r>
        <w:t>393 This is evident from the analysis of the document, where the cash flows considered in the calculation of the NPV are those indicated with numbers 1 to 9.</w:t>
      </w:r>
    </w:p>
    <w:p>
      <w:r>
        <w:t>BULLETIN NO. 21 OF JUNE 6, 2022 61</w:t>
        <w:br/>
        <w:t>Figure 1 - Base case scenario394</w:t>
      </w:r>
    </w:p>
    <w:p>
      <w:r>
        <w:t>394 See doc. 95.6 p. 19.</w:t>
      </w:r>
    </w:p>
    <w:p>
      <w:r>
        <w:t>62 BULLETIN NO. 21 OF JUNE 6, 2022</w:t>
        <w:br/>
        <w:t>Figure 2 - Best case scenario395</w:t>
      </w:r>
    </w:p>
    <w:p>
      <w:r>
        <w:t>233. It should be noted that the profitability of the project in question was considerably high for Sigma Tau even considering a selling price for the drug not exceeding 5,000 euros per package, such that it decided to proceed with the application for orphan designation and AIC for the marketing of the orphan drug in Europe. This implies that setting a selling price at a higher level, as indeed occurred, could only have the effect of further widening the gap between prices and costs.</w:t>
      </w:r>
    </w:p>
    <w:p>
      <w:r>
        <w:t>ii. The economic analysis conducted during the proceedings</w:t>
      </w:r>
    </w:p>
    <w:p>
      <w:r>
        <w:t>234. Based on the analysis described above, which Sigma Tau conducted prospectively regarding the Rest of the World aggregate, an analysis of the excessive price of CDCA Leadiant® practiced in Italy was carried out using the same methodology adopted by the company. For this purpose, the profitability of the project for the registration and marketing of the orphan drug was calculated395.</w:t>
      </w:r>
    </w:p>
    <w:p>
      <w:r>
        <w:rPr>
          <w:b/>
        </w:rPr>
        <w:t>[Pages 61–63]</w:t>
      </w:r>
    </w:p>
    <w:p>
      <w:r>
        <w:t>BULLETIN NO. 21 OF JUNE 6, 2022 63</w:t>
        <w:br/>
        <w:t>based on the actual data (2014-2020) and the forecast data provided by the company itself regarding the Italian market. As will be specified from time to time, the assumptions adopted in conducting the analysis are all favorable to the Party.</w:t>
      </w:r>
    </w:p>
    <w:p>
      <w:r>
        <w:t>235. According to financial theory, the costs and revenues to be considered in the calculation of cash flows for the IRR analysis are those "incremental," that is, those that arise from comparing the situation that takes into account the project with that which would have occurred in the absence of the project. However, Leadiant, in its ex ante analysis, seems to consider the overall cash flows and not just the incremental ones. Therefore, in the following elaborations, the analysis was conducted taking into account both the overall cash flows and only the incremental cash flows.</w:t>
      </w:r>
    </w:p>
    <w:p>
      <w:r>
        <w:t>236. With regard to Italy, there were no sales of Xenbilox® in the years 2014-2015. In 2016 and the early months of 2017, Xenbilox® was imported into Italy through the wholesaler Juers Pharma, to which Sigma Tau sold the product at an ex-factory price of 2,900 euros per package. Finally, from June 2017, once Xenbilox® was withdrawn from the market (see section III.5.7.i supra), the company began marketing CDCA Leadiant® in Italy which, in the absence of a negotiated price, was sold to the ASLs at an ex-factory price of 15,506.93 euros per package, a price that was still applied at the time the proceedings were initiated. Starting from March 2020, the date of entry into force of the negotiated agreement signed with AIFA on December 19, 2019, the product was sold at the negotiated ex-factory price of [5,000-7,000] euros, net of legal reductions, and the difference between the price paid and the negotiated price, as mentioned earlier, was refunded by the company to the ASLs after the agreement came into force. It was subsequently assumed, in a manner favorable to the Party, that the ex-factory price of [5,000-7,000] euros was applied to all sales in Italy from the beginning of 2020 and that the [6-7] million euros were refunded by the company to the NHS for the majority ([6-7] million euros) in 2020 and that the remainder ([300,000-400,000] euros) was fully paid in 2021.</w:t>
      </w:r>
    </w:p>
    <w:p>
      <w:r>
        <w:t>237. Using the actual and forecast data of sales of Xenbilox® and CDCA Leadiant® provided by the Party for the years 2014-2023 and assuming, always in a manner favorable to the Party, that sales of CDCA Leadiant® for the years between 2024 and 2027 do not increase compared to those of 2023, the revenues related to sales in Italy of Xenbilox® and CDCA Leadiant® were calculated, as reported in Table 1.</w:t>
      </w:r>
    </w:p>
    <w:p>
      <w:r>
        <w:t>238. More specifically, it is assumed: i) that the agreement was implemented from January 1, 2020, rather than from the day following publication in the Official Gazette (March 3, 2020), applying the negotiated price to all sales of 2020; ii) that the [6-7] million euros that were already reimbursed to the NHS as of May 7, 2021 (see doc. 122) were fully paid during the year of entry into force of the agreement (2020) and that the remaining [300,000-400,000] euros were fully paid during 2021.</w:t>
      </w:r>
    </w:p>
    <w:p>
      <w:r>
        <w:t>239. Regarding these costs, it is noted that for the entire period 2014-2027, only [40-50%] of them can be attributed to costs directly attributable to the product, while the remaining [50-60%] results from the allocation made by the Party to CDCA Leadiant® of the common costs incurred by the company for the generality of products in its portfolio. Furthermore, of the [40-50%] of direct costs, about [10-20%] relates to production and distribution costs of the product and [30-40%] to regulatory, market access, marketing, legal costs, and, to a lesser extent, less than 1%, to research and development costs (also including costs incurred for the improvement of the quality of the API, recorded by Leadiant itself within a different category of costs).</w:t>
      </w:r>
    </w:p>
    <w:p>
      <w:r>
        <w:t>240. Regarding the legal costs included in the direct costs of CDCA Leadiant®, they also include significant costs incurred by the company in the years 2019 and 2020 for consulting in the context of antitrust proceedings opened by several national competition authorities in Europe, pursuant to Article 102, letter a), of the TFEU in relation to the pricing policy applied by the company for the marketing of the orphan drug. Costs of this type, although to a lesser extent, are also expected for each year from 2021 to 2027. In principle, such costs should not be considered in the assessment of the price abuse under examination, as they were incurred precisely because of the contested conduct. However, in the analysis conducted here, in a conservative and favorable perspective to the Party, these costs have been taken into account.</w:t>
      </w:r>
    </w:p>
    <w:p>
      <w:r>
        <w:t>241. Furthermore, with reference to the criterion for allocating common costs to CDCA Leadiant® used by the company, namely the estimation of the working time spent by its employees on the various products in the portfolio (based on an ex post estimate made by the Party itself), which leads to attributing to the orphan drug as much as [30-40%] of the total common costs incurred by the company over the period 2014-2027 (and over 60% looking at the period 2016-2020), it is noted that this criterion may also be flawed by the circumstance that the time spent on this product was so high precisely because it required a significant amount of work for regulatory, medical, and market access activities aimed at supporting the demand for a potentially excessive price. With the criterion used by the Party, the indirect costs allocated to CDCA Leadiant® constitute over 50% of the total costs of the product that the Party has declared for the period 2014-2027. However, even in this case, with an extremely lenient approach, no corrections were made to the cost allocation criterion identified by the Party.</w:t>
      </w:r>
    </w:p>
    <w:p>
      <w:r>
        <w:t>242. The project costs attributable to Italy were obtained based on the share of sales that occurred in Italy compared to total sales (for the years 2014-2016, taking a favorable approach to the Party, for the sole purpose of attributing the costs of the CDCA project to Italy, the average share of sales volumes in Italy for the years 2017-2027 was used, equal to [10-15%], given that the sales volumes of Xenbilox® in Italy were zero for the years 2014-2015 and minimal for the year 2016).</w:t>
      </w:r>
    </w:p>
    <w:p>
      <w:r>
        <w:rPr>
          <w:b/>
        </w:rPr>
        <w:t>[Pages 64–66]</w:t>
      </w:r>
    </w:p>
    <w:p>
      <w:r>
        <w:t>BULLETIN NO. 21 OF JUNE 6, 2022</w:t>
      </w:r>
    </w:p>
    <w:p>
      <w:r>
        <w:t>Table 2 – Costs of the CDCA project for Italy (values in euros)</w:t>
        <w:br/>
        <w:t>Project Costs</w:t>
        <w:br/>
        <w:t>CDCA Costs Project Costs Volumes Italy</w:t>
        <w:br/>
        <w:t>CDCA Costs Italy</w:t>
        <w:br/>
        <w:t>Year Leadiant® CDCA on volumes</w:t>
        <w:br/>
        <w:t>Xenbilox® (CX) (CP Italy = CP*%</w:t>
        <w:br/>
        <w:t>(CCDCA) (CP=CX+CCDCA) total (%)</w:t>
        <w:br/>
        <w:t>volumes Italy)</w:t>
        <w:br/>
        <w:t>2014 [200,000-300,000] [1-2 mln] [2-3 mln] [10-15] [200,000-300,000]</w:t>
        <w:br/>
        <w:t>2015 [300,000-400,000] [6-7 mln] [7-8 mln] [10-15] [800,000-900,000]</w:t>
        <w:br/>
        <w:t>2016 [50,000-100,000] [7-8 mln] [7-8 mln] [10-15] [900,000-1 mln]</w:t>
        <w:br/>
        <w:t>2017 [1-50,000] [7-8 mln] [7-8 mln] [10-15] [900,000-1 mln]</w:t>
        <w:br/>
        <w:t>2018 [7-8 mln] [7-8 mln] [10-15] [900,000-1 mln]</w:t>
        <w:br/>
        <w:t>2019 [10-20 mln] [10-20 mln] [10-15] [1-2 mln]</w:t>
        <w:br/>
        <w:t>2020 [10-20 mln] [10-20 mln] [5-10] [1-2 mln]</w:t>
        <w:br/>
        <w:t>2021 [9-10 mln] [9-10 mln] [10-15] [1-2 mln]</w:t>
        <w:br/>
        <w:t>2022 [7-8 mln] [7-8 mln] [10-15] [900,000-1 mln]</w:t>
        <w:br/>
        <w:t>2023 [6-7 mln] [6-7 mln] [10-15] [800,000-900,000]</w:t>
        <w:br/>
        <w:t>2024 [6-7 mln] [6-7 mln] [10-15] [800,000-900,000]</w:t>
        <w:br/>
        <w:t>2025 [6-7 mln] [6-7 mln] [10-15] [800,000-900,000]</w:t>
        <w:br/>
        <w:t>2026 [6-7 mln] [6-7 mln] [10-15] [800,000-900,000]</w:t>
        <w:br/>
        <w:t>2027 [1-2 mln] [1-2 mln] [10-15] [200,000 - 300,000]</w:t>
      </w:r>
    </w:p>
    <w:p>
      <w:r>
        <w:t>243. For the calculation of the IRR of the CDCA project, it is necessary to determine, based on the costs and revenues represented above, the cash flows (i.e., the difference between monetary inflows and outflows that occurred over a period) actually achieved for the period 2014-2020 and the expected cash flows for the period 2021-2027, that is, until the end of the ten-year market exclusivity.</w:t>
      </w:r>
    </w:p>
    <w:p>
      <w:r>
        <w:t>244. To this end, in Table 3, the annual profits related to Italy for the CDCA project have been calculated as the difference between revenues and project costs; from the profits of the years 2020 and 2021, the reimbursements to the NHS made by the Party in execution of the agreement with AIFA and related to the difference between the price paid and the negotiated price have been deducted. The profits thus calculated have also been subjected to the average tax rate borne by Sigma Tau/Leadiant in the period 2014-2019 as resulting from the financial statements filed by Leadiant Biosciences Ltd. and its predecessors.</w:t>
      </w:r>
    </w:p>
    <w:p>
      <w:r>
        <w:t>BULLETIN NO. 21 OF JUNE 6, 2022</w:t>
      </w:r>
    </w:p>
    <w:p>
      <w:r>
        <w:t>In particular, it is equal to 21%. It should be noted that the rate used here is the highest (and therefore more favorable to the Party) compared to that used by Sigma Tau in the above-described ex ante analysis (equal to 20%) as well as the average tax rate recorded in Europe in the pharmaceutical sector during the same period (equal to 19%). Furthermore, for each year, the change in net working capital (NWC) compared to the previous period has been deducted. The change in NWC has been calculated using the methods adopted by Sigma Tau in its ex ante valuation model.</w:t>
      </w:r>
    </w:p>
    <w:p>
      <w:r>
        <w:t>406 See documents 129 and 131 and related attachments.</w:t>
      </w:r>
    </w:p>
    <w:p>
      <w:r>
        <w:t>407 In calculating the tax effect, a mechanism for carrying forward tax losses has been assumed, that is, that any tax losses incurred in one year can be carried forward to reduce income in subsequent years. For the details of the calculations made, see the economic appendix.</w:t>
      </w:r>
    </w:p>
    <w:p>
      <w:r>
        <w:t>408 See document 95.6.</w:t>
      </w:r>
    </w:p>
    <w:p>
      <w:r>
        <w:t>409 Dataset Damodaran online, Effective tax rate by industry – Europe – average years 2014-2019 of the data “Average across only money-making companies” related to the sector “Drugs (Pharmaceutical)” (http://people.stern.nyu.edu/adamodar/New_Home_Page/dataarchived.html).</w:t>
      </w:r>
    </w:p>
    <w:p>
      <w:r>
        <w:t>410 The net working capital (NWC) of a company is the difference between its short-term assets (accounts receivable, inventory, other short-term assets) and its short-term liabilities (accounts payable, other short-term liabilities). A reduction in NWC generates a positive cash flow, while an increase generates a negative cash flow. Given the small value, depreciation has not been considered, which in principle should also have been added to the profit to obtain the cash flow. Since it would have marginally increased the value of cash flows, this choice is still favorable to the Party. Given the small value, depreciation has not been considered, which in principle should also have been added to the profit to obtain the cash flow. Since it would have marginally increased the value of cash flows, this choice is still favorable to the Party.</w:t>
      </w:r>
    </w:p>
    <w:p>
      <w:r>
        <w:t>411 See document 95.6. For the details of the calculations made, see the economic appendix.</w:t>
      </w:r>
    </w:p>
    <w:p>
      <w:r>
        <w:t>Table 3 – Cash flows of the CDCA Leadiant® project for Italy (values in euros)</w:t>
        <w:br/>
        <w:t>CDCA Project Profit Project Profit</w:t>
        <w:br/>
        <w:t>Cash Flow Project</w:t>
        <w:br/>
        <w:t>Year Italy (UP Italy=RP CDCA Italy at Change NWC</w:t>
        <w:br/>
        <w:t>CDCA Italy</w:t>
        <w:br/>
        <w:t>Italy – CP Italy) net of taxes</w:t>
        <w:br/>
        <w:t>2014 -[200,000-300,000] -[200,000-300,000] 0 -[200,000-300,000]</w:t>
        <w:br/>
        <w:t>2015 -[800,000-900,000] -[800,000-900,000] -[1-50,000] -[800,000-900,000]</w:t>
        <w:br/>
        <w:t>2016 -[500,000-600,000] -[500,000-600,000] [1-50,000] -[500,000-600,000]</w:t>
        <w:br/>
        <w:t>2017 [1-2 mln] [1-2 mln] [300,000-400,000] [1-2 mln]</w:t>
        <w:br/>
        <w:t>2018 [4-5 mln] [3-4 mln] [500,000-600,000] [3-4 mln]</w:t>
        <w:br/>
        <w:t>2019 [4-5 mln] [3-4 mln] [1-50,000] [3-4 mln]</w:t>
        <w:br/>
        <w:t>2020 -[5-6 mln]* -[5-6 mln] -[1-2 mln] -[4-5 mln]</w:t>
        <w:br/>
        <w:t>2021 [900,000-1 mln]** [900,000-1 mln] [500,000-600,000] [300,000-400,000]</w:t>
        <w:br/>
        <w:t>2022 [1-2 mln] [1-2 mln] [50,000-100,000] [1-2 mln]</w:t>
        <w:br/>
        <w:t>2023 [1-2 mln] [1-2 mln] [1-50,000] [1-2 mln]</w:t>
        <w:br/>
        <w:t>2024 [1-2 mln] [1-2 mln] [1-50,000] [1-2 mln]</w:t>
        <w:br/>
        <w:t>2025 [1-2 mln] [1-2 mln] [1-50,000] [1-2 mln]</w:t>
        <w:br/>
        <w:t>2026 [1-2 mln] [1-2 mln] [1-50,000] [1-2 mln]</w:t>
        <w:br/>
        <w:t>2027 [600,000-700,000] [400,000-500,000] -[200,000-300,000] [700,000-800,000]</w:t>
        <w:br/>
        <w:t>*Based on the assumptions of reimbursements to the NHS of the difference between the negotiated price and the price paid, in 2020 [6-7] million euros were refunded to hospitals.</w:t>
        <w:br/>
        <w:t>** It is assumed that the remaining [300,000-400,000] euros will be fully reimbursed in 2021.</w:t>
      </w:r>
    </w:p>
    <w:p>
      <w:r>
        <w:t>245. Figure 3 shows the trend of project cash flows attributable to Italy for the period 2014-2027. The negative cash flows for the years 2014-2016 reflect the costs associated with the preparatory activities for obtaining orphan designation for CDCA and for the registration of CDCA Leadiant® as an orphan drug for the treatment of CTX and are only partially offset, in Italy, by the sales of Xenbilox® at the increased price. From 2017, the project began to generate largely positive cash flows, except for 2020, the year in which the almost total amount agreed in the agreement with AIFA was refunded.</w:t>
      </w:r>
    </w:p>
    <w:p>
      <w:r>
        <w:rPr>
          <w:b/>
        </w:rPr>
        <w:t>[Pages 67–69]</w:t>
      </w:r>
    </w:p>
    <w:p>
      <w:r>
        <w:t>BULLETIN NO. 21 OF JUNE 6, 2022 69</w:t>
        <w:br/>
        <w:t>Figure 3 - Cash flows of the CDCA Leadiant® project for Italy (thousands of euros)</w:t>
      </w:r>
    </w:p>
    <w:p>
      <w:r>
        <w:t>246. The calculation of the internal rate of return for the period 2014-2027, that is, the entire duration of the project, provides a value of [50-60%]. This value must be compared with the cost of capital (the WACC) to determine the profitability of the project.</w:t>
      </w:r>
    </w:p>
    <w:p>
      <w:r>
        <w:t>247. In this case, it is deemed appropriate to use the WACC value employed by Sigma Tau in its ex ante analysis. Once again, in a perspective favorable to the Party, the higher value will be considered, that associated with the "best case scenario" - which therefore incorporates a higher risk component - equal to 15%. It is believed that this value is significantly generous, considering that the average WACC observed for pharmaceutical companies in Western Europe in 2014 amounted to 10%412.</w:t>
      </w:r>
    </w:p>
    <w:p>
      <w:r>
        <w:t>248. Therefore, based on the analysis outlined above, the selling price of CDCA Leadiant® in Italy generates a project return rate equal to [three-four] times the cost of capital.</w:t>
      </w:r>
    </w:p>
    <w:p>
      <w:r>
        <w:t>249. Also, as a precaution for the Party, an analysis of the IRR was conducted by considering only the incremental cash flows, that is, those attributable to the project and which, in the absence of it, would not have occurred. In this case, since the project under evaluation consists of the launch of a new product (CDCA Leadiant®) that replaces an existing product (Xenbilox®), only the incremental revenues and costs were taken into account in the calculation of the relevant cash flows, that is, the difference between the revenues (costs) attributable to the new product and the revenues (costs) related to the replaced product, which would have been realized (incurred) in the absence of the project.</w:t>
      </w:r>
    </w:p>
    <w:p>
      <w:r>
        <w:t>250. In addition to the aforementioned documents, which show that the increase in the ex-factory price of Xenbilox® from 660 to 2,900 euros in mid-2014 was an integral part of the CDCA project (see paragraphs 109 and 113 supra), other documents in the records show that if the orphan drug registration had not been successful, Sigma Tau would have continued to sell Xenbilox® administered off-label for the treatment of CTX413 and that, in the absence of the project, no price increases for Xenbilox®414 were anticipated for the coming years. In particular, in a document dated August 2014, it is stated that, in the absence of the project in question, the revenues from Xenbilox® would have remained in line with those of previous years (“Base case 2015-19 forecast is conservative and includes 2 Mln€ flat sales in EU only, consistent with historical trend”)415. In the same document, the incremental revenues derived from the CDCA project are indicated and quantified separately (“What-if: Xenbilox price increase and global registration… Based on a preliminary analysis driven by assumptions on price increase, prevalence and diagnosis rate, Xenbilox shows a great potential. A global registration (EMA+FDA) with a significant price increase (€110k annual treatment per patient in EU and about €140k in US) may lead up to 29 Mln sales increase in 2019 (best case +80Mln) and 31 Mln in EBITDA (best case +69 Mln)”). Assuming a price per package of about 10,000 euros, Leadiant believed it could increase its revenue by 29 million euros annually, indicated in the document as “Xenbilox Incremental sales”416 compared to the scenario in the absence of the project, where revenues are quantified at 2 million euros, in line with revenues from previous years when Xenbilox® was sold at a price of 660 euros per package.</w:t>
      </w:r>
    </w:p>
    <w:p>
      <w:r>
        <w:t>251. Therefore, the incremental cash flows attributable to the CDCA project to be considered are those differential to the scenario in the absence of the project itself, that is, the continuation of the sale of Xenbilox® off-label at the price of 660 euros per package in effect before the project417. Consequently, the incremental revenues were calculated by subtracting, from the revenues realized or expected by the Party, the revenues that would have been realized by selling Xenbilox® at 660 euros.</w:t>
      </w:r>
    </w:p>
    <w:p>
      <w:r>
        <w:t>252. Regarding the incremental costs, that is, the costs that would not have been incurred in the absence of the CDCA project (but continuing with the sale of Xenbilox® administered off-label), the Party provided an estimate of these that does not appear realistic for the following reasons. Firstly, in the estimate of the incremental costs provided418, the Party considered all direct costs of CDCA Leadiant® as incremental: this cannot be plausible, given that the production process of CDCA Leadiant® does not significantly differ from that of Xenbilox®, and therefore a large part of these costs would have been incurred anyway in the absence of the project.</w:t>
      </w:r>
    </w:p>
    <w:p>
      <w:r>
        <w:t>253. Secondly, it is noted that the Party provided the value of the incremental common costs not - as one would expect - by separating from the common costs attributed to CDCA Leadiant® those that would have been incurred anyway in the absence of the project; rather, the company made this estimate starting from the total common costs, that is, incurred by the company for the production and marketing of all products in its portfolio. This method of identifying incremental costs leads to the paradox that for some years - specifically the initial and final years of the project - the incremental costs of CDCA Leadiant® would be higher than the total costs reported by Leadiant for the same product, while, over the entire period of the project, the incremental costs and total costs of CDCA Leadiant® would substantially coincide. In other words, according to the Party, all common costs attributed to CDCA Leadiant®, which as already noted (see paragraph 239 supra), represent over half of the total costs of the product over the duration of the project, would have an incremental nature.</w:t>
      </w:r>
    </w:p>
    <w:p>
      <w:r>
        <w:t>254. Furthermore, according to the Party, for the first 8 years of the project (2014-2021) over 50% of the total common costs, that is, those incurred for all products in the portfolio, would be incremental to CDCA Leadiant®. This is because, if CDCA had not obtained orphan drug designation, the company, while continuing to market the other products in its portfolio (including Xenbilox® administered off-label) would have significantly reduced its structure in Europe, [omitted].</w:t>
      </w:r>
    </w:p>
    <w:p>
      <w:r>
        <w:t>255. On this point, it is noted that the scenario of a drastic reduction of Leadiant's European structure in the event of a negative outcome of the CDCA project does not appear to be supported by any concrete evidence. The documentation submitted shows, instead, that the company anticipated, in this case, to continue selling Xenbilox® off-label without managing to expand its sales, but never hypothesizing a drastic restructuring of its European presence419.</w:t>
      </w:r>
    </w:p>
    <w:p>
      <w:r>
        <w:t>256. It should also be noted that the Party itself provided a multi-year estimate of incremental costs ([50-60%] of total common costs for the years 2014-2021 and [20-30%] for the years 2022-2027), stating that “the year-by-year estimate of incremental common costs ... would not provide additional informative value”420 and that the more granular allocation of common costs year by year was carried out (in defining the data relating to the total costs of CDCA Leadiant®), using the allocation key of labor time.</w:t>
      </w:r>
    </w:p>
    <w:p>
      <w:r>
        <w:t>257. All things considered, it is deemed more cautious in the continuation of the analysis of incremental cash flows to consider the total costs of CDCA Leadiant® provided by the Party. It should be noted that this choice is extremely favorable for the Party, since incremental costs are by definition a subset of total costs.</w:t>
      </w:r>
    </w:p>
    <w:p>
      <w:r>
        <w:t>258. Table 4 shows the incremental profits related to the CDCA project, derived by considering the incremental revenues (that is, net of revenues from the sales of Xenbilox® that would have occurred anyway) minus the incremental costs (which in this case, with an extremely favorable approach to the Party, are considered to coincide with total costs for the reasons outlined above). The calculation of profit net of taxes and the change in CNN in order to determine the incremental cash flows was carried out in accordance with what has already been done for the calculation of overall cash flows421.</w:t>
      </w:r>
    </w:p>
    <w:p>
      <w:r>
        <w:rPr>
          <w:b/>
        </w:rPr>
        <w:t>[Pages 70–72]</w:t>
      </w:r>
    </w:p>
    <w:p>
      <w:r>
        <w:t>72 BULLETIN NO. 21 OF JUNE 6, 2022</w:t>
        <w:br/>
        <w:t>Table 4 – Incremental cash flows of the CDCA Leadiant® project for Italy (values in euros)</w:t>
        <w:br/>
        <w:t>Incremental profit</w:t>
        <w:br/>
        <w:t>Incremental profit Cash flow</w:t>
        <w:br/>
        <w:t>CDCA project Italy</w:t>
        <w:br/>
        <w:t>Year CDCA project Italy Incremental CCN variation</w:t>
        <w:br/>
        <w:t xml:space="preserve">(Incremental RP Italy – </w:t>
        <w:br/>
        <w:t>net of taxes CDCA project Italy</w:t>
        <w:br/>
        <w:t>Incremental CP Italy)</w:t>
        <w:br/>
        <w:t>2014 -[200,000-300,000] -[200,000-300,000] 0 -[200,000-300,000]</w:t>
        <w:br/>
        <w:t>2015 -[800,000-900,000] -[800,000-900,000] -[1-50,000] -[800,000-900,000]</w:t>
        <w:br/>
        <w:t>2016 -[600,000-700,000] -[600,000-700,000] [1-50,000] -[600,000-700,000]</w:t>
        <w:br/>
        <w:t>2017 [1-2 mln] [1-2 mln] [300,000-400,000] [800,000-900,000]</w:t>
        <w:br/>
        <w:t>2018 [4-5 mln] [3-4 mln] [500,000-600,000] [2-3 mln]</w:t>
        <w:br/>
        <w:t>2019 [4-5 mln] [3-4 mln] [1-50,000] [3-4 mln]</w:t>
        <w:br/>
        <w:t>2020 -[5-6 mln]* -[5-6 mln] -[1-2 mln] -[4-5 mln]</w:t>
        <w:br/>
        <w:t>2021 [600,000-700,000]** [600,000-700,000] [500,000-600,000] [100,000-200,000]</w:t>
        <w:br/>
        <w:t>2022 [1-2 mln] [1-2 mln] [50,000-100,000] [1-2 mln]</w:t>
        <w:br/>
        <w:t>2023 [1-2 mln] [1-2 mln] [1-50,000] [1-2 mln]</w:t>
        <w:br/>
        <w:t>2024 [1-2 mln] [1-2 mln] [1-50,000] [1-2 mln]</w:t>
        <w:br/>
        <w:t>2025 [1-2 mln] [1-2 mln] [1-50,000] [1-2 mln]</w:t>
        <w:br/>
        <w:t>2026 [1-2 mln] [1-2 mln] [1-50,000] [1-2 mln]</w:t>
        <w:br/>
        <w:t>2027 [300,000-400,000] [200,000-300,000] -[200,000-300,000] [400,000-500,000]</w:t>
        <w:br/>
        <w:t>*Based on the assumptions of reimbursements to the NHS of the difference between the negotiated price and the price paid, in 2020 [6-7] million euros were refunded to hospitals.</w:t>
        <w:br/>
        <w:t>** It is assumed that the remaining [300,000-400,000] euros will be fully reimbursed in 2021.</w:t>
        <w:br/>
        <w:t>259. Figure 4 shows the incremental cash flows of the CDCA project, obtained as described above, compared with the overall cash flows (already reported in Figure 3). The incremental flows are more contained than the non-incremental flows, as the latter do not subtract the sales of Xenbilox® (which would have occurred anyway in the absence of the project). The use of incremental cash flows is therefore favorable to the Party.</w:t>
      </w:r>
    </w:p>
    <w:p>
      <w:r>
        <w:t>BULLETIN NO. 21 OF JUNE 6, 2022 73</w:t>
        <w:br/>
        <w:t>Figure 4 - Incremental and overall cash flows of the CDCA project for Italy (thousands of euros)</w:t>
        <w:br/>
        <w:t>260. The result of the calculation of the internal rate of return on the incremental cash flows for the period 2014-2027, corresponding to the entire duration of the project, provides a value of [40-50%]. Also in this case, considering a capital cost of 15% from a perspective favorable to the Party, the prices applied by Leadiant generate a project profitability three times the capital cost.</w:t>
        <w:br/>
        <w:t>III.6.3 The cost plus analysis</w:t>
        <w:br/>
        <w:t>261. The second methodology for analyzing price excessiveness used consists of examining the disproportion between the prices applied and the costs incurred by Leadiant for CDCA Leadiant®, according to the following relationship:</w:t>
        <w:br/>
        <w:t>PQ – (C + ROS) = EXC.</w:t>
        <w:br/>
        <w:t>262. The value in parentheses represents the so-called cost plus (C+) and is given by the sum of the costs (indicated with C and composed of both the costs directly attributable to the product and the share of indirect costs attributed to it) and a measure of reasonable business profitability (Return on Sales or ROS).</w:t>
        <w:br/>
        <w:t>263. The difference between revenues (PQ) and the cost plus represents the excess (EXC) for which any disproportion must be evaluated. The measure of the excess thus obtained will be related to the cost plus to obtain a percentage value (EXC%), invariant with respect to sales volumes and comparable with the results achieved in other cases of unjustifiably burdensome prices.</w:t>
        <w:br/>
        <w:t>264. In this case, the excess has been calculated starting from June 2017, the year of the start of the commercialization of CDCA Leadiant® in Italy, and considered both until 2020, the last full year for which actual sales of CDCA Leadiant® occurred, and until the end of the market exclusivity, i.e., April 2027, based on the data relating to costs and revenues provided by the Party.</w:t>
        <w:br/>
        <w:t>265. For the purpose of calculating revenues, the quantities sold in Italy from June 2017 (actual until 2020 and estimated from 2021 onwards) were multiplied by the unit price of [5,000-7,000] euros for each year. This is because the price negotiated in the agreement with AIFA, net of legal reductions, was applied retroactively to the sales made to hospitals in class CNN through a mechanism for refunding the difference between the price paid and the negotiated price. In the following analysis, since the monetary manifestation of revenues is not relevant but rather the related economic competence, it will be considered as if the negotiated price had been applied ab origine422.</w:t>
        <w:br/>
        <w:t>266. Regarding the total costs, both direct and indirect, the data already considered in the IRR methodology were taken into account (see Table 2).</w:t>
        <w:br/>
        <w:t>267. With regard to the measure of the profitability of the business, which ensures it a fair remuneration for its activity, it was chosen, in continuity with previous cases of unjustifiably burdensome prices in the pharmaceutical sector423, to use a balance sheet index that measures sales profitability, the ROS (given by the ratio of operating profit to sales). The choice of this indicator appears appropriate as the CDCA project essentially consists of a repurposing of Xenbilox®, a product already present in the company's portfolio, and is not characterized by high levels of investment or risk. In order to identify an appropriate value of ROS that can represent a reasonable profit margin for the business activity, the average data relating to the ROS of companies in the pharmaceutical sector in Western Europe for the period 2014-2019, amounting to 20.54%424 (in the continuation of the analysis rounded up to 21%) was considered. It should be noted that this profitability benchmark is significantly higher than that used in previous cases by the Authority425. Considering that the investigation aims to verify the possible imposition of excessive prices, it is deemed inappropriate to calculate ROS based on the revenue generated by applying said prices. Consequently, the reasonable return for the company will be calculated by applying an appropriate mark-up on costs (cost uplift) based on the above-identified ROS426.</w:t>
        <w:br/>
        <w:t>422 From the information provided by the company, the differential between what was paid by the ASLs in the years 2017-2019 and what would have been due if the negotiated price had been applied ab origine appears to be greater than the [6-7] million agreed within the agreement with AIFA. This would imply that actual revenues were higher than those that would have occurred under the application of the negotiated price to all sales. However, from a perspective favorable to the Party, the negotiated price will be applied to all sales of CDCA Leadiant® for the calculation of revenues.</w:t>
        <w:br/>
        <w:t>423 See AGCM provision no. 26185 of September 29, 2016, A480 – Increase in Aspen drug prices.</w:t>
        <w:br/>
        <w:t>424 See Damodaran online dataset, Operating and Net Margins by Industry – Europe – average for the years 2014-2019 of the “Pre-tax Unadjusted Operating Margin” data related to the “Drugs (Pharmaceutical)” sector, available at http://people.stern.nyu.edu/adamodar/New_Home_Page/dataarchived.html.</w:t>
        <w:br/>
        <w:t>425 See A480 – Increase in Aspen drug prices, cited, paragraphs 174, 182, 319, where a ROS of 13% was used.</w:t>
        <w:br/>
        <w:t>426 See CMA Decision Pfizer/Flynn, point III.C.5.56. The coefficient to be applied to costs to obtain the cost plus is equal to 1/(1-ROS).</w:t>
      </w:r>
    </w:p>
    <w:p>
      <w:r>
        <w:rPr>
          <w:b/>
        </w:rPr>
        <w:t>[Pages 73–75]</w:t>
      </w:r>
    </w:p>
    <w:p>
      <w:r>
        <w:t>BULLETIN NO. 21 OF JUNE 6, 2022 75</w:t>
        <w:br/>
        <w:t>Table 5 – Calculation of cost plus and excess in percentage (values in euros)</w:t>
        <w:br/>
        <w:t>Quantity Revenues CDCA</w:t>
        <w:br/>
        <w:t>Price CDCA Costs CDCA</w:t>
        <w:br/>
        <w:t>CDCA Leadiant® C+ EXC %</w:t>
        <w:br/>
        <w:t>Year Leadiant® Leadiant®</w:t>
        <w:br/>
        <w:t>Leadiant® (RCDCA= (CCDCA/(1-ROS)) ((RCDCA – C+)/C+)</w:t>
        <w:br/>
        <w:t>(PCDCA) (CCDCA)</w:t>
        <w:br/>
        <w:t>(QCDCA) PCDCA*QCDCA)</w:t>
        <w:br/>
        <w:t>Jun-Dec</w:t>
        <w:br/>
        <w:t>[100-200] [5,000-7,000] [800,000-900,000] [500,000-600,000]* [600,000-700,000] [20-30%]</w:t>
        <w:br/>
        <w:t>2017</w:t>
        <w:br/>
        <w:t>2018 [300-400] [5,000-7,000] [2-3 million] [900,000-1 million] [1-2 million] [80-90%]</w:t>
        <w:br/>
        <w:t>2019 [300-400] [5,000-7,000] [2-3 million] [1-2 million] [1-2 million] [60-70%]</w:t>
        <w:br/>
        <w:t>2020 [300-400] [5,000-7,000] [2-3 million] [1-2 million] [1-2 million] [60-70%]</w:t>
        <w:br/>
        <w:t>2021 [300-400] [5,000-7,000] [2-3 million] [1-2 million] [1-2 million] [50-60%]</w:t>
        <w:br/>
        <w:t>2022 [400-500] [5,000-7,000] [2-3 million] [900,000-1 million] [1-2 million] [100-150%]</w:t>
        <w:br/>
        <w:t>2023 [400-500] [5,000-7,000] [2-3 million] [800,000-900,000] [1-2 million] [100-150%]</w:t>
        <w:br/>
        <w:t>2024 [400-500] [5,000-7,000] [2-3 million] [800,000-900,000] [1-2 million] [100-150%]</w:t>
        <w:br/>
        <w:t>2025 [400-500] [5,000-7,000] [2-3 million] [800,000-900,000] [1-2 million] [100-150%]</w:t>
        <w:br/>
        <w:t>2026 [400-500] [5,000-7,000] [2-3 million] [800,000-900,000] [1-2 million] [100-150%]</w:t>
        <w:br/>
        <w:t>2027 [100-200] [5,000-7,000] [800,000-900,000] [200,000-300,000] [300,000-400,000] [150-200%]</w:t>
        <w:br/>
        <w:t>Jun 2017-</w:t>
        <w:br/>
        <w:t>[1,000-2,000] [5,000-7,000] [7-8 million] [3-4 million] [4-5 million] [60-70%]</w:t>
        <w:br/>
        <w:t>Dec 2020</w:t>
        <w:br/>
        <w:t>Jun 2017-</w:t>
        <w:br/>
        <w:t>[3,000-4,000] [5,000-7,000] [20-30 million] [10-20 million] [10-20 million] [90-100%]</w:t>
        <w:br/>
        <w:t>Apr 2027</w:t>
        <w:br/>
        <w:t>* Considering that the sales of CDCA Leadiant® in Italy began in June 2017, the costs incurred in 2017 by the company have been proportionally adjusted to an equivalent period of the year.</w:t>
        <w:br/>
        <w:t>268. Starting from June 2017, as shown in Table 5, the Party reported revenues in excess of costs (including a reasonable margin of remuneration); this excess, as a percentage of cost plus, during the period 2017-2020 ranges between [20-30%] and [80-90%], with a relative excess for the entire period amounting to [60-70%]. Considering the entire period of market exclusivity, that is until April 2027, the percentage excess amounts to [90-100%].</w:t>
        <w:br/>
        <w:t>IV. THE ARGUMENTS OF THE PARTIES</w:t>
        <w:br/>
        <w:t>IV.1 Procedural Exceptions</w:t>
        <w:br/>
        <w:t>269. As a preliminary matter, Leadiant complained about the violation of the principle of equality of arms between prosecution and defense due to the postponement of the hearing date after it had already submitted its written submissions. The company believes that the fairness of the adversarial process between the Party and the Offices before the Panel during the final hearing was altered by the fact that, due to the postponement of the final hearing, the Offices were able to benefit from a time frame more than three times (17 days) that provided by the aforementioned DPR (5 days) for the analysis of the party's submissions. Therefore, considering the postponement of the final hearing, it would have been appropriate for the Authority to identify specific methods to ensure equality of arms even in this case.</w:t>
        <w:br/>
        <w:t>IV.2 The Existence of a Dominant Position Held by Leadiant</w:t>
        <w:br/>
        <w:t>270. Regarding the attribution to Leadiant of a dominant position in the national market for CDCA-based drugs for the treatment of CTX – the definition of which was not subject to counter-arguments from the Party – since January 2016, the company believes that such a position of preeminence did not exist before obtaining the AIC for the orphan drug. Since Xenbilox®, authorized in Germany for the treatment of gallstones, but lacking AIC in Italy, was imported into the domestic market by independent wholesalers (in a completely independent manner and in very limited quantities for only a few months between 2016 and 2017427), Leadiant was not directly active in the national market. Therefore, it would not be possible to attribute to it a true market position in Italy428.</w:t>
        <w:br/>
        <w:t>271. In any case, according to the Party, Leadiant's market position was contestable by various entities capable of introducing CDCA-based products into the market, both of a galenic nature and of an industrial nature.</w:t>
        <w:br/>
        <w:t>272. Regarding the former, Leadiant believes that PCA was not, and is not, the only credible operator present in the CDCA market as a pharmaceutical-grade active ingredient capable of supplying CDCA to hospital pharmacies that wished to produce the drug in galenic form. This would be demonstrated by i) a historical extract from the Thomson Reuters Newport Global database, which would highlight the presence in the market of (at least) 15 alternative CDCA suppliers as early as 2015, ii) the supply offer of CDCA to PCA by a pharmaceutical-grade active ingredient wholesaler, which likely sourced from a Chinese manufacturer, in 2017, iii) the offer of CDCA presented by Pierre Fabre directly to Leadiant in 2019 iv) the confirmed existence, since early 2020, of a Chinese source of CDCA that was operational in Europe through the sale of the active ingredient to the Amsterdam hospital, which since February 2020 has set up a galenic production capable of adhering to the specifications of the European Pharmacopoeia, and, finally, v) the existence of at least two operators that hold AICs for pharmaceutical products based on CDCA (Chenodal, marketed in the United States by Retrophin and Chino, marketed in Japan by Fujimoto Pharmaceutical Corporation) and that would purchase the active ingredient from suppliers other than PCA429. Furthermore, according to Leadiant, it should be considered that the production of CDCA is not a complex activity and that there are also other entities capable of entering the market at any time, especially companies that, as emerged during the proceedings, produce ursodeoxycholic acid and could also produce CDCA, as it is an intermediate product of the former.</w:t>
        <w:br/>
        <w:t>273. Based on these factual elements, Leadiant believes that, after the depletion of CDCA stocks by the University Hospital of Siena, Italian hospitals could easily source from these alternative sources to PCA and that, therefore, the lack of access to the active ingredient should not be attributed to the exclusive supply contract for CDCA, considering also that since 2005 PCA had interrupted the supply of CDCA to the Pharmacy of the AOU Senese430, and that this contract had the sole purpose of protecting the investments made by both parties.</w:t>
        <w:br/>
        <w:t>274. Regarding the competitive threats posed by other industrial CDCA-based drugs capable of contesting the market to Leadiant before obtaining the AIC for the orphan drug, the company generally observes that Xenbilox® did not enjoy any regulatory protection, as the dossier protection had expired, nor patent protection, as the drug was off patent, so that any other company could have entered the market with a CDCA-based medicine. Furthermore, it specifically identifies two allegedly potential competing drugs to CDCA: the aforementioned Chenodal, of which Retrophin was, and is, the holder, and Kolbam®431.</w:t>
        <w:br/>
        <w:t>275. As for the market position held by the company after obtaining the orphan designation and the AIC of the orphan drug, the company merely states that Leadiant's ability to exercise market power may in the future be limited by competitive dynamics in other EU Member States that can influence the Italian market and the very sustainability of Leadiant's presence in that market, given the extremely reduced patient base at the EU level.</w:t>
        <w:br/>
        <w:t>276. Finally, the company believes that the significant bargaining power held by AIFA, the manifestation of which can be found in the fact that the agreement concluded by the company with the Agency in December 2019 led to the application of a negotiated price that is the lowest in Europe, does not allow attributing to Leadiant a dominant position in the relevant market.</w:t>
        <w:br/>
        <w:t>IV.3 The Price Increase of Xenbilox®</w:t>
        <w:br/>
        <w:t>277. The company believes that its behaviors, as emerged in the investigative findings, are normal, physiological, and merely aimed at the development of the CDCA project.</w:t>
        <w:br/>
        <w:t>278. Preliminary, the Party contests the relevance of events dating back to 2007 for the purposes of establishing the infringement, which would have possibly begun only from June 15, 2017432.</w:t>
        <w:br/>
        <w:t>279. In any case, Leadiant asserts that all documents referring to a price increase of the product, the so-called "step price increase," and more generally to the future selling price of the medicine, would be nothing more than mere economic assessments reflecting the drastic drop in sales resulting from the contraction in demand, in turn linked to</w:t>
      </w:r>
    </w:p>
    <w:p>
      <w:r>
        <w:rPr>
          <w:b/>
        </w:rPr>
        <w:t>[Pages 76–78]</w:t>
      </w:r>
    </w:p>
    <w:p>
      <w:r>
        <w:t>78 BULLETIN NO. 21 OF JUNE 6, 2022</w:t>
        <w:br/>
        <w:t>due to the obsolescence of CDCA for the treatment of CTX, the instability of the market at that historical moment, and the profitability of the project, especially in light of obtaining orphan designation.</w:t>
      </w:r>
    </w:p>
    <w:p>
      <w:r>
        <w:t>IV.4 The artificial differentiation between Xenbilox® and the orphan drug</w:t>
        <w:br/>
        <w:t>280. Leadiant first contests the very competence of the Authority to address matters related to the withdrawal of Xenbilox® from the German market and the establishment of Leadiant GmbH, under penalty of formulating assessments on facts that, from a geographical perspective, would not fall within the scope of the Proceedings.</w:t>
      </w:r>
    </w:p>
    <w:p>
      <w:r>
        <w:t>281. Furthermore, in particular, the withdrawal of Xenbilox® would not have been dictated by the intention to influence either the German regulator or those of other Member States, but would merely be the result of the fact that the original therapeutic indication, the treatment of biliary stones, no longer had a market. It would therefore have been financially unsustainable to keep both drugs on the market given the small number of patients affected by the rare disease in Germany. In this sense, the document stating that the reasons for the withdrawal of the off-label drug are "strategic" should be interpreted as a synonym for "commercial."</w:t>
      </w:r>
    </w:p>
    <w:p>
      <w:r>
        <w:t>282. Likewise, the establishment of Leadiant GmbH would not have had any anticompetitive purpose, since this would not have prevented health insurers from referring to the reimbursement price of Xenbilox®, but at most from benefiting from an automatic discount on the price of CDCA Leadiant® equal to the difference between the price of that drug and the reimbursement price of Xenbilox® in Germany, a circumstance that would be irrelevant to the case at hand.</w:t>
      </w:r>
    </w:p>
    <w:p>
      <w:r>
        <w:t>IV.5 The price negotiation procedure for the orphan drug before AIFA</w:t>
        <w:br/>
        <w:t>283. Leadiant also contests having engaged in obstructive conduct towards AIFA. In this regard, the case would significantly differ from the previous case of the Authority Aspen. Leadiant did not, in fact, exert any negotiating pressure on the Agency either through the reiteration of the request to classify the drug in class C, nor threatened to withdraw the drug from the domestic market, nor finally instrumentalized the unavailability of the product on the national territory. On the contrary, the company has always adopted a cooperative attitude towards AIFA, to the extent that in April 2018 the company informed the Agency that the difference between the purchase price at the time and the price negotiated with AIFA would be returned to healthcare facilities. Secondly, the Company never intended to cause nor has caused any harm to the NHS or to patients, given the negligible size of the drug's budget and the absence of evidence regarding cases of treatment interruption attributable to Leadiant.</w:t>
      </w:r>
    </w:p>
    <w:p>
      <w:r>
        <w:t>284. Furthermore, the company claims that the duration of the negotiation procedure regarding the price of the orphan drug, although articulated and complex, inter alia due to uncertainties regarding the incidence of the disease, was not particularly long compared to the average. The average time between EMA authorization and AIFA's determination of admission to reimbursement in the period 2017-2020 would be, in fact, 24 months, with maximum values of 89 months. In the case of CDCA Leadiant®, approximately 32 months elapsed between EMA authorization (April 2017) and the resolution approving the price agreement (December 2019), of which 2 were used to submit the reimbursement dossier and 12 passed while waiting for the company to be convened by the CPR of AIFA (which took place in June 2018), so that the actual negotiation on the price (taking into account the periods of consensual suspension of the procedure) took place over a total of 18 months. It would therefore not be possible to attribute to Leadiant a dilatory and obstructive conduct.</w:t>
      </w:r>
    </w:p>
    <w:p>
      <w:r>
        <w:t>285. The company also denies having submitted the requested cost data late during the negotiation procedure. Instead, it would have submitted promptly, at the time of preparing the reimbursement dossier, the information required by CIPE Resolution No. 3/2001 and the attached dossier template, which require the indication of the total amount of investments in research and development and productive investments made by the proposing company in Italy in the last three years. The request by AIFA to know the amount of production costs of the orphan drug would therefore be irrelevant because it does not comply with the criterion adopted by the CIPE Resolution itself, which would be entirely and exclusively focused on the cost-effectiveness attributable to a drug, that is, on a value-based approach and not cost-based.</w:t>
      </w:r>
    </w:p>
    <w:p>
      <w:r>
        <w:t>286. AIFA would also have disregarded the indications of the applicable regulatory framework to the extent that it insisted on aligning the price of CDCA Leadiant® with that of Xenbilox®, whereas Article 48, paragraph 5, letter d), of Decree Law No. 269/2003 binds AIFA to take "as comparison terms the reference price for the relevant homogeneous therapeutic category and the comparative daily cost within drugs with the same therapeutic indications." It would follow that AIFA could not have used Xenbilox® as a reference comparator for the negotiation of the price of CDCA Leadiant®, as the comparison with drugs lacking AIC in Italy and authorized for different indications is legally precluded. For this reason, the artificial differentiation between Xenbilox® and CDCA Leadiant®, the implementation of which is denied by the company in any case, would not have had any effect on AIFA.</w:t>
      </w:r>
    </w:p>
    <w:p>
      <w:r>
        <w:t>287. On this matter, Leadiant concludes by stating that the negotiation did not take place under unfavorable conditions for AIFA, to the extent that it concluded with an outcome much closer to the Agency's position than to that of the company, so much so that the negotiated price is the lowest among those practiced in other EU Member States, that the drug's budget is absolutely negligible, and that the Agency itself has declared itself sufficiently satisfied with the negotiation outcome.</w:t>
      </w:r>
    </w:p>
    <w:p>
      <w:r>
        <w:t>IV.6 The excessiveness of the price of CDCA Leadiant®</w:t>
        <w:br/>
        <w:t>IV.6.1 The TIR analysis</w:t>
        <w:br/>
        <w:t>288. According to the Party, the TIR analysis conducted during the proceedings to demonstrate the excessive disproportion between the price of CDCA Leadiant® and the costs incurred would be based on an unsuitable model, which would not correctly take into account the risks faced by the company in the project in question and/or would rely on incorrect assumptions that do not reflect the facts.</w:t>
      </w:r>
    </w:p>
    <w:p>
      <w:r>
        <w:t>289. From the perspective of the risks that the company has faced, and will continue to face, Leadiant first noted that obtaining and maintaining designation as an orphan drug was not a certain outcome, especially considering that the European Commission had already authorized two other drugs indicated for the treatment of congenital errors in the synthesis of primary bile acids (which includes CTX), Kolbam® and Orphacol®433.</w:t>
      </w:r>
    </w:p>
    <w:p>
      <w:r>
        <w:t>290. Secondly, Leadiant recalled that the AIC for the orphan drug was granted "under exceptional circumstances" and that the permanence of the conditions under which the AIC was granted is examined annually. For this purpose, the company must collect data on the long-term safety and efficacy of the therapy in patients treated with CDCA Leadiant®, through a registry of patients affected by CTX, functional to the collection of such data and the presentation to EMA, based on said registry, of the results and evidence of a study (involving children, adolescents, and adults)434.</w:t>
      </w:r>
    </w:p>
    <w:p>
      <w:r>
        <w:t>291. Furthermore, Leadiant mentioned the risks associated with negotiating reimbursement conditions: the determination of the market price, in fact, depends on the success of negotiations to be conducted based on individual national reimbursement regimes with parties possessing strong negotiating power.</w:t>
      </w:r>
    </w:p>
    <w:p>
      <w:r>
        <w:t>292. Additionally, one should consider the risks associated with market coverage/quantity, particularly pronounced for drugs intended for the treatment of extremely rare diseases such as CTX and further exacerbated by the fact that the market exclusivity, resulting from orphan designation, in addition to being able to be shortened to six years, is susceptible to being surpassed in the presence of "similar" drugs deemed safer, more effective, or clinically superior435.</w:t>
      </w:r>
    </w:p>
    <w:p>
      <w:r>
        <w:t>293. To better reflect the information on risk, Leadiant believes that it would be more efficient to use a risk-adjusted NPV model. This approach, unlike the model used during the proceedings, where the risk component is incorporated into the WACC, uses more parameters to account for risk (probability of success and discount rate). These parameters are estimated not from Leadiant's perspective but from that of an ex ante investor, a circumstance that would ensure an objective and not subjective assessment of risk. In the model proposed by the Party, the choice of success probabilities at different stages is based on a literature search regarding the average success probabilities of orphan drug development projects, adapted to the specificities of the case at hand. The discount rate was instead estimated through a survey conducted in 2020 on over 400 pharmaceutical valuation experts. Using this methodology, according to the Party, the price of CDCA Leadiant® would not be excessive; the Minimum Viable Price, that is, the minimum price that according to the Party an investor would have required to decide to invest in the project, would amount to approximately [5,000-7,000] euros per package.</w:t>
      </w:r>
    </w:p>
    <w:p>
      <w:r>
        <w:t>294. With specific regard to the value of the WACC used in the investigation, Leadiant argues that it would not be appropriate, as it would have been derived from an internal document of Leadiant, [omitted], and would therefore tend to underestimate that value. Furthermore, it would constitute a corporate WACC and would not be referable to the specific CDCA project, which would be characterized by a higher WACC value.</w:t>
      </w:r>
    </w:p>
    <w:p>
      <w:r>
        <w:t>295. The Party also argues that the investigative analysis would be based on some erroneous assumptions. In particular, Leadiant claims that in the scenario without the project, used in the proceedings to conduct the TIR analysis on incremental cash flows, it was not considered that, even if the CDCA project had not been undertaken, the price of Xenbilox® would have still increased. This is because the company would have had similar435.</w:t>
      </w:r>
    </w:p>
    <w:p>
      <w:r>
        <w:rPr>
          <w:b/>
        </w:rPr>
        <w:t>[Pages 79–81]</w:t>
      </w:r>
    </w:p>
    <w:p>
      <w:r>
        <w:t>BULLETIN NO. 21 OF JUNE 6, 2022 81</w:t>
        <w:br/>
        <w:t>incentives to increase the price of Xenbilox® in both scenarios (i.e., whether or not the project is realized).</w:t>
      </w:r>
    </w:p>
    <w:p>
      <w:r>
        <w:t>296. Finally, the circumstance that the price of CDCA Leadiant® is expected to gradually decrease even during the exclusivity period would not have been taken into account, given that the supply conditions are subject to periodic renegotiation with the regulator.</w:t>
      </w:r>
    </w:p>
    <w:p>
      <w:r>
        <w:t>IV.6.2 The so-called cost plus method analysis</w:t>
      </w:r>
    </w:p>
    <w:p>
      <w:r>
        <w:t>297. Leadiant believes that it is not appropriate to verify the unjust burden of the orphan drug price through the so-called cost plus method, as occurred in the Authority's previous case, Aspen436, and in the case of the British competition authority, Pfizer/Flynn437. These cases, in fact, unlike the present one, concerned already existing products, whose initial investments had been recovered and for which no contribution had been made in the scientific field. The case at hand, on the other hand, is characterized primarily by the aforementioned significant regulatory and commercial risks at all stages of its development. Moreover, Leadiant emphasizes that AIFA also deemed it unnecessary to apply a 'value-based' approach to the drug instead of a 'cost-based' approach438 in determining the reimbursement price of CDCA Leadiant®439.</w:t>
      </w:r>
    </w:p>
    <w:p>
      <w:r>
        <w:t>298. In addition to the inadequacy related to the nature of the product, for Leadiant, the cost plus method would not take into account the time value of money and, therefore, the dynamic evolution of a new drug development project such as CDCA Leadiant®.</w:t>
      </w:r>
    </w:p>
    <w:p>
      <w:r>
        <w:t>299. Furthermore, the calculation of the cost plus starting from 2017 would not take into account the initial investment made by Leadiant in the years 2014-2016 to bring the product to market.</w:t>
      </w:r>
    </w:p>
    <w:p>
      <w:r>
        <w:t>300. Finally, the average sector ROS used as a benchmark to assess the excessiveness of the price would not be adequate, as it would not reflect the specific risk of the CDCA project.</w:t>
      </w:r>
    </w:p>
    <w:p>
      <w:r>
        <w:t>IV.7 The inequity of the price of CDCA Leadiant®</w:t>
      </w:r>
    </w:p>
    <w:p>
      <w:r>
        <w:t>301. According to the Party, the second phase of the United Brands test developed by the Court of Justice, aimed at determining the inequity of prices, in this case should have valued the economic value of the drug (including also non-cost related factors, such as benefits for patients and society) and the price of the same drug in other European countries or the price of comparable pharmaceutical products440.</w:t>
      </w:r>
    </w:p>
    <w:p>
      <w:r>
        <w:t>302. Leadiant criticizes the choice to consider only the first of the two criteria indicated in the United Brands text, which looks at inequity in an absolute sense. This criterion, in fact, according to the Party, would only apply to those cases where the unfair nature of prices can be determined without the need for any comparison with similar or competing products. Such cases would be exclusively identifiable in relation to prices for which consumers receive no product in return441. Leadiant's abusive conduct would not fall within these cases442.</w:t>
      </w:r>
    </w:p>
    <w:p>
      <w:r>
        <w:t>303. The inequity test, if applied correctly, should have, on the contrary, verified the existence or not of a rational economic explanation for the price applied by the company443, to which a necessary and fundamental "safety check"444 should have been added, to be carried out through an assessment of the price inequity in comparison with the price of other comparable products, which do not necessarily belong to the same relevant market445.</w:t>
      </w:r>
    </w:p>
    <w:p>
      <w:r>
        <w:t>304. Based on these observations, Leadiant asserts that the assessment of inequity is incorrect and that a comparative assessment of the price of CDCA Leadiant® would instead indicate that this price is not inequitable.</w:t>
      </w:r>
    </w:p>
    <w:p>
      <w:r>
        <w:t>305. According to the Party, in fact, in this case, there are several pharmaceutical products that, for the purposes of the inequity assessment, can be considered close comparators to CDCA Leadiant®. One of these would be Orphacol, an orphan drug marketed in Italy that is absolutely comparable to CDCA Leadiant®, as it is also repurposed, authorized under exceptional circumstances, with a patient population and levels of cost for market entry and maintenance comparable, and with a value for patients similar to that of Leadiant's orphan drug. The Party emphasizes that the annual price of CDCA Leadiant® (equal to [60,000-70,000] euros) would be lower than that of Orphacol (equal to [100,000-200,000] euros) by almost [50-60%]446.</w:t>
      </w:r>
    </w:p>
    <w:p>
      <w:r>
        <w:t>306. Furthermore, the company claims that CDCA Leadiant® is cheaper than the average Italian price of orphan drugs contained in a sample of 75 medicines by about [40-50%] and cheaper than the average price of orphan drugs in therapeutic areas similar to that of CTX by about [50-60%]447.</w:t>
      </w:r>
    </w:p>
    <w:p>
      <w:r>
        <w:t>307. Additionally, from the comparison with the data on actual spending for orphan drugs in Italy found in two reports from AIFA and the Orphan Drug Observatory, it would emerge that the total annual expenditure for CDCA Leadiant® (amounting to approximately [2-3] million euros) is [80-90%] lower than the average total annual expenditure for an orphan drug in Italy (amounting to approximately 14.98 million euros), and is essentially negligible in terms of both values and consumption, amounting to approximately [0-1%] and [0-1%] of the total orphan drugs448.</w:t>
      </w:r>
    </w:p>
    <w:p>
      <w:r>
        <w:t>308. Finally, the company claims that the Italian price of CDCA Leadiant® is lower than the prices in France, the UK, and Germany, respectively by [30-40%], [40-50%], and [70-80%]. Leadiant denies that these differences are due to the strategy that supported the abuse and asserts that, on the contrary, these are the result of negotiations with national regulatory authorities. According to the company, the English and French prices are particularly relevant, as the former has been considered by AIFA itself as a "valid reference" and the latter reflects the competitive relationship existing between CDCA and cholic acid449.</w:t>
      </w:r>
    </w:p>
    <w:p>
      <w:r>
        <w:t>309. In any case, the assessment of the inequity of the price of CDCA Leadiant®, according to the Party, would be incorrect: the qualitative factors used for the assessment would not take into account the added value that the orphan drug brings for patients and the NHS, and the significant costs and risks incurred by Leadiant for its development450.</w:t>
      </w:r>
    </w:p>
    <w:p>
      <w:r>
        <w:t>IV.7.1 The differences between Xenbilox® and CDCA Leadiant®</w:t>
      </w:r>
    </w:p>
    <w:p>
      <w:r>
        <w:t>310. Leadiant argues that there are significant differences between Xenbilox® and CDCA Leadiant®: the latter is an orphan drug specifically developed for the treatment of an ultra-rare disease, while the former was merely used as a reference drug in the AIC request procedure to the European Commission and was, according to the Party, only one among various CDCA-based products, authorized for a different therapeutic indication, the treatment of gallstones451.</w:t>
      </w:r>
    </w:p>
    <w:p>
      <w:r>
        <w:t>311. Furthermore, compared to Xenbilox®, but also compared to the galenic formulations prepared by hospital pharmacies, the orphan drug developed by the company would present substantial differences, attributable to i) the improvement of the drug production method, ii) the systematic and first-time demonstration of the efficacy, safety, and quality of the treatment, iii) the certainty of supply and access to the drug, thanks to obtaining an AIC in Italy, and finally iv) the guarantees and post-registration obligations, including those arising from improved pharmacovigilance452.</w:t>
      </w:r>
    </w:p>
    <w:p>
      <w:r>
        <w:t>312. In this regard, Altroconsumo emphasizes the existing connections between Xenbilox® and CDCA Leadiant®, which prevent considering the latter comparable to a newly introduced drug. Moreover, Altroconsumo states that, in this case, one could also doubt whether Leadiant has engaged in a true repurposing activity, since the molecule was already used exclusively for the treatment of the rare disease, even if off-label.</w:t>
      </w:r>
    </w:p>
    <w:p>
      <w:r>
        <w:t>IV.7.2 The costs and risks associated with the project</w:t>
      </w:r>
    </w:p>
    <w:p>
      <w:r>
        <w:t>313. Leadiant has stated that the project undertaken, although it involves repurposing, has entailed, and entails, very significant costs and risks, not limited to just the research and development costs and the "live" production costs of the drug.</w:t>
      </w:r>
    </w:p>
    <w:p>
      <w:r>
        <w:t>314. The price of CDCA Leadiant®, therefore, covers, inter alia, the implementation of a wide range of new synthesis and purification tests of the active ingredient underlying the production process of the orphan drug, the independent development of part of the DMF and the regulatory dossier of CDCA Leadiant®, distribution and logistics activities, and the fulfillment of stringent obligations.</w:t>
      </w:r>
    </w:p>
    <w:p>
      <w:r>
        <w:rPr>
          <w:b/>
        </w:rPr>
        <w:t>[Pages 82–84]</w:t>
      </w:r>
    </w:p>
    <w:p>
      <w:r>
        <w:t>84 BULLETIN NO. 21 OF JUNE 6, 2022</w:t>
        <w:br/>
        <w:t>regulatory obligations related to obtaining orphan designation, the AIC (and its maintenance), marketing, and scientific information453.</w:t>
      </w:r>
    </w:p>
    <w:p>
      <w:r>
        <w:t>315. According to the company, it is also important to recognize the value that the CDCA Project has brought to patients and the NHS, as this generally represents an incentive for further investments. This would be in line with the EMA's assessment activity, which has recognized the significance of the company's investments and the project by positively evaluating both the request for orphan designation and that for the AIC.</w:t>
      </w:r>
    </w:p>
    <w:p>
      <w:r>
        <w:t>316. Finally, the company believes that the appropriate consideration of the non-economic benefits that CDCA Leadiant® brings to the NHS and the demand—which would not have suffered any inconveniences or damages in terms of supply shortages and/or health risks—would alone be sufficient to conclude that the price of the orphan drug is not unfair.</w:t>
      </w:r>
    </w:p>
    <w:p>
      <w:r>
        <w:t>317. On the contrary, Altroconsumo believes that since the price of a drug must reflect its social and therapeutic value (and thus also the activity carried out by the pharmaceutical company in relation to the drug) and that this should not be measured absolutely, but incrementally, in this case, the price requested by Leadiant for the orphan drug is disproportionate to the social value created by the company.</w:t>
      </w:r>
    </w:p>
    <w:p>
      <w:r>
        <w:t>V. EVALUATIONS</w:t>
        <w:br/>
        <w:t>V.1 Introduction</w:t>
        <w:br/>
        <w:t>V.1.1 Procedural Exceptions</w:t>
        <w:br/>
        <w:t>318. In relation to the alleged violation of the principle of equality of arms, it should be noted that Leadiant had a very ample period to produce its defense writings in response to the Communication of the Investigative Results: the latter was, in fact, notified on September 22, 2021, and, following the extension of the deadline for acquiring evidence, decided by the Board on October 22, 2021, at the request of these same Companies, the deadline for submitting the briefs was set for January 19, 2022. This deadline was further extended to January 28, 2022, following a first postponement of the final hearing to February 2, 2022, communicated to these Companies on December 29, 2021.</w:t>
      </w:r>
    </w:p>
    <w:p>
      <w:r>
        <w:t>319. The Party thus had a total of 128 days at its disposal, which is more than four times the 30-day period provided for by Article 14, paragraph 2, of the DPR April 30, 1998, No. 217, to produce its defense briefs. This period was further extended by 9 days with the communication of January 31, 2022, which provided for a second postponement of the deadline for acquiring evidence and the date of the final hearing to February 14, 2022, and a new deadline for the production of further defense documentation by these Companies, set for February 9, 2022.</w:t>
      </w:r>
    </w:p>
    <w:p>
      <w:r>
        <w:t>320. In light of the above, it is believed that the postponement of the deadline for acquiring evidence and the date of the final hearing to February 14, 2022, did not result in any violation of the principle of equality of arms between prosecution and defense.</w:t>
      </w:r>
    </w:p>
    <w:p>
      <w:r>
        <w:t>453 See documents 84 and 122 and 140.3.</w:t>
      </w:r>
    </w:p>
    <w:p>
      <w:r>
        <w:t>BULLETIN NO. 21 OF JUNE 6, 2022 85</w:t>
        <w:br/>
        <w:t>V.1.2 The Abuse and the Strategy that Enabled It</w:t>
        <w:br/>
        <w:t>321. The investigation conducted first allowed to ascertain that in the Italian market for CDCA-based drugs used for the treatment of a rare disease, called CTX, Leadiant holds a dominant position (more precisely, a monopoly) acquired since the beginning of 2016.</w:t>
      </w:r>
    </w:p>
    <w:p>
      <w:r>
        <w:t>322. Furthermore, the evidence gathered clearly indicates that Leadiant has abused this market position since June 2017 through a negotiating conduct adopted towards AIFA that allowed it to impose unjustifiably burdensome prices on the Italian NHS for the sale of CDCA Leadiant®. This abuse is the result of a very elaborate strategy, conceived long ago and intentionally cultivated for several years by the dominant company, with the aim of creating the suitable context to allow it to effectively apply its abusive pricing policy.</w:t>
      </w:r>
    </w:p>
    <w:p>
      <w:r>
        <w:t>323. In the following, a summary will be provided of what will then be fully illustrated in the subsequent sections: the constitutive elements of the strategy that allowed Leadiant to acquire a dominant position and to prepare the context in which the price abuse was manifested, first outside Italy and then in the domestic market, the application of the price of CDCA Leadiant® obtained through the negotiating levers adopted during the procedure before AIFA, and the economic analysis that led to the determination of the illegitimacy of such price pursuant to Article 102, letter a), TFEU.</w:t>
      </w:r>
    </w:p>
    <w:p>
      <w:r>
        <w:t>324. The dominant company, in mid-2008, acquired a CDCA-based drug, registered for the treatment of gallstones but now used almost exclusively off-label for the treatment of CTX, thus becoming the only active operator at the European level in the marketing of this drug. The ultimate goal of Leadiant was to obtain orphan designation and to register it for the treatment of CTX. Crucial for achieving this goal was the conclusion, also in mid-2008, of a supply agreement that allowed it to gain exclusive control over the active ingredient underlying the drug, through the contracting of the only credible supplier of CDCA existing in Europe, the Italian chemical company PCA.</w:t>
      </w:r>
    </w:p>
    <w:p>
      <w:r>
        <w:t>325. Once it obtained a position of prominence in the national markets (except in Italy) of the European Union in the marketing of the CDCA-based drug used off-label for the treatment of CTX, Leadiant prepared these markets for the future price at which it intended to sell the orphan drug, significantly increasing, in mid-2014, the price of Xenbilox®, as the aforementioned drug was then called, from 660 euros to 2,900 euros per package.</w:t>
      </w:r>
    </w:p>
    <w:p>
      <w:r>
        <w:t>326. This price increase, which significantly boosted the revenues of the dominant company, served to finance the concurrent regulatory activities aimed at obtaining orphan designation (December 2014) and the AIC for the orphan drug (April 2017).</w:t>
      </w:r>
    </w:p>
    <w:p>
      <w:r>
        <w:t>327. Xenbilox® entered the Italian market only starting from January 2016, immediately after the end of the galenic production that the Pharmacy of the AOU Senese had been carrying out since 1997. In particular, thanks to the aforementioned exclusive supply contract for CDCA concluded with PCA, Leadiant prevented Italian hospitals from sourcing the active ingredient and continuing the galenic preparation that had until then been managed by the Pharmacy, causing significant inconveniences to patients suffering from the rare disease and forcing hospitals to import Xenbilox®, precisely the only medicinal specialty based on CDCA available, paying the highest price at which it had been marketed since 2014. This allowed Leadiant to extend its dominant position to the domestic market for CDCA-based drugs, becoming the only operator also in Italy. With the conclusion of a new agreement with PCA, in November 2016, Leadiant also strengthened its position in the Italian market, ensuring that, through an even stricter exclusivity clause, the production of galenic drugs based on CDCA was definitively prevented.</w:t>
      </w:r>
    </w:p>
    <w:p>
      <w:r>
        <w:t>328. Furthermore, always in proximity to the completion of the registration project for the orphan drug, which preceded a rapid introduction of the same in the national markets, including the Italian one, between the end of 2016 and the beginning of 2017, Leadiant implemented a strategy of artificial differentiation of CDCA Leadiant® from Xenbilox®. This differentiation activity consisted of withdrawing Xenbilox® from the German market and the ad hoc establishment of a German law company, which would become the owner of the AIC of the orphan drug. This was done to ensure that the holder of the orphan drug was formally distinct from the holder of Xenbilox® and that the two medicines were not associated in the determination of the reimbursement price by the competent authorities, not only those in Germany but also those of other Member States, including Italy.</w:t>
      </w:r>
    </w:p>
    <w:p>
      <w:r>
        <w:t>329. At the time of the introduction of CDCA Leadiant® into the domestic market, in June 2017, the dominant company began negotiating the price of the orphan drug with AIFA, proposing a compensation for the orphan drug of 15,506.97 euros per package. This price was deemed by AIFA to be unjustified both in light of the costs, which the company did not provide in the detail requested by the Agency, and in light of the activities carried out to obtain the registration of the orphan drug and, finally, in light of the therapeutic value of the medicine.</w:t>
      </w:r>
    </w:p>
    <w:p>
      <w:r>
        <w:t>330. The Agency believed, on the contrary, that the appropriate price of the orphan drug should not exceed that of Xenbilox® by more than 10%, the maximum value attributable to the benefit associated with the registration of the orphan therapeutic indication.</w:t>
      </w:r>
    </w:p>
    <w:p>
      <w:r>
        <w:t>331. However, the dominant company adopted a dilatory and obstructive attitude that excessively prolonged the length of the procedure, which lasted about two and a half years. This placed the Agency in a position of weakness, already existing due to the necessity for the NHS to provide patients with an essential, irreplaceable, and life-saving drug in a reasonable time and at an economically sustainable price.</w:t>
      </w:r>
    </w:p>
    <w:p>
      <w:r>
        <w:t>332. Intentionally exploiting this negotiating weakness, the dominant company was able to obtain an ex-factory price for the orphan drug of [5,000-7,000] euros per package, which, although much lower than the initially proposed price, was found, based on the analyses carried out even during the procedure, to be in any case unjustifiably burdensome, as it was a) disproportionate to the overall costs incurred and b) unfair in light of the nature of the product, the investments in research and development made, the risk faced in the registration project, and the added therapeutic value that AIFA, as well as the demand expressed by doctors, attributes to CDCA Leadiant®. Moreover, it is believed that, in the absence of the Authority's intervention, this negotiated price would have been higher and, therefore, even more disproportionate and even less justified in light of the aforementioned parameters.</w:t>
      </w:r>
    </w:p>
    <w:p>
      <w:r>
        <w:t>333. This conduct required the NHS to incur significantly higher expenses for the purchase of the drug.</w:t>
      </w:r>
    </w:p>
    <w:p>
      <w:r>
        <w:t>334. In summary, therefore, for the reasons that will be better and more thoroughly argued in the following sections, it is believed that Leadiant has engaged in unlawful conduct since June 15, 2017, pursuant to Article 102, letter a), TFEU, as it exploited</w:t>
      </w:r>
    </w:p>
    <w:p>
      <w:r>
        <w:rPr>
          <w:b/>
        </w:rPr>
        <w:t>[Pages 85–87]</w:t>
      </w:r>
    </w:p>
    <w:p>
      <w:r>
        <w:t>BULLETIN NO. 21 OF JUNE 6, 2022 87</w:t>
        <w:br/>
        <w:t>abused its dominant position to impose unjustifiably burdensome prices for the sale of the orphan drug known as CDCA Leadiant® to the NHS.</w:t>
      </w:r>
    </w:p>
    <w:p>
      <w:r>
        <w:t>V.2 The relevant market</w:t>
        <w:br/>
        <w:t>335. The established practice of the European Commission and the case law of the Court of Justice454, consistently applied also by the Authority455, indicates that the identification of the relevant product market in the pharmaceutical sector is based on the notion of therapeutic substitutability of medicines.</w:t>
      </w:r>
    </w:p>
    <w:p>
      <w:r>
        <w:t>336. This relationship of interchangeability is primarily based on the therapeutic classes identified by the Anatomical Therapeutic Chemical classification system (ATC system), which divides drugs according to an alphanumeric classification, articulated in five hierarchical levels. The third level of this classification, ATC3, identifies a therapeutic-pharmacological subgroup to which medicines normally intended for the treatment of the same diseases belong and which are generally substitutable among themselves but not with those belonging to other classes situated at the first and second levels. ATC3 is, therefore, the level from which to start identifying pharmaceutical products that are substitutable for the purposes of defining the relevant market456.</w:t>
      </w:r>
    </w:p>
    <w:p>
      <w:r>
        <w:t>337. Often, however, considerations related to the prescribing trends of doctors, the institutional organization of demand and supply (price determination, reimbursement methods, existence of an insurance system, etc.), and the greater or lesser efficacy of a drug in treating the condition require a more specific analysis of substitutability that can lead to the identification of interchangeability relationships between medicines at a different level of the ATC classification (ATC4 or ATC5457) or between drugs belonging to other classes.</w:t>
      </w:r>
    </w:p>
    <w:p>
      <w:r>
        <w:t>338. With reference to the geographical market, the practice is to consider the competitive scope as national, due to the institutional differences that characterize the health systems and pharmaceutical policies of individual Member States (including price regulation, reimbursement methods, classification of medicines, distribution channels), the different access regimes (i.e., patenting and marketing authorization regimes), as well as considering any different epidemiological spread of a particular disease and the differing economic availability of Member States, although it can currently be noted that an intensified process of harmonization is taking place at the community level, which has introduced significant legislative innovations, especially regarding market access regimes458.</w:t>
      </w:r>
    </w:p>
    <w:p>
      <w:r>
        <w:t>454 See the European Commission decision of June 15, 2005 COMP/A. 37.507/F3 – AstraZeneca, paras. 380 et seq. In relation to this case, it is noteworthy that both the EU Court (judgment of July 1, 2010, in case T321/05, paras. 154-155) and the Court of Justice of the European Union (judgment of December 6, 2012, in case C457/10) confirmed the European Commission's decision regarding the definition of the relevant market. See also the European Commission decision of February 10, 2021 AT.40394 – Aspen, paras. 26 et seq.</w:t>
      </w:r>
    </w:p>
    <w:p>
      <w:r>
        <w:t>455 See AGCM Provision No. 15175 of February 8, 2006, on case A363 - Glaxo-Active Ingredients, in Bulletin No. 6/2006; AGCM Provision No. 16597 of March 21, 2007, on case A364 - Merck-Active Ingredients, in Bulletin No. 11/2007.</w:t>
      </w:r>
    </w:p>
    <w:p>
      <w:r>
        <w:t>456 See European Commission, AstraZeneca, cited, paras. 371 et seq.</w:t>
      </w:r>
    </w:p>
    <w:p>
      <w:r>
        <w:t>457 The definition of the relevant product market has been aligned with level 4 of the ATC classification both in the community case AstraZeneca and in the national cases Merck and Glaxo, while the Commission has gone so far as to restrict the relevant market to the single active ingredient in some concentration cases.</w:t>
      </w:r>
    </w:p>
    <w:p>
      <w:r>
        <w:t>458 See European Commission, AstraZeneca, cited; AGCM Provision No. 25186 of November 19, 2014, A480 – Increase in Aspen drug prices.</w:t>
      </w:r>
    </w:p>
    <w:p>
      <w:r>
        <w:t>88 BULLETIN NO. 21 OF JUNE 6, 2022</w:t>
        <w:br/>
        <w:t>V.2.1 The market for drugs for the treatment of CTX</w:t>
        <w:br/>
        <w:t>339. The market affected by this provision is the market for the production and sale of medicines for the treatment of an ultra-rare disease, CTX.</w:t>
      </w:r>
    </w:p>
    <w:p>
      <w:r>
        <w:t>i) The demand for drugs for the treatment of CTX</w:t>
        <w:br/>
        <w:t>340. The demand for drugs to be used for the treatment of CTX is generally expressed by specialist doctors who care for patients in the hospitals where they operate and, therefore, by the Local Health Authorities (ASL) that, at the request of these doctors, purchase such drugs, which are thus marketed through the hospital channel.</w:t>
      </w:r>
    </w:p>
    <w:p>
      <w:r>
        <w:t>341. The investigation conducted reveals that there have been various therapies used by doctors for the treatment of this disease: CDCA-based drugs, and in limited cases, medicines based on cholic acid, ursodeoxycholic acid, and statins (in particular, simvastatin, lovastatin, and pravastatin), in combination with CDCA (see section III.4 supra).</w:t>
      </w:r>
    </w:p>
    <w:p>
      <w:r>
        <w:t>342. Chenodeoxycholic Acid Leadiant falls among the drugs for the treatment of bile disorders (ATC3 code, A05A) and in particular is part of the class of bile acids and their derivatives (ATC4 code, A05AA) as it contains one of the primary bile acids, chenodeoxycholic acid (ATC5 code, A05AA01).</w:t>
      </w:r>
    </w:p>
    <w:p>
      <w:r>
        <w:t>343. In the therapeutic subgroup of bile acids and their derivatives, there are the other two active ingredients that have been administered in some cases, also off-label, for the treatment of CTX. These are in particular cholic acid (ATC5 code, A05AA03) and ursodeoxycholic acid (ATC5 code, A05AA02).</w:t>
      </w:r>
    </w:p>
    <w:p>
      <w:r>
        <w:t>344. Simvastatin (ATC5 class, C10AA01), lovastatin (ATC5 class, C10AA02), and pravastatin (ATC5 class, C10AA03) belong to the therapeutic class of HMG-CoA reductase inhibitors (ATC4 class, C10AA), which in turn is part of the class of lipid-modifying agents (ATC3 class, C10).</w:t>
      </w:r>
    </w:p>
    <w:p>
      <w:r>
        <w:t>ii) The supply of drugs for the treatment of CTX</w:t>
        <w:br/>
        <w:t>345. The findings from the investigation indicate that in the Italian market, there have been no CDCA-based drugs available for some time other than the orphan drug marketed by Leadiant.</w:t>
      </w:r>
    </w:p>
    <w:p>
      <w:r>
        <w:t>346. The obsolescence of chenodeoxycholic acid in the treatment of gallstones and the small size of the market for the treatment of CTX, since the second half of the 1990s, have led to the exit from the domestic market of companies that marketed such drugs (see paras. 61, 72, 73, and 78 supra).</w:t>
      </w:r>
    </w:p>
    <w:p>
      <w:r>
        <w:t>347. From 1997 to 2016, CDCA-based galenic drugs were present in the Italian market, produced to address the aforementioned shortage of industrially manufactured drugs containing this active ingredient and to ensure therapeutic continuity for patients suffering from CTX. However, the galenic preparation ceased in November 2015 due to a lack of raw material availability in the Italian market (see paras. 73-77 supra).</w:t>
      </w:r>
    </w:p>
    <w:p>
      <w:r>
        <w:t>348. From that moment on, and until the introduction of the orphan CDCA Leadiant® drug on the market, Xenbilox®, the only CDCA-based drug available in Europe at the time, owned by the company, was used off-label for the treatment of the rare disease CTX (see para. 79 supra).</w:t>
      </w:r>
    </w:p>
    <w:p>
      <w:r>
        <w:t>BULLETIN NO. 21 OF JUNE 6, 2022 89</w:t>
        <w:br/>
        <w:t>349. In June 2017, Chenodeoxycholic Acid Leadiant® was introduced to the domestic market and has since been the only CDCA-based product for the treatment of CTX currently available (as well as in other national markets of the European Union) (see para. 80 supra).</w:t>
      </w:r>
    </w:p>
    <w:p>
      <w:r>
        <w:t>350. During the proceedings, it was also established that Kolbam®, a cholic acid-based drug, has never been authorized in Italy. In any case, the marketing authorization granted by the European Commission was revoked in July 2020 (see paras. 86 and 89 supra). Therefore, it cannot even be imported from abroad.</w:t>
      </w:r>
    </w:p>
    <w:p>
      <w:r>
        <w:t>351. The other cholic acid-based drug, Orphacol®, has been authorized for the treatment of congenital defects in the synthesis of primary bile acids other than those causing CTX and is marketed as such in Italy (see para. 90 supra).</w:t>
      </w:r>
    </w:p>
    <w:p>
      <w:r>
        <w:t>352. There are no ursodeoxycholic acid or statin-based drugs marketed in Italy and used for the treatment of CTX.</w:t>
      </w:r>
    </w:p>
    <w:p>
      <w:r>
        <w:t>iii) Conclusions on the relevant market</w:t>
        <w:br/>
        <w:t>353. The documentation acquired during the investigation clearly indicates that there is no therapeutic interchangeability between the aforementioned drugs. This is evident both from the trend of prescribing choices made by doctors over a period extending at least from 2014 to the present and from the evaluations expressed by the doctors themselves regarding the efficacy of the aforementioned drugs in the treatment of CTX.</w:t>
      </w:r>
    </w:p>
    <w:p>
      <w:r>
        <w:t>354. From the perspective of the prescribing pattern adopted by doctors, CDCA has always represented the treatment of choice for CTX in all Member States of the European Union where the disease is present (see paras. 65-70 supra). The efficacy of CDCA in treating the rare disease is, in fact, recognized i) at the scientific level, in the literature, ii) at the empirical level, in clinical practice (“worldwide accepted (literature), applied (treating physicians), and effective (open-label, single arm study)”459, and iii) at the institutional level (“first-line treatment”)460.</w:t>
      </w:r>
    </w:p>
    <w:p>
      <w:r>
        <w:t>355. In this regard, one of the world's leading experts on CTX has confirmed that CDCA should be “preferred in the treatment of the rare disease in question” and that “there is a clear consensus in the international medical-scientific community that CDCA is the treatment of choice for CTX”461.</w:t>
      </w:r>
    </w:p>
    <w:p>
      <w:r>
        <w:t>356. The evidence collected during the investigation indicates that this is particularly true for Italy, where the active ingredient has been used for about forty years almost exclusively in the treatment of the rare disease (see paras. 70 supra).</w:t>
      </w:r>
    </w:p>
    <w:p>
      <w:r>
        <w:t>357. Numerous evidentiary elements also highlight that in terms of efficacy in the treatment of CTX, CDCA is considered superior to cholic acid, which in turn is considered superior to ursodeoxycholic acid (see paras. 83-84 supra).</w:t>
      </w:r>
    </w:p>
    <w:p>
      <w:r>
        <w:t>459 See doc. 78.417, of March 2016. See also doc. 78.17, attachment “ST-CDCA_Slidesmeeting 12092016.pptx” of September 2016, from which it emerges that in France CDCA was considered the preferred therapy for the treatment of CTX at the time.</w:t>
      </w:r>
    </w:p>
    <w:p>
      <w:r>
        <w:t>460 See https://www.orpha.net/consor/cgi-bin/OC_Exp.php?lng=en&amp;Expert=909 and NICE, Clinical evidence review of cholic acid for treating inborn errors of primary bile acid synthesis, cited, p. 12.</w:t>
      </w:r>
    </w:p>
    <w:p>
      <w:r>
        <w:t>461 See doc. 133.</w:t>
      </w:r>
    </w:p>
    <w:p>
      <w:r>
        <w:rPr>
          <w:b/>
        </w:rPr>
        <w:t>[Pages 88–90]</w:t>
      </w:r>
    </w:p>
    <w:p>
      <w:r>
        <w:t>BULLETIN NO. 21 OF JUNE 6, 2022</w:t>
      </w:r>
    </w:p>
    <w:p>
      <w:r>
        <w:t>358. Cholic acid is used only rarely, in the rare cases where CDCA causes side effects. In particular, doctors, especially Italian ones, do not prescribe cholic acid for the treatment of the rare disease, nor do they replace CDCA with cholic acid in non-naïve patients, as the active ingredient, while lowering bile acid levels, does not appreciably affect the clinical condition of the patients (see paragraphs 84, 85, 88 supra).</w:t>
      </w:r>
    </w:p>
    <w:p>
      <w:r>
        <w:t>359. This is primarily confirmed by the absence of evidence in the records indicating that Orphacol®, although available on the market (including the domestic market) before Chenodeoxycholic Acid Leadiant®, has ever been prescribed (off label) for the treatment of the rare disease in question. The preference of doctors for CDCA over cholic acid has even been maintained during the period (about 3 years) in which Kolbam® was the only drug authorized for CTX. In other words, they preferred to prescribe an off-label drug instead of an on-label one, precisely because of the therapeutic superiority of the former, even though this was not formally recognized at the regulatory level (see paragraph 86 supra).</w:t>
      </w:r>
    </w:p>
    <w:p>
      <w:r>
        <w:t>360. The non-equivalence in therapeutic terms between CDCA and cholic acid has also been affirmed by the EMA itself, based on the evidence produced by the same pharmaceutical company to demonstrate the existence of "significant beneficial effects" of CDCA compared to cholic acid (see paragraphs 87 and 153 supra), concluding the process that first led to the granting of orphan designation for CDCA Sigma Tau in 2014 and then to the confirmation of the maintenance of orphan status in 2017.</w:t>
      </w:r>
    </w:p>
    <w:p>
      <w:r>
        <w:t>361. Ultimately, given the minimal therapeutic substitutability of CDCA with cholic acid for the treatment of CTX, it is believed that the latter molecule is not capable of exerting a sufficient competitive constraint on the former to consider both as belonging to the same relevant market.</w:t>
      </w:r>
    </w:p>
    <w:p>
      <w:r>
        <w:t>362. Therefore, Orphacol® cannot be considered as an actual and effective competitor of Chenodeoxycholic Acid Leadiant®, and cannot thus be included in the same relevant market.</w:t>
      </w:r>
    </w:p>
    <w:p>
      <w:r>
        <w:t>363. Similar considerations can be made for ursodeoxycholic acid and statins, in relation to which there is a very limited clinical practice that, in any case, reveals, especially according to Italian doctors, the non-existence of an appreciable effect in correcting the metabolic alterations present in CTX (see paragraph 83 supra).</w:t>
      </w:r>
    </w:p>
    <w:p>
      <w:r>
        <w:t>364. Therefore, in light of the established jurisprudential principles regarding the definition of the relevant market in the pharmaceutical sector, as recently reiterated in the ruling of the Council of State on the Aspen case, it is deemed appropriate in this case to confine the relevant market at the level of the single active ingredient (ATC level 5) and to define it, from the product perspective, as inclusive of only drugs based on CDCA (ATC code 5, A05AA01).</w:t>
      </w:r>
    </w:p>
    <w:p>
      <w:r>
        <w:t>365. Furthermore, for the aforementioned reasons, relating to the specificities of the NHS, the level of epidemiological spread of the disease in the Italian territory, and the different willingness to pay of Italy compared to other Member States, it is believed that even in this case the market of the product identified above has a limited extension to the national territory.</w:t>
      </w:r>
    </w:p>
    <w:p>
      <w:r>
        <w:t>V.3 The dominant position of Leadiant</w:t>
      </w:r>
    </w:p>
    <w:p>
      <w:r>
        <w:t>366. Several elements in the records contribute to identifying a dominant position held by Leadiant in the relevant market as defined, the only company active there since the beginning of 2016.</w:t>
      </w:r>
    </w:p>
    <w:p>
      <w:r>
        <w:t>367. First of all, the exclusive supply agreement for CDCA signed in 2008 between Sigma Tau and PCA, the only credible producer of this raw material in Europe, has granted the pharmaceutical company control over the raw material, representing a contractual barrier that allowed it to protect itself from competition from producers of CDCA-based medicines, and in particular from producers of galenic drugs based on the same molecule. This closed the domestic market to magistral preparations starting from January 2016, when the galenic preparation of the Pharmacy of the AOU Senese ended, thus allowing the company to become from that moment the only operator present in the Italian market with the sale of Xenbilox® (a position strengthened by the new exclusive supply agreement of November 2016).</w:t>
      </w:r>
    </w:p>
    <w:p>
      <w:r>
        <w:t>368. Furthermore, starting from April 2017, that is, after obtaining the AIC for the orphan drug, Leadiant was able to rely, in addition to the aforementioned contractual barrier, also on a double regulatory barrier, applicable both to competing producers of industrial CDCA-based medicines used for the treatment of CTX, and to competing producers of magistral preparations based on the same molecule. In fact, obtaining the AIC for the orphan drug allowed Leadiant, first, to acquire a ten-year market exclusivity which, pursuant to Article 8, paragraph 3, of Regulation (EC) No. 141/2000, prevents the registration of other products similar to CDCA Leadiant® for the treatment of the rare disease in question. Secondly, Article 5 of Law Decree No. 23 of February 17, 1998, prohibits, except in very limited cases, the production of galenic medicines when there is a registered industrial product on the domestic market for a specific therapeutic indication, or, in this case, since June 2017, when the orphan drug was introduced in Italy. This has meant that since then, patients affected by CTX present in Italy have been treated only with Leadiant's orphan medicine.</w:t>
      </w:r>
    </w:p>
    <w:p>
      <w:r>
        <w:t>369. Several elements in the records, moreover, indicate that this will also happen in the coming years, reasonably at least until the expiration of the exclusivity enjoyed by Leadiant, in April 2027.</w:t>
      </w:r>
    </w:p>
    <w:p>
      <w:r>
        <w:t>370. Leadiant contests this reconstruction, primarily because it believes that the exclusive agreements signed by Sigma Tau with PCA did not close the market to magistral preparations and in any case because the sales of Xenbilox® in Italy between 2016 and 2017 were managed by a third party, while Sigma Tau was never directly operational in the domestic market.</w:t>
      </w:r>
    </w:p>
    <w:p>
      <w:r>
        <w:t>371. Furthermore, the Party claims that, even after obtaining orphan designation and the AIC of CDCA Leadiant®, its ability to exert market power would have been contained, and could be in the future, by the competitive dynamics of other EU Member States, which can influence the Italian market and the very sustainability of Leadiant's presence in that market, given the extremely reduced patient base at the EU level.</w:t>
      </w:r>
    </w:p>
    <w:p>
      <w:r>
        <w:t>372. Such statements are not shareable: as will be illustrated below, the investigation has shown that, at the beginning of 2016, the company extended to Italy the dominant position it already enjoyed in other national markets of the European Union, thanks to the sale of the only CDCA-based drug then existing, Xenbilox®, and that it consolidated this market position through obtaining the AIC of the orphan drug also for the national territory.</w:t>
      </w:r>
    </w:p>
    <w:p>
      <w:r>
        <w:t>V.3.1 The acquisition of a dominant position by Sigma Tau outside Italy</w:t>
      </w:r>
    </w:p>
    <w:p>
      <w:r>
        <w:t>373. The documentation acquired in the records indicates that in June 2008 Sigma Tau Pharmaceuticals Inc. purchased the entire dossier of Chenofalk®, a CDCA-based drug, owned by Dr. Falk Pharma GmbH, used off label for the treatment of the rare disease and then, in October 2008, transferred the ownership of the AIC of this medicine valid for Germany to Sigma Tau Arzneimittel GmbH (now in liquidation), which thus replaced Dr. Falk Pharma GmbH.</w:t>
      </w:r>
    </w:p>
    <w:p>
      <w:r>
        <w:t>374. At a time when there had long been no interest in marketing CDCA-based medicines for the treatment of gallstones in Europe, as the active ingredient had been supplanted by other treatments, and companies were gradually exiting the market, the only valid economic reason for entering it was to gain entry into another market, a niche, extremely reduced, but potentially very profitable due to the significantly high prices generally granted to orphan drugs: that of CTX, which had been treated with CDCA for decades. This was, in fact, the declared objective of Sigma Tau.</w:t>
      </w:r>
    </w:p>
    <w:p>
      <w:r>
        <w:t>375. However, the objective pursued by the company presupposed that there were no other companies on the European market marketing CDCA-based drugs, or that the company would become a monopolist in the market for the sale of CDCA-based drugs in Europe.</w:t>
      </w:r>
    </w:p>
    <w:p>
      <w:r>
        <w:t>376. Therefore, the company in mid-2008 considered acquiring the four AICs related to the few CDCA-based drugs registered for the treatment of gallstones still present in the national markets of the EU, owned by other companies, Quenobilan® and Quenocol® in Spain, Xebyl® in Portugal, and the AIC of Chenofalk® valid for the Netherlands (the "competing AICs"), to eliminate them from the market. However, at the time Sigma Tau was making these assessments, the structure of the national markets for CDCA-based drugs had naturally undergone further changes that made such acquisitions unnecessary (except in one case, which will be better addressed below) and facilitated Sigma Tau in achieving its objective. The aforementioned Spanish products exited the market, resulting in the revocation of the related AIC, between the end of 2008 and the beginning of 2009.</w:t>
      </w:r>
    </w:p>
    <w:p>
      <w:r>
        <w:rPr>
          <w:b/>
        </w:rPr>
        <w:t>[Pages 91–93]</w:t>
      </w:r>
    </w:p>
    <w:p>
      <w:r>
        <w:t>BULLETIN NO. 21 OF JUNE 6, 2022 93</w:t>
        <w:br/>
        <w:t>Thus, only the "competing" AIC of Chenofalk® valid for the Netherlands remained, which Sigma Tau purchased in September 2009 and strategically kept valid469 without ever using it470, until it was expressly waived on September 9, 2015. Similarly inactive remained the AIC of Xebyl® after the drug was not marketed since the beginning of 2011 (see paragraphs 78 and 99 supra).</w:t>
      </w:r>
    </w:p>
    <w:p>
      <w:r>
        <w:t>377. Essentially, therefore, the documentation in the records clearly indicates that since the beginning of 2011 there was only one CDCA-based drug available on the market in Europe, Sigma Tau's Xenbilox®.</w:t>
      </w:r>
    </w:p>
    <w:p>
      <w:r>
        <w:t>378. In this regard, it is noted that when the company claims that its market position in Europe was at the time absolutely contestable, as Xenbilox® enjoyed no regulatory protection, the dossier protection having expired, nor patent protection, as the drug was off patent, the Party fails to consider that the exclusive supply agreement for CDCA entered into by Sigma Tau with PCA back in 2008, as already mentioned, the only credible supplier of the raw material available in the European market, as well as the only producer of the active ingredient in question with adequate access to the raw material, possessing appropriate technological capacity and the necessary administrative requirements, in terms of regulatory compliance, existing at the European level at the time (see paragraphs 52-53 supra), constituted a significant barrier to entry for any company wishing to enter the market. Indeed, any company that wanted to produce a CDCA-based drug would have faced difficulties in sourcing a production source for such raw material.</w:t>
      </w:r>
    </w:p>
    <w:p>
      <w:r>
        <w:t>379. Likewise, Leadiant deliberately does not give any importance to the extremely small market size, which would have discouraged the entry of new operators, even in the unlikely event that they had been able to find another source of CDCA production (see also section V.3.2.i.a infra). This is succinctly confirmed by Leadiant's own statements found in the inspection documentation, where the company assessed the entry of new drugs into the market as highly unlikely precisely because of its small size471. It should be noted that the cited document dates back to September 2014, that is, a time after the price increase of Xenbilox® to 2,900 euros per package that occurred in July 2014, which had made the drug very profitable for Sigma Tau (see paragraph 114 supra) and, therefore, also for any other potential entering companies. Therefore, if the incentive for entry into the market by other operators was non-existent, in the opinion of the company itself, even after the market for CDCA-based drugs had become profitable, all the more so could there be no potential competitive threat before that moment, when the market was much less profitable, given the much lower price at which the drug had previously been sold (660 euros per package). And this despite the absence of patent and regulatory protections.</w:t>
      </w:r>
    </w:p>
    <w:p>
      <w:r>
        <w:t>380. The only company producing CDCA-based drugs that did not suffer from the obstacles posed by the small market size and the exclusive agreement was Retrophin Inc., which had access to the raw material through the only other supplier deemed credible outside of Europe, the aforementioned NZP (see paragraph 54 supra), already producing and marketing (in the United States) a CDCA-based drug and therefore did not need to make new investments in the production and marketing of the medicine.</w:t>
      </w:r>
    </w:p>
    <w:p>
      <w:r>
        <w:t>381. However, the Party's assessments regarding Retrophin's ability to contest Sigma Tau's market position are not shareable because they completely fail to consider what emerged during the investigation regarding the actual possibility for the U.S. company to enter the European market. The documents in the records unequivocally demonstrate that the two conditions already enjoyed by Retrophin were not at all sufficient to make a competitive entry into the market with a CDCA-based drug for the treatment of CTX. In order to represent a concrete competitive threat, in fact, Retrophin would have needed to obtain orphan designation. And for this purpose, it was also necessary to have supporting clinical studies472.</w:t>
      </w:r>
    </w:p>
    <w:p>
      <w:r>
        <w:t>382. The manner in which Sigma Tau pursued its project is a clear confirmation of this: the first attempt to request orphan designation, submitted preliminarily by the company to the EMA in May 2007, in fact failed precisely because it was submitted in the absence of any clinical support (see paragraph 94 supra). Sigma Tau concretely resumed the project in mid-2014 when it began to collaborate directly with the specialist doctor of the AOU Senese to start collecting useful clinical data primarily for the request for orphan designation (see paragraph 145 supra). This collaboration accelerated in May 2014 when Sigma Tau, as the Party itself states, learned of Retrophin's intention to enter the European market (“We need to take this relation with Prof [F.] directly on board (STRD), get the clinical data on the CTX study asap and eventually involve him in a new study. We need to engage him and soon”)473. The ongoing collaboration made Sigma Tau feel sufficiently confident to submit the preliminary request for orphan designation in August 2014, which was then obtained in December of the same year (see paragraphs 117-118 supra). The clinical support received by Sigma Tau was further strengthened by the scientific collaboration initiated in early 2015 with the other care center, the Dutch hospital Casinius Wilhelmina in Nijmegen (see paragraph 149 supra).</w:t>
      </w:r>
    </w:p>
    <w:p>
      <w:r>
        <w:t>383. The documentation in the records, therefore, clearly shows the decisive role that such scientific collaborations had in the concrete implementation of the second phase of the project and in its successful outcome (the obtaining of the AIC and the definitive orphan designation). If Retrophin had wanted to request the registration in the European Union of its own orphan drug based on CDCA for the treatment of CTX, it would therefore have had to present equally valid studies to support the request, and would thus have needed to enjoy clinical support similar to that received by Sigma Tau.</w:t>
      </w:r>
    </w:p>
    <w:p>
      <w:r>
        <w:t>384. Retrophin did, in fact, attempt around mid-2014 to establish a collaboration with the Azienda Universitario-Ospedaliera Senese, without success (see paragraph 146 supra). Moreover, the possibilities of collaborating with both this care center and the Dutch hospital Casinius Wilhelmina in Nijmegen subsequently completely diminished, due to the exclusives entered into by Sigma Tau with them (see paragraphs 147 and 149 supra). This represented a significant obstacle to Retrophin's entry into the European market.</w:t>
      </w:r>
    </w:p>
    <w:p>
      <w:r>
        <w:t>385. The Party's thesis that the U.S. company could have found clinical support from other specialists is contradicted by the investigative activity, which clearly highlighted that there were no other care centers and/or other specialists who could have offered similar clinical support. First of all, it is noted that, as stated by the same company, the specialist doctor of the AOU Senese - one of the few experts in Europe with decades of experience in treating the rare disease with CDCA - was at that time the "world opinion leader"474. Furthermore, the two European centers with which Sigma Tau has maintained an exclusive collaboration are those that globally possessed, and still possess, the largest database ever collected, in terms of the patient sample involved, but above all in terms of the length of the observation period of the results of CDCA administration to said patients (see paragraph 150 supra). The Party's statements are therefore unable to cast doubt on the fact that the inability to rely on the clinical experience gained by the world's most important expert and by the doctors of the second most important care center in Europe constituted a significant barrier to entry for Retrophin.</w:t>
      </w:r>
    </w:p>
    <w:p>
      <w:r>
        <w:t>386. Confirmation of the existence and effect of the barrier collectively built by Sigma Tau between 2014 and 2015, which prevented, and still prevents, even the mere attempt of the U.S. company to enter the European market, also comes from the assessments expressed by the company itself precisely in relation to the U.S. competitor (“ODD protects against other CDCA products”; “pulled out of Europe (in terms of plans to launch there) since ST obtained the Orphan designation for CDCA so Retrophin’s CDCA is not expected to be a competitor in Europe”)475.</w:t>
      </w:r>
    </w:p>
    <w:p>
      <w:r>
        <w:t>387. In conclusion, therefore, Retrophin could never, nor for the same reasons will it be able to, represent a competitive threat to Sigma Tau before obtaining the AIC of the orphan drug.</w:t>
      </w:r>
    </w:p>
    <w:p>
      <w:r>
        <w:t>388. From all this, it follows that, contrary to what Leadiant claims, Xenbilox® was not just one among various CDCA-based products authorized for the treatment of biliary stones, nor could any company have entered the market using Xenbilox® as a so-called reference drug in a project similar to that carried out by Sigma Tau. On the contrary, since 2011, Xenbilox® was in fact the only CDCA-based medicine circulating in Europe, and since 2014 the company has built specific barriers to entry so that it continued to remain so.</w:t>
      </w:r>
    </w:p>
    <w:p>
      <w:r>
        <w:t>389. Regarding the alleged competitive threat represented by Kolbam, which existed on the market before Leadiant's CDCA, the considerations expressed above regarding the non...</w:t>
      </w:r>
    </w:p>
    <w:p>
      <w:r>
        <w:rPr>
          <w:b/>
        </w:rPr>
        <w:t>[Pages 94–96]</w:t>
      </w:r>
    </w:p>
    <w:p>
      <w:r>
        <w:t>96 BULLETIN NO. 21 OF JUNE 6, 2022</w:t>
        <w:br/>
        <w:t>therapeutic adequacy of cholic acid for the treatment of CTX, arising from the evaluations of the specialist doctors who were treating patients affected by the rare disease (see paragraphs 357-359 supra), preferred to treat them in any case with an off-label drug, as it was more effective.</w:t>
      </w:r>
    </w:p>
    <w:p>
      <w:r>
        <w:t>390. In conclusion, therefore, for several years prior to obtaining the marketing authorization (AIC) for the orphan drug, Sigma Tau enjoyed an uncontested market position in almost all national markets of the European Union. This position then extended, starting from January 2016, for the reasons that will be explained below, to the Italian market.</w:t>
      </w:r>
    </w:p>
    <w:p>
      <w:r>
        <w:t>V.3.2 The extension of Leadiant's dominant position to the Italian market in 2016</w:t>
        <w:br/>
        <w:t>i) The closure of the market to galenic preparations based on CDCA</w:t>
      </w:r>
    </w:p>
    <w:p>
      <w:r>
        <w:t>391. The documentation acquired in the records indicates that as early as 2007, Leadiant felt the need to control the raw material and avert the possibility that other competitors could produce CDCA-based drugs. In particular, it feared that the potential presence of galenic preparations in national markets could hinder the CDCA project. Being a very old molecule, it could be produced and/or producible by hospital pharmacies, as was especially the case in Italy, where the galenic preparation organized by the Pharmacy of the AOU Senese had a long-standing and consolidated operation (see paragraph 75 supra).</w:t>
      </w:r>
    </w:p>
    <w:p>
      <w:r>
        <w:t>392. To gain control of the raw material, in June 2008, Leadiant entered into the repeatedly mentioned exclusive supply contract for CDCA with PCA (see paragraph 96 supra). However, the exclusivity clause in this contract did not prevent, until January 2016, the existence of CDCA-based galenic products in the Italian market used for the treatment of CTX. This is because in 2007, the Pharmacy of the AOU Senese purchased from PCA a stock of the active ingredient that was used to supply this preparation until November 2015, when the raw material stocks ran out (see paragraph 77 supra).</w:t>
      </w:r>
    </w:p>
    <w:p>
      <w:r>
        <w:t>393. The production activity of the Pharmacy, therefore, had until that moment prevented Leadiant from entering the Italian market, the only one among the affected European markets where it was not present with Xenbilox®. This explains why the company sought, between 2014 and 2015, to understand how to stop galenic production in Italy and replace it with Xenbilox® (“[…] replace self-compounded CDCA with Xenbilox”; “[…] stop the hospital making its own CDCA and instead purchase imported CDCA”; “stop them selling CDCA”).</w:t>
      </w:r>
    </w:p>
    <w:p>
      <w:r>
        <w:t>394. However, the company was unsuccessful in its attempt and had to wait for the end of the galenic production of the Pharmacy of the AOU Senese in November 2015. In January 2016, the same Pharmacy communicated the shortage of raw material to Sigma Tau and, unable to procure it on the market, precisely due to the aforementioned exclusivity contract, requested directly from Sigma Tau to obtain it, receiving a clear refusal. Similarly, other Italian hospitals that previously sourced from the Pharmacy attempted, unsuccessfully, to obtain the active ingredient from PCA or Sigma Tau in the first half of 2016 (see paragraphs 130 and 134 supra).</w:t>
      </w:r>
    </w:p>
    <w:p>
      <w:r>
        <w:t>395. Not only that. Through constant and intense monitoring of PCA, Sigma Tau carefully verified that the chemical company actually complied with its contractual obligations and did not supply the active ingredient, especially to those who could use it to produce galenic drugs. Sigma Tau did not change its behavior even when PCA proposed to waive the exclusivity to meet the hospitals that were complaining about the severe shortage of raw material and the risk to their patients. On the contrary, it took advantage of the situation of necessity to redirect hospitals towards the purchase of Xenbilox® in view of the introduction of the orphan drug in the Italian market (see paragraph 135 supra).</w:t>
      </w:r>
    </w:p>
    <w:p>
      <w:r>
        <w:t>396. Sigma Tau's strategy achieved its goals: from the beginning of 2016, in fact, magistral preparations disappeared from the Italian market and the ASLs, effectively forced by the pharmaceutical company, began to import Xenbilox® from Germany, which thus became the only product present in the domestic market (see paragraph 116 supra).</w:t>
      </w:r>
    </w:p>
    <w:p>
      <w:r>
        <w:t>397. The position thus obtained by Sigma Tau in the Italian market was further strengthened by the signing of the second supply contract with PCA in November 2016, which contains an even stricter exclusivity clause. Article 2.3 of the exclusivity contract of November 2016, in fact, imposes an additional obligation on PCA, which is bound to ensure that any third party to whom it sells CDCA does not use it to produce drugs intended to treat CTX (see paragraph 137 supra). Not coincidentally, this contract was signed in November 2016, two months after Sigma Tau received a positive opinion from the Committee for Medicinal Products for Human Use (CHMP) on its request for AIC for the orphan drug. At this crucial moment of the project, it was indeed even more necessary to have absolute control over the raw material to eliminate any disruptive elements, such as the economic magistral preparations, to the market position that Leadiant had acquired in Italy.</w:t>
      </w:r>
    </w:p>
    <w:p>
      <w:r>
        <w:t>398. The evidence acquired, therefore, contradicts what Leadiant claimed about the uniqueness of the function of the agreement signed with PCA, which was to protect the mutually indispensable investments made by both parties and to avoid free riding on such investments, elements that should lead the contract to fall within the scope of research and development agreements. The main purpose of the exclusivity clause contained in the agreement is, instead, to confer on Sigma Tau control over the primary source of CDCA present in Europe in order to continue, and indeed strengthen, the activity of hindering the entry of magistral preparations into national markets, and particularly into the Italian market, which had already produced its effects since January 2016 (“the concern is that a compounding pharmacy could look to buy API from you on the grounds that it was to be used for a bile acid disorder other than CTX and then use some of it for CTX patients”).</w:t>
      </w:r>
    </w:p>
    <w:p>
      <w:r>
        <w:t>399. In fact, the refusals to supply from PCA and the control activities carried out by Sigma Tau continued even after the signing of this second exclusive supply contract for CDCA with PCA (see paragraphs 138-140 supra), and particularly in the early months of 2017, relating to a phase of the orphan drug registration project that was even more delicate, namely that which led to the obtaining of the AIC by Sigma Tau and the confirmation of the orphan status of CDCA, before the introduction of CDCA Leadiant® on the market and the subsequent price negotiation with AIFA.</w:t>
      </w:r>
    </w:p>
    <w:p>
      <w:r>
        <w:t>400. Ultimately, the evidence described above clearly shows that after the end of the organized preparation by the Pharmacy of the AOU Senese, well before the regulatory barrier arising from Article 5 of Decree Law No. 23 of February 17, 1998 (more precisely, a year and a half before), the legitimate attempts made by Italian hospitals starting from the beginning of 2016 to procure the raw material to support a galenic production were deliberately impeded by the dominant company, asserting in its relations with PCA the exclusivity clause contained first in the agreement signed with the chemical company in June 2008 and then in the subsequent agreement of November 2016. In this way, Leadiant from January 2016 and until the orphan drug received an AIC, valid also at the national level (in June 2017), closed the Italian market to galenic productions and reserved it for itself.</w:t>
      </w:r>
    </w:p>
    <w:p>
      <w:r>
        <w:t>a. The irreplaceability of PCA as a credible supplier of CDCA in Europe</w:t>
      </w:r>
    </w:p>
    <w:p>
      <w:r>
        <w:t>401. The contractual barrier erected by Leadiant had its effects because both contracts signed with PCA allowed to commercially bind to the pharmaceutical company the only credible supplier that existed at the time in Europe.</w:t>
      </w:r>
    </w:p>
    <w:p>
      <w:r>
        <w:t>402. The preeminence of PCA's position in the European market is evidenced by several documents in the records: strongly indicative are, first of all, those that highlight that in 2011 the EDQM turned to PCA as the only producer of the active ingredient in the territory of the European Union (“[…] I could not identify another manufacturer”) to refer to for improving the purity test of CDCA, and that for the purposes of the revision of the CDCA monograph, the contribution of the chemical company, although supported by Sigma Tau, was essential and that the Agency ultimately defined a test that is largely based on that developed by Sigma Tau and owned by PCA (see paragraph 53 supra).</w:t>
      </w:r>
    </w:p>
    <w:p>
      <w:r>
        <w:t>403. The market position enjoyed, and still enjoys, by PCA was also recognized by Sigma Tau both in 2016 and 2017, in terms of privileged access to bovine bile, the main</w:t>
      </w:r>
    </w:p>
    <w:p>
      <w:r>
        <w:rPr>
          <w:b/>
        </w:rPr>
        <w:t>[Pages 97–99]</w:t>
      </w:r>
    </w:p>
    <w:p>
      <w:r>
        <w:t>BULLETIN NO. 21 OF JUNE 6, 2022 99</w:t>
        <w:br/>
        <w:t>input from which CDCA is derived, and adherence to GMP486, both in 2018, when it defined itself as the only certified operator in Europe487.</w:t>
      </w:r>
    </w:p>
    <w:p>
      <w:r>
        <w:t>404. However, Leadiant today denies that PCA held such a market position and contests the existence of such a contractual barrier based on the alleged existence of multiple sources of CDCA production other than PCA that could have easily supplied the galenic preparation between January 2016 and June 2017, if hospitals had promptly activated themselves to seek them out and establish commercial relationships with them, as the Amsterdam hospital did between 2019 and 2020.</w:t>
      </w:r>
    </w:p>
    <w:p>
      <w:r>
        <w:t>405. Such claims are not shareable as they are widely contradicted by the very evidence produced by the Party. Before reviewing them, however, it is necessary to preface that the time frame in which the existence of alternative sources to PCA must be verified is that of approximately 18 months between the end of CDCA stocks by the Pharmacy of the AOU Senese (end of 2015/beginning of 2016) and the introduction of Leadiant® CDCA into the Italian market (June 2017), an event that, as already illustrated, raised a regulatory barrier that does not allow, except in exceptional cases, the production of magistral preparations based on CDCA in the domestic market. The existence of any alternative sources of the active ingredient to PCA in a period subsequent to this last mentioned moment is therefore irrelevant as it could not legitimately supply any galenic preparation capable of meeting the entire demand for CDCA-based drugs in Italy.</w:t>
      </w:r>
    </w:p>
    <w:p>
      <w:r>
        <w:t>406. From this point of view, therefore, the evidence produced by the Party regarding the supply offer of CDCA to PCA by a wholesaler of pharmaceutical-grade active ingredients is entirely irrelevant, as this dates back to October 2017, when it was already prohibited for Italian pharmacies to prepare a galenic production of CDCA. The same applies to the documents proving i) that Pierre Fabre offered the supply of CDCA directly to Leadiant in 2019, ii) that there is a Chinese source of CDCA capable of supplying the galenic production of CDCA of the Amsterdam hospital at least since February 2020, and iii) that there are other European companies which, as producers of ursodeoxycholic acid, could enter the market for the production and sale of CDCA as a pharmaceutical-grade active ingredient.</w:t>
      </w:r>
    </w:p>
    <w:p>
      <w:r>
        <w:t>407. But even if one were to consider such evidence as indicators that alternative sources to PCA existed even before the time frames to which these documents refer, as claimed by the Party, the following should be noted. First of all, the document proving that a wholesaler of pharmaceutical-grade active ingredients offered CDCA to PCA in October 2017 contains within it another document, an email exchange, dating exactly one year earlier (to October 2016, thus at a relevant time for this assessment) in which it was the wholesaler asking PCA for the supply of CDCA on behalf of a hospital488. In 2016, the roles were therefore inverted. And they were inverted again a year later (October 2018), when the same wholesaler again asked PCA for the supply of CDCA.</w:t>
      </w:r>
    </w:p>
    <w:p>
      <w:r>
        <w:t>408. These events are strongly indicative, not only of the fact that in 2016, when Italian hospitals were asking PCA for the supply of CDCA, the source indicated by Leadiant as an alternative to PCA was not actually available, because it did not have access to the raw material (as evidenced by the fact that it itself turned to PCA), but they also explain other very important elements for the assessment of the existence of a dominant position held by Sigma Tau in the period preceding the obtaining of the marketing authorization for the orphan drug.</w:t>
      </w:r>
    </w:p>
    <w:p>
      <w:r>
        <w:t>409. First of all, it clearly emerges that the source of CDCA production to which the wholesaler turned at least since October 2017 was not a reliable and stable source. In this regard, it should be noted that, given the seriousness of the disease and the life-saving nature of the drug, even a galenic preparation requires a stable and lasting supply source that guarantees continuity of supplies. Evidently, this source, as identified by Leadiant in its defenses (as well as Pierre Fabre, whose offer appears to be entirely sporadic), did not possess these characteristics and could therefore not be considered by Italian hospitals as a valid alternative to PCA, not even in 2016.</w:t>
      </w:r>
    </w:p>
    <w:p>
      <w:r>
        <w:t>410. Furthermore, the evidence regarding the relationships between PCA and the wholesaler of pharmaceutical-grade active ingredients must be read in conjunction with the documents on record concerning the unsuccessful attempts by various hospitals and pharmacies located in other Member States, particularly the Amsterdam hospital, to establish a galenic production between 2017 and 2018 using raw material from an Asian source through the importation of said wholesaler. Such evidence shows how in August 2018 it emerged that such galenic production did not comply with the technical specifications imposed by the European Pharmacopoeia as it contained too many impurities. It was immediately after this event that the aforementioned raw materials wholesaler turned again to PCA, stating that it only trusted the quality of CDCA produced by European operators489, and in particular PCA. This demonstrates that the Asian sources, described by Leadiant in its defenses as having long been available on the market, were not only unstable but by the end of 2018 were still inadequate to support a galenic production of CDCA. Even less so would they have been in 2016, when Italian hospitals attempted to resume the preparation.</w:t>
      </w:r>
    </w:p>
    <w:p>
      <w:r>
        <w:t>411. In particular, the document that would highlight the actual operability inside and outside the European Union of (at least) 15 suppliers of CDCA alternative to PCA already in 2015 is largely devoid of probative value, not only due to the aforementioned events but also due to a plethora of inspection documents indicating that these production sources were not concretely available on the market, neither before 2015 nor after.</w:t>
      </w:r>
    </w:p>
    <w:p>
      <w:r>
        <w:t>412. Indeed, it appears from the records that the sporadic sources of CDCA production from outside Europe, particularly Chinese, for a long time were unable to access the European market, precisely due to their inability to comply with the GMP imposed by European authorities, which require stricter standards than those imposed in other countries, such as India, China, and other Asian countries490. This circumstance was acknowledged by PCA itself, which in October 2016 – thus in the relevant period for this assessment – stated that suppliers of extra-EU CDCA, particularly those from China, would not represent “a problem” for Sigma Tau, in the sense that such production sources at that time could not generally be considered as valid alternatives by anyone wishing to produce CDCA-based drugs491. And the facts mentioned above that occurred in the years 2017-2018 proved her right.</w:t>
      </w:r>
    </w:p>
    <w:p>
      <w:r>
        <w:t>413. This reality of facts was also confronted by Sigma Tau in 2016 when, before entering into a new exclusive supply contract with PCA, it sought alternative producers, initially deriving a list of potential operators who, however, proved unable to either replace or support PCA, precisely because the quality of the raw material produced by them was uncertain, and then concluded, at the threshold of the signing of the contract with PCA, that there were no valid alternatives to the Italian chemical company (see paragraph 55 supra). So much so that, at the end of this market search, in November 2016 Sigma Tau resolved to choose PCA again as its exclusive supplier of CDCA.</w:t>
      </w:r>
    </w:p>
    <w:p>
      <w:r>
        <w:t>414. The only other operator seriously considered by Sigma Tau, because it was able to obtain sufficient quantities of bovine bile, the main input from which the raw material is derived, and to adhere to GMP in a manner similar to PCA – this is NZP – could not be considered an effective alternative to PCA in 2016 because it was commercially engaged with Retrophin for the production of Chenodal marketed in the United States (see paragraphs 54-55 supra). Moreover, the same documentary evidence serves to undermine the other arguments of the Party regarding the actual availability of operators that would supply other industrial drug producers based on CDCA (such as Chino). Finally, the already mentioned documentation from which it clearly emerges that the pharmaceutical company itself in 2018 believed that there was only one certified operator in Europe, and that this was PCA, demonstrates that it itself excluded other European companies, such as PharmaZell GmbH and Dipharma Francis S.r.l., now indicated, however, without any evidence capable of disproving the aforementioned inspection documentation, as subjects endowed with the potential and expertise to enter the market for the production and sale of CDCA as a pharmaceutical-grade active ingredient, as they are producers of ursodeoxycholic acid from non-bovine bile, with respect to which chenodeoxycholic acid is an intermediate product.</w:t>
      </w:r>
    </w:p>
    <w:p>
      <w:r>
        <w:t>415. All the considerations made so far regarding the actual operability of alternative CDCA production sources to PCA also disprove the arguments of the Party regarding the ease of CDCA procurement by a hospital. The aforementioned events of the Amsterdam hospital, which attempted since 2018 to establish a galenic production of CDCA by turning to extra-EU sources, managing to do so only in February 2020, demonstrate how far from easy it is for a hospital pharmacy to find a reliable, stable source of raw material capable of adhering to the European Pharmacopoeia: the Amsterdam hospital took as long as 18 months to find a supplier with these characteristics, which is exactly the time frame that elapsed between the moment when the CDCA stocks of the Pharmacy of the AOU Senese ran out and the introduction of Leadiant® CDCA into the Italian market. In any case, it was not possible for a hospital to wait for the passage of this long period before resuming the administration of therapy to its patients, without causing serious harm to them. In the urgency of having to administer 491 See doc. 78.262: “Compounding and foreign/exotic API supply of CDCA will not represent a problem”. See also docs. 28.2.132 (“[…] a Chinese source will not represent an issue for you”).</w:t>
      </w:r>
    </w:p>
    <w:p>
      <w:r>
        <w:rPr>
          <w:b/>
        </w:rPr>
        <w:t>[Pages 100–102]</w:t>
      </w:r>
    </w:p>
    <w:p>
      <w:r>
        <w:t>BULLETIN NO. 21 OF JUNE 6, 2022</w:t>
      </w:r>
    </w:p>
    <w:p>
      <w:r>
        <w:t>102. Continuously providing therapy to their patients, hospitals therefore had no alternative but to turn to Sigma Tau for the purchase of Xenbilox®.</w:t>
      </w:r>
    </w:p>
    <w:p>
      <w:r>
        <w:t>416. From all this, it follows that, at least between January 2016 and June 2017, PCA was the only source of CDCA production from which hospital pharmacies could obtain the raw material that would feed a galenic preparation pending the entry of the orphan drug into the domestic market. This was not possible due to the commercial exclusivity that bound the chemical company to Sigma Tau and on which the latter relied to prevent the continuation of the production of magistral preparations after January 2016.</w:t>
      </w:r>
    </w:p>
    <w:p>
      <w:r>
        <w:t>ii) The entry into the Italian market with the sale of Xenbilox® starting from January 2016</w:t>
      </w:r>
    </w:p>
    <w:p>
      <w:r>
        <w:t>417. The arguments of the company - used to support the impossibility of attributing it a dominant position in the relevant market starting from January 2016 - appear to lack merit, according to which Xenbilox® did not have an AIC in Italy nor was it marketed directly by Leadiant in the Italian market, but by a third-party wholesaler, Juers Pharma, which would have acted entirely independently.</w:t>
      </w:r>
    </w:p>
    <w:p>
      <w:r>
        <w:t>418. In this regard, it should first be noted that Leadiant's alleged estrangement from the marketing of Xenbilox® in Italy is contradicted by the documents already referenced that highlight that the company wanted to eliminate the production of the Pharmacy of the AOU Senese to induce the latter, and consequently other Italian hospitals, to purchase Xenbilox® (see paragraph 126 supra), and that it was the company itself that redirected the AOU Senese, as well as all Italian hospitals requesting the supply of raw material after the cessation of the pharmacy's galenic production, towards the purchase of Xenbilox® from Juers Pharma (see paragraph 135 supra).</w:t>
      </w:r>
    </w:p>
    <w:p>
      <w:r>
        <w:t>419. The evidence acquired in the records also demonstrates that, as already illustrated, a distribution system based on personalized sales made by a third party in markets other than the German one was the model specifically chosen by Leadiant (at the time Sigma Tau) precisely to invoke the formal estrangement of the company regarding the price practiced in such markets: behind the commercial policy applied by independent distributors in Italy for the sale of Xenbilox® was Juers Pharma, and therefore Leadiant492. In fact, Juers Pharma since mid-2014, when the company had implemented the ex-factory price increase of Xenbilox® to 2,900 euros, was carrying out its commercial policy in national markets other than the German one, including the Italian one, based on precise indications from Leadiant (see paragraph 108 supra).</w:t>
      </w:r>
    </w:p>
    <w:p>
      <w:r>
        <w:t>420. The thesis according to which Leadiant would have been commercially estranged from the sales of Xenbilox® is moreover contradicted by some documents in the records, which indicate that both some employees of the company and external consultants, within the negotiation procedure with AIFA, advised against its use (“we must be very careful in saying that LB has never sold Xenbilox etc etc.”493).</w:t>
      </w:r>
    </w:p>
    <w:p>
      <w:r>
        <w:t>492 The fact that Leadiant was perfectly aware of the economic and commercial conditions under which Xenbilox® was sold in Italy emerges from doc. 78.124 (“All CTX patients were treated in Siena until 2015 - Since 2016 they were sent back to the hospital of the place they live for treatment. This is when only Xenbilox at about 3.7€ k/pack became available”).</w:t>
      </w:r>
    </w:p>
    <w:p>
      <w:r>
        <w:t>493 See doc. 78.112.</w:t>
      </w:r>
    </w:p>
    <w:p>
      <w:r>
        <w:t>421. This means that the sales of Xenbilox® in Italy, made from the beginning of 2016, when the drug began to be imported by the Italian ASLs from Germany, are obviously attributable to Leadiant, even in the absence of a valid AIC for the drug in Italy.</w:t>
      </w:r>
    </w:p>
    <w:p>
      <w:r>
        <w:t>422. It should be noted, moreover, that, contrary to what the Party claims, the closure of the Italian market to galenic productions based on CDCA and the entry of Sigma Tau into the Italian market with the sale of Xenbilox® did not occur without significant discomfort for Italian patients and for the centers that were treating them.</w:t>
      </w:r>
    </w:p>
    <w:p>
      <w:r>
        <w:t>423. Some documents in the records, in particular, highlight that the lack of access to the raw material created a supply shortage and risk situation for patients, lamented by several Italian hospitals. An example of the risk that patients faced is given by the evidence showing that the stock of magistral preparations already prepared at the end of 2015 would have allowed the AOU Senese to provide the medicine only to three patients and only for the subsequent two or three months (see paragraphs 132 supra).</w:t>
      </w:r>
    </w:p>
    <w:p>
      <w:r>
        <w:t>424. The enormous difficulty that all this caused to patients and the facilities that were treating them is clearly exemplified by the complaints of a doctor, who lamented the failure to initiate, four months after the end of the raw material stocks, the procedure to request early access to the orphan drug under Law No. 648/1996, proposed by the dominant company itself instead of access to the raw material from PCA requested by the hospital to continue the galenic preparation: “Unfortunately, the information we received, not from AIFA but from Dr. [N.], who as you will remember was supposed to send us all the documents to forward the procedure to AIFA, was that we would have to wait until April, the time necessary for the completion of I don't remember what on their part... contrary to all the principle statements made and reiterated that patients should not have any discomfort resulting from the “industrial process,” they will have it and how [indeed. n.d.r] and we with them…”494. This risk situation was only remedied by the importation of Xenbilox® from Germany.</w:t>
      </w:r>
    </w:p>
    <w:p>
      <w:r>
        <w:t>425. The difficulties at least for the AOU Senese are, moreover, made evident by the same defenses of the Party, which claims that early access to the orphan drug under Law No. 648/1996, instead of purchasing Xenbilox®, would have had in any case only a redistributive effect, in the sense that, pending the negotiation of the reimbursement price of CDCA Leadiant®, the resources necessary for the purchase of therapy for patients affected by CTX would not have come from the NHS but would have remained the responsibility of the AOU Senese (with the purchase of Xenbilox®).</w:t>
      </w:r>
    </w:p>
    <w:p>
      <w:r>
        <w:t>426. In fact, more precisely, after the end of the stocks of CDCA from the Pharmacy of the AOU Senese, in the presence of the exclusivity clause contained in the contract with PCA, the supply shortage problem could be resolved by resorting to the so-called early access under Law No. 648/1996, as initially hypothesized, or by importing Xenbilox®, as actually occurred. However, from a financial perspective, the two solutions were not equivalent, precisely because, as the same Leadiant states, in the first case public facilities could continue to guarantee therapy without costs, while in the second case they had to incur significant expenses (a package of Xenbilox® containing 100 capsules of 250 mg cost about 3,400/3,600 euros), much higher than those they had previously incurred while the galenic preparation existed (a package of 100 magistral preparations in capsules of 250 mg was equal to 67 euros). Therefore, in the impossibility of providing the orphan drug under the early access regime, a waiver of the exclusivity clause contained in the supply contract with PCA could have represented a valid solution, which was subsequently proposed by the same chemical company, but to which Leadiant did not want to consent (see paragraph 135 supra). All this undoubtedly caused difficulties for the public healthcare facilities involved and confirms the acquisition by Sigma Tau of an absolutely dominant position in the domestic market.</w:t>
      </w:r>
    </w:p>
    <w:p>
      <w:r>
        <w:t>V.3.3 The stability of the dominant position acquired in Italy</w:t>
      </w:r>
    </w:p>
    <w:p>
      <w:r>
        <w:t>427. The Party's argument regarding the obstacles to the future maintenance of the dominant position acquired in Italy with the obtaining of the AIC for the marketing of the orphan drug in the national territory appears elusive, as it does not precisely identify what the potential competitive forces might be capable of effectively regulating its market power.</w:t>
      </w:r>
    </w:p>
    <w:p>
      <w:r>
        <w:t>428. On the level of potential competition, it must indeed be reiterated once again that the Italian market (but also that of other Member States of the European Union) for the production and sale of CDCA-based drugs used for the treatment of CTX has an extremely small size, linked to the rarity of the pathology in question (see paragraph 63 supra). This means that the number of companies that can reasonably have a genuine economic interest in entering this market is, as the company itself has recognized, extremely limited495.</w:t>
      </w:r>
    </w:p>
    <w:p>
      <w:r>
        <w:t>429. Furthermore, it must be considered that, within this limited number of subjects, any company intending to introduce a new pharmacological therapy for the treatment of CTX, at the current state, must first demonstrate that, pursuant to Article 3, paragraph 1, letter b) of Regulation (EC) No. 141/2000, the candidate orphan drug has “significant beneficial effects” for the people affected by this pathology, compared to existing therapies496. Furthermore, the applicant company must demonstrate that the candidate orphan drug is not “similar” to one that already has orphan designation or, if it is “similar,” that it is “clinically superior” to the latter, as provided for by Article 8, paragraphs 1 and 3, of Regulation (EC) No. 141/2000 (see paragraph 41 supra).</w:t>
      </w:r>
    </w:p>
    <w:p>
      <w:r>
        <w:t>430. The aforementioned regulatory framework constitutes an important barrier to entry for potential competitors of Leadiant in the market. The proof of “significant beneficial effects” and/or “clinical superiority,” in fact, in this case is not easy, given the presence on the market of the orphan drug owned by Leadiant, containing an active ingredient that is currently considered the “first line treatment” for CTX. In other words, the scientific effort, and therefore economic, required of any future competing company by the applicable regulation is much greater than that which Leadiant had to face. While, on the one hand, Leadiant was able to enter the market despite the presence of Kolbam®, on the other hand, however, the comparative activity carried out by Leadiant to demonstrate the existence of a significant beneficial effect of the drug is much more complex.495 See doc. 22.7.17 (“I don’t see any new drug arising in the treatment of CTX and I think that it will be very difficult to see somebody investing resources in this sector in the coming years……it's a too small pathology… it's an orphan who nobody wants to adopt!”).</w:t>
      </w:r>
    </w:p>
    <w:p>
      <w:r>
        <w:t>496 And on this point, the considerations already illustrated in paragraphs 383-387 supra regarding the clinical support necessary to provide such proof are also valid.</w:t>
      </w:r>
    </w:p>
    <w:p>
      <w:r>
        <w:rPr>
          <w:b/>
        </w:rPr>
        <w:t>[Pages 103–105]</w:t>
      </w:r>
    </w:p>
    <w:p>
      <w:r>
        <w:t>BULLETIN NO. 21 OF JUNE 6, 2022 105</w:t>
        <w:br/>
        <w:t>CDCA compared to cholic acid, aimed at maintaining the orphan designation, occurred in relation to an active ingredient that in clinical practice had long been considered inferior to CDCA. In other words, demonstrating a significant beneficial effect of a drug compared to existing therapies is certainly easier when, as in this case, their therapeutic inferiority is already known in the medical-scientific community that has already experienced, with its established prescribing choices, the superiority of the candidate orphan drug. Much more difficult, on the other hand, is to demonstrate the therapeutic superiority of an orphan drug compared to what is, at that moment, considered the standard therapy for the disease in the scientific field.</w:t>
      </w:r>
    </w:p>
    <w:p>
      <w:r>
        <w:t>431. Moreover, it is noted that the investigative analysis conducted clearly shows that, at present, there are no other therapies, even in the experimental phase, for the treatment of the rare disease in question and that the only lines of research currently existing – which aim at the future development of a gene therapy – are at an embryonic stage. The elements in the records therefore allow us to assert with reasonable certainty that there are no other therapies for CTX that could be approved by the regulatory authorities in the near future (see paragraph 71 supra).</w:t>
      </w:r>
    </w:p>
    <w:p>
      <w:r>
        <w:t>432. From all this, it follows that the regulatory and legislative context characterizing this case makes it extremely unlikely that other companies will obtain an orphan designation and a marketing authorization for a medicine with the same therapeutic indication for which CDCA Leadiant® is registered and effectively enter the market in a reasonable time frame, or anyway before the expiration of the exclusive rights enjoyed by the dominant company.</w:t>
      </w:r>
    </w:p>
    <w:p>
      <w:r>
        <w:t>V.3.4 Conclusions on Leadiant's dominant position in Italy</w:t>
      </w:r>
    </w:p>
    <w:p>
      <w:r>
        <w:t>433. In light of what has been stated above, it is believed that since 2016 Leadiant undeniably holds a dominant position in the national market for CDCA-based drugs used for the treatment of CTX.</w:t>
      </w:r>
    </w:p>
    <w:p>
      <w:r>
        <w:t>V.4 The articulated preparatory strategy of the abuse planned by Leadiant</w:t>
      </w:r>
    </w:p>
    <w:p>
      <w:r>
        <w:t>434. The investigative activity conducted has shown that Leadiant has relied on a very articulated and premeditated strategy over time that subsequently allowed it to engage in the abusive behavior established in this provision.</w:t>
      </w:r>
    </w:p>
    <w:p>
      <w:r>
        <w:t>435. In this regard, the dominant company preliminarily argues that the evidence documents of such a complex strategy are unusable as they precede the conduct. To support this thesis, it cites a ruling from the Lazio Administrative Court in 2021 in which the administrative judges ruled the unusability of evidence documents "external to the temporal perimeter of the alleged [anti-competitive] practice," that is, "referring to facts prior to the period of the alleged agreement"497.</w:t>
      </w:r>
    </w:p>
    <w:p>
      <w:r>
        <w:t>436. However, the ruling cited by the Party is irrelevant to the case at hand, since the documents deemed unusable in that instance constituted evidence of the contested conduct, specifically of its initiation, and not, as in the present case, elements that prepared and allowed the contested conduct, the consideration of which is necessary to understand how the dominant company was then able to carry it out.</w:t>
      </w:r>
    </w:p>
    <w:p>
      <w:r>
        <w:t>497 See Lazio TAR, ruling no. 8239 / 2021</w:t>
      </w:r>
    </w:p>
    <w:p>
      <w:r>
        <w:t>106 BULLETIN NO. 21 OF JUNE 6, 2022</w:t>
      </w:r>
    </w:p>
    <w:p>
      <w:r>
        <w:t>437. Such elements consist of i) the price increase of Xenbilox® already before obtaining the marketing authorization of CDCA Leadiant®, as a tool to prepare the market for the future price of the orphan drug, and ii) the artificial differentiation between Xenbilox® and CDCA Leadiant® achieved through the withdrawal of the first medicine from the market at the time of the introduction of the second and the attribution of the ownership of the orphan drug to a company different from that which held the ownership of the off-label drug.</w:t>
      </w:r>
    </w:p>
    <w:p>
      <w:r>
        <w:t>V.4.1 The price increase of Xenbilox® in preparation for the price of the orphan drug</w:t>
      </w:r>
    </w:p>
    <w:p>
      <w:r>
        <w:t>438. The investigative activity conducted indicates that the goal pursued by the company since 2007 through the registration project of the orphan drug in Europe was to introduce it to the market at a particularly high price in order to increase its profits.</w:t>
      </w:r>
    </w:p>
    <w:p>
      <w:r>
        <w:t>439. This goal was pursued through a strategy of gradual price increase ("step price increase"498) of the only CDCA-based drug remaining on the market and administered off-label for the treatment of CTX, of which the company had become the owner in 2008, and which would in the future be replaced by the orphan drug on-label at an even higher price.</w:t>
      </w:r>
    </w:p>
    <w:p>
      <w:r>
        <w:t>440. In particular, the long-term price target for the orphan drug was achieved through the pursuit of medium-term objectives consisting of two distinct price increases of the off-label drug. A first price increase of Chenofalk®, meanwhile renamed Xenbilox® as of December 2009, occurred in February 2010, when the company set the ex-factory price for the sale of the drug in the German market at 660 euros per package of 100 capsules of 250 mg, whereas previously the same package of Chenofalk® was sold in that market at the ex-factory price of 37.75 euros (see paragraph 97 supra).</w:t>
      </w:r>
    </w:p>
    <w:p>
      <w:r>
        <w:t>441. Subsequently, in the early months of 2014, when it was about to launch the CDCA project, it resumed the idea of the gradual price increase of the off-label drug. Thus, after various hypotheses, the company ultimately decided to set the ex-factory price for the sale of Xenbilox® in Germany at 2,900 euros per package starting from July 1, 2014 (see paragraphs 120-123).</w:t>
      </w:r>
    </w:p>
    <w:p>
      <w:r>
        <w:t>442. The application of a "premium price" for the off-label drug, conceived some time ago and justified on the basis of the rare therapeutic indication499, has thus prepared the market – including the domestic market starting from 2016 when Xenbilox® entered the Italian market – for the future price with which Sigma Tau wanted to launch the orphan drug on-label in Europe500.</w:t>
      </w:r>
    </w:p>
    <w:p>
      <w:r>
        <w:t>443. In light of the numerous pieces of evidence collected on this point (see paragraphs 92, 98, 99, and 122), the Party's assertions regarding the correlation between the price increase of Xenbilox® and the drastic reduction in demand are unfounded. This is primarily because the demand for CDCA had drastically reduced long before the price increase of 2014 and even that of 2009; in particular, scientific literature shows that the prevalence of the rare therapeutic indication of CDCA dates back at least 20/25 years prior, as CDCA had not been used for the treatment of gallstones since at least the early 1990s (see paragraph 61 supra). The significant temporal discrepancy, in particular, between the price increase of 2014 and the commercial rationale that Leadiant would like to attribute to it today, also emerges from the very statements contained in the Party's memorandum501 which indicate that in 2006 the demand for CDCA had already drastically reduced due to the exclusive use of the active ingredient for the treatment of CTX.</w:t>
      </w:r>
    </w:p>
    <w:p>
      <w:r>
        <w:t>444. But the Party's arguments are primarily contradicted by the numerous documents in the records that demonstrate the true intent of the company, namely that the ex-factory price increase of Xenbilox® to 2,900 euros per package that occurred in 2014 had no relation to the reduction in demand for CDCA and was, on the contrary, related to the CDCA project that Sigma Tau had decided to relaunch exactly at that time. The fact that the company implemented a new ex-factory price increase of Xenbilox® just as the request for the orphan designation of CDCA was approaching, that is, when it was nearing the achievement of another important medium-long term objective for the completion of its project ("1/ short term goal: price increase (in 2 steps) […] 2/ medium/long term goal: registration process Goal: to get the ODD in the wider indication as possible")502, and that it itself linked this price increase to the development of the orphan indication of the drug ("In order to be able to maintain and further develop CDCA for this rare disease indication, Sigma Tau has to revise the price in accordance to an orphan indication (CTX)")503, are indeed clear indications of the existing connection between the new price increase and the completion of the regulatory activities included in the CDCA project that would allow the launch of the orphan drug. With the concrete start of the second phase of the project to introduce the orphan drug to the market, in fact, the objective of "preparing" the market for the future price became relevant again and required the implementation of the new price increase of the off-label drug already envisioned some time ago.</w:t>
      </w:r>
    </w:p>
    <w:p>
      <w:r>
        <w:t>445. The price assessments found in the inspection documentation, moreover, cannot be considered mere market access evaluations, as claimed by the Party, since the preparatory significance of the price increase of Xenbilox® in 2014 is clearly evident from the aforementioned documents, in which the company itself expressly linked the price increases with the price of the future orphan drug (" […] Impact of current price on future potential price […] - step price increase should be possible - step price increase could be achieved by ‘withdrawal and reintroduction’ or simple price increase on current pack"504).</w:t>
      </w:r>
    </w:p>
    <w:p>
      <w:r>
        <w:t>446. Finally, the existence of a functional relationship between the price increase of 2014 and the future price of the orphan drug cannot be called into question by the fact that, as the company claims,</w:t>
      </w:r>
    </w:p>
    <w:p>
      <w:r>
        <w:t>501 See paragraph 282 on page 74 where it states: "At this stage, revenues from Chenofalk were substantially attributable to sales made by Dr. Falk to German wholesalers, who in turn resold Chenofalk to pharmacies that imported CDCA-based products in order to treat patients suffering from CTX." The phrase "at this stage" refers to the period prior to Sigma Tau's purchase of Chenofalk, as can be inferred from the context in which the cited period falls and from the title of the section in which it is contained: "The market context in 2006."</w:t>
      </w:r>
    </w:p>
    <w:p>
      <w:r>
        <w:t>502 See document 96.228.</w:t>
      </w:r>
    </w:p>
    <w:p>
      <w:r>
        <w:t>503 See documents 96.43 and 96.217.</w:t>
      </w:r>
    </w:p>
    <w:p>
      <w:r>
        <w:t>504 See document 22.7.3, annex "121 06 Report draft 250307 (PA again again)."</w:t>
      </w:r>
    </w:p>
    <w:p>
      <w:r>
        <w:rPr>
          <w:b/>
        </w:rPr>
        <w:t>[Pages 106–108]</w:t>
      </w:r>
    </w:p>
    <w:p>
      <w:r>
        <w:t>BULLETIN NO. 21 OF JUNE 6, 2022</w:t>
      </w:r>
    </w:p>
    <w:p>
      <w:r>
        <w:t>108. Sales made outside the German market were managed by Juers Pharma entirely autonomously and independently (see paragraph 108 supra). From the documentation on record, it clearly emerges that the involvement of the German wholesaler in the distribution chain of Xenbilox® was planned ad hoc by the company so that in markets other than Germany, the price increase decided by Sigma Tau would be formally attributable to a third party. The interposition of this operator in the distribution chain had the sole purpose of preventing the pharmaceutical company from having to justify and/or negotiate the new price increase with patients and with the hospitals treating them. This distribution strategy not only allowed the company to overcome the profit constraint arising from German regulation - where the reimbursement price was set at 660 euros per package and therefore the difference compared to the new ex-factory price of Xenbilox® set at 2,900 euros per package had to be refunded to the health insurance companies - increasing the price to the desired level in the national markets of the European Union (where it was not subject to regulation), which at the time imported Xenbilox® from Germany505, but also allowed it to prepare those markets for the price that would be practiced in the future.</w:t>
      </w:r>
    </w:p>
    <w:p>
      <w:r>
        <w:t>447. The connection between the price increase implemented by Leadiant in 2014 and the pricing policy that the company intended to apply for the orphan drug emerges clearly from a document from December 2014, where it commented ex post on what had already been done in the past by the company and could be repeated in the future (“Sigma Tau want to increase the monthly treatment cost of Xenbilox® and have already introduced some price increases”)506.</w:t>
      </w:r>
    </w:p>
    <w:p>
      <w:r>
        <w:t>V.4.2 The artificial differentiation of the orphan drug from Xenbilox®</w:t>
      </w:r>
    </w:p>
    <w:p>
      <w:r>
        <w:t>448. The investigation conducted also indicates that Sigma Tau pursued its objective by implementing an artificial differentiation strategy of CDCA Leadiant® from the off-label drug (“brand differentiation”507), the foundations of which were initially laid in Germany between 2014 and 2017 and whose effects then reverberated in other European countries, including Italy. This strategy, which included the withdrawal of Xenbilox® from the market and the attribution of the ownership of CDCA Leadiant® to a company different from that which held the AIC of the off-label drug, aimed to avoid the difficulties that would inevitably arise if the regulatory authorities had requested, as eventually happened, to justify the high price that Sigma Tau intended to charge for the orphan drug given that the project carried out by the dominant company consisted of repurposing an old drug, Xenbilox®, for a new therapeutic indication (so-called “repurposing”) that was already being treated with the old off-label drug508.</w:t>
      </w:r>
    </w:p>
    <w:p>
      <w:r>
        <w:t>449. The fact that this strategy initially concerned Germany does not render it irrelevant to the subject of this provision, as claimed by the Party, which qualifies these events as pertaining to a different geographical market and suggestive of the alleged violation of a national regulation different from the Italian one, in relation to which the Authority would have no competence. In fact, the inspection evidence fundamentally contradicts such claims, as it clearly demonstrates that the success of the proposed commercial strategy in Germany would have positive repercussions on the prices in other Member States (“getting an increase in the German price is necessary (or removing this product as a price benchmark) if a higher level of price is the ambition for Chenorm across Europe […]”)509. In other words, the investigation demonstrated that it was particularly important for Sigma Tau to obtain a high price in Germany, the preferred national market from which the dominant company operated throughout Europe, as this would represent a benchmark for price negotiations in other Member States, including Italy.</w:t>
      </w:r>
    </w:p>
    <w:p>
      <w:r>
        <w:t>450. Leadiant's arguments, in particular, regarding the economic rationale for the withdrawal of Xenbilox®, responding to commercial considerations about the cost of maintaining a drug on the market whose therapeutic indication was now obsolete, appear to be largely contradicted by the documentation acquired on record.</w:t>
      </w:r>
    </w:p>
    <w:p>
      <w:r>
        <w:t>451. Sigma Tau itself had included among the competitive risk factors that could hinder the pricing policy it had decided to apply for the orphan drug, Xenbilox® (see paragraph 123 supra).</w:t>
      </w:r>
    </w:p>
    <w:p>
      <w:r>
        <w:t>452. Xenbilox® represented a threat primarily in Germany, since the existing price moratorium for drugs in the German legal system until 2022 for products marketed since 2010, also applied to the orphan drug, as it contained an active ingredient already marketed in the German market, would have generated an automatic mandatory discount equal to the difference between the price of CDCA Leadiant® and the reimbursement price of Xenbilox® to be paid to the German health insurance companies (see paragraph 159 supra). This would have prevented the planned pricing policy designed for the launch of the orphan drug.</w:t>
      </w:r>
    </w:p>
    <w:p>
      <w:r>
        <w:t>453. In order to overcome the regulatory obstacle to Sigma Tau's pricing objectives, it was necessary for CDCA Leadiant® to be perceived as a new and different product from Xenbilox®. This objective was pursued and achieved primarily through the withdrawal of Xenbilox®, which began in October 2016 (with the formal cessation of sales by Sigma Tau and the continuation of sales until stocks were exhausted by Juers Pharma) and concluded between April and May 2017. Once the procedure for withdrawing the off-label drug from the German market was completed, in May 2017 Sigma Tau requested the removal of Xenbilox® from the official list, exactly at the same time as the request for registration of CDCA Leadiant® in the same list. This ensured that the two products were never simultaneously on the market (“Xenbilox and the new CDCA Leadiant will not co-exist in the market”510) (see paragraphs 166 and 168 supra).</w:t>
      </w:r>
    </w:p>
    <w:p>
      <w:r>
        <w:t>454. The link between the withdrawal of Xenbilox® from the market and Leadiant's profit objective emerges, moreover, with all its evidence particularly from a document, repeatedly referenced, from September 2014, where the company itself identifies the withdrawal of Xenbilox® from the market as a necessary tool to increase the price of the drug to be administered for CTX511.</w:t>
      </w:r>
    </w:p>
    <w:p>
      <w:r>
        <w:t>455. The other element on which Sigma Tau built the differentiation between Xenbilox® and CDCA Leadiant® consisted of the establishment of a new German company holding the AIC of the orphan drug. This was because Sigma Tau realized that, although necessary, the withdrawal of Xenbilox® from the market would not be sufficient to exclude the anchoring of the reimbursement price of the orphan drug to that of the off-label medicine, because under German law, CDCA Leadiant®, while having a new therapeutic indication, contains a molecule that had already existed on the market, regardless of whether it was still marketed or not (see paragraph 164 supra). It therefore established a formally different German company from that which previously held Xenbilox®, to which it attributed the ownership of the orphan drug.</w:t>
      </w:r>
    </w:p>
    <w:p>
      <w:r>
        <w:t>456. The Party's arguments that this decision would in no way have prevented the German insurers from referring to the reimbursement price of Xenbilox® in negotiating the reimbursement price of the orphan drug, but at most would not have allowed them to obtain the mandatory automatic discount equal to the difference between the price of CDCA Leadiant® and that of the reimbursement of Xenbilox®, miss the mark.</w:t>
      </w:r>
    </w:p>
    <w:p>
      <w:r>
        <w:t>457. In fact, aside from the fact that substantively the two effects of the establishment of the new German company referred to by Leadiant are identical (taking the price of Xenbilox® as a reference in negotiating the reimbursement price of CDCA Leadiant® was precisely aimed at obtaining the discount referred to by the Party), it is noted in any case that such claims are contradicted by the words of the same dominant company contained in the inspection documentation, which precisely accounts for the fact that the project to establish the new company holding the AIC of the orphan drug, Leadiant GmbH, was outlined in early 2016 and pursued until the launch of the orphan drug with the specific and exclusive aim of preventing the German health insurers from referring to the price of Xenbilox® when defining the reimbursement price of the orphan drug (“[…] we will need a newco in Germany because neither ST GmbH nor STRDL can be MA holders and/or distributors of the new CDCA without an immediate reference to the old Xenbilox price. A name change is not enough. This must be a new pharmaceutical entrepreneur (new numbers, register, etc)”512) and to obtain the desired price for the future orphan drug (see paragraphs 171-174 supra).</w:t>
      </w:r>
    </w:p>
    <w:p>
      <w:r>
        <w:rPr>
          <w:b/>
        </w:rPr>
        <w:t>[Pages 109–111]</w:t>
      </w:r>
    </w:p>
    <w:p>
      <w:r>
        <w:t>BULLETIN NO. 21 OF JUNE 6, 2022 111</w:t>
        <w:br/>
        <w:t>458. The establishment of the new German company was also part of a broader strategy implemented at the European level aimed at excluding the possibility of establishing connections between the ownership of Xenbilox® and that of CDCA Leadiant® from a corporate perspective, so that these appeared as two completely distinct assets513. Starting from mid-2015, the ownership of Xenbilox® was formally entrusted to the British subsidiary of the group, while that of the orphan drug, under construction, was formally managed by the German subsidiary. The establishment of a new German subsidiary with a new company name different from that of the previous distributor of Xenbilox® in the German market and from the holder of that off-label drug had, therefore, the sole purpose of further separating the two businesses from a formal perspective.</w:t>
      </w:r>
    </w:p>
    <w:p>
      <w:r>
        <w:t>459. This strategy allowed the dominant company to assert before the competent authorities that Leadiant GmbH had no connections with Sigma Tau Arzneimittel GmbH and that the orphan drug was not linked in any way to Xenbilox® (see paragraph 176 supra).</w:t>
      </w:r>
    </w:p>
    <w:p>
      <w:r>
        <w:t>460. All of this completed the differentiation of the two products and allowed the dominant company to present to the German market a drug that, at least formally, was different from what had been available on the market until then, and to definitively overcome the constraint imposed by the price moratorium on the profit objectives pursued by the dominant company.</w:t>
      </w:r>
    </w:p>
    <w:p>
      <w:r>
        <w:t>461. In other words, thanks to this composite strategy, Leadiant created a formal distinction between Xenbilox® and CDCA Leadiant®, which was specifically constructed to artificially differentiate the two products even on a substantial level.</w:t>
      </w:r>
    </w:p>
    <w:p>
      <w:r>
        <w:t>462. Several documents in the records indicate that this differentiation achieved the desired effects: the thesis of the association of German health insurers regarding the identity between the two molecules was, in fact, successfully contested by Leadiant. Consequently, the association could not refer to the reimbursement price of Xenbilox® to obtain the mandatory automatic discount on the price of CDCA Leadiant® (see paragraph 177 supra).</w:t>
      </w:r>
    </w:p>
    <w:p>
      <w:r>
        <w:t>463. This strategy, which started in Germany, was then extended to other member states interested in purchasing the orphan drug, including Italy. More specifically, the formal and substantial differences between Xenbilox® and CDCA Leadiant® were reiterated to AIFA when the Agency requested explanations regarding the price difference between the orphan drug and Xenbilox®, in order to obtain the high price that the dominant company had set for itself (see section V.5.1.iii infra).</w:t>
      </w:r>
    </w:p>
    <w:p>
      <w:r>
        <w:t>513 Indicative in this regard are the numerous transfers of ownership of the administrative rights pertaining to Xenbilox® and the orphan drug that occurred over time among the group companies. Since October 2008, Sigma Tau Arzneimittel GmbH was, in fact, the holder of the AIC related to Xenbilox® in Germany (see paragraph 97 supra). In August 2015, this administrative title was transferred from Sigma Tau Arzneimittel GmbH to Sigma Tau Rare Disease Ltd., which then became Leadiant Biosciences Ltd in December 2016 (see paragraph 141 supra). The request for the preliminary orphan designation of CDCA was submitted by Sigma Tau Rare Disease Ltd. on August 28, 2014, and obtained by the same company on December 16, 2014. This administrative title was transferred on May 7, 2015, to Sigma Tau Arzneimittel GmbH (see paragraphs 117-118). The request for the AIC for the orphan drug was submitted by Sigma Tau Arzneimittel GmbH on October 29, 2015, and obtained by it on April 10, 2017. The title was then transferred to Leadiant GmbH on May 31, 2017 (see paragraphs 141 and 156 supra).</w:t>
      </w:r>
    </w:p>
    <w:p>
      <w:r>
        <w:t>112 BULLETIN NO. 21 OF JUNE 6, 2022</w:t>
        <w:br/>
        <w:t>V.5 The abusive behavior of Leadiant</w:t>
        <w:br/>
        <w:t>V.5.1 The negotiating levers adopted in the procedure for defining the reimbursement price of CDCA Leadiant®</w:t>
      </w:r>
    </w:p>
    <w:p>
      <w:r>
        <w:t>464. The evidence acquired in the records indicates that during the negotiation procedure for the reimbursement price of the orphan drug, Leadiant intentionally adopted a dilatory and obstructive attitude towards AIFA: indeed, for a year and a half, despite repeated requests from the Agency, the dominant company did not provide any information and documentation on investments in research and development that could adequately support its initial price proposal and/or subsequent ones, and thus justify the price difference between CDCA Leadiant® and Xenbilox®, and strategically prolonged the negotiation procedure by submitting late corrective economic offers to the initial one.</w:t>
      </w:r>
    </w:p>
    <w:p>
      <w:r>
        <w:t>i) The delay in providing cost data</w:t>
      </w:r>
    </w:p>
    <w:p>
      <w:r>
        <w:t>465. Regarding the cost data incurred to carry out the registration project for the orphan drug, it is noted that from the very beginning of the negotiation of the price of the orphan drug, and in particular following the CPR meeting of March 19, 2018, AIFA formally requested the dominant company to justify its initial request of €15,506.93 per package by providing appropriate detailed information on the costs incurred for the registration project of the orphan drug, with particular regard to investments in research and development (see paragraph 194 supra). This request was reiterated a second time in the meeting of July 2019 and a third time, again in writing, in September 2019 (see paragraphs 207-208 supra). It originated from the observation that this price was too high and unjustified compared to the presumed financial effort incurred and the activities carried out for the introduction of the drug on the market, given that for the Agency “the authorization procedure was based exclusively on retrospective studies and literature data”514.</w:t>
      </w:r>
    </w:p>
    <w:p>
      <w:r>
        <w:t>466. Such information was transmitted, however, only in aggregated form and without the support of appropriate documentation, with great delay, only on November 26, 2019 (see paragraphs 208-209 supra), more than a year and a half after the first formal request made by the Agency, thus hindering AIFA's evaluation activity.</w:t>
      </w:r>
    </w:p>
    <w:p>
      <w:r>
        <w:t>467. The arguments of the Party, which objects in multiple aspects to this reconstruction as it claims that AIFA was not authorized by CIPE Resolution No. 3/2001 to request information from the dominant company regarding the investments made for the development of the orphan drug but should only look at the therapeutic value of the drug based on the cost-effectiveness criterion, appear, however, to be based on a partial and reductive reading of the applicable regulation. Firstly, it is noted that CIPE Resolution No. 3/2001 does indeed assume, as the main criterion in Article 3.1, that of cost-effectiveness515, but does not exclude that the Agency may request the applicant company information on the investments made for the development of a given drug. On the contrary, Article 6 establishes that the parties, including the dominant company, “for the purpose of defining the price, [must] support their proposals with adequate economic evaluations of the product and the industrial context (with reference to investments in production, research and development, and exports), market and competition in which the same product is placed.” Furthermore, Article 3.3.5 of CIPE Resolution No. 3/2001 clearly states that “In any case, other elements relating to […] any other information that may be useful to the parties must be provided.” This closing clause, clarifying that the “other elements that may be useful” must be provided “in any case,” grants AIFA the power to always request from the applicant company any information it deems useful for its evaluation.</w:t>
      </w:r>
    </w:p>
    <w:p>
      <w:r>
        <w:t>468. Moreover, regarding the usefulness for AIFA of the information related to investments in research and development made for the development of the orphan drug, it is noted that these were of particular importance in this case. It must be considered that in relation to CDCA Leadiant®, it was not possible to apply the cost-effectiveness criterion in the terms required by Article 48 of Legislative Decree No. 326/2003, that is, “assuming as comparison terms the reference price for the relevant homogeneous therapeutic category and the comparative daily cost within drugs with the same therapeutic indications,” because, as AIFA observed during the investigation, such a comparator – an on-label drug with the same therapeutic indication – did not exist. Hence the importance of having a reference point for negotiation that, in this case, could only be provided by the level of investment in research and development incurred by the dominant company for the registration of the orphan therapeutic indication, and explains why the Agency requested to know this pivotal element three times.</w:t>
      </w:r>
    </w:p>
    <w:p>
      <w:r>
        <w:t>469. In this regard, the delay in transmitting the information related to the production cost of CDCA Leadiant®, therefore, undoubtedly negatively impacted the Agency's ability to adequately assess the value of the drug and the activity carried out by the dominant company for the purpose of registration. Therefore, it is of no use to assert, as Leadiant does, that it timely provided information on the costs incurred in Italy over the last three years and then made efforts to quantify the data expressly requested by AIFA by turning to a consulting company, whose determination took time. Such assertions are, in fact, contradicted by the documents in the records that clearly show that the dominant company was aware of the difference between the data provided and that requested by the Agency and that it had internally proceeded a year before the request to quantify the costs specifically incurred for the development of the orphan drug (whereas, instead, the quantification activity requested from the consultants of Copenhagen Economics was commissioned subsequently in the context of the investigation procedure of the Dutch ACM).</w:t>
      </w:r>
    </w:p>
    <w:p>
      <w:r>
        <w:t xml:space="preserve">470. Indeed, as early as March 2017, the dominant company knew that the costs related to the CDCA project that could be qualified as research and development in Italy amounted to [€100,000-200,000] (excluding the cost of the retrospective study commissioned to the University of Siena of [€100,000-200,000]) (see paragraph 186 supra). The dominant company was also already aware that </w:t>
        <w:br/>
        <w:t>3.1.2 the new drug proves useful for the prevention or treatment of relevant diseases or symptoms for which available drugs provide an inadequate response;</w:t>
        <w:br/>
        <w:t>3.1.3 the new drug has a more favorable risk/benefit ratio compared to drugs already available in the Formulary for the same indication.”</w:t>
      </w:r>
    </w:p>
    <w:p>
      <w:r>
        <w:rPr>
          <w:b/>
        </w:rPr>
        <w:t>[Pages 112–114]</w:t>
      </w:r>
    </w:p>
    <w:p>
      <w:r>
        <w:t>BULLETIN NO. 21 OF JUNE 6, 2022</w:t>
      </w:r>
    </w:p>
    <w:p>
      <w:r>
        <w:t>114. Since May 2017, the amount of all costs incurred up to that point (2007-2017) for the registration project of the orphan drug at a global level amounted to approximately [10-20] million euros (see par. 188 supra). Furthermore, Leadiant had a detailed understanding of the composition of these costs, their nature, and the weight that each of them had in the overall investment made516.</w:t>
      </w:r>
    </w:p>
    <w:p>
      <w:r>
        <w:t>471. Despite having this information at its disposal, the dominant company did not provide these data either when AIFA formally requested, for the first time in March 2018, a "cost-based" justification for the proposed price or thereafter. Nor can the mere illustration by Leadiant of the cost items that made up the financial investment incurred to keep the orphan drug on the market, which took place in June 2018 during a meeting with AIFA, be considered as evidence that the dominant company responded to the Agency's requests at that time, given that, as emphasized by AIFA itself, Leadiant did not present any documentation to support it (see par. 202 supra).</w:t>
      </w:r>
    </w:p>
    <w:p>
      <w:r>
        <w:t>472. The reasons for this reticence can be found in the inspection evidence already illustrated, which indicates that the costs associated with the drug registration project incurred up to that point, especially those that could be considered as investments in research and development (amounting at most to [200,000-300,000] euros, precisely), within the overall investments made in Italy in the three-year period 2014-2016 ([2-3] million euros) (see pars. 186-187 supra), were, in fact, modest and could never justify the price request made to AIFA.</w:t>
      </w:r>
    </w:p>
    <w:p>
      <w:r>
        <w:t>473. Neither was the level of investments of approximately [10-20] million euros, which emerged from the quantification of all costs incurred up to that point for the global registration project of the orphan drug – carried out precisely because of the awareness that it would be difficult for Leadiant to justify the price it intended to request for the orphan drug517 – evidently considered by the dominant company sufficient to justify the price request. This is evident from the documents acquired in the records that clearly show how in July 2018, four months after AIFA's first request, after determining the amount of the requested costs, Leadiant decided that it was better not to continue the internal investigations it had conducted the previous year on the costs of the orphan drug registration project518.</w:t>
      </w:r>
    </w:p>
    <w:p>
      <w:r>
        <w:t>474. After the third request from AIFA's CPR during the meeting in July 2019, Leadiant finally resolved to communicate the data requested by AIFA in November 2019, after the total amount of costs incurred globally was updated by the consultants of Copenhagen Economics to [100-200] million euros for the period 2014-2023 (see par. 209 supra).</w:t>
      </w:r>
    </w:p>
    <w:p>
      <w:r>
        <w:t>475. However, even on this occasion, the dominant company did not provide "detailed" or adequately "documented" information, as requested by AIFA, but limited itself to providing aggregated data, lacking supporting documentation, which proved to be of little use to the Agency (see par. 212 supra). Leadiant therefore only formally complied with AIFA's request, but in substance, it did not allow the Agency to effectively evaluate the information provided.</w:t>
      </w:r>
    </w:p>
    <w:p>
      <w:r>
        <w:t>476. Moreover, in the following months, the dominant company did not bother to provide the Agency with the updated value of the total costs incurred globally, which was significantly lower than that communicated, [70-80] million euros instead of the initial [100-200] million euros (see par. 210 supra).</w:t>
      </w:r>
    </w:p>
    <w:p>
      <w:r>
        <w:t>477. From all this, it follows that the Party intentionally exploited an obvious information asymmetry and adopted a behavior that was anything but collaborative and inspired by good faith.</w:t>
      </w:r>
    </w:p>
    <w:p>
      <w:r>
        <w:t>ii) The prolongation of the negotiation procedure</w:t>
      </w:r>
    </w:p>
    <w:p>
      <w:r>
        <w:t>478. The evidence acquired in the records indicates that Leadiant further exploited AIFA's negotiating weakness – already inherent in the fact that the negotiation concerned the price of a life-saving orphan drug – allowing time to pass without any progress in the negotiation.</w:t>
      </w:r>
    </w:p>
    <w:p>
      <w:r>
        <w:t>479. On this point, the arguments of the Party based on the comparison between the duration of the price negotiation for Leadiant® CDCA (18 months) and the average time it takes for a drug to obtain reimbursement from AIFA from the moment of its approval by EMA (24 months) are unconvincing. In this regard, it should be noted, first of all, that neither the type of drugs nor the scientific and market context that characterized such negotiations is known, nor their possible comparability to the case at hand. The observation of their longer or shorter duration compared to the negotiation procedure in question does not therefore allow for any significant conclusion in this regard. Secondly, what matters is not only the duration of the negotiation procedure itself but rather the manner in which it was conducted by the parties and, in particular, concerning the present provision, by the dominant company.</w:t>
      </w:r>
    </w:p>
    <w:p>
      <w:r>
        <w:t>480. In this regard, the evidence acquired during the investigation shows that the parties met three times, in June 2018, July, and December 2019, and between March 2018 and November 2019, they had a substantial exchange of correspondence concerning various economic proposals and counterproposals (see pars. 194-209 supra).</w:t>
      </w:r>
    </w:p>
    <w:p>
      <w:r>
        <w:t>481. What emerges at first glance is the significant time gap – as much as thirteen months – between the first and second meeting between the parties. After the first meeting, where the CPR reiterated its dissatisfaction with the first two price-volume agreement proposals presented by Leadiant (corrective of the initial price proposal) and the procedure was consequently suspended, the dominant company resolved to present a third corrective offer only in March 2019 (effectively detailed only in April 2019), that is, with a delay of seven months (almost eight if one considers when the detailed proposal arrived) compared to the 15-day deadline set by AIFA for its submission, and after two reminders from the Agency (in November 2018 and February 2019) (see pars. 201-207 supra). This constitutes a first element that already by itself allows us to affirm that the negotiation procedure for the orphan drug was prolonged as a result of the negotiating attitude adopted by Leadiant.</w:t>
      </w:r>
    </w:p>
    <w:p>
      <w:r>
        <w:t>482. To further illustrate, it is sufficient to consider that from the second meeting between the parties (July 2019), several more months passed, specifically five, before Leadiant, after yet another reminder in September 2019, decided to present AIFA with a fifth corrective proposal that then led to the agreement in December 2019 (see pars. 207-208 supra).</w:t>
      </w:r>
    </w:p>
    <w:p>
      <w:r>
        <w:t>483. Regarding the Party's argument that the length of the negotiation procedure was rather caused by the particular complexity of the reference context, particularly due to uncertainties about the actual number of patients affected by CTX, it should be noted that the documents in the records show that the opposition between the parties regarding this element occurred only during the first meeting, in March 2018. From April 2018 onwards, the issue of the number of patients, which was defined more closely to the company's initial estimates in the December 2019 agreement (see par. 213 supra), was no longer a subject of discussion, and the negotiation largely redirected to another level, namely the economic impact that a potential price lower than that initially requested would have on the NHS budget and, therefore, on the revenue targets of the dominant company ("We should set the turnover that we want to secure and move from there"519). The subsequent proposals were presented to AIFA with this sole purpose in mind and not, as the Party claims, based on epidemiological data520, the peculiarities of the drug, and its effectiveness in treating the disease.</w:t>
      </w:r>
    </w:p>
    <w:p>
      <w:r>
        <w:t>484. In summary, therefore, considering i) the long timelines with which Leadiant presented its economic offers, ii) the lack of concern shown regarding the response times established by the Agency, and finally iii) the fact that the Agency sent three reminders over almost a year to obtain such offers (November 2018-September 2019), it seems reasonable to conclude that the dominant company caused the prolongation of the negotiation procedure for the price of the orphan drug solely to maximize its profit.</w:t>
      </w:r>
    </w:p>
    <w:p>
      <w:r>
        <w:t>485. This did not pose a problem for Leadiant, as it was already on the market with its product, a factor that contributed to making the demand captive, and it was under the extremely favorable commercial conditions granted by the Cnn class regulation. Conversely, such delays made the Agency fear that the negotiation would end without an agreement and with the definitive inclusion of Leadiant® CDCA in class C (see par. 216 supra). This outcome was seen by AIFA as extremely negative, as a drug for which there are no therapeutic alternatives, and which is therefore essential, as in this case, should not be included in such a class.</w:t>
      </w:r>
    </w:p>
    <w:p>
      <w:r>
        <w:t>486. In fact, AIFA stated during the investigation that it deemed it appropriate to avert the scenario of classifying Leadiant® CDCA in class C, renouncing to obtain the 80% discount on the initially requested price and accepting a much higher price (see pars. 215-216 supra). This negotiation outcome appears very far from the maximum deviation that AIFA,</w:t>
      </w:r>
    </w:p>
    <w:p>
      <w:r>
        <w:t xml:space="preserve">519 See doc. 78.113. </w:t>
        <w:br/>
        <w:t>520 A series of documents acquired in the records indicates that the company had uncertainties regarding the actual spread of the disease in the national territory, although it was aware that Italy was one of the countries with the highest prevalence. This circumstance was perceived as a critical issue regarding the need to justify the request for a high price for the orphan drug, more justifiable in other countries with a lower spread of the disease (see docs. 78.113, 78.170, and 78.441 ([…] Given that in some countries we have a very large number of pts and a negligible OEPX it seems that we must do this on a EU basis with an ability to then drill down to a country specific level if needed. By example – in the UK and Germany we could quite easily justify a high price based on pts numbers, OPEX requirement and subsequent product profit contribution, in Italy, Spain, Netherlands however we will have to adopt a different approach given pts numbers are so high and OPEX requirement is so low [... ]).</w:t>
      </w:r>
    </w:p>
    <w:p>
      <w:r>
        <w:rPr>
          <w:b/>
        </w:rPr>
        <w:t>[Pages 115–117]</w:t>
      </w:r>
    </w:p>
    <w:p>
      <w:r>
        <w:t>BULLETIN NO. 21 OF JUNE 6, 2022 117</w:t>
        <w:br/>
        <w:t>considering the added value of CDCA Leadiant® compared to Xenbilox®, and in the absence of the aforementioned unfavorable contextual elements in the negotiation, it would have accepted regarding its initial negotiating position. According to AIFA, in fact, such a maximum deviation would have led to accepting a price no more than 10% higher than that at which Xenbilox® was marketed in the Italian market between 2016 and mid-2017 (see paragraph 217 supra).</w:t>
      </w:r>
    </w:p>
    <w:p>
      <w:r>
        <w:t>487. As for the claims of the Party that the negotiation of the price of CDCA Leadiant® would have concluded with a more favorable outcome for AIFA than for the company, it is important to emphasize that the agreement of December 2019 was reached after the initiation of the investigation procedure by the Authority in October 2019. This allows for a reasonable presumption that in the absence of the initiation of the investigation procedure, due to the aforementioned unfavorable negotiating conditions, AIFA would not have been able to obtain even the current ex-factory price of [5,000-7,000] euros per package, but would likely have had to accept an even higher price. This conclusion is not, as the Party believes, a mere unfounded assumption, but is based on precise investigative documents, which indicate that Leadiant, in June 2018, just days before the meeting with AIFA, anticipated obtaining a compromise price that, in the worst-case scenario (which it had expressly decided to reserve for subsequent rounds of negotiation), was approximately 9,000 euros (see paragraph 200 supra).</w:t>
      </w:r>
    </w:p>
    <w:p>
      <w:r>
        <w:t>488. For the same reasons, the assertion of the Party that the fact that AIFA expressed satisfaction with the conclusion of the negotiation procedure for the price of CDCA Leadiant® would demonstrate the correctness of its behavior in the negotiation, as well as the legitimacy of the negotiated price, is not considered shareable. It should be noted that the Agency's statement that the price agreement was "sufficiently satisfactory," considering the initial negotiating positions and the difficult context described above, only confirms that, under more favorable circumstances, the negotiation outcome would certainly have been different. The economic and commercial terms of the price agreement reached represent, in other words, the best among the suboptimal results achievable under the described conditions.</w:t>
      </w:r>
    </w:p>
    <w:p>
      <w:r>
        <w:t>489. In conclusion, therefore, Leadiant leveraged an already unfavorable negotiating context for AIFA, exacerbating it through a dilatory strategy that did not allow the Agency to conduct a calm price negotiation for the orphan drug based on objective evaluation elements.</w:t>
      </w:r>
    </w:p>
    <w:p>
      <w:r>
        <w:t>iii) The impact of artificial differentiation between Xenbilox® and CDCA Leadiant® on the negotiation with AIFA</w:t>
      </w:r>
    </w:p>
    <w:p>
      <w:r>
        <w:t>490. A third factor that negatively influenced the negotiation procedure for the price of CDCA Leadiant® lies in the series of initiatives and precautions adopted by the dominant company to exclude any type of link between Xenbilox® and the orphan drug, thus avoiding having to justify the difference between the price of the latter drug and that requested for the former, despite being identical from a chemical and pharmacological perspective and both used for the same therapeutic indication.</w:t>
      </w:r>
    </w:p>
    <w:p>
      <w:r>
        <w:t>491. In this light, the evidence gathered during the investigation should be read, showing how, close to the start of the negotiation procedure for the orphan drug price with AIFA, the dominant company ensured that hospitals did not request for Xenbilox® the so-called early access under Law No. 648/1996 or access to the so-called AIFA National Fund 5%. This was done to redirect the request towards the new orphan drug soon to be introduced on the market and thus avoid AIFA associating the two products during the negotiation (see paragraph 185 supra).</w:t>
      </w:r>
    </w:p>
    <w:p>
      <w:r>
        <w:t>492. For the same purpose, at the indication of the dominant company, the reimbursement dossier to be submitted to AIFA to request the opening of the negotiation for the price of CDCA Leadiant® was drafted indicating that the drug was not a medicine based on a known active ingredient with a new therapeutic indication, but a completely new drug for the Italian market that had nothing to do with Xenbilox® or with the magistral preparations produced by the Pharmacy of the AOU Senese (see paragraph 184 supra).</w:t>
      </w:r>
    </w:p>
    <w:p>
      <w:r>
        <w:t>493. Subsequently, during the negotiation of the price of CDCA Leadiant®, after AIFA in its communications in March and June 2018 sought to highlight the disproportion of the price requested for CDCA Leadiant® compared to the price at which Xenbilox® had been marketed in Italy until then (see paragraphs 194, 201, and 202 supra), the dominant company decided to act by avoiding as much as possible any substantive discussion about Xenbilox® (“[…] I want to avoid a discussion and price comparison with Xenbilox”) (see paragraph 199 supra).</w:t>
      </w:r>
    </w:p>
    <w:p>
      <w:r>
        <w:t>494. In fact, during the June 2018 meeting in which the CPR for the third time asked for information about Xenbilox®, and in particular about its unavailability on the market, Leadiant avoided providing the requested information about the off-label drug by using legal-formal arguments, which relied on the lack of authorization of Xenbilox® in Italy and its different therapeutic indication, which made it a distinct product, or on the existence of a market exclusivity held by Leadiant linked to obtaining orphan designation (see paragraph 203 supra).</w:t>
      </w:r>
    </w:p>
    <w:p>
      <w:r>
        <w:t>495. In this regard, the objections of the Party regarding the illegitimacy of AIFA's reference to Xenbilox® during the negotiation procedure do not appear to be pertinent. Aside from the fact that information about the unavailability of Xenbilox® in the Italian market and the existing relationship between the off-label drug and the orphan drug, both from a therapeutic and commercial perspective, fall among the "other elements that may be useful," which must be provided "in any case" and that AIFA is therefore, pursuant to Resolution CIPA No. 3/2001, entitled to request, it should be noted that the Agency did not take Xenbilox® as a formal comparator for the definition of the price. Rather, since the molecule contained in CDCA Leadiant® is identical to that of Xenbilox®, which had until then been used off-label for the treatment of the rare disease, and that it was evident from the records that the dominant company had based the registration of the new therapeutic indication of that molecule on retrospective studies and on the review of the literature, AIFA asked Leadiant to justify economically its price request for the orphan drug, whose level was significantly distant from that of Xenbilox®. In other words, since the CDCA Project consists of the transition from an off-label drug to an on-label drug, the Agency requested to quantify the economic effort required for the completion of the Project to understand if this justified the requested price.</w:t>
      </w:r>
    </w:p>
    <w:p>
      <w:r>
        <w:t>496. Significantly indicative of the speciousness of the Party's argument is also the fact that during the negotiation procedure Leadiant never raised the illegitimacy of AIFA's references to Xenbilox®. Moreover, the aforementioned documentation (see paragraph 493 supra), as well as numerous other documents where the dominant company itself often identifies the orphan drug by the name of the off-label drug (“Xenbilox/CDCA”; “Xenbilox in CTX – EMA; Xenbilox […] Filing for CTX indication in EU in 2015 (approval 2016)”; “Xenbilox 2014 very important project”), highlight Leadiant's full awareness of the fact that Xenbilox® inevitably formed part of the "history" of CDCA Leadiant®.</w:t>
      </w:r>
    </w:p>
    <w:p>
      <w:r>
        <w:t>497. Not only that. The investigative documentation also highlights the dominant company's attempt to prevent the part of the development project of CDCA Leadiant® related to Xenbilox® from playing a role in the negotiation. It is otherwise inexplicable why, during the procedure before AIFA, Leadiant intended to "carefully avoid creating […] links with the name Sigma-Tau," that is, with Xenbilox®. All of this finds precise confirmation in AIFA's statements, which argued that the choice to launch the orphan drug when Xenbilox® was now unavailable in Italy, and to attribute the ownership of the new orphan drug to another company, had the primary purpose of not providing the Agency with opportunities to verify the reasons for the enormous price difference between the orphan drug and Xenbilox® (see paragraph 197 supra).</w:t>
      </w:r>
    </w:p>
    <w:p>
      <w:r>
        <w:t>498. In conclusion, it is believed that the set of initiatives adopted by the dominant company to ensure that AIFA did not have adequate information, despite being explicitly and repeatedly requested, regarding the therapeutic and market context related to the CTX prior to the introduction of the orphan drug, represented a strongly obstructive behavior of the negotiation procedure and certainly did not respond, as Leadiant claims, to good faith.</w:t>
      </w:r>
    </w:p>
    <w:p>
      <w:r>
        <w:t>V.5.2 The imposition of unjustifiably burdensome prices for the sale of the orphan drug in Italy by Leadiant</w:t>
      </w:r>
    </w:p>
    <w:p>
      <w:r>
        <w:t>i) The legal principles to be applied to the case at hand</w:t>
      </w:r>
    </w:p>
    <w:p>
      <w:r>
        <w:t>499. Article 102, letter a), of the TFEU prohibits a company in a dominant position from directly or indirectly imposing unfair purchase or selling prices or other unfair trading conditions and, in particular, prohibits the application of excessively burdensome prices that are not justified by any legitimate reason.</w:t>
      </w:r>
    </w:p>
    <w:p>
      <w:r>
        <w:t>500. The Court of Justice of the European Union established in the United Brands ruling that a price is unlawful under the provision in question when the company, taking advantage of its dominant position, has derived commercial benefits that it would not have obtained if there had been effective competition.</w:t>
      </w:r>
    </w:p>
    <w:p>
      <w:r>
        <w:rPr>
          <w:b/>
        </w:rPr>
        <w:t>[Pages 118–120]</w:t>
      </w:r>
    </w:p>
    <w:p>
      <w:r>
        <w:t>BULLETIN NO. 21 OF JUNE 6, 2022</w:t>
      </w:r>
    </w:p>
    <w:p>
      <w:r>
        <w:t>120. A price is deemed unlawful under the provision in question when the company, leveraging its dominant position, has derived commercial advantages that it would not have obtained if there had been normal and sufficiently effective competition in the relevant market525. For this reason, the price charged does not appear to have a reasonable relationship with the economic value of the service provided526.</w:t>
      </w:r>
    </w:p>
    <w:p>
      <w:r>
        <w:t>501. It is known that there is no single method, prescribed by law or resulting from the case law of the Court of Justice, to assess this relationship between the economic value of a product or service and its price. On the contrary, the Court itself has emphasized that different methods can be used to determine whether a price charged by a dominant company is excessive and unfair and, therefore, abusive527.</w:t>
      </w:r>
    </w:p>
    <w:p>
      <w:r>
        <w:t>502. One of these methods is based on the "comparison between the selling price of the product in question and its production cost [...] from which the amount of the profit margin would result"528. This analysis of the comparison between price and costs, in the methodology indicated by the European judges, unfolds in two phases: the first aims to verify "whether there is an excessive disproportion between the actual cost incurred and the price actually charged" and the second to ascertain whether the excessive price relative to costs is also "unfair, absolutely or in relation to competing products"529. It should be noted that the examination aimed at identifying possible justifications for the disproportion between prices and costs must be particularly stringent when it concerns goods on which consumers are completely dependent530, as is the case here.</w:t>
      </w:r>
    </w:p>
    <w:p>
      <w:r>
        <w:t>503. The two criteria for measuring the unfairness of an excessive price are alternative. Therefore, to establish that a price is unlawful under Article 102, letter a), of the TFEU, it is sufficient that even just one of the two alternatives provided in the second phase of the test is satisfied531.</w:t>
      </w:r>
    </w:p>
    <w:p>
      <w:r>
        <w:t>504. All of this premised, from the application of these principles to the case at hand, it emerges that Leadiant, exploiting its dominant position, has charged excessively burdensome prices, devoid of any reasonable relationship with the economic value of the service provided, solely for the purpose of deriving an economic advantage. In other words, the prices applied by the dominant company for the sale of the orphan drug in Italy are excessive and unfair and thus violate Article 102, letter a), of the TFEU.</w:t>
      </w:r>
    </w:p>
    <w:p>
      <w:r>
        <w:t>ii) The Excessiveness of the Prices Charged by Leadiant for the Sale of the Orphan Drug in Italy</w:t>
      </w:r>
    </w:p>
    <w:p>
      <w:r>
        <w:t>505. Regarding the determination of the economic value of the service provided, necessary for the first part of the United Brands test, it is believed, based on the aforementioned practice and case law532, that this value must at least reflect a measure of the costs incurred by the dominant company to produce the good or service.</w:t>
      </w:r>
    </w:p>
    <w:p>
      <w:r>
        <w:t>506. Preliminary, it should be noted that the numerous documents on record clearly show that, from the early stages of the project, the price level of CDCA Leadiant® was never defined by the dominant company based on the costs incurred. The various pricing hypotheses formulated by Leadiant (see section III.5.4 supra) rather refer to its expectations regarding the maximum price that demand was willing to pay for the drug in question, also taking into account the rigidity of demand at the price for a good such as a drug for the treatment of an ultra-rare condition, regardless of any measure of the costs incurred.</w:t>
      </w:r>
    </w:p>
    <w:p>
      <w:r>
        <w:t>507. In particular, the quantification of the total costs incurred for the registration of CDCA Leadiant® that the dominant company had carried out internally to support the requested price highlights, in fact, a cost level far from what would justify such a high price (see paragraph 188 supra), so much so that this data was not produced in the negotiation with the Regulatory Authority. A different and broader reconstruction of costs was elaborated only a posteriori, in the study commissioned to the consulting firm Copenhagen Economics, within the framework of the antitrust proceedings initiated by the Dutch Competition Authority under Article 102, letter a), of the TFEU. The costs declared by the Party during the investigation constitute an updated version of that study.</w:t>
      </w:r>
    </w:p>
    <w:p>
      <w:r>
        <w:t>508. That said, and also taking into account the costs declared by the Party based on this ex post reconstruction, the investigative activity has highlighted a very high disproportion between the prices applied in Italy for the sale of CDCA Leadiant® to the NHS and the value of that drug, which must reflect the costs for its production, marketing, and maintenance in the Italian market.</w:t>
      </w:r>
    </w:p>
    <w:p>
      <w:r>
        <w:t>509. Although not necessarily required by the case law of the EU Court of Justice533, two different methodologies were used to assess the excessiveness of the price: one of a financial nature and the other of an accounting nature, which allows for a robustness check of the analysis carried out, thus aligning with that part of legal and economic doctrine that encourages the parallel application of multiple methodologies534.</w:t>
      </w:r>
    </w:p>
    <w:p>
      <w:r>
        <w:t>a. The Financial Methodology</w:t>
      </w:r>
    </w:p>
    <w:p>
      <w:r>
        <w:t>510. The first methodology applied considered the internal rate of return (IRR) of the CDCA project, initiated in 2014 with the price increase of Xenbilox® and the request for orphan designation for CDCA with the new therapeutic indication, and which will conclude in 2027 at the expiration of the market exclusivity for CDCA Leadiant® (section III.6.2.ii).</w:t>
      </w:r>
    </w:p>
    <w:p>
      <w:r>
        <w:t>511. The IRR of the project was calculated based on the cash flows derived from the project in question, taking into account the ex-factory price applied by Leadiant to the sales of Xenbilox® that occurred in Italy during the period January 2016 – May 2017 (amounting to €2,900), as well as the ex-factory price of CDCA Leadiant® in the years 2017-2019, during the classification of the medicine in class Cnn (amounting to €15,506.93) and starting from 2020, following the agreement with AIFA (amounting to [€5,000-7,000]).</w:t>
      </w:r>
    </w:p>
    <w:p>
      <w:r>
        <w:t>512. The IRR was calculated both considering all cash flows derived from the revenues generated less the costs incurred for the project in question and only the incremental flows compared to those that would have been achieved anyway with the continuation of off-label sales of Xenbilox®. The value of the IRR results, in the two scenarios, respectively equal to [50-60%] and [40-50%].</w:t>
      </w:r>
    </w:p>
    <w:p>
      <w:r>
        <w:t>513. In order to assess the profitability of the project, the two IRR values were compared with the value of the cost of capital of the project in question (WACC) as quantified by Leadiant itself in the initial phases of the project: 12% in the base case and 15% in the best case, the latter identified as riskier535. The comparison between the project IRR and the WACC led to the conclusion that not only is the project profitable for the dominant company, but also that the former value is significantly higher than the latter.</w:t>
      </w:r>
    </w:p>
    <w:p>
      <w:r>
        <w:t>514. Based on the analysis carried out, in fact, the IRR is at least [250-350%] of the cost of capital. This means that, even considering all the assumptions favorable to the Party, the sales of CDCA Leadiant® have generated extremely high, and therefore excessive, returns for the dominant company.</w:t>
      </w:r>
    </w:p>
    <w:p>
      <w:r>
        <w:t>515. Regarding the Party's arguments, which criticize this conclusion as based on an allegedly underestimated WACC, the following should be noted. The value of the cost of capital reflects a premium for the specific riskiness of the project, as estimated by the dominant company itself in the initial phase of the project. Leadiant itself in 2014 had indeed identified a WACC of at least 15% as the appropriate cost of capital to take into account all the risk factors that the dominant company mentioned in its arguments aimed at justifying the prices charged for CDCA Leadiant® in Italy.</w:t>
      </w:r>
    </w:p>
    <w:p>
      <w:r>
        <w:t>516. In this regard, the defensive arguments of the Party, aimed at downplaying the significance of the internal company document containing the aforementioned WACC value, do not hit the mark, which according to Leadiant would pertain to the entire company and not to the specific project. In fact, the document in question was internally developed by the management of Leadiant at the time of deciding whether to undertake the project to assess its profitability and constitutes the most reliable information on the company's ex ante expectations regarding risks, costs, and expected revenues of the CDCA project. The fact that the WACC identified therein differs for the two scenarios of the project (base case and best case) completely refutes the Party's argument that it would refer to the cost of capital of the company and not to that of the specific project.</w:t>
      </w:r>
    </w:p>
    <w:p>
      <w:r>
        <w:t>517. Furthermore, it should be noted that using the cost of capital identified by the dominant company for the riskiest scenario constitutes an extreme favor towards it, considering various elements that characterize the case at hand.</w:t>
      </w:r>
    </w:p>
    <w:p>
      <w:r>
        <w:rPr>
          <w:b/>
        </w:rPr>
        <w:t>[Pages 121–123]</w:t>
      </w:r>
    </w:p>
    <w:p>
      <w:r>
        <w:t>BULLETIN NO. 21 OF JUNE 6, 2022 123</w:t>
      </w:r>
    </w:p>
    <w:p>
      <w:r>
        <w:t>518. In this regard, it is first noted that the revenue generated between 2014 and 2016 due to the increase in the ex-factory price of Xenbilox® to 2,900 euros per package has significantly contributed to financing the cost of the regulatory activities undertaken by the dominant company to obtain orphan designation and the marketing authorization of the orphan drug (see paragraphs 113-114 supra). Therefore, Sigma Tau was not at risk of suffering irreparable economic harm in the event of project failure.</w:t>
      </w:r>
    </w:p>
    <w:p>
      <w:r>
        <w:t>519. Furthermore, during the project, Sigma Tau anticipated that if it did not succeed, in the worst-case scenario, it would continue the business by selling Xenbilox® as an off-label drug for the treatment of CTX (“With no ODD, request for approval withdrawn; - Xenbilox sold off-label; - No price increase vs current; - No volume increase”). This means that Sigma Tau, despite the failure of the CDCA project, could still remain on the market and achieve revenue targets that already significantly benefited from the price increase of Xenbilox® that occurred in mid-2014. It is noteworthy that in just two years, from 2013 to 2015, the revenue of Xenbilox® increased from 2 to 7 million euros (see par. 114 supra). It should also be noted that Leadiant, having maintained the marketing authorization of Xenbilox® in Germany without requesting its revocation until June 2019, long reserved the possibility of resuming the off-label marketing of the medicine even after its withdrawal from the market: this also protected it from the risks that the company currently fears, related to maintaining the marketing authorization of CDCA Leadiant® (see par. 169 supra).</w:t>
      </w:r>
    </w:p>
    <w:p>
      <w:r>
        <w:t>520. Regarding the criticism from the Party on the evaluation model used, which allegedly does not adequately consider the riskiness of the project, and the need to conduct this evaluation based on a different model (risk-adjusted NPV) from the perspective of an ex ante investor, the following observations are made. Firstly, Leadiant itself conducted its own profitability assessment of the CDCA project in 2014, at the time of deciding whether to [omitted] and invest in the project in question to market the product, based on the actual expectations regarding risks, revenues, and costs available at that time, using the methodology it deemed most appropriate (see section III.6.2.i supra). This assessment, as previously highlighted, duly took into account the risk through the specific project WACC. The Party's claim to conduct a profitability assessment of the project today from the perspective of an ex ante investor, but using success probabilities and discount rates constructed retrospectively based on literature or a survey of industry experts, proves to be a sterile and unreliable exercise, since a more realistic ex ante assessment was actually carried out in 2014 by the dominant company itself. In other words, Leadiant, when it analyzed the profitability of the project in 2014, was exactly in the position of the ex ante investor that the Party would like to reconstruct today ex post.</w:t>
      </w:r>
    </w:p>
    <w:p>
      <w:r>
        <w:t>521. Moreover, the profitability assessment of the project carried out by the Party in its defenses presents significant inconsistencies. On one hand, the estimate of risk and sales volumes was developed based on what the Party believes were the expectations of an ex ante investor (the probability of successfully bringing CDCA Leadiant® to market estimated at only [30-40%] and expected volumes lower than those anticipated by Leadiant itself in its ex ante assessment and those actually achieved). On the other hand, for the estimate of expected costs, the Party used the costs attributed ex post to CDCA Leadiant® for the period 2014-2020 and forecasted in 2020 for the period 2021-2027 (over 100 million euros). As noted several times, these costs appear to overestimate the expected project costs from a hypothetical investor's perspective in 2014. It is sufficient to note that among these expected costs are also the significant legal expenses ([5-10] million euros) incurred by Leadiant for antitrust proceedings before numerous competition authorities in Europe (see par. 239-240 supra). In this regard, it should be noted that, in its 2014 assessment, Leadiant estimated the total expected costs of the project at around 5 million euros.</w:t>
      </w:r>
    </w:p>
    <w:p>
      <w:r>
        <w:t>522. Furthermore, the analysis by the Party estimating, based on the assumptions described above, the Minimum Viable Price of CDCA Leadiant® (with which the negotiated price being evaluated for excessiveness is compared) is flawed by another erroneous assumption. In fact, in identifying this Minimum Viable Price, the Party assumes that this price applies to all sales of CDCA Leadiant®, ignoring the fact that from June 2017 until the entry into force of the agreement with AIFA (March 2020), the orphan drug was purchased by the ASLs at a price much higher than that of the agreement and that the payback mechanism, which occurred in the years 2020-21, only partially compensated for this difference when considering the time value of money. In other words, the Party's analysis does not take into account the actual timing of cash flows, an essential factor in a financial analysis. This results in a significant underestimation of the Minimum Viable Price.</w:t>
      </w:r>
    </w:p>
    <w:p>
      <w:r>
        <w:t>523. Neither do the two additional criticisms from the Party regarding the excessiveness assessment derived from the IRR methodology prove convincing. Regarding the price level of Xenbilox®, which according to Leadiant would have been increased even in the absence of the CDCA project, thus reducing the rate of return attributable to the project itself, it is noted that, in an analysis of incremental cash flows, the inertial scenario (i.e., the one “in the absence of the project,” against which to evaluate the cash flows resulting from the project under evaluation) is the one existing at the time of the investment decision. Numerous pieces of evidence in the records, repeatedly referenced, attest that the increase in the price of Xenbilox®, which occurred on July 1, 2014, was implemented to finance the expenses for obtaining orphan status and to prepare the market for a significantly higher price once registration was obtained (see par. 113 supra). In other words, this increase is part of the CDCA project and would not have occurred in its absence, contrary to what the Party claims. In this sense, an internal document from Leadiant indicates that, in the absence of the project, the revenue forecasts from the sale of Xenbilox® for the period 2015-2019 were constant and estimated at 2 million euros, in line with the revenues achieved in previous years when Xenbilox® was sold at a price of 660 euros per package. It is Leadiant itself, therefore, in its internal documents, that qualifies as incremental revenues attributable to the CDCA project all those resulting from the price increase of Xenbilox® compared to the price practiced until June 2014.</w:t>
      </w:r>
    </w:p>
    <w:p>
      <w:r>
        <w:t>524. Regarding the negotiated price of CDCA Leadiant®, which according to the Party could decrease even before the end of the exclusivity period due to periodic renegotiations with AIFA, it is noteworthy that there is no evidence in the records to support this. On the contrary, in its investment evaluation model carried out in 2014, the dominant company assumed a constant price for the entire period. Leadiant confirmed the validity of this assumption in its economic memorandum: “once an agreement on the reimbursement price is in force, a hypothetical investor in 2014 would have expected that such an agreement would persist under the same conditions with a probability of 100%.” The literature cited by Leadiant regarding alleged price reductions during the legal exclusivity period refers, on the other hand, to the generality of patented drugs; the situation of CDCA Leadiant® is quite different, for which the levers for renegotiation by regulatory authorities are essentially zero, as there are no therapeutic alternatives for patients suffering from the rare disease.</w:t>
      </w:r>
    </w:p>
    <w:p>
      <w:r>
        <w:t>525. In conclusion, contrary to what the Party claims, the analysis conducted using the IRR methodology has correctly established the existence of an excessive disproportion between the price charged in Italy by the dominant company for CDCA Leadiant® and the costs incurred by it.</w:t>
      </w:r>
    </w:p>
    <w:p>
      <w:r>
        <w:t>b. The accounting methodology</w:t>
      </w:r>
    </w:p>
    <w:p>
      <w:r>
        <w:t>526. The second methodology used in the excessiveness analysis is based on the comparison between the sales revenues generated in Italy applying the price being evaluated for excessiveness (in this case, the negotiated price of [5,000-7,000] euros) and the so-called cost plus, corresponding to the direct and indirect costs incurred by the dominant company for Italy in relation to CDCA Leadiant®, including a reasonable profit margin for it. In this case, this measure of profitability has been generously quantified at a return on sales rate of 21%. The percentage excess of the revenues from the sales of CDCA Leadiant® at the price of [5,000-7,000] euros compared to the cost plus was found to be [60-70%] for the period from the start of the commercialization of CDCA Leadiant® in Italy until the end of 2020 and [90-100%] considering the expiration of the market exclusivity period, set for April 2027 (see section III.6.3 supra).</w:t>
      </w:r>
    </w:p>
    <w:p>
      <w:r>
        <w:t>527. Regarding the criticisms made by the Party against the cost plus methodology and its mode of application, it is first noted that this evaluation criterion is of an accounting-revenue nature and therefore, by its nature, is a static model that does not take into account the time value of money, unlike financial investment evaluation criteria, such as IRR. Precisely for this reason, the cost plus methodology has been complemented, in the analysis of the disproportion between prices and costs, with a financial methodology, which the Party considers more suitable for evaluating this type of projects, in order to corroborate its results and provide greater robustness to the evaluation. Moreover, the fact that the cost plus methodology does not consider the time value of money is not in itself unfavorable to the Party: precisely because of this specificity, in the cost plus evaluation – in a way advantageous to the Party – it was assumed that the negotiated price had been applied ab initio, from the first sales of CDCA Leadiant® in Italy in 2017, whereas, as is known, this price only came into effect from March 2020 and was then applied retroactively to previous sales. This significantly reduced the revenues attributed to the Party for the sales of CDCA Leadiant®.</w:t>
      </w:r>
    </w:p>
    <w:p>
      <w:r>
        <w:rPr>
          <w:b/>
        </w:rPr>
        <w:t>[Pages 124–126]</w:t>
      </w:r>
    </w:p>
    <w:p>
      <w:r>
        <w:t>126 BULLETIN NO. 21 OF JUNE 6, 2022</w:t>
        <w:br/>
        <w:t>in the years 2017-2020 and, consequently, the value of their excess over the cost plus, which however remains extremely high.</w:t>
      </w:r>
    </w:p>
    <w:p>
      <w:r>
        <w:t>528. Regarding Leadiant's criticism of the year from which the cost plus was applied (2017), it is noted that the average profitability of a product can only be measured from when it is marketed, that is, in this case, from June 2017. It should also be noted that the expenses incurred in the years prior to the marketing of the orphan drug have been adequately considered in the IRR methodology, which is by its nature aimed at determining the profitability of the project throughout its life cycle.</w:t>
      </w:r>
    </w:p>
    <w:p>
      <w:r>
        <w:t>529. Finally, the use of the average industry ROS, which according to the Party would not constitute an adequate benchmark to reflect the specific risks of the CDCA project, appears on the contrary extremely favorable to the Party, considering that the project in question consists of the repurposing of a product already present in the portfolio of the dominant company, an activity that presents characteristics of risk and investment much lower than those of the new development of a pharmaceutical product. The measure of the reasonable profit rate adopted in the analysis in question is, moreover, much higher than that used in previous cases of excessive pricing in the pharmaceutical sector541.</w:t>
      </w:r>
    </w:p>
    <w:p>
      <w:r>
        <w:t>530. Both methodologies applied, therefore, converge on the same conclusion regarding the existence of a very strong disproportion between the prices applied by the dominant company and the costs incurred by it. This excess is well above the levels of disproportion that have been deemed abusive in the main decisions establishing violations of Article 102, letter a), of the TFEU542.</w:t>
      </w:r>
    </w:p>
    <w:p>
      <w:r>
        <w:t>531. It is appropriate to reiterate that the analyses described above were conducted using a series of extremely cautious and favorable assumptions for the Party, in the absence of which the excessiveness of the prices charged by Leadiant would have been much greater. It is deemed useful to summarize them as follows:</w:t>
        <w:br/>
        <w:t>- The costs provided by the Party were used concerning both Xenbilox®543 and CDCA Leadiant®. For the latter product, the Party allocated the common costs incurred based on its own estimate, made ex post, of the time worked by employees on CDCA Leadiant® compared to all other products in the portfolio. This criterion leads to allocating [30-40%] of all common costs incurred by the dominant company for the entire period 2014-2027 and over 60% for the period 2016-2020, which includes the complex strategy implemented by Leadiant described above, aimed at obtaining extremely high prices for the orphan drug. In other words, common costs were attributed to CDCA Leadiant® based on the time spent by employees of the dominant company in carrying out numerous and complex regulatory and market access activities (such as planning the withdrawal of Xenbilox® or establishing a new company owning the orphan drug)541.</w:t>
      </w:r>
    </w:p>
    <w:p>
      <w:r>
        <w:t>542 See the European Commission decision of July 25, 2001, COMP/C-1/36.915 - Deutsche Post AG - Interception of cross-border mail, paragraphs 156, 162, 166, and 167; UK Competition Appeal Tribunal, judgment of November 7, 2008, Albion Water Ltd, Albion Water Group Limited v Water Services Regulatory Authority and Dwr Cymru Cyfyngedig, United Utilities Water PLC intervening, Case Number 1046/2/4/04 [2008] CAT 31, paragraph 265.</w:t>
      </w:r>
    </w:p>
    <w:p>
      <w:r>
        <w:t>543 The only cost item provided by the Party and not considered in the analysis concerns the intercompany royalties paid by the English company to the US company of the group for the marketing license of Xenbilox® in Europe (see paragraph 238 supra and the related footnote).</w:t>
      </w:r>
    </w:p>
    <w:p>
      <w:r>
        <w:t>BULLETIN NO. 21 OF JUNE 6, 2022 127</w:t>
        <w:br/>
        <w:t>which, as the investigative activity has highlighted, were not (only) necessary to launch CDCA Leadiant® on the market, but also to obtain a particularly high price. The criterion used by the Party therefore appears to overestimate the common costs attributable to the product and be flawed by circularity, as it seeks to justify the level of prices charged based on costs that stem from activities that constitute the instrument of the abuse. Finally, it should be noted that the common costs that the Party allocated to CDCA Leadiant® in the manner recalled above have a considerable weight on the total costs of the product (over 50%). In conclusion, therefore, the fact that the cost data provided by the Party were nonetheless used in the analyses in question is particularly lenient (see paragraph 241 supra);</w:t>
        <w:br/>
        <w:t>- Among the direct costs provided, the Party also reported the significant legal expenses it has incurred and expects to incur in the coming years in the various proceedings in which it has been involved before the national competition authorities in application of Article 102 TFEU, precisely for the allegedly excessive and unfair prices of CDCA Leadiant®. Such costs, being directly attributable to the conduct under examination, should not be taken into account in the analysis of price excessiveness. Nevertheless, the analysis was conducted considering all costs declared by the Party and thus also these (see paragraph 240 supra);</w:t>
        <w:br/>
        <w:t>- The data relating to the incremental costs of CDCA Leadiant® was not deemed usable in identifying the incremental cash flows useful for calculating the IRR. In the absence of such information, the total costs of the orphan drug were used, which are by definition higher than the incremental costs (as they also include non-incremental costs) (see paragraph 257 supra);</w:t>
        <w:br/>
        <w:t>- It was hypothesized that the negotiated price of CDCA Leadiant® would apply to all sales made in Italy in 2020 (even though the agreement came into effect in March) and the reimbursement of almost the entire amount of the payback544 in the same year ([6-7] out of [6-7] million euros). This assumption anticipates the negative cash flows borne by the Party due to the payback, reducing the value of the cash flows closer in time and, therefore, the overall IRR of the project. In the absence of this assumption, the IRR of the project would have been even higher (see paragraph 236 supra);</w:t>
        <w:br/>
        <w:t>- The cost of capital (WACC) used to compare with the IRR was the value of the higher cost of capital (to which, therefore, greater risk was associated) used by the dominant company in its internal calculations to evaluate the project in question, equal to 15%. This is an extremely lenient assumption, considering that in the year the project started (2014) the average WACC for the pharmaceutical sector in Europe was significantly lower at 10%, due to the specific risk of the project (see paragraph 247 supra);</w:t>
        <w:br/>
        <w:t>- The average tax rate incurred by Leadiant in the period 2014-2019 (21%) was used, which is higher – and therefore more favorable to the Party – than both the average rate incurred in Europe in the pharmaceutical sector during the same period and the rate used by the Party in its ex ante analysis (see paragraph 244 supra);</w:t>
        <w:br/>
        <w:t>- Finally, as previously reported, in the analysis of cost plus an extremely lenient profitability benchmark was used, considering the type of project in question, characterized by lower levels of risk and investment compared to the average of projects in the pharmaceutical field, and the previous cases of excessive pricing in the sector in question (see paragraph 267 supra).</w:t>
      </w:r>
    </w:p>
    <w:p>
      <w:r>
        <w:t>532. In conclusion, for the reasons outlined above, it is believed that the arguments put forward by the Party are not capable of calling into question the conclusions reached regarding the existence of a significant disproportion between the prices applied and the costs incurred by the dominant company for CDCA Leadiant®, and that therefore such prices should be considered excessive.</w:t>
      </w:r>
    </w:p>
    <w:p>
      <w:r>
        <w:t>iii) The unfairness of the prices charged by Leadiant for the sale of the orphan drug in Italy</w:t>
      </w:r>
    </w:p>
    <w:p>
      <w:r>
        <w:t>533. This section is dedicated to verifying the existence of so-called non-cost related factors that may justify such disproportion. If, in fact, such elements are not deemed to exist, the prices charged by Leadiant would be “devoid of any reasonable relationship” to the economic value of the service rendered and would therefore be unfair.</w:t>
      </w:r>
    </w:p>
    <w:p>
      <w:r>
        <w:t>534. It should be clarified at the outset that the analysis of unfairness suggested by the Party, which believes that in this case it is necessary to look both at the unfairness of the price in absolute terms, declined based on the economic value of the drug and the benefits for patients and society, and in comparison with the price of the same drug in other European countries or comparable pharmaceutical products, finds no support in the jurisprudence of the Court of Justice of the EU, which has not followed the indications of Advocate General Wahl in his opinion on the AKKA/LAA case, cited by Leadiant. As mentioned, this jurisprudence rather states that national competition authorities enjoy a margin of discretion both in choosing the test for determining the legitimacy of the commercial policy of a dominant company under Article 102, letter a), TFEU, and in choosing, within the United Brands test, between the two criteria identified for the analysis of unfairness (see paragraphs 501 and 503 supra).</w:t>
      </w:r>
    </w:p>
    <w:p>
      <w:r>
        <w:t>535. Similarly unsupported by the rulings of the Court of Justice is the Party's assertion regarding the possibility of applying the criterion of unfairness in absolute terms, without the support of comparative analysis, only in cases where consumers receive no product in exchange for the price paid. It is known, in fact, that the Court has not followed the approach adopted by Advocate General Wahl in his opinion on the AKKA/LAA case even in relation to this interpretation of the United Brands test545. Furthermore, this interpretation is not supported by the practice of the Authority, which has applied the criterion of unfairness in itself to cases that do not meet the requirements of those identified by Leadiant546, receiving the recent endorsement of the administrative judges547.</w:t>
      </w:r>
    </w:p>
    <w:p>
      <w:r>
        <w:t>536. That said, for the reasons that will be outlined below, it is deemed more appropriate to opt, in this case, for an evaluation of the unfairness in itself of the pricing policy applied by Leadiant, rather than for an evaluation based on comparative criteria.</w:t>
      </w:r>
    </w:p>
    <w:p>
      <w:r>
        <w:t>545 It cannot indeed be asserted that the Court adhered to the opinion of Advocate General Wahl solely because it deemed applicable the method based on the comparison between the prices applied in the member state concerned and those applied in other member states (see paragraph 38 of the decision). This method was, in fact, chosen instead of the United Brands test, which was thus entirely replaced because deemed inappropriate in the case of intangible goods whose cost is not easily determinable.</w:t>
      </w:r>
    </w:p>
    <w:p>
      <w:r>
        <w:t>546 See provision 26185 of September 29, 2016, A480 – Increase in Aspen drug prices, paragraphs 329-351.</w:t>
      </w:r>
    </w:p>
    <w:p>
      <w:r>
        <w:t>547 See Council of State, March 13, 2020, judgment no. 1832/2020, paragraphs 12.116 and 12.7.</w:t>
      </w:r>
    </w:p>
    <w:p>
      <w:r>
        <w:rPr>
          <w:b/>
        </w:rPr>
        <w:t>[Pages 127–129]</w:t>
      </w:r>
    </w:p>
    <w:p>
      <w:r>
        <w:t>BULLETIN NO. 21 OF JUNE 6, 2022 129</w:t>
        <w:br/>
        <w:t>a. The inapplicability of comparative criteria for the analysis of inequity in the specific case</w:t>
      </w:r>
    </w:p>
    <w:p>
      <w:r>
        <w:t>537. The second option provided by the Court of Justice of the European Union to competition authorities for the assessment of price inequity charged by a dominant company refers to the comparison of that price with those of "competing products." The European Commission in the previous Port of Helsingborg deemed it theoretically possible to apply the formulation adopted by the Court also through comparison with the price of the same product by the same company in other markets or with the price of "similar products" sold in other markets, as two second-best options in the event that "competing products" or those belonging to the same relevant market in which the product under examination is located cannot be identified548.</w:t>
      </w:r>
    </w:p>
    <w:p>
      <w:r>
        <w:t>538. Given that, for the reasons outlined in section V.2.iii above, there are no "competing products" to consider in the context of a potential price comparison of CDCA Leadiant® with other drugs, and wishing to value the practice of the European Commission and the case law of the Court of Justice, looking therefore at the price of orphan drugs indicated as comparable to CDCA Leadiant® by the Party, the following observations are made.</w:t>
      </w:r>
    </w:p>
    <w:p>
      <w:r>
        <w:t>a.1 The comparison with similar products</w:t>
      </w:r>
    </w:p>
    <w:p>
      <w:r>
        <w:t>539. First of all, it must be considered that in order to avoid inappropriate comparisons, both the European Commission and the Court of Justice have established that the comparison between similar products must take place under conditions of homogeneity. In other words, it is necessary that the products deemed similar are indeed comparable, so that the comparison is valid and the results of such comparison are significant. For this reason, the conditions under which the comparison takes place are of fundamental importance549.</w:t>
      </w:r>
    </w:p>
    <w:p>
      <w:r>
        <w:t>540. Therefore, it is believed that the comparison proposed by the Party does not pass this scrutiny as it is methodologically incorrect in multiple aspects.</w:t>
      </w:r>
    </w:p>
    <w:p>
      <w:r>
        <w:t>541. Firstly, it is noted that Leadiant takes as a comparison term the average price of an unspecified group of 75 orphan drugs marketed in Italy and, furthermore, the average price of a group of 14 orphan drugs, also not precisely identified, but indicated as belonging to similar therapeutic areas.</w:t>
      </w:r>
    </w:p>
    <w:p>
      <w:r>
        <w:t>542. Given that the Party does not provide information in this regard, it seems reasonable to first presume, due to the size of the sample, that the 75 orphan medicines included in the first group indicated have completely different therapeutic indications. This alone contributes to making them non-comparable from a commodity perspective, and thus not "similar" to CDCA Leadiant®, with which they share only the fact of being orphan drugs. Furthermore, the Party makes the comparison based on an average price, which in itself says nothing about the comparability of the price of the orphan drug owned by Leadiant with the prices of the 75 orphan drugs considered.</w:t>
      </w:r>
    </w:p>
    <w:p>
      <w:r>
        <w:t>543. Regarding the 14 drugs included in the second group, similar considerations apply to those already expressed above. They are medicines belonging to the following ATC classification therapeutic classes: A16AA, which includes medicines used for the treatment of various metabolic deficiencies, and A16AB, which includes medicines containing enzymes used to treat metabolic disorders, and A16AX, which includes products used to treat metabolism and the alimentary tract, and N07XX, which includes drugs used to treat conditions affecting the nervous system. However, these therapeutic indications do not in themselves make these drugs comparable, and thus similar, to CDCA Leadiant®. It is, in fact, not sufficient that two or more drugs treat any metabolic deficiency or any condition of the nervous system for them to be considered similar from a therapeutic perspective to CDCA Leadiant®, simply because CTX consists of a metabolic dysfunction that generates, inter alia, disturbances in the nervous system.</w:t>
      </w:r>
    </w:p>
    <w:p>
      <w:r>
        <w:t>544. It must also be considered that, as clarified by the Party itself, the comparative analyses conducted do not take into account the number of patients taking the drugs included in the two groups considered. In other words, the prices of these products are determined by unknown epidemiological data that are presumed to be distinct. Yet, it is known that the definition of the price level of a given drug is necessarily influenced by the breadth of demand, as volumes, together with price, determine the overall impact on the NHS budget, as evidenced by the facts that characterized the negotiation of the price of CDCA Leadiant®. This means that, in the absence of information demonstrating that the prices of the drugs included in the two groups considered by the Party refer to drugs that treat conditions with epidemiological characteristics similar to those of the orphan drug in question, it does not seem correct to make any significant comparison between them and CDCA Leadiant®.</w:t>
      </w:r>
    </w:p>
    <w:p>
      <w:r>
        <w:t>545. Finally, it is believed that the comparison proposed by the Party does not adequately consider the innovative nature of some orphan drugs included in the broader sample. The distinction between medicines that, like the orphan drug in question, are so-called repurposed and medicines based on unknown active ingredients and developed from scratch is not irrelevant. The two categories of drugs differ, in fact, in the amount of resources invested in their development. As recognized by the European Commission, in fact, the investments in research and development made for so-called repurposed orphan drugs are much lower than those made for completely new orphan drugs550. This explains why they are on average (or at least should be) marketed at lower prices, as also emerges from the data that Leadiant itself has produced in its submissions551. Not considering separately the category of innovative drugs from those that are not innovative leads, therefore, to taking, as the Party does, an overstated and thus inappropriate benchmark for the assessment of the inequity of the price of CDCA Leadiant®.</w:t>
      </w:r>
    </w:p>
    <w:p>
      <w:r>
        <w:t>546. It should also be considered lastly that the inadequacy, for the purposes of assessing the inequity of Leadiant's pricing policy, of the comparative analysis proposed by the Party arises from some documents in the records. For example, the research commissioned by the dominant company in October 2015 highlighted that the stakeholders interviewed (health economists, doctors, and pharmacists consulting national regulatory authorities) were extremely reluctant, if not even "offended," by the attempt of Sigma Tau's consultants to induce them to make a comparison between the price of the future orphan drug and the medicines registered for other ultra-rare diseases ("None of the respondents wanted to use benchmark or analogue products produced for the pricing exercise. […] In some cases respondents were slightly affronted that an attempt was being made to make pricing decisions by this approach"552). It should also be noted that among the drugs proposed as comparators, and rejected by the stakeholders, was also Orphacol (see paragraph 123 above and further discussed in the following section).</w:t>
      </w:r>
    </w:p>
    <w:p>
      <w:r>
        <w:t>a.2 The comparison with Orphacol</w:t>
      </w:r>
    </w:p>
    <w:p>
      <w:r>
        <w:t>547. In relation to the comparison proposed by the Party between the aforementioned drug and CDCA Leadiant®, it is important to emphasize first that this does not represent a correct application of the judgment of the EU Court of Justice, Bodson v Pompes Funèbres, cited by Leadiant itself. In that ruling, in fact, the Court hypothetically considered the possibility of comparing two identical services rendered in two different markets, where the difference was given by the fact that one was under concession and the other was in competition. The Court, therefore, hypothesized that it could assess the inequity of the price at which the service under concession was rendered by comparing it with a competitive benchmark. In the specific case, however, the Party effectively suggests making a comparison between products that are both endowed with market exclusivity (the market exclusivity associated with orphan designation), which by definition allows them to benefit from a significant markup. In other words, Orphacol cannot be considered as a competitive benchmark capable of providing adequate indications regarding the inequity of the price of CDCA Leadiant®.</w:t>
      </w:r>
    </w:p>
    <w:p>
      <w:r>
        <w:t>548. Aside from this, albeit decisive, observation, it is noted in any case that the Party concludes that Orphacol is more expensive than CDCA Leadiant® by [50-60%] based on erroneous or unverified assumptions. The conclusion regarding the comparability between the two drugs, in fact, starts from the assumption that, since Orphacol is a repurposed drug, the registration costs are similar, if not even lower, as it is a procedure based on the so-called well-established use, or primarily based on scientific literature. However, this remains an unproven assumption and not substantiated by Leadiant in any way. Any conclusion regarding the similarity between the two drugs based on this criterion would therefore run the risk of being a "false positive."</w:t>
      </w:r>
    </w:p>
    <w:p>
      <w:r>
        <w:t>549. Secondly, it is based on the consideration of erroneous epidemiological data. The Party, in fact, claims that Orphacol is aimed at a patient population in Europe of about 2,300 individuals, while the number of patients affected by CTX is about 250, defining them as "comparable." To remain silent on</w:t>
      </w:r>
    </w:p>
    <w:p>
      <w:r>
        <w:rPr>
          <w:b/>
        </w:rPr>
        <w:t>[Pages 130–132]</w:t>
      </w:r>
    </w:p>
    <w:p>
      <w:r>
        <w:t>132 BULLETIN NO. 21 OF JUNE 6, 2022</w:t>
        <w:br/>
        <w:t>of the fact that such data cannot certainly be defined as "comparable," being one ten times the other, it is noted in any case that the comparison made by Leadiant suffers from some significant errors.</w:t>
      </w:r>
    </w:p>
    <w:p>
      <w:r>
        <w:t>550. First of all, it is incorrect to evaluate the price level of two products applied at the national level by referring to European epidemiological data. It is worth recalling, in fact, that within the current architecture of the Treaty, the competence to define prices (even just reimbursement) of medicines remains the exclusive prerogative of the governments of the Member States, which for this purpose consider the number of patients who take it, exclusively at the national level. Similarly, even in healthcare systems where the price of medicines is not set through administrative means, but relies on mechanisms that exploit the forces of the free market or replicate its behavior (on which see better paragraph 554 infra), the pricing strategies implemented by companies are based inter alia on the size of each national market, as evidenced by the assessments of the dominant company itself.</w:t>
      </w:r>
    </w:p>
    <w:p>
      <w:r>
        <w:t>551. Secondly, while the number of patients affected by CTX in Europe is an actual figure based on diagnosed cases, the data regarding the two congenital defects treated with Orphacol, besides being outdated, is a statistical figure based on the theoretical prevalence of the disease. Furthermore, a careful analysis of public sources should have led the Party to realize that the figure of 2300 patients refers to all congenital errors in the synthesis of primary bile acids, of which the two congenital defects treated with Orphacol represent only a small part. The specific prevalence of the two congenital defects that Orphacol intends to treat is, in fact, 3-5 patients per 10 million (i.e., 0.003-0.005 patients per 10,000) for one defect, and 0.3-0.5 patients per 10 million (i.e., 0.0003-0.0005 patients per 10,000) for the other defect. Applying the prevalence percentage of the rare disease to the Italian population, the patients affected in the domestic market by the two congenital defects mentioned above would be about 12-20 patients, while the patients affected by CTX, according to the same Leadiant, are [40-50], a number more than double, if not even triple, which easily explains the price differential of about [50-60%] existing between the two drugs.</w:t>
      </w:r>
    </w:p>
    <w:p>
      <w:r>
        <w:t>a.3 The comparison with the price of CDCA Leadiant® in other Member States</w:t>
      </w:r>
    </w:p>
    <w:p>
      <w:r>
        <w:t>552. It is also deemed inappropriate to assess the inequity of the price of CDCA Leadiant® in Italy through a comparison of the prices charged for the same drug in other European countries identified by the Party (United Kingdom, France, and Germany). The investigation conducted, in fact, clearly indicates that Sigma Tau/Leadiant has implemented a pan-European commercial strategy, which is subject to scrutiny from an antitrust perspective by various national competition authorities. Foreign prices of CDCA Leadiant® could therefore be the result of the strategy implemented by the dominant company, just as the price charged in Italy.</w:t>
      </w:r>
    </w:p>
    <w:p>
      <w:r>
        <w:t>553. However, cross-border comparisons in the pharmaceutical market more generally risk not respecting the homogeneity criterion required by EU case law, because they occur in a context of strong economic, institutional, and epidemiological heterogeneity that still characterizes the national pharmaceutical markets of the European Union. The European pharmaceutical market is characterized, in fact, by the persistence of price differentials from one Member State to another, linked not only to the pricing differentiation strategies implemented by pharmaceutical companies, which should reflect the price elasticity of demand (based on willingness to pay and market size), but also, and above all, to the differences of an institutional and economic nature that inform the various national pharmaceutical policies. In this context, it is evident that the comparison between prices of the same product in various Member States of the European Union does not provide any significant or indicative result regarding the equity or inequity of the price of that product in any of those Member States.</w:t>
      </w:r>
    </w:p>
    <w:p>
      <w:r>
        <w:t>554. The three Member States taken as a reference by the Party to carry out the price comparison exercise for CDCA Leadiant®, Germany, France, and the United Kingdom, have very different pricing and reimbursement systems from that of Italy. Unlike Italy, Germany and the United Kingdom allow free prices at launch, a circumstance that the domestic legal system does not permit. In turn, the two countries are distinguished because in Germany the reimbursement price is negotiated in the form of a discount on the retail price originally set by the dominant company, and paid by health insurance funds; conversely, in the United Kingdom, there is no direct price regulation, indirectly governed through a profit cap established by the PPRS (Pharmaceutical Price Regulation Scheme) that determines a continuous modulation of product prices. In France, where the launch price is regulated as in Italy, the technical evaluation of a drug and the negotiation of the price are carried out by two different authorities, competencies that in the domestic legal system are instead concentrated on AIFA. The evaluation process established in France and Germany to define reimbursement prices, finally, leads to a sort of co-participation of private demand in pharmaceutical expenditure, which is alongside the funding provided by public demand, which is not in any way comparable to the mild forms of cost-sharing established by various Italian Regions (the so-called ticket). All this makes the four pricing and reimbursement systems themselves non-comparable and potentially inappropriate for any comparison between the prices charged in such markets, even if related to the same product.</w:t>
      </w:r>
    </w:p>
    <w:p>
      <w:r>
        <w:t>555. All this is also reflected in the price of CDCA Leadiant®, for which already in 2014 it emerged – from the same market research commissioned by Sigma Tau – a structural price difference that would have been applicable in the various Member States (in France, 25-35,000 euros per year, in Italy around 15-20,000 euros per year, in Spain about 20-30,000 euros per year, while in the United Kingdom about 50,000 pounds per year). Such structural differences, also linked to the number of patients, emerge from the same assessments of the dominant company and are also observed in relation to the prices currently applied for the orphan drug, for the reasons outlined below.</w:t>
      </w:r>
    </w:p>
    <w:p>
      <w:r>
        <w:t>556. For example, the price of CDCA Leadiant® in the United Kingdom was negotiated by Leadiant with the NHS based on a number of patients affected by CTX equal to about 24, or almost half of the Italian patients. This, along with a very different willingness to pay from the British NHS, explains why the price of CDCA Leadiant® in the United Kingdom is almost double that of Italy (amounting to [10,000-20,000] pounds per pack of 100 capsules of 250 mg).</w:t>
      </w:r>
    </w:p>
    <w:p>
      <w:r>
        <w:t>557. In France, CDCA Leadiant® is sold at a negotiated price of [10,000-20,000] euros per pack of 100 capsules of 250 mg, which is reimbursed at 30%. Therefore, the negotiated price in France for CDCA Leadiant® cannot actually represent a good benchmark because it has been defined with institutional mechanisms completely different from those provided for in our legal system and involves a wide co-participation of private demand that, on the other hand, is not contemplated in Italy.</w:t>
      </w:r>
    </w:p>
    <w:p>
      <w:r>
        <w:rPr>
          <w:b/>
        </w:rPr>
        <w:t>[Pages 133–135]</w:t>
      </w:r>
    </w:p>
    <w:p>
      <w:r>
        <w:t>BULLETIN NO. 21 OF JUNE 6, 2022 135</w:t>
        <w:br/>
        <w:t>558. In light of all these considerations, it is believed that, in this case, the circumstances of homogeneity required by the practice of the European Commission and by the case law of the Court of Justice of the European Union to carry out a comparative assessment of the inequity of the price charged by Leadiant for the orphan drug do not occur.</w:t>
      </w:r>
    </w:p>
    <w:p>
      <w:r>
        <w:t>b. The inequity of the price of CDCA Leadiant® in itself</w:t>
        <w:br/>
        <w:t>559. All of this having been said, there is ample evidence in the records to assert that the prices charged by the dominant company for CDCA Leadiant® in Italy are inequitable in themselves. These are qualitative factors related to the nature of the product, the investments in research and development made by the Party, the added therapeutic value of the orphan drug compared to pre-existing therapies - which cannot be measured through the consumer's willingness to pay, given that the willingness to pay for life-saving drugs without therapeutic alternatives tends to infinity, making any price level plausible568 - and the effects of the conduct on the NHS.</w:t>
      </w:r>
    </w:p>
    <w:p>
      <w:r>
        <w:t>b.1 The nature of the product</w:t>
        <w:br/>
        <w:t>560. First of all, CDCA Leadiant®, being a repurposed drug, that is, a drug whose molecule was already on the market with a specific therapeutic indication, and reintroduced to the market with a new therapeutic indication, cannot be considered on par with a newly introduced medicinal specialty on the market. This is not meant to negatively characterize repurposed drugs, but merely to note that, although CDCA Leadiant® is a drug that has a specific registration for the treatment of CTX and an orphan designation compared to previous therapeutic alternatives, it cannot be considered a completely new drug.</w:t>
      </w:r>
    </w:p>
    <w:p>
      <w:r>
        <w:t>561. This is primarily true from a chemical-pharmaceutical perspective. The improvement of the production method of the drug resulting from the implementation of a new purity test (see paragraph 127 supra), although it has allowed for a reduction in the level of impurities, has not altered the essential characteristics of the active ingredient.</w:t>
      </w:r>
    </w:p>
    <w:p>
      <w:r>
        <w:t>562. In this regard, it must be noted that, even after such modifications to the production process, CDCA Leadiant® remains equivalent to Xenbilox®, and even to the magistral preparations of the Pharmacy of the AOU Senese, from a chemical and pharmaceutical perspective: the three drugs indeed possess the same active ingredient, have the same dosage, are produced based on the same raw material produced by the same chemical company, and are bioequivalent.</w:t>
      </w:r>
    </w:p>
    <w:p>
      <w:r>
        <w:t>563. This is evidenced by the documents acquired in the records indicating that, although there are some differences in excipients between the capsules produced by the Pharmacy and Xenbilox®, substantially the two drugs are similar, as recognized by the EMA569 based on the comparability studies conducted by the same dominant company (see paragraph 144 supra). Furthermore, other documents collected during the investigation indicate that there is a relationship of equivalence, indeed of identity, in chemical-pharmaceutical terms between Xenbilox® and CDCA Leadiant®570, demonstrated i) by the statements contained in the documentation submitted to the EMA by the dominant company (“[…] the reference and proposed product are the same”571, ii) by the fact that the latter, for the purpose of the application for marketing authorization for the orphan drug, did not need to conduct bioequivalence studies, and iii) by the circumstance that the marketing authorization for the orphan drug was requested using the so-called hybrid abbreviated procedure (see paragraphs 141 and 143 supra), made possible precisely because CDCA Leadiant®, while having a distinct therapeutic indication, is equivalent to Xenbilox® from a pharmaceutical perspective. It was therefore sufficient for the dominant company to refer to the relevant part of the Xenbilox® dossier useful for proving its pharmaceutical equivalence.</w:t>
      </w:r>
    </w:p>
    <w:p>
      <w:r>
        <w:t>b.2 The limited investment in research and development</w:t>
        <w:br/>
        <w:t>564. The documentation acquired during the investigation clearly highlights that the Party, within the CDCA project, did not incur significant research and development costs that could justify the price initially requested from AIFA nor the one subsequently negotiated with the Agency.</w:t>
      </w:r>
    </w:p>
    <w:p>
      <w:r>
        <w:t>565. In fact, although the two retrospective studies commissioned by the AOU Senese and the Dutch hospital Casinius Wilhelmina in Nijmegen constitute a very important medical-clinical activity for the understanding of the rare disease, especially given their (so far unsurpassed) breadth and duration, it must be noted that this activity was carried out by public structures that have developed and consolidated extensive clinical experience in administering CDCA to patients affected by CTX over more than forty years (see paragraphs 147, 149, and 150 supra) and that the financial effort incurred by Leadiant to compensate for this activity and this experience has been decidedly negligible, amounting to figures of [300,000-400,000] euros and, at most, in the future to [500,000-600,000] euros (see paragraph 151 supra).</w:t>
      </w:r>
    </w:p>
    <w:p>
      <w:r>
        <w:t>566. Also, the previously mentioned activities carried out by PCA on behalf of Sigma Tau for the implementation of the purity test developed by the dominant company for the improvement of CDCA production required minimal expenditure: according to the dominant company itself, it indeed paid PCA an amount of [300,000-400,000] euros (see paragraph 127 supra). Thus, in this case too, these are extremely limited investments, which, although capable of providing a benefit for patients, do not represent a “significant innovation,” given that, as stated by PCA itself, even with the new purity test, the production process of CDCA as a pharmaceutical-grade active ingredient remains quite simple (see paragraph 50 supra). Therefore, they certainly cannot contribute to justifying the price requested from AIFA for the purchase of the orphan drug.</w:t>
      </w:r>
    </w:p>
    <w:p>
      <w:r>
        <w:t>567. Beyond these specific items of expenditure, several documents in the records also prove the extreme limitation of investments in “research and development” in general planned over time by Leadiant as the CDCA project has progressed: the planned investments have always been very limited, not only when considered in their absolute value but also in comparison with most of the investments related to other drugs present in the portfolio of the dominant company and with the total investments in research and development that it planned to incur (see paragraph 188 supra). Even referring to the economic study carried out by Copenhagen Economics, a similar result emerges: the costs classified there as research and development, incurred by the dominant company within the CDCA project, are less than 1% of the total cost incurred by it (see paragraph 239 supra).</w:t>
      </w:r>
    </w:p>
    <w:p>
      <w:r>
        <w:t>568. Regarding the Party's argument that Leadiant would have nonetheless made substantial and important investments, although not strictly classifiable as research and development, such as the drafting of a specific DMF for the orphan drug and the repeatedly mentioned improvement of the drug's production method, and that it must incur equally significant costs related to regulatory compliance in terms of pharmacovigilance and scientific information and maintenance of the marketing authorization, broader and stricter than those to which it was previously subject with Xenbilox®, the following observations are made.</w:t>
      </w:r>
    </w:p>
    <w:p>
      <w:r>
        <w:t>569. As clearly emerges from the investigation conducted, most of the activities mentioned by Leadiant have a marginal impact on the costs that the dominant company has claimed to have incurred and must incur. The direct costs related to the production of the orphan drug, in fact, do not appear to be significant ([10-20%] of the total), despite the increase in the compensation due to PCA for the purchase of the raw material, compared to the previous supply agreement (see paragraphs 137 and 239 supra). Likewise, the costs related to scientific information activities are virtually negligible572. Nor is it believed that the pharmacovigilance activity of the orphan drug, which is also required for Xenbilox®, is particularly costly as it pertains to a function that the dominant company was already performing for the other products in its portfolio.</w:t>
      </w:r>
    </w:p>
    <w:p>
      <w:r>
        <w:t>570. As for the direct costs related to regulatory activities (market access, marketing, and legal expenses), which account for [30-40%] of the total, it is noted that, as clearly emerged in section V.4.1 supra, they stem from activities that largely composed the strategy implemented by Leadiant to pursue its pricing policy and/or are indeed related to the legal expenses incurred in the context of the various antitrust proceedings concerning this commercial policy. This means that a significant portion of the costs on which the dominant company believes it can justify the prices charged in Italy for the orphan drug are related to activities that represent the instruments of the abuse currently contested against Leadiant. Finally, the indirect costs, which account for more than 50% of the total cost (see paragraph 239 supra) (administrative costs, overhead, personnel costs), represent burdens that, at least in part, the dominant company would have incurred anyway.</w:t>
      </w:r>
    </w:p>
    <w:p>
      <w:r>
        <w:t>571. Lastly, it should be noted that the costs and risks that Leadiant claims to have faced within the CDCA project were not considered by the EMA for the purpose of granting the orphan designation. This is because the dominant company submitted its application based on the criterion of prevalence (and significant beneficial effects), and not on the criterion of return on investment (see paragraph 38 supra), also because, as already stated, the quantification of the investments incurred was carried out ex post by the dominant company in the context of the ACM antitrust proceeding (see paragraph 209 supra). There is, therefore, no evidence in the records that allows us to assert that the prices requested by the dominant company are necessary for</w:t>
      </w:r>
    </w:p>
    <w:p>
      <w:r>
        <w:rPr>
          <w:b/>
        </w:rPr>
        <w:t>[Pages 136–138]</w:t>
      </w:r>
    </w:p>
    <w:p>
      <w:r>
        <w:t>138 BULLETIN NO. 21 OF JUNE 6, 2022</w:t>
        <w:br/>
        <w:t>to remunerate the investments made and compensate for the risk faced, and that lower prices would decrease the incentive for innovation and the value of the orphan designation granted by the EMA.</w:t>
      </w:r>
    </w:p>
    <w:p>
      <w:r>
        <w:t>572. On the contrary, the documentation in the records shows that, in the same analysis conducted by Leadiant in 2014, the incentive to undertake the investment was very significant even with a price lower than that actually charged. In the aforementioned analysis, in fact, Leadiant estimated a particularly high NPV even with a price of 5,000 euros per package. This means that Leadiant would have had the incentive to undertake the project even with a price significantly lower, which would in any case have allowed for the remuneration of costs and ensured the dominant company a profit margin, and to compensate for the risk incurred. In other words, the setting of an excessive price by Leadiant cannot be justified by the need to stimulate the incentive to undertake the registration project, compensating for the risk associated with that project, since, as Leadiant itself had estimated, even at a price of 5,000 euros, the project was already extremely profitable, meaning the risk was already well compensated at that price.</w:t>
      </w:r>
    </w:p>
    <w:p>
      <w:r>
        <w:t>b.3 The added therapeutic value of the orphan drug</w:t>
        <w:br/>
        <w:t>573. These investments, moreover, did not lead to the achievement of an added value from a therapeutic perspective compared to the pre-existing therapies on the Italian market (Xenbilox® and the magistral preparations produced by the Pharmacy of the AOU Senese). This clearly emerges from various elements in the records.</w:t>
      </w:r>
    </w:p>
    <w:p>
      <w:r>
        <w:t>574. Among the three drugs mentioned, there is, in fact, a relationship of identity from a therapeutic perspective. This was first incisively confirmed by the specialist doctor in the hearing, who stated that in his clinical experience, based on administration over the last forty years first of the magistral preparation produced by the Pharmacy of the AOU Senese, then of Xenbilox®, and finally of CDCA Leadiant®, there is no therapeutic difference between them (see paragraph 81 supra).</w:t>
      </w:r>
    </w:p>
    <w:p>
      <w:r>
        <w:t>575. Some documents in the records also prove that the dominant company itself was aware that the orphan drug did not possess an added therapeutic value compared to Xenbilox®: in fact, Sigma Tau did not want to submit the orphan drug to the procedure for evaluating the added therapeutic value carried out by the competent German authorities regarding newly introduced drugs on the market. And when the dominant company explored the possibility of requesting the evaluation procedure, it was advised against doing so: according to the consultants, the outcome of the evaluation procedure for added therapeutic value was uncertain, precisely due to the absence of clinical studies to support it. Particularly indicative in this context is the fact that the consultants suggested to the dominant company to request the activation of the evaluation procedure only if it was convinced it could demonstrate a significant added value that justified the anticipated price increase it intended to apply for the orphan drug (see paragraphs 161-162 supra).</w:t>
      </w:r>
    </w:p>
    <w:p>
      <w:r>
        <w:t>576. Essentially, therefore, the only difference between the orphan drug and the pre-existing therapies is that the former is formally registered for the treatment of CTX. The added value resulting from the activity carried out by Leadiant consists, therefore, in having formalized the therapeutic indication with which the drug had already been administered for decades to patients suffering from CTX. In other words, this activity allowed the transition from an off-label treatment to an on-label one.</w:t>
      </w:r>
    </w:p>
    <w:p>
      <w:r>
        <w:t>BULLETIN NO. 21 OF JUNE 6, 2022 139</w:t>
        <w:br/>
        <w:t>577. Regarding the argument of the Party that it is necessary to attribute adequate recognition to the value that the CDCA Project has brought to patients and the NHS, precisely thanks to the registration of the rare therapeutic indication, the following observations are made.</w:t>
      </w:r>
    </w:p>
    <w:p>
      <w:r>
        <w:t>578. According to AIFA, the registration of the orphan drug achieved through the CDCA Project has been socially useful in itself, but it is not sufficient, either in terms of the resources used or the actual result achieved, to justify the prices requested by the dominant company for the sale of the orphan drug in Italy (see paragraph 198 supra), as the registration of the orphan drug was based “exclusively on retrospective studies and literature data.”</w:t>
      </w:r>
    </w:p>
    <w:p>
      <w:r>
        <w:t>579. Besides the fact that the activity carried out by Leadiant was significantly based on activities other than innovation, it should also be emphasized that the registration of the therapeutic indication, while bringing undeniable benefits to patients, cannot lead to the assertion, as the Party does, that Leadiant was the first to formally demonstrate the efficacy and safety of the drug and its risk/benefit profile. On the contrary, since it did not conduct controlled prospective studies with placebo, albeit for understandable reasons, the efficacy and safety profile and the risk/benefit of CDCA in the treatment of CTX is still scientifically not fully known. This is also stated by the expert consulted by the dominant company, who declared in his opinion that “In fact, comprehensive evidence […] was not even established at the time the MA was granted.”</w:t>
      </w:r>
    </w:p>
    <w:p>
      <w:r>
        <w:t>580. Moreover, it would not otherwise explain why the European Commission granted the marketing authorization of the orphan drug “in exceptional circumstances” (see paragraph 155 supra), whereas most orphan drugs are authorized with a “full” marketing authorization. The conditional release of the administrative title, in fact, is aimed precisely at monitoring over time the efficacy and safety of the drug, given that at the time of the attribution of the marketing authorization this had not been demonstrated.</w:t>
      </w:r>
    </w:p>
    <w:p>
      <w:r>
        <w:t>581. In this same direction are the assessments of the Dutch Ministry of Health, which considered that the annual price of 160,000-220,000 euros, equivalent to 14,000-20,000 per package, proposed by Leadiant to health insurers in 2017 for the purchase of the orphan drug was disproportionate to the actual investment in innovation made in this case. The activities carried out by the dominant company for the registration of the orphan drug were considered useful but not “revolutionary” from a therapeutic point of view (see paragraph 183 supra).</w:t>
      </w:r>
    </w:p>
    <w:p>
      <w:r>
        <w:t>582. This circumstance was expressed even more clearly by the Commission de la transparence of the Haute Autorité de Santé, which for the purpose of identifying the added therapeutic value of CDCA Leadiant®, noted that the data on efficacy presented by the dominant company were very limited and not robust, as they were based on the retrospective analysis of clinical records of some groups of patients treated with CDCA-based drugs with conflicting results on symptomatic clinical criteria, and that data on morbidity and mortality clinical criteria as well as comparative data were absent. So much so that, as already illustrated, the Commission established that the orphan drug has a low added therapeutic value and has not brought any improvement or has brought an insignificant improvement from a therapeutic point of view compared to the past, deserving a reimbursement price equal to 30% of the negotiated price, or [4,000-5,000] euros per package.</w:t>
      </w:r>
    </w:p>
    <w:p>
      <w:r>
        <w:t>583. It should be noted that the reimbursed price established by the French authorities has a similar order of magnitude to that which AIFA declared during the investigation to be the price that could be granted to the dominant company for the sale of CDCA Leadiant® in the Italian market (i.e., higher than the price of 3,400/3,600 euros per package paid by the ASLs for the importation of Xenbilox® between 2016 and 2017 by a maximum of 10%) (see paragraphs 116 and 217 supra).</w:t>
      </w:r>
    </w:p>
    <w:p>
      <w:r>
        <w:t>584. It should also be emphasized that the price levels identified by the two national regulators are higher than those identified based on the evaluation expressed by the demand in 2008 and 2014 regarding the adequate remuneration to be attributed to the orphan drug. Market research conducted in 2008 indicated, in fact, that the price of the orphan drug considered “reasonable” was 1,327 euros per package (see paragraph 102 supra). Also, the market research commissioned by Leadiant in 2014 indicated that in Italy the medical community and the demand believed that the “reasonable” price for a CDCA-based drug registered for the treatment of CTX could be around 1,300-1,800 euros per package, thus aligning with the price already identified in 2008. Both the introduction price of CDCA Leadiant® on the Italian market and the price subsequently negotiated with AIFA, therefore, are positioned at levels significantly distant from the evaluation that the demand for the drug had made.</w:t>
      </w:r>
    </w:p>
    <w:p>
      <w:r>
        <w:t>585. Moreover, Leadiant was aware that the price requested went well beyond what could be considered an adequate economic remuneration for the activity carried out (“Sigma Tau want to increase the monthly treatment cost of Xenbilox® and have already introduced some price increases but there are some concerns regarding a potential back-lash from treating clinicians”), and its fears became evident when the drug was introduced on the domestic market at the ex-factory price of 15,506.93 euros per package. The reaction of the treating doctors was, in fact, extremely negative, given that the price of Xenbilox® had already been deemed inappropriate. They described the price as “extremely burdensome” and “unacceptable.”</w:t>
      </w:r>
    </w:p>
    <w:p>
      <w:r>
        <w:t>iv) The qualification of Leadiant's behavior as an abuse of dominant position</w:t>
        <w:br/>
        <w:t>586. In light of the above, it is believed that Leadiant, exploiting its dominant position in the domestic market for the production and sale of CDCA-based drugs for the treatment of CTX, violated Article 102, letter a), of the TFEU, through the imposition of unfair prices for the sale to the NHS of the orphan drug named CDCA Leadiant®.</w:t>
      </w:r>
    </w:p>
    <w:p>
      <w:r>
        <w:rPr>
          <w:b/>
        </w:rPr>
        <w:t>[Pages 139–141]</w:t>
      </w:r>
    </w:p>
    <w:p>
      <w:r>
        <w:t>BULLETIN NO. 21 OF JUNE 6, 2022 141</w:t>
      </w:r>
    </w:p>
    <w:p>
      <w:r>
        <w:t>586. Such unlawful conduct was carried out through a complex and articulated strategy, of a commercial and regulatory nature, which also includes a dilatory and obstructive behavior adopted towards AIFA during the negotiation of the orphan drug price.</w:t>
      </w:r>
    </w:p>
    <w:p>
      <w:r>
        <w:t>587. This abuse has directly caused economic harm to the NHS, generated by the purchase of a drug at an unjustifiably burdensome price. Leadiant defended itself on this point by claiming that the drug's budget is absolutely negligible and that, during the negotiation procedure, it committed to AIFA and the ASLs to return any difference between the price charged during the negotiations and the price that would subsequently be negotiated with the Agency. However, it is noted that this commitment is usual in negotiations between pharmaceutical companies and AIFA and does not indicate Leadiant's unwillingness to cause harm to the NHS, as the amount of the price differential to be returned would depend on the level of the negotiated price.</w:t>
      </w:r>
    </w:p>
    <w:p>
      <w:r>
        <w:t>588. On the contrary, it is observed that the significant excess obtained by Leadiant compared to the economic value of the orphan drug, regardless of its limited budget, has had a direct effect on the limited resources of the NHS allocated for pharmaceutical expenditure.</w:t>
      </w:r>
    </w:p>
    <w:p>
      <w:r>
        <w:t>v) The attribution of the behavior to the companies of the Leadiant group</w:t>
      </w:r>
    </w:p>
    <w:p>
      <w:r>
        <w:t>589. The documentation on record indicates the existence of a complex strategy that involved, in the various phases and components that make it up, the companies belonging to the Leadiant group: Leadiant Biosciences Ltd., Leadiant GmbH, Sigma tau Arzneimittel GmbH in liquidation, Leadiant Biosciences S.p.A. and the current parent company Essetifin S.p.A., which enabled the realization of the abusive conduct under examination. For the purpose of assessing the subjective element of the offense, it is necessary to verify its attribution to the aforementioned companies.</w:t>
      </w:r>
    </w:p>
    <w:p>
      <w:r>
        <w:t>590. Firstly, it emerges that the abusive conduct, consisting of the imposition of unjustifiably burdensome prices for the sale of CDCA Leadiant® to the NHS, within the framework of the price negotiation procedure for this drug with AIFA, was carried out by Leadiant Biosciences Ltd.</w:t>
      </w:r>
    </w:p>
    <w:p>
      <w:r>
        <w:t>591. The abusive conduct also appears attributable to the parent company Essetifin S.p.A., by virtue of the fact that the latter fully controls Leadiant Biosciences Ltd. Based on established case law, it is believed that "the behavior of a subsidiary can be attributed to the parent company if, despite having a distinct legal personality, the subsidiary does not autonomously determine its market conduct but essentially adheres to the instructions given by the parent company, particularly considering the economic, organizational, and legal constraints that exist between the two legal entities."581 In this regard, case law has also established that "the parent company and its subsidiary are part of the same economic unit and constitute a single enterprise, and therefore fines can be imposed on the parent company even without the need to demonstrate its personal involvement in the infringement."582</w:t>
      </w:r>
    </w:p>
    <w:p>
      <w:r>
        <w:t>592. More specifically, "in the particular case where a parent company holds all or almost all of the capital of its subsidiary that has committed an infringement of Union competition rules, there is a relative presumption that the parent company effectively exercises decisive influence over its subsidiary. [...] This presumption implies, unless reversed, that the effective exercise of decisive influence by the parent company over its subsidiary is considered established and authorizes the Commission to hold the former responsible for the behavior of the latter, without needing to provide additional evidence."583</w:t>
      </w:r>
    </w:p>
    <w:p>
      <w:r>
        <w:t>593. Ultimately, applying the principles mentioned above regarding the attribution of anti-competitive conduct – particularly with reference to the relative presumption of effective decisive influence of the parent company over its subsidiary, arising from the holding of all the share capital – as well as in light of the factual evidence referred to, it is believed that the conduct described above should be attributed to Leadiant Biosciences Ltd. and to the parent company Essetifin S.p.A.</w:t>
      </w:r>
    </w:p>
    <w:p>
      <w:r>
        <w:t>VI. HARM TO INTRA-COMMUNITY TRADE</w:t>
      </w:r>
    </w:p>
    <w:p>
      <w:r>
        <w:t>594. The contested conduct falls within the scope of Union competition law and, in particular, within the scope of Article 102 TFEU, relating to the prohibition of abuse of a dominant position, being potentially capable of harming intra-community trade. According to the European Commission's Communication, containing the Guidelines on the notion of harm to trade between Member States under Articles 81 and 82 of the Treaty584, the concept of harm to trade between Member States must be interpreted taking into account the direct or indirect, actual or potential influence on trade flows between Member States.</w:t>
      </w:r>
    </w:p>
    <w:p>
      <w:r>
        <w:t>595. In this regard, the abuse in question concerns drugs distributed throughout the territory of the Italian Republic and, therefore, corresponds to a significant part of the European market. The abuse perpetrated by Leadiant is therefore inherently capable of hindering the economic integration pursued by the legal order of the European Union.</w:t>
      </w:r>
    </w:p>
    <w:p>
      <w:r>
        <w:t>596. Therefore, based on the above, it is believed that this abuse is likely to harm trade between Member States and that the conduct attributable to the Party is relevant under Article 102 TFEU.</w:t>
      </w:r>
    </w:p>
    <w:p>
      <w:r>
        <w:t>VII. SERIOUSNESS AND DURATION OF THE INFRINGEMENT</w:t>
      </w:r>
    </w:p>
    <w:p>
      <w:r>
        <w:t>597. Article 15, paragraph 1, of Law No. 287/90 provides that the Authority, in cases of serious infringements, taking into account their seriousness and duration, shall impose an administrative pecuniary sanction of up to ten percent of the turnover achieved by the dominant company responsible for the infringement in the last financial year, considering the seriousness and duration of the same infringement.</w:t>
      </w:r>
    </w:p>
    <w:p>
      <w:r>
        <w:t>598. According to established EU and national case law585, to assess the seriousness of an infringement, various factors must be taken into account, the nature and importance of which vary depending on the type of infringement and the particular circumstances of the same. Among these factors, the nature of the contested behaviors and the context in which the infringements were carried out are primarily relevant.</w:t>
      </w:r>
    </w:p>
    <w:p>
      <w:r>
        <w:t>599. Regarding the nature of the conduct in question, it is observed that Leadiant has engaged in an exploitative abuse of the limited resources of the National Health Service, consisting of the imposition of unjustifiably burdensome prices for the sale of CDCA Leadiant® to the NHS.</w:t>
      </w:r>
    </w:p>
    <w:p>
      <w:r>
        <w:t>600. In relation to the context, it is observed that the imposition of an excessive price was carried out through an articulated strategy, deliberately planned and persistently pursued for a long time, which Leadiant employed in negotiations to weaken AIFA, thus managing to obtain an extremely high and disproportionate reimbursement price compared to the costs incurred.</w:t>
      </w:r>
    </w:p>
    <w:p>
      <w:r>
        <w:t>601. Leadiant Biosciences Ltd. is, moreover, an operator that possesses the legal and economic knowledge necessary to understand the illegitimate nature of its conduct and the consequences that arise from a competition perspective. It must indeed be considered that, according to constant case law, for a conduct to be considered intentional, it is not necessary for the company that engages in it to be aware of violating such rules, but it is sufficient that it could not ignore the purpose of its behavior.586</w:t>
      </w:r>
    </w:p>
    <w:p>
      <w:r>
        <w:t>602. In this case, not only could Leadiant Biosciences Ltd. not ignore the illegitimate nature of its conduct and the consequences that arise from it, but the investigative activity has demonstrated that it intentionally engaged in its behavior.</w:t>
      </w:r>
    </w:p>
    <w:p>
      <w:r>
        <w:t>603. In the case at hand, it is also relevant that the imposition of unjustifiably burdensome prices concerned a drug without therapeutic alternatives, intended for the treatment of an ultra-rare disease that leads to death.</w:t>
      </w:r>
    </w:p>
    <w:p>
      <w:r>
        <w:t>604. The objective pursued by the dominant company has, moreover, been fully achieved, as Leadiant Biosciences Ltd. following the negotiation with AIFA obtained and effectively applied a price that analyses conducted have shown to be unjustifiably burdensome. The conduct has, therefore, produced concrete effects.</w:t>
      </w:r>
    </w:p>
    <w:p>
      <w:r>
        <w:t>605. Considering the circumstances mentioned above, the abuse of dominant position perpetrated by Leadiant Biosciences Ltd. must be considered very serious, and the arguments put forward by the Party to demonstrate the non-seriousness of the conduct, which reiterate the defenses advanced to invoke the fairness of the price of CDCA Leadiant®, do not call these conclusions into question.</w:t>
      </w:r>
    </w:p>
    <w:p>
      <w:r>
        <w:t>606. Regarding the duration of the contested conduct – and in particular, regarding its commencement – it can be traced back to June 15, 2017, that is when Leadiant, with the</w:t>
      </w:r>
    </w:p>
    <w:p>
      <w:r>
        <w:rPr>
          <w:b/>
        </w:rPr>
        <w:t>[Pages 142–144]</w:t>
      </w:r>
    </w:p>
    <w:p>
      <w:r>
        <w:t>BULLETIN NO. 21 OF JUNE 6, 2022</w:t>
      </w:r>
    </w:p>
    <w:p>
      <w:r>
        <w:t>144. Upon submission to AIFA of the request for reimbursement and classification of CDCA Leadiant® at the ex-factory price of €15,506.93 per package, it was able to negotiate and apply, thanks to a preparatory strategy of abuse devised long before and persistently pursued, an unjustifiably burdensome price.</w:t>
      </w:r>
    </w:p>
    <w:p>
      <w:r>
        <w:t>607. The infringement is still ongoing. In fact, the ex-factory price negotiated with AIFA in December 2019, retroactively applied from June 15, 2017, to the present, for the reimbursement of CDCA Leadiant® by the NHS, amounting to [€5,000-7,000] per package, is found to be unjustifiably burdensome based on the investigative activity conducted.</w:t>
      </w:r>
    </w:p>
    <w:p>
      <w:r>
        <w:t>VIII. QUANTIFICATION OF THE SANCTION</w:t>
      </w:r>
    </w:p>
    <w:p>
      <w:r>
        <w:t>608. Once the seriousness and duration of the infringements committed by Leadiant Biosciences Ltd. have been established, for the purpose of identifying the quantification criteria, it is necessary to take into account the provisions of Article 11 of Law No. 689/1981, as recalled by Article 31 of Law No. 287/90, as well as the interpretative criteria outlined in the "Guidelines on the application of the criteria for the quantification of administrative pecuniary sanctions imposed by the Authority in application of Article 15, paragraph 1, of Law No. 287/90" (hereinafter, "Guidelines"), adopted by the Authority on October 22, 2014.</w:t>
      </w:r>
    </w:p>
    <w:p>
      <w:r>
        <w:t>609. Regarding the relevant turnover for the purpose of the sanction, the Authority's Guidelines on sanctions provide that sanctions "must be calculated based on the value of the sales of the goods or services that are the subject, directly or indirectly, of the infringement, made by the company in the relevant market(s) in the last full year of participation in the same infringement (hereinafter, sales value)" (points 8 and 9). In this case, this value is constituted by the value of the sales made by Leadiant in Italy for the drug CDCA Leadiant® in the year 2021, amounting to [€2-3 million].</w:t>
      </w:r>
    </w:p>
    <w:p>
      <w:r>
        <w:t>610. For the purpose of determining the base amount of the sanction, a percentage determined based on the seriousness of the infringement is applied to the sales value as determined above, for which reference is made in full to what is represented in Section VII. According to the Guidelines, in particular, this percentage must be set at a level that can reach 30% of the sales value, "depending on the degree of seriousness of the violation" (point 11).</w:t>
      </w:r>
    </w:p>
    <w:p>
      <w:r>
        <w:t>611. Pursuant to point 14 of the Guidelines and the criteria provided therein, and based on what is stated in paragraphs 599-605 above regarding the seriousness of the case, the percentage of the base sanction amount should be placed at [20-25%] of the sales value realized by Leadiant in Italy for the drug CDCA Leadiant® in the year 2021. This results in an amount equal to [€500,000-600,000].</w:t>
      </w:r>
    </w:p>
    <w:p>
      <w:r>
        <w:t>612. The amount thus obtained must be multiplied by the duration of the infringement. In this case, based on what is stated above in paragraphs 606-607, this is found to be equal to 4 years, 11 months, and 2 days. Therefore, the base amount has been calculated using "4.922222" as the multiplicative factor of the amount referred to in paragraph 611 above, resulting in an amount of [€2-3 million].</w:t>
      </w:r>
    </w:p>
    <w:p>
      <w:r>
        <w:t>613. In order to give the Authority's sanctioning power the necessary character of effective deterrence, with specific reference to the most serious restrictions of competition, regardless of their duration and actual implementation, it is deemed appropriate, pursuant to point 17 of the Guidelines, to include in the base amount an additional amount of [20-25%] of the sales value of the goods or services that are the subject of the infringement (so-called entry fee), amounting to [€600,000-700,000]. Specifically, it is believed that this additional amount is justified precisely in consideration of the particular seriousness of the infringement committed by Leadiant, given the established premeditation of the conduct (see sections V.4 and V.5.1. above) and the life-saving nature of the drug (see paragraph 478 above).</w:t>
      </w:r>
    </w:p>
    <w:p>
      <w:r>
        <w:t>614. In this case, the amount of the sanction, as determined so far, should be increased pursuant to point 25 of the Guidelines, considering that the company responsible for the infringement has achieved a particularly high total worldwide turnover in the last financial year closed prior to the notification of the warning compared to the sales value of the goods or services that are the subject of the infringement.</w:t>
      </w:r>
    </w:p>
    <w:p>
      <w:r>
        <w:t>615. However, considering that effective specific deterrence is, in this case, guaranteed also by the procedural initiatives taken by other national competition authorities pursuant to Article 102, letter a), TFEU against Leadiant (see paragraph 14 above), and the appropriateness of coordination on the sanctioning level among the proceeding authorities to ensure that the overall sanctions imposed are proportional to the seriousness of the infringements committed, it is deemed not to apply the described increase in sanction, even though the case falls among those deserving of such an increase.</w:t>
      </w:r>
    </w:p>
    <w:p>
      <w:r>
        <w:t>616. In light of all this, the final amount of the sanction is set at €3,501,020, which, as determined, does not exceed the maximum penalty provided for in Article 15, paragraph 1, of Law No. 287/1990.</w:t>
      </w:r>
    </w:p>
    <w:p>
      <w:r>
        <w:t>617. Finally, it is believed that, pursuant to point 32 of the Guidelines, which provides that "[i]n the event that multiple companies belonging to the same group participated in the infringement, the Authority may impose the sanction jointly on such companies," and given the imputability of the violation committed by Leadiant Biosciences Ltd. also to Essetifin S.p.A., by virtue of the described control relationship existing between them, these companies are jointly responsible for the payment of the sanction as calculated above.</w:t>
      </w:r>
    </w:p>
    <w:p>
      <w:r>
        <w:t>All this having been stated and considered;</w:t>
      </w:r>
    </w:p>
    <w:p>
      <w:r>
        <w:t>DECIDES</w:t>
      </w:r>
    </w:p>
    <w:p>
      <w:r>
        <w:t>a) that the companies Leadiant Biosciences Ltd. and Essetifin S.p.A. have imposed unjustifiably burdensome prices for the sale to the NHS of Chenodeoxycholic Acid Leadiant®, used for the treatment of the rare disease known as cerebrotendinous xanthomatosis, in violation of Article 102 of the Treaty on the Functioning of the European Union;</w:t>
      </w:r>
    </w:p>
    <w:p>
      <w:r>
        <w:t>b) that the companies Leadiant Biosciences Ltd. and Essetifin S.p.A. take all necessary actions to establish non-unjustifiably burdensome prices with respect to Chenodeoxycholic Acid Leadiant® and refrain in the future from engaging in behaviors similar to those subject to the infringement established in point a);</w:t>
      </w:r>
    </w:p>
    <w:p>
      <w:r>
        <w:t>c) that the companies Leadiant Biosciences Ltd. and Essetifin S.p.A. communicate to the Authority within sixty days from the notification of this provision the initiatives undertaken to comply with the requirements of the previous letter b), transmitting a specific written report;</w:t>
      </w:r>
    </w:p>
    <w:p>
      <w:r>
        <w:t>d) to impose, jointly, on the companies Leadiant Biosciences Ltd. and Essetifin S.p.A. an overall administrative pecuniary sanction equal to €3,501,020.13 (three million five hundred one thousand twenty/13). For professionals with legal headquarters in Italy, the imposed administrative sanction must be paid within ninety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using the telematic services of the Revenue Agency, available on the website www.agenziaentrate.gov.it.</w:t>
      </w:r>
    </w:p>
    <w:p>
      <w:r>
        <w:t>Pursuant to Article 37, paragraph 49, of Decree-Law No. 223/2006, individuals holding a VAT number are required to submit the F24 model electronically.</w:t>
      </w:r>
    </w:p>
    <w:p>
      <w:r>
        <w:t>For professionals with legal headquarters in a foreign state, the imposed administrative sanction must be paid within ninety days, via bank transfer (in euros) in favor of the State Budget, using the IBAN code IT04A0100003245348018359214 (BIC code: BITAITRRENT), which corresponds to the accounting triplet 18/3592/14.</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collection agent; in this case, the increase absorbs the late interest accrued during the same period.</w:t>
      </w:r>
    </w:p>
    <w:p>
      <w:r>
        <w:t>Immediate communication of the payments made must be given to the Authority, through the sending of a copy of the model certifying the payment made.</w:t>
      </w:r>
    </w:p>
    <w:p>
      <w:r>
        <w:t>Pursuant to Article 26 of the same law, companies in economically disadvantaged conditions may request the installment payment of the sanction.</w:t>
      </w:r>
    </w:p>
    <w:p>
      <w:r>
        <w:t>This provision will be notified to the interested parties and published in the Bulletin of the Antitrust Authority.</w:t>
      </w:r>
    </w:p>
    <w:p>
      <w:r>
        <w:rPr>
          <w:b/>
        </w:rPr>
        <w:t>[Pages 145–147]</w:t>
      </w:r>
    </w:p>
    <w:p>
      <w:r>
        <w:t>BULLETIN NO. 21 OF JUNE 6, 2022 147</w:t>
        <w:b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br/>
        <w:t>THE SECRETARY GENERAL THE PRESIDENT f.f.</w:t>
        <w:br/>
        <w:t>Guido Stazi Michele Ainis</w:t>
        <w:br/>
        <w:t>______________________________________________________________________</w:t>
        <w:br/>
        <w:t>Economic Appendix*</w:t>
        <w:br/>
        <w:t>Calculation of the percentage of CDCA Leadiant® volumes sold in Italy out of the total for the "Rest of the World" area</w:t>
        <w:br/>
        <w:t>Country 2017 2018 2019 2020 2021 2022 2023 2024 2025 2026 2027</w:t>
        <w:br/>
        <w:t>Austria [0-50] [50-100] [50-100] [50-100] [50-100] [50-100] [50-100] [50-100] [50-100] [50-100] [50-100]</w:t>
        <w:br/>
        <w:t>Czech Republic [0-50] [0-50] [0-50] [0-50] [0-50] [0-50] [0-50] [0-50] [0-50] [0-50] [0-50]</w:t>
        <w:br/>
        <w:t>Denmark [0-50] [0-50] [0-50] [0-50] [0-50] [0-50] [0-50] [0-50] [0-50] [0-50] [0-50]</w:t>
        <w:br/>
        <w:t>France [200-300] [300-400] [400-500] [400-500] [500-600] [500-600] [500-600] [500-600] [500-600] [500-600] [500-600]</w:t>
        <w:br/>
        <w:t>Germany [100-200] [200-300] [300-400] [300-400] [300-400] [300-400] [300-400] [300-400] [300-400] [300-400] [300-400]</w:t>
        <w:br/>
        <w:t>Greece [0-50] [0-50] [0-50] [0-50] [0-50] [0-50] [0-50] [0-50] [0-50] [0-50] [0-50]</w:t>
        <w:br/>
        <w:t>Hungary [0-50] [0-50] [0-50] [0-50] [0-50] [0-50] [0-50] [0-50] [0-50] [0-50] [0-50]</w:t>
        <w:br/>
        <w:t>Italy [100-200] [300-400] [300-400] [300-400] [300-400] [400-500] [400-500] [400-500] [400-500] [400-500] [400-500]</w:t>
        <w:br/>
        <w:t>Malta [0-50] [0-50] [0-50] [0-50] [0-50] [0-50] [0-50] [0-50] [0-50] [0-50] [0-50]</w:t>
        <w:br/>
        <w:t>Netherlands [200-300] [400-500] [600-700] [100-200] [0-50] [0-50] [0-50] [0-50] [0-50] [0-50] [0-50]</w:t>
        <w:br/>
        <w:t>Norway [0-50] [0-50] [0-50] [0-50] [0-50] [0-50] [0-50] [0-50] [0-50] [0-50] [0-50]</w:t>
        <w:br/>
        <w:t>Portugal [0-50] [0-50] [50-100] [50-100] [50-100] [50-100] [50-100] [50-100] [50-100] [50-100] [50-100]</w:t>
        <w:br/>
        <w:t>Slovakia [0-50] [0-50] [0-50] [0-50] [0-50] [0-50] [0-50] [0-50] [0-50] [0-50] [0-50]</w:t>
        <w:br/>
        <w:t>Spain [50-100] [100-200] [400-500] [500-600] [300-400] [300-400] [300-400] [300-400] [300-400] [300-400] [300-400]</w:t>
        <w:br/>
        <w:t>Sweden [0-50] [0-50] [0-50] [0-50] [0-50] [0-50] [0-50] [0-50] [0-50] [0-50] [0-50]</w:t>
        <w:br/>
        <w:t>UK [100-200] [200-300] [200-300] [300-400] [200-300] [200-300] [300-400] [300-400] [300-400] [300-400] [300-400]</w:t>
        <w:br/>
        <w:t>Other EEA [50-100] [0-50] [100-200] [0-50] [0-50] [0-50] [0-50] [0-50] [0-50] [0-50] [0-50]</w:t>
        <w:br/>
        <w:t>Canada [0-50] [100-200] [50-100] [100-200] [50-100] [50-100] [50-100] [50-100] [50-100] [50-100] [50-100]</w:t>
        <w:br/>
        <w:t>Israel [0-50] [0-50] [0-50] [500-600] [300-400] [300-400] [300-400] [300-400] [300-400] [300-400] [300-400]</w:t>
        <w:br/>
        <w:t>Saudi Arabia [0-50] [0-50] [0-50] [0-50] [0-50] [0-50] [0-50] [0-50] [0-50] [0-50] [0-50]</w:t>
        <w:br/>
        <w:t>Switzerland [0-50] [0-50] [0-50] [0-50] [100-200] [100-200] [100-200] [100-200] [100-200] [100-200] [100-200]</w:t>
        <w:br/>
        <w:t>Turkey [0-50] [400-500] [200-300] [400-500] [300-400] [300-400] [300-400] [300-400] [300-400] [300-400] [300-400]</w:t>
        <w:br/>
        <w:t>UAE [0-50] [0-50] [100-200] [0-50] [0-50] [0-50] [0-50] [0-50] [0-50] [0-50] [0-50]</w:t>
        <w:br/>
        <w:t>Uruguay [0-50] [50-100] [0-50] [50-100] [0-50] [50-100] [50-100] [50-100] [50-100] [50-100] [50-100]</w:t>
        <w:br/>
        <w:t>Total [1000-2000][2000-3000][3000-4000][3000-4000][2000-3000][3000-4000][3000-4000][3000-4000][3000-4000][3000-4000][3000-4000]</w:t>
        <w:br/>
        <w:t>Volumes Italy on Total [10-15%] [10-15%] [10-15%] [5-10%] [10-15%] [10-15%] [10-15%] [10-15%] [10-15%] [10-15%] [10-15%]</w:t>
        <w:br/>
        <w:t>Calculation of cash flows starting from project profit</w:t>
        <w:br/>
        <w:t>For the calculation of the net profit for each year, a tax rate of 21% was applied and a mechanism for carrying forward tax losses was assumed, according to which tax losses</w:t>
        <w:br/>
        <w:t>* In this version, some data are omitted, as elements of confidentiality or secrecy of the information were deemed to exist.</w:t>
      </w:r>
    </w:p>
    <w:p>
      <w:r>
        <w:t>148 BULLETIN NO. 21 OF JUNE 6, 2022</w:t>
        <w:br/>
        <w:t>incurred in one financial year can be fully deducted from taxable profit in subsequent years.</w:t>
        <w:br/>
        <w:t>To obtain the cash flows (CF) related to each year of the project, the project profits net of taxes (PP) had the change in Net Working Capital (NWC) subtracted.</w:t>
        <w:br/>
        <w:t>CF = PP – delta NWC</w:t>
        <w:br/>
        <w:t>t t t</w:t>
        <w:br/>
        <w:t>where</w:t>
        <w:br/>
        <w:t>delta NWC = NWC - NWC</w:t>
        <w:br/>
        <w:t>t t t-1</w:t>
        <w:br/>
        <w:t>For the calculation of NWC, the methodology applied by Leadiant in doc. 95.6 was used.</w:t>
        <w:br/>
        <w:t>In particular:</w:t>
        <w:br/>
        <w:t>NWC = current assets (CA) + inventory (I) – current liabilities (CL)</w:t>
        <w:br/>
        <w:t>t t t t</w:t>
        <w:br/>
        <w:t>CA = Revenues * 60/360</w:t>
        <w:br/>
        <w:t>I = Direct production and distribution costs</w:t>
        <w:br/>
        <w:t>CL = Total costs * 30/360</w:t>
      </w:r>
    </w:p>
    <w:p>
      <w:r>
        <w:t>BULLETIN NO. 21 OF JUNE 6, 2022 149</w:t>
        <w:br/>
        <w:t>Calculation of cash flows of the CDCA project used in the IRR analysis</w:t>
        <w:br/>
        <w:t>2014 2015 2016 2017 2018 2019 2020 2021 2022 2023 2024 2025 2026 2027</w:t>
        <w:br/>
        <w:t>CDCA project profit Italy -[200,000-300,000] -[800,000-900,000] -[500,000-600,000] [1-2 mln] [4-5 mln] [4-5 mln] -[5-6 mln] [900,000-1 mln] [1-2 mln] [1-2 mln] [1-2 mln] [1-2 mln] [1-2 mln] [600,000-700,000]</w:t>
        <w:br/>
        <w:t>Taxes 0 0 0 0 [800,000-900,000] [800,000-900,000] 0 0 0 0 [100,000-200,000] [300,000-400,000] [300,000-400,000] [100,000-200,000]</w:t>
        <w:br/>
        <w:t>CDCA project profit Italy net of taxes -[200,000-300,000] -[800,000-900,000] -[500,000-600,000] [1-2 mln] [3-4 mln] [3-4 mln] -[5-6 mln] [900,000-1 mln] [1-2 mln] [1-2 mln] [1-2 mln] [1-2 mln] [1-2 mln] [400,000-500,000]</w:t>
        <w:br/>
        <w:t>Current assets 0 0 [50,000-100,000] [300,000-400,000] [900,000-1 mln] [800,000-900,000] [300,000-400,000] [400,000-500,000] [400,000-500,000] [400,000-500,000] [400,000-500,000] [400,000-500,000] [400,000-500,000] [100,000-200,000]</w:t>
        <w:br/>
        <w:t>Inventory [1-50,000] [1-50,000] [1-50,000] [1-50,000] [50,000-100,000] [100,000-200,000] [100,000-200,000] [100,000-200,000] [100,000-200,000] [100,000-200,000] [100,000-200,000] [100,000-200,000] [100,000-200,000] [100,000-200,000]</w:t>
        <w:br/>
        <w:t>Current liabilities [1-50,000] [50,000-100,000] [50,000-100,000] [50,000-100,000] [50,000-100,000] [50,000-100,000] [600,000-700,000] [100,000-200,000] [50,000-100,000] [50,000-100,000] [50,000-100,000] [50,000-100,000] [50,000-100,000] [1-50,000]</w:t>
        <w:br/>
        <w:t>NWC [1-50,000] -[1-50,000] -[1-50,000] [300,000-400,000] [900,000-1 mln] [900,000-1 mln] -[50,000-100,000] [400,000-500,000] [400,000-500,000] [500,000-600,000] [500,000-600,000] [500,000-600,000] [500,000-600,000] [200,000-300,000]</w:t>
        <w:br/>
        <w:t>delta NWC 0 -[1-50,000] [1-50,000] [300,000-400,000] [500,000-600,000] [1-50,000] -[1-2 mln] [500,000-600,000] [50,000-100,000] [1-50,000] [1-50,000] [1-50,000] [1-50,000] -[200,000-300,000]</w:t>
        <w:br/>
        <w:t>Cash flows -[200,000-300,000] -[800,000-900,000] -[500,000-600,000] [1-2 mln] [3-4 mln] [3-4 mln] -[4-5 mln] [300,000-400,000] [1-2 mln] [1-2 mln] [1-2 mln] [1-2 mln] [1-2 mln] [700,000-800,000]</w:t>
        <w:br/>
        <w:t>Tax carryforward mechanism used in the calculation of cash flows</w:t>
        <w:br/>
        <w:t>2014 2015 2016 2017 2018 2019 2020 2021 2022 2023 2024 2025 2026 2027</w:t>
        <w:br/>
        <w:t>Initial tax credit balance (A) 0 [200,000-300,000] [1-2 mln] [1-2 mln] [300,000-400,000] 0 0 [5-6 mln] [4-5 mln] [2-3 mln] [1-2 mln] 0 0 0</w:t>
        <w:br/>
        <w:t>Current loss (B) [200,000-300,000] [800,000-900,000] [500,000-600,000] 0 0 0 [5-6 mln] 0 0 0 0 0 0 0</w:t>
        <w:br/>
        <w:t>Subtotal (A+B) [200,000-300,000] [1-2 mln] [1-2 mln] [1-2 mln] [300,000-400,000] 0 [5-6 mln] [5-6 mln] [4-5 mln] [2-3 mln] [1-2 mln] 0 0 0</w:t>
        <w:br/>
        <w:t>Tax loss utilized (C) 0 0 0 [1-2 mln] [300,000-400,000] 0 0 [900,000-1 mln] [1-2 mln] [1-2 mln] [1-2 mln] 0 0 0</w:t>
        <w:br/>
        <w:t>Final tax credit balance (A+B-C) [200,000-300,000] [1-2 mln] [1-2 mln] [300,000-400,000] 0 0 [5-6 mln] [4-5 mln] [2-3 mln] [1-2 mln] [0-0] 0 0 0</w:t>
      </w:r>
    </w:p>
    <w:p>
      <w:r>
        <w:rPr>
          <w:b/>
        </w:rPr>
        <w:t>[Pages 148–150]</w:t>
      </w:r>
    </w:p>
    <w:p>
      <w:r>
        <w:t>150 BULLETIN NO. 21 OF JUNE 6, 2022</w:t>
        <w:br/>
        <w:t>CONCENTRATION OPERATIONS</w:t>
        <w:br/>
        <w:t>C12447 – POSTE PAY/LIS HOLDING</w:t>
        <w:br/>
        <w:t>Decision No. 30157</w:t>
        <w:br/>
        <w:t>THE ANTITRUST AUTHORITY</w:t>
        <w:br/>
        <w:t>IN ITS MEETING of May 17, 2022;</w:t>
        <w:br/>
        <w:t>HEARD the Rapporteur Professor Elisabetta Iossa;</w:t>
        <w:br/>
        <w:t>HAVING REGARD to Regulation (EC) No. 139/2004;</w:t>
        <w:br/>
        <w:t>HAVING REGARD to Law No. 287 of October 10, 1990;</w:t>
        <w:br/>
        <w:t>HAVING REGARD to Presidential Decree No. 217 of April 30, 1998;</w:t>
        <w:br/>
        <w:t>HAVING REGARD to the communication from Poste Italiane S.p.A. received on April 21, 2022 and the subsequent clarifications received on May 3, 2022;</w:t>
        <w:br/>
        <w:t>HAVING REGARD to the documentation on file;</w:t>
        <w:br/>
        <w:t>CONSIDERED the following:</w:t>
        <w:br/>
        <w:t>I. THE PARTIES</w:t>
        <w:br/>
        <w:t>1. Poste Italiane S.p.A. (hereinafter, "Poste") is the publicly traded holding company of the Poste Italiane Group, which is controlled by the Ministry of Economy and Finance ("MEF"), which directly holds 29.3% of Poste's share capital and indirectly an additional 35% through Cassa Depositi e Prestiti. The Poste Group is active not only in the postal sector but also in other markets, including financial and insurance services. Poste is the provider of the universal postal service and carries out, throughout the national territory, all phases of postal activities (collection/acceptance, sorting, transport, and distribution) related to delivery services; additionally, at the group level, Poste provides preparation services (for example, printing and enveloping) throughout the national territory. Furthermore, through its subsidiary PostePay S.p.A., it provides inter alia collection and payment services, issuance of debit cards, merchant acquiring, and mobile telephony. The revenue generated by the Poste Italiane Group in Italy in 2020 was approximately 10.5 billion euros1.</w:t>
        <w:br/>
        <w:t>2. Poste Pay S.p.A., a company wholly owned by Poste Italiane S.p.A., was established on October 1, 2018, following the authorization process that transformed PosteMobile S.p.A. into an Electronic Money Institution (IMEL), with the aim of bringing together activities and expertise in the field of payments and telecommunications.</w:t>
        <w:br/>
        <w:t>1 “Net revenues from ordinary management,” Consolidated financial statements 2020, published on the Poste Italiane website www.posteitaliane.it, section “Financial Statements and Reports.”</w:t>
      </w:r>
    </w:p>
    <w:p>
      <w:r>
        <w:t>BULLETIN NO. 21 OF JUNE 6, 2022 151</w:t>
        <w:br/>
        <w:t>3. LIS Holding S.p.A. (hereinafter, “LIS”) is a company 100% controlled by IGT Lottery S.p.A., which is exclusively controlled by IGT Lottery Holdings B.V., with a sole shareholder International Game Technology PLC, which is in turn controlled by De Agostini S.p.A. with an absolute majority stake. LIS Holding S.p.A. holds 100% of the capital of the IMEL LIS Pay S.p.A. (hereinafter, “LIS Pay”), a company that offers a wide range of services through the management of a technological platform that supports and enables, at affiliated merchants - approximately 55,000 affiliated sales points (of which 33,000 are tobacconists) - primarily the provision of collection and payment services. The revenue of LIS2 entirely generated in Italy in 2020, including the revenue of the subsidiary LIS Pay calculated pursuant to Article 16, paragraph 2, of Law No. 287/90, was approximately [31-100]* million euros.</w:t>
        <w:br/>
        <w:t>II. DESCRIPTION OF THE OPERATION</w:t>
        <w:br/>
        <w:t>4. The communicated operation concerns the acquisition, by Poste through Poste Pay, of 100% of the share capital of LIS. To this end, the Parties signed a Share Purchase Agreement on February 25, 2022, which stipulates that the completion of the operation is conditionally suspended, among other things, on obtaining the authorization from the Authority.</w:t>
        <w:br/>
        <w:t>5. The agreement also provides for a non-compete obligation on the part of the sellers, lasting three years, geographically limited to Italy.</w:t>
        <w:br/>
        <w:t>III. QUALIFICATION OF THE OPERATION</w:t>
        <w:br/>
        <w:t>6. The communicated operation, as it involves the acquisition of control of a company, constitutes a concentration pursuant to Article 5, paragraph 1, letter b), of Law No. 287/90. It falls within the scope of application of Law No. 287/90, as the conditions of Article 1 of Regulation (EC) No. 139/04 do not apply, and is subject to the obligation of prior notification provided for by Article 16, paragraph 1, of the same law (as amended by Article 1, paragraph 177, of Law No. 124 of August 4, 2017, in force since August 29, 2017), as the total revenue, calculated pursuant to Article 16, paragraph 2, of Law No. 287/90, generated in the last financial year at the national level by the group of companies involved, exceeded 517 million euros and the revenue generated individually, at the national level, by at least two of them exceeds 31 million euros. Furthermore, the operation does not have a community dimension pursuant to Article 1 of Regulation (EU) No. 139/2004 concerning the control of concentrations between companies, as each of the Parties generates more than two-thirds of its total revenue in the EU within a single EU Member State (Italy).</w:t>
        <w:br/>
        <w:t>2 Calculated according to the 'ordinary' method, that is, taking into account the revenue derived from the sales of the company, net of discounts and/or reductions on the sales of products, as well as VAT and other indirect taxes.</w:t>
        <w:br/>
        <w:t>* In this version, some data are omitted, as elements of confidentiality or secrecy of the information were deemed to exist.</w:t>
      </w:r>
    </w:p>
    <w:p>
      <w:r>
        <w:t>152 BULLETIN NO. 21 OF JUNE 6, 2022</w:t>
        <w:br/>
        <w:t>7. The aforementioned non-compete agreement can be considered directly connected and necessary for the realization of the concentration operation in question, provided that it is limited to a duration of two years3.</w:t>
        <w:br/>
        <w:t>IV. EVALUATIONS</w:t>
        <w:br/>
        <w:t>8. This operation concerns the following product areas: services functional to collection on behalf of third parties, services for the distribution of telephone top-ups and distribution of travel tickets for Trenitalia, as well as the markets of retail merchant acquiring and issuing of debit cards.</w:t>
        <w:br/>
        <w:t>a) Services functional to collection on behalf of third parties</w:t>
        <w:br/>
        <w:t>9. Services functional to the collection of funds on behalf of third parties constitute 'intermediation' services between entities holding a credit (private or public entities) and their respective debtors who must make a payment to settle their debt position towards the former. In particular, creditor entities (companies and Public Administration) use these services to collect and receive payment for utilities, services, taxes, fines, etc. This intermediation activity may include the provision of payment services, which allow the debtor to settle the debt using various instruments (on which, infra), but, as payment can also be made through the intermediary in cash, it is more properly centered on the function of collecting the credit on behalf of the creditor entities.</w:t>
        <w:br/>
        <w:t>10. Collection services are provided by various types of authorized intermediaries (such as banking operators, Payment Institutions (IP), IMEL, or Poste). The relevant sector is characterized by significant evolutionary dynamics, also due to the fact that the regulations have allowed for a significant expansion of the pool of possible players and the increasing use of innovative digital solutions for payments.</w:t>
        <w:br/>
        <w:t>11. In particular, the activity of these intermediaries for collection is increasingly pressured by PagoPA S.p.A., which manages the platform for payments to both the Public Administration and, more recently, also to private creditor entities (including Enel Energia and Telecom Italia), to which over 400 Payment Service Providers have joined, including the Parties, as well as other IMELs and Payment Institutions. In relation to the aforementioned PagoPA platform, it appears that it is gaining increasing relevance, with very high growth rates. It essentially directly connects the three parties involved in this type of service: debtors, creditors, and Payment Service Providers. In this sense, on the one hand, PagoPA does not operate in the same manner as intermediaries providing collection services (not interposing itself in the collection of a payment), such as Poste and LIS. On the other hand, however, the development of PagoPA exerts significant competitive pressure on collection intermediation services as it makes the intervention of an additional intermediary superfluous, facilitating the direct relationship between the three parties who are the only indispensable ones for the realization of the payment (debtor, creditor, Payment Service Providers).</w:t>
        <w:br/>
        <w:t>3 Point 20 of the Commission Communication on restrictions directly related and necessary to concentrations (2005/C 56/03).</w:t>
      </w:r>
    </w:p>
    <w:p>
      <w:r>
        <w:rPr>
          <w:b/>
        </w:rPr>
        <w:t>[Pages 151–153]</w:t>
      </w:r>
    </w:p>
    <w:p>
      <w:r>
        <w:t>BULLETIN NO. 21 OF JUNE 6, 2022 153</w:t>
        <w:br/>
        <w:t>12. To carry out the services functional to collection, intermediaries and their respective technological platforms also enter into agreements with networks of merchants (bars, tobacconists, newsstands, large-scale retail chains). These agreements are characterized by the absence of exclusives with authorized intermediaries, which allows merchants to simultaneously join multiple agreements with different collection platforms. The debtor – but sometimes also (or only) the creditor – who uses the network of merchants affiliated with these intermediation platforms to make the payment of the amount due, pays a fee. This fee is then divided between the intermediary itself, which retains a portion for the intermediation service provided to the creditor entity, and the affiliated merchants (to whom the intermediary indeed pays a fee for each collection)4.</w:t>
      </w:r>
    </w:p>
    <w:p>
      <w:r>
        <w:t>13. The intermediaries, in turn, provide payers with a variety of tools and channels to make payments.</w:t>
      </w:r>
    </w:p>
    <w:p>
      <w:r>
        <w:t>14. As for the payment instruments made available for collections, they include, in addition to cash payment, collection orders (including pre-authorized debits in account, or direct debits in account or on card, RIBA-MAV and RAV), F24 forms, CBill, bank transfers (including those made for the purpose of paying postal or bank bills), credit and debit card payments. Payments made by the debtor with any instrument (e.g., bank transfer and/or payment card) on direct channels of the creditor entity (e.g., website/app, physical points/stores) are not included within the scope of the services in question.</w:t>
      </w:r>
    </w:p>
    <w:p>
      <w:r>
        <w:t>15. Regarding the channels, payments can be made by debtors both online (websites and apps of various intermediaries) and through physical access points (such as merchant networks – bars, tobacconists, betting shops, newsstands, large-scale retail chains, bank counters, ATMs, post offices).</w:t>
      </w:r>
    </w:p>
    <w:p>
      <w:r>
        <w:t>16. In a first approximation, the payment instruments and channels used (online or physical point of sale) could be considered substantially interchangeable for creditors and debtors, so that in this context the scope of collection services on behalf of third parties could tendentially be considered in unitary terms.</w:t>
      </w:r>
    </w:p>
    <w:p>
      <w:r>
        <w:t>17. The geographical dimension of this market is to be considered in any case national, given the homogeneity of the characteristics of demand and supply throughout the Italian territory.</w:t>
      </w:r>
    </w:p>
    <w:p>
      <w:r>
        <w:t>18. Within the unitary scope thus considered, the buyer holds in 2020 an estimated share of about [25-30%] in volume and [5-10%] in value, which, added to the share of the target company, equal in 2020 to [1-5%] in volume and [less than 1%] in value, will lead PostePay to hold, following the completion of the operation, a share equal to [25-30%] in volume and [5-10%] in value. It is noted that the difference between the shares of Poste calculated in terms of number of transactions (volume) and the shares calculated in terms of transaction value (value) is due to the fact that Poste's clientele typically belongs to the retail segment that makes small/medium amount transactions, unlike corporate clientele.</w:t>
      </w:r>
    </w:p>
    <w:p>
      <w:r>
        <w:t>19. In the same market, there are qualified competitors, including major national banks, IMELs, and a variety of operators of different natures authorized to provide payment services thanks to recent legislative interventions (notably Directive 4 For the specific case of postal bill payment, Poste has granted a collection mandate to SIAPay, which in turn grants the same collection mandate to third intermediaries, including LIS Pay. Upon receiving payment from the debtor, LIS Pay [omissis].</w:t>
      </w:r>
    </w:p>
    <w:p>
      <w:r>
        <w:t>154 BULLETIN NO. 21 OF JUNE 6, 2022</w:t>
        <w:br/>
        <w:t>PSD5 and PSD26), with a decrease in volumes managed by Poste in the last three years in favor of these new operators. The sector of services subject to this operation is indeed currently characterized by significant evolutionary dynamics, also due to the fact that the regulations have allowed for an expansion of the pool of possible competing operators and the increasing use of digital solutions for payments.</w:t>
      </w:r>
    </w:p>
    <w:p>
      <w:r>
        <w:t>20. For the evaluative purposes of the operation, it should also be added that, given the existing collaboration agreements between the Parties for the provision of collection services on behalf of third parties – namely, the contracts respectively concluded between Poste and SIAPay, on one side, and LIS and SIAPay, on the other (see supra, under note 5 and infra, under note 8) – by virtue of which the sales points affiliated with LIS are already enabled to provide the postal bill payment service, the operation substantially transforms this contractual relationship into a proprietary type relationship.</w:t>
      </w:r>
    </w:p>
    <w:p>
      <w:r>
        <w:t>21. In consideration of all the above, given the not high level of the post-merger market share (in particular, significantly contained in terms of transaction amounts), particularly noting the marginal increase in the share resulting from the purchase of the target, as well as taking into account the pre-existing contractual agreements between the Parties and the presence of qualified competing operators in a sector characterized by particularly dynamic evolution, the operation in question does not appear to be suitable to significantly alter the competitive structure in the offering of collection services on behalf of third parties.</w:t>
      </w:r>
    </w:p>
    <w:p>
      <w:r>
        <w:t>22. Finally, no significant vertical effects are observed, due to the substantial substitutability of the offering, both for debtors/payers and for merchants interested in the affiliation. Furthermore, according to the information provided by the Parties, neither the current contractual agreements between them7 nor those between LIS and the individual affiliated merchants contain exclusives, allowing simultaneous affiliation with multiple intermediaries; they also provide for easily exercisable withdrawal rights for the affiliated parties.</w:t>
      </w:r>
    </w:p>
    <w:p>
      <w:r>
        <w:t>b) The distribution of telephone top-ups</w:t>
      </w:r>
    </w:p>
    <w:p>
      <w:r>
        <w:t>23. As for the market for telephone top-ups, in line with previous cases8, it is constituted, from the demand side, by users of telephony who use prepaid cards and, from the supply side, by telecommunications operators and distribution networks in general. The offer, in recent years, has significantly changed in terms of product, channel, and sales methods and is characterized by a general contraction in sales volumes caused both by the progressive decrease in the unit cost of top-ups and by the shift of the offer to post-paid forms of telephone credit.</w:t>
      </w:r>
    </w:p>
    <w:p>
      <w:r>
        <w:t>24. From a geographical point of view, the market has a national dimension given the homogeneity of the conditions of demand and supply throughout the Italian territory.</w:t>
      </w:r>
    </w:p>
    <w:p>
      <w:r>
        <w:t>5 Directive 2007/64/EC.</w:t>
        <w:br/>
        <w:t>6 Directive 2015/2366/EU.</w:t>
        <w:br/>
        <w:t>7 As mentioned, there are two collaboration agreements: one between Poste and SIAPay (formerly T-fin) for the provision of the postal bill payment service on third-party networks, thus affiliated with SIAPay, and a contract between SIAPay and LIS which indeed enables LIS, as a third-party network affiliated with SIAPay, to provide the postal bill payment service.</w:t>
        <w:br/>
        <w:t>8 See C12256, Sisal Group/Branch of Business Banca 5, in Boll. 50/2019.</w:t>
      </w:r>
    </w:p>
    <w:p>
      <w:r>
        <w:t>BULLETIN NO. 21 OF JUNE 6, 2022 155</w:t>
        <w:br/>
        <w:t>25. In the market for the distribution of telephone top-ups, both parties operate, although in 2020 Poste held an extremely residual market share, equal to [1-5%] in volume9, and the target company a share of [10-15%] in volume, already including – by virtue of a contractual agreement with Poste Mobile S.p.A. (now Poste Pay S.p.A.) – the share attributable to the distribution of telephone top-ups of Poste Mobile SIMs at merchants affiliated with LIS.</w:t>
      </w:r>
    </w:p>
    <w:p>
      <w:r>
        <w:t>26. Therefore, given that the post-merger entity will hold a share not exceeding 15%, and considering the presence of numerous and qualified competitors, including the same telecommunications operators (TIM, Vodafone, Wind Tre, Iliad), banking operators, large-scale retail chains, and new operators in the digital and physical channel, as well as the absence of technological barriers to entry, the operation in question does not appear to be capable of altering the previous competitive dynamics in this market.</w:t>
      </w:r>
    </w:p>
    <w:p>
      <w:r>
        <w:t>27. Finally, also with regard to any vertical profiles, the operation does not raise concerns, given Poste's small share in the upstream mobile telephony market (compared to competitors such as TIM, Vodafone, Wind Tre, Iliad) and since, even regarding the telephone top-up service, which is still accessible to users through a multitude of channels, based on the information provided, it appears that the contracts between Poste and LIS and those between the latter and the affiliated merchants do not contain any exclusivity obligations, thus allowing merchants to distribute top-ups from other telecommunications operators as well.</w:t>
      </w:r>
    </w:p>
    <w:p>
      <w:r>
        <w:t>c) The distribution of Trenitalia travel tickets</w:t>
      </w:r>
    </w:p>
    <w:p>
      <w:r>
        <w:t>28. The activities of the parties also overlap in the distribution of Trenitalia travel tickets. With reference to this market10, it is noted that Poste distributes these travel tickets on the PostePay app not directly but through the integration of the MyCicero service, owned by Mooney S.p.A., into its platform: that said, even considering Poste's share in terms of transactions made through the MyCicero service offering, it is less than 5%. The share of the target is absolutely marginal in the overall sector, dominated by direct sales by Trenitalia through its own online and physical channels. It follows that the operation in question does not appear to be suitable to alter the competitive structure in the offering of this service.</w:t>
      </w:r>
    </w:p>
    <w:p>
      <w:r>
        <w:t>d) The retail merchant acquiring market and provision of POS services</w:t>
      </w:r>
    </w:p>
    <w:p>
      <w:r>
        <w:t xml:space="preserve">29. According to the Authority's precedents, within the sector of payment instruments via cards, it is possible to identify, as distinct markets, the market for card issuance (i.e., card issuing) and that for merchant acquiring (i.e., merchant acquiring). Merchant acquiring services, based on recent practice11, are articulated in the wholesale merchant acquiring market and the provision of POS and related services, having a geographical dimension that is supranational, equal to the EEA, and in the retail merchant acquiring market and the provision of POS services. </w:t>
        <w:br/>
        <w:t>9 The market shares of the Parties have been provided in absolute value in terms of both revenues and transaction amounts. Although Poste has calculated the market share percentage only with respect to sales volumes, the values in terms of revenues show a proportion substantially coinciding with those expressed in terms of transaction amounts.</w:t>
        <w:br/>
        <w:t>10 See C12256, Sisal Group/Branch of Business Banca 5, in Boll. 50/2019.</w:t>
        <w:br/>
        <w:t>11 C12373 - Nexi/Sia, in Boll. 41/2021.</w:t>
      </w:r>
    </w:p>
    <w:p>
      <w:r>
        <w:rPr>
          <w:b/>
        </w:rPr>
        <w:t>[Pages 154–156]</w:t>
      </w:r>
    </w:p>
    <w:p>
      <w:r>
        <w:t>156 BULLETIN NO. 21 OF JUNE 6, 2022</w:t>
        <w:br/>
        <w:t>and related services, with a national geographical dimension. In this case, the relevant market is that of retail merchant acquiring and the provision of POS services12.</w:t>
      </w:r>
    </w:p>
    <w:p>
      <w:r>
        <w:t>30. Poste is active in the retail merchant acquiring market both through its own physical channels and through digital channels, such as its website and app, as well as through third parties, including LIS, which, by virtue of a contract with Poste, carries out the placement of PostePay's merchant acquiring service through its own platform. Poste's market share in terms of transaction amounts is approximately [5-10%], which includes the share generated by the placement of PostePay's acquiring service carried out by the target, estimated to be less than 1%.</w:t>
      </w:r>
    </w:p>
    <w:p>
      <w:r>
        <w:t>31. Considering the extent of the Parties' position in this market, and noting the presence of numerous and qualified competitors, any criticality of the operation from a competitive standpoint can be excluded even in this market. Furthermore, even in the context of the placement of the merchant acquiring service, based on the information provided by the Parties, neither the existing contracts between the Parties nor those between LIS and the affiliated merchants contain any exclusivity clause or non-competition obligation.</w:t>
      </w:r>
    </w:p>
    <w:p>
      <w:r>
        <w:t>e) The market for the issuance of debit cards</w:t>
      </w:r>
    </w:p>
    <w:p>
      <w:r>
        <w:t>32. The activity of issuing payment cards (so-called card issuing) consists of a set of services aimed at providing payment cards (debit, credit, or prepaid) to end customers, who are typically represented by consumers. In particular, the activity of issuing cards mainly includes offering the card to the end customer (who becomes the cardholder), defining the characteristics of the card and the related economic conditions (annual fee amount, cash advance service fees, statement sending fees, and other fees), credit assessment of the customer (i.e., whether the individual is creditworthy), contractualization of the same, managing relationships with the networks, customer service and marketing activities, and managing credit risk and fraud. More specifically, it should be noted that, regarding the economic and commercial policies related to such services, they are defined by the bank if an integrated model is adopted; conversely, if the bank merely distributes the services and relies on third parties for the issuing activity, the policies and criteria for product distribution, as well as pricing towards the end customers, can be defined by the third parties or by the banks, depending on the agreement.</w:t>
      </w:r>
    </w:p>
    <w:p>
      <w:r>
        <w:t>33. According to the Authority's practice, issuing can be divided based on the different types of payment instruments, distinguishing between credit and debit cards (including prepaid cards), corresponding to different product markets; however, more recently, the possibility of configuring a single market that would encompass all types of cards due to their substitutability from the supply side has been left open13.</w:t>
      </w:r>
    </w:p>
    <w:p>
      <w:r>
        <w:t>34. Similarly, from a geographical standpoint, the size of the payment card issuance market has been identified in practice within national borders, due to the homogeneity of the offering conditions of the described services throughout the national territory; however, even in this regard, more recently, the possible redefinition of this market as having a size corresponding to the European Economic Area has been left open14.</w:t>
      </w:r>
    </w:p>
    <w:p>
      <w:r>
        <w:t>35. In this case, the Parties' activities overlap only with respect to the issuing of debit cards (including prepaid cards).</w:t>
      </w:r>
    </w:p>
    <w:p>
      <w:r>
        <w:t>36. Poste, through PostePay, is active in this market with a share in 2020 of [25-30%] in terms of transaction amounts and [30-35%] in terms of cards issued. LIS is also active in this market, albeit to a very marginal extent (less than 1%), and, by virtue of two contractual agreements with Poste, provides both the service of recharging PostePay prepaid cards at LIS-affiliated merchants and the possibility of initiating the process of requesting the issuance of the PostePay card at such affiliated merchants. Both contracts do not contain any exclusivity obligation or non-competition clause.</w:t>
      </w:r>
    </w:p>
    <w:p>
      <w:r>
        <w:t>37. Considering the very modest increase in the acquirer's share as a result of the operation, as well as the presence of numerous and qualified competitors, such as Nexi-SIA, Unicredit S.p.A., and Intesa San Paolo, it is not believed that the operation is likely to significantly impact competitive dynamics in this market.</w:t>
      </w:r>
    </w:p>
    <w:p>
      <w:r>
        <w:t>THEREFORE CONSIDERED, that the operation in question does not result, pursuant to Article 6, paragraph 1, of Law No. 287/90, in the establishment or strengthening of a dominant position in the relevant markets, such as to eliminate or substantially and durably reduce competition;</w:t>
      </w:r>
    </w:p>
    <w:p>
      <w:r>
        <w:t>ALSO CONSIDERED, that the non-competition agreement can be considered accessory to this operation only within the limits of duration indicated above and that the Authority reserves the right to evaluate, where the conditions exist, the aforementioned agreement that extends beyond those limits;</w:t>
      </w:r>
    </w:p>
    <w:p>
      <w:r>
        <w:t>RESOLVES</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w:t>
        <w:br/>
        <w:t>Guido Stazi Roberto Rustichelli</w:t>
      </w:r>
    </w:p>
    <w:p>
      <w:r>
        <w:t>C12452 - EXOR-INVIN/LIFENET</w:t>
        <w:br/>
        <w:t>Provision No. 30158</w:t>
        <w:br/>
        <w:t>THE ANTITRUST AUTHORITY</w:t>
        <w:br/>
        <w:t>IN ITS MEETING of May 17, 2022;</w:t>
      </w:r>
    </w:p>
    <w:p>
      <w:r>
        <w:t>HEARD the Rapporteur Professor Elisabetta Iossa;</w:t>
      </w:r>
    </w:p>
    <w:p>
      <w:r>
        <w:t>VIEWED Law No. 287 of October 10, 1990;</w:t>
      </w:r>
    </w:p>
    <w:p>
      <w:r>
        <w:t>VIEWED the Presidential Decree No. 217 of April 30, 1998;</w:t>
      </w:r>
    </w:p>
    <w:p>
      <w:r>
        <w:t>VIEWED the communication from the companies Exor N.V. and Invin S.r.l., received on May 2, 2022;</w:t>
      </w:r>
    </w:p>
    <w:p>
      <w:r>
        <w:t>CONSIDERED the following:</w:t>
      </w:r>
    </w:p>
    <w:p>
      <w:r>
        <w:t>I. THE PARTIES</w:t>
      </w:r>
    </w:p>
    <w:p>
      <w:r>
        <w:t>1. Exor N.V. (hereinafter "Exor") is a Dutch holding company, active, also through controlled companies, in various commodity sectors, including the production and sale of industrial and commercial vehicles, the production and sale of luxury automobiles, reinsurance, the Italian football sector, publishing, and luxury lifestyle. Exor is under the exclusive control of Giovanni Agnelli B.V. (also "GA"), a Dutch holding company owned by members of the Agnelli family. No shareholder exercises any form of control over GA.</w:t>
      </w:r>
    </w:p>
    <w:p>
      <w:r>
        <w:t>2. In 2020, Exor achieved a total revenue of approximately [2-3]* billion euros from sales in Italy.</w:t>
      </w:r>
    </w:p>
    <w:p>
      <w:r>
        <w:t>3. Invin S.r.l. (hereinafter "Invin"), an Italian company, is a holding company active in Italy, which currently holds exclusive control of Lifenet S.r.l. The company is controlled by individuals. Invin is not active in the production of goods or services, and its activity is limited to managing its stake in Lifenet. Excluding the revenue of Lifenet and the companies it controls, Invin does not record any additional revenue of its own.</w:t>
      </w:r>
    </w:p>
    <w:p>
      <w:r>
        <w:t>4. Lifenet S.r.l. (hereinafter "Lifenet") is an Italian company, active, through controlled companies, in the private healthcare sector, also accredited with the National Health Service (SSN), through the management of a series of outpatient and hospital facilities. Lifenet is currently present in the following Regions: Emilia-Romagna, Piedmont, Lombardy, and Lazio. Lifenet also carries out, albeit to an extremely marginal extent, consulting activities in the healthcare sector.</w:t>
      </w:r>
    </w:p>
    <w:p>
      <w:r>
        <w:t>5. To date, the share capital of Lifenet is held 98% by Invin, which holds exclusive control, and the remaining 2% by the company GBH S.p.A. (hereinafter GBH).</w:t>
      </w:r>
    </w:p>
    <w:p>
      <w:r>
        <w:t>* In this version, some data is omitted, as there are deemed to be elements of confidentiality or secrecy of the information.</w:t>
      </w:r>
    </w:p>
    <w:p>
      <w:r>
        <w:rPr>
          <w:b/>
        </w:rPr>
        <w:t>[Pages 157–159]</w:t>
      </w:r>
    </w:p>
    <w:p>
      <w:r>
        <w:t>BULLETIN NO. 21 OF JUNE 6, 2022 159</w:t>
        <w:br/>
        <w:t>6. In 2020, the total revenue generated in Italy by Lifenet and the healthcare facilities controlled by it, net of intercompany transactions, amounted to approximately [31-100] million euros.</w:t>
        <w:br/>
        <w:t>II. DESCRIPTION OF THE OPERATION</w:t>
        <w:br/>
        <w:t>7. The operation in question consists of the acquisition of joint control of the company Lifenet by Exor and Invin, the current controlling entity. The operation is structured in two phases: (i) the sale by Invin to Exor of a stake in Lifenet equal to 7.78%; and (ii) the subsequent subscription, by Exor, of a reserved capital increase of Lifenet. Once the operation is completed, the capital of Lifenet will thus be held: 54.13% by Invin; 44.67% by Exor; and 1.20% by GBH.</w:t>
        <w:br/>
        <w:t>8. In the context of the operation, it is planned that Invin, Exor, and GBH will subscribe to a shareholders' agreement that, inter alia, will regulate the governance of Lifenet (“Shareholders' Agreement”). According to Article 3 of the Shareholders' Agreement, the Board of Directors will consist of 5 (or 7) Directors, of which 3 (or 4) will be appointed by Invin and 2 (or 3) will be appointed by Exor. According to the provisions of the Shareholders' Agreement, the resolutions of the Board of Directors on certain reserved matters (which include, among others, the appointment of a CEO different from the one in office at the date of effectiveness of the operation and the approval of the budget) will be adopted only with the favorable vote of at least one Director appointed by Exor, as well as, necessarily, with the favorable vote of the Directors appointed by Invin. For this reason, the operation will result in the transition from exclusive control of Lifenet by Invin to joint control of the Target by Invin and Exor.</w:t>
        <w:br/>
        <w:t>III. QUALIFICATION OF THE OPERATION</w:t>
        <w:br/>
        <w:t>9. The communicated operation, as it involves the acquisition of joint control of companies, constitutes a concentration pursuant to Article 5, paragraph 1, letter b), of Law No. 287/1990.</w:t>
        <w:br/>
        <w:t>10. It falls within the scope of application of Law No. 287/1990, as the conditions set out in Article 1 of EC Regulation 139/2004 do not apply, and is subject to the obligation of prior notification provided for by Article 16, paragraph 1, of the same law, as the total revenue generated in the last financial year at the national level by the group of companies involved was over 517 million euros, and the total revenue generated individually in the last financial year at the national level by at least two of the companies involved was over 31 million euros.</w:t>
        <w:br/>
        <w:t>IV. EVALUATION OF THE CONCENTRATION</w:t>
        <w:br/>
        <w:t>The relevant markets</w:t>
        <w:br/>
        <w:t>11. Due to the activities carried out by the acquired company, the concentration in question concerns the healthcare sector and, specifically, the provision of outpatient and hospital services. In contrast, Exor, Invin, and their subsidiaries are not active in the healthcare sector in Italy. In this case, it is not necessary to arrive at a precise definition of the relevant product market considering that, regardless of the definition adopted, the assessment of the operation would not change.</w:t>
        <w:br/>
        <w:t>12. According to the Authority's decision-making practice, within the healthcare sector, a distinction is made, also due to the different characteristics and modes of service delivery, between (i) social and socio-healthcare services, (ii) outpatient healthcare services, and (iii) hospital healthcare services. Each of these services identifies a distinct relevant product market. In particular, social and socio-healthcare services are offered by public and private operators, who provide long-term care beds in social welfare residences, community housing, therapeutic communities, sheltered housing, family homes, nursing homes, etc. Outpatient specialist care includes the services provided by the Regional Tariff Nomenclature (NT) of Specialist Services, which can be provided at healthcare facilities to patients not hospitalized. Outpatient services can be provided by both public facilities belonging to the NHS and private facilities and/or professionals accredited with the NHS or outside of that regime. Furthermore, these services are performed at specialist outpatient clinics, both intra- and extra-hospital, at residential or semi-residential facilities, and at the patient's home. Hospital care involves the provision of services also in a hospitalization regime. Regarding hospital healthcare services, two categories of service providers can be identified, depending on their nature, public or private. For the former, Local Health Authorities (Asl) and Hospital Companies (AO) are allowed to provide hospital services as well as specialist services, instrumental diagnostics, and laboratory services, using either their own facilities, other healthcare institutions (public or private), and/or private professionals. Private facilities, on the other hand, provide hospital healthcare services in accreditation with the NHS, or outside of that regime.</w:t>
        <w:br/>
        <w:t>13. According to the Authority, from the supply side, each of the markets for outpatient and hospital healthcare services could be further distinguished based on the public or private nature of the service providers. Furthermore, an additional segmentation of the aforementioned product markets could be made based on the regime of the services provided (i.e., services provided through the NHS and services provided in a private regime). This is because patients who turn to public or accredited private facilities pay only the so-called health ticket - the amount of which varies depending on the requested service, income, and the region in which the facility is located - while the remaining part is borne by the NHS according to rates established at the regional level. Conversely, patients who receive a healthcare service in a private regime (at a private facility) bear the entire cost of the service. In any case, in its previous decisions, the Authority has left open the exact product market definition of outpatient and hospital healthcare services.</w:t>
        <w:br/>
        <w:t>14. Even in this case, a precise delimitation of the product scope is not necessary, as the assessment of it would not change.</w:t>
        <w:br/>
        <w:t>15. Regarding the geographical dimension of the aforementioned markets, the Authority has considered that the markets for outpatient healthcare services and hospital services have regional dimensions, considering: (i) the proximity constraint with the place of care that characterizes the needs of demand; and (ii) the Italian regulatory framework, which provides for regulation at the regional level of authorization and accreditation systems.</w:t>
        <w:br/>
        <w:t>16. However, even with reference to the geographical extent of the relevant market, in this case, the exact delimitation of it does not appear necessary.</w:t>
        <w:br/>
        <w:t>The effects of the operation</w:t>
        <w:br/>
        <w:t>17. Since the acquiring companies, Exor and Invin, are not active in the healthcare sector and, therefore, do not operate in the markets where Lifenet is active, the operation will not generate overlaps between the Parties. Additionally, both at the national and regional levels, the shares held by Lifenet in the identified markets are always below [1-5%], against competing operators that have shares equal to or greater than those of the Target.</w:t>
        <w:br/>
        <w:t>18. It is therefore believed that the operation is not likely to alter the competitive structure of the relevant markets, however defined.</w:t>
        <w:br/>
        <w:t>CONSIDERING, therefore, that the operation in question does not entail, pursuant to Article 6, paragraph 1, of Law No. 287/1990, the establishment or strengthening of a dominant position in the relevant markets, such as to eliminate or substantially and durably reduce competition;</w:t>
        <w:br/>
        <w:t>RESOLVES</w:t>
        <w:br/>
        <w:t>not to initiate the investigation referred to in Article 16, paragraph 4, of Law No. 287/1990. The above conclusions will be communicated, pursuant to Article 16, paragraph 4, of Law No. 287/1990, to the companies involved and to the Minister of Economic Development. This provision will be published in the Bulletin of the Antitrust Authority.</w:t>
        <w:br/>
        <w:t>THE SECRETARY GENERAL THE PRESIDENT</w:t>
        <w:br/>
        <w:t>Guido Stazi Roberto Rustichelli</w:t>
      </w:r>
    </w:p>
    <w:p>
      <w:r>
        <w:rPr>
          <w:b/>
        </w:rPr>
        <w:t>[Pages 160–162]</w:t>
      </w:r>
    </w:p>
    <w:p>
      <w:r>
        <w:t xml:space="preserve">BULLETIN NO. 21 OF JUNE 6, 2022  </w:t>
        <w:br/>
        <w:t xml:space="preserve">C12443 - BPER BANK/BANCA CARIGE  </w:t>
        <w:br/>
        <w:t xml:space="preserve">Provision No. 30165  </w:t>
        <w:br/>
        <w:t xml:space="preserve">THE ANTITRUST AUTHORITY  </w:t>
        <w:br/>
        <w:t xml:space="preserve">IN ITS MEETING of May 31, 2022;  </w:t>
        <w:br/>
        <w:t xml:space="preserve">HEARD the Rapporteur Professor Michele Ainis;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from BPER Banca S.p.A., received on March 31, 2022 and supplemented on April 19, 2022;  </w:t>
        <w:br/>
        <w:t xml:space="preserve">HAVING REGARD TO the opinion of IVASS, received on May 30, 2022;  </w:t>
        <w:br/>
        <w:t xml:space="preserve">HAVING REGARD TO the documentation on file;  </w:t>
        <w:br/>
        <w:t xml:space="preserve">CONSIDERED the following:  </w:t>
        <w:br/>
        <w:t xml:space="preserve">I. THE PARTIES  </w:t>
        <w:br/>
        <w:t xml:space="preserve">1. BPER Banca S.p.A. (hereinafter, "BPER") is a publicly traded company listed on the Milan Stock Exchange, at the head of the eponymous banking group active in the provision of banking, financial, and insurance services and products. BPER primarily operates in the traditional banking sector (deposit collection and credit provision), as well as in the distribution of insurance products (life and non-life), and, to a lesser extent, in investment banking, asset management (through mutual funds, individual asset management, and complementary pension products), in the administered savings market, in consumer credit, factoring and leasing, and payment services. The BPER group is present in almost all Italian regions with 1,742 branches as of December 31, 2021. The revenue generated by BPER in Italy in 2021, calculated pursuant to Article 16, paragraph 2, Law No. 287/90, is approximately 13 billion euros.  </w:t>
        <w:br/>
        <w:t xml:space="preserve">2. Banca Carige S.p.A. (hereinafter, "Carige") is a company, listed on the Milan Stock Exchange, at the head of the eponymous banking group active in the traditional banking sector, in the distribution of insurance products (life and non-life), in investment banking, in asset management, in the administered savings market, in consumer credit, factoring, leasing, and payment services. It is present in 13 Italian regions but primarily rooted in Liguria. Carige is controlled by the Interbank Deposit Protection Fund ("FITD") and the Voluntary Intervention Scheme of the Interbank Deposit Protection Fund ("SVI"), which jointly hold 79.992% of it.  </w:t>
        <w:br/>
        <w:t xml:space="preserve">BPER is not controlled by any entity, and the main shareholders are: Fondazione di Sardegna (10.2%), Unipol Gruppo S.p.A. (18.9%), Norges Bank (2.8%); the remaining share capital is widely distributed.  </w:t>
        <w:br/>
        <w:t xml:space="preserve">They also hold stakes in Carige Cassa Centrale Banca – Credito cooperativo italiano with 8.341% and other shareholders with 11.667%.  </w:t>
        <w:br/>
        <w:t xml:space="preserve">The revenue generated by Carige in Italy in 2021, calculated pursuant to Article 16, paragraph 2, Law No. 287/90, is approximately [2-3]* billion euros.  </w:t>
        <w:br/>
        <w:t xml:space="preserve">II. DESCRIPTION OF THE OPERATION  </w:t>
        <w:br/>
        <w:t xml:space="preserve">3. The operation consists of BPER acquiring exclusive control of Carige. To this end, on February 14, 2022, BPER signed a contract with the Interbank Deposit Protection Fund (FITD) and the Voluntary Intervention Scheme of the Interbank Fund (SVI), which jointly hold control of Carige with 79.992%, concerning the purchase by BPER of a 79.981% stake in Carige.  </w:t>
        <w:br/>
        <w:t xml:space="preserve">4. An essential element of the concentration operation, in light of the integration of the Form submitted on April 19, 2022, is the transfer by BPER to Banco di Desio e della Brianza S.p.A. (hereinafter, "Banco Desio") of a business unit consisting, in its so-called Base Perimeter, of 48 branches, specifically:  </w:t>
        <w:br/>
        <w:t xml:space="preserve">- 13 branches in Sardinia, of which 8 constitute 100% of the branches subject to acquisition under the notified operation, and 5 are subject to the measure imposed by provision C12231 (BPER/Unipol) and currently subject to the related compliance procedure (C12231B);  </w:t>
        <w:br/>
        <w:t xml:space="preserve">- 19 branches in Liguria (of which 6 in the province of Genoa, 6 in the province of La Spezia, 5 in the province of Savona, and 2 in the province of Imperia);  </w:t>
        <w:br/>
        <w:t xml:space="preserve">- 4 branches in Tuscany, all in the province of Massa Carrara;  </w:t>
        <w:br/>
        <w:t xml:space="preserve">- 7 branches in Emilia Romagna (of which 2 in the province of Modena, 2 in the province of Bologna, 1 in the province of Piacenza, 1 in the province of Reggio Emilia, and 1 in the province of Rimini);  </w:t>
        <w:br/>
        <w:t xml:space="preserve">- 5 branches in Lazio (of which 3 in the province of Rome, 1 in the province of Frosinone, and 1 in the province of Latina).  </w:t>
        <w:br/>
        <w:t xml:space="preserve">5. For the acquisition of the aforementioned bank branches, Banco Desio submitted an offer, accepted by BPER, which is binding, not only concerning the subjective profile (as the contracting parties are, in fact, BPER and Banco Desio) but also concerning the objective profile (as the subject of the transfer consists, as the so-called Base Perimeter of the business unit, of the 48 branches mentioned above)3.  </w:t>
        <w:br/>
        <w:t xml:space="preserve">6. The purchase operation by BPER of exclusive control of Carige is conditionally suspended pending the authorization of the AGCM and the ECB. Upon the fulfillment of the suspensive conditions, as well as concurrently with the purchase by BPER of the stake subject to the contract, [omitted].  </w:t>
        <w:br/>
        <w:t xml:space="preserve">7. In accordance with Article 106 of the TUF, the completion of the operation will entail the obligation for BPER to promote a public offer for the remaining shares of Carige.  </w:t>
        <w:br/>
        <w:t xml:space="preserve">* In this version, some data are omitted, as elements of confidentiality or secrecy of the information were deemed to exist.  </w:t>
        <w:br/>
        <w:t xml:space="preserve">3 The consideration for the acquisition of the business unit is indicated in a range in the Binding Offer signed, and it is expected that the final amount will be determined following a so-called confirmatory due diligence to be completed in 4 weeks. Following this due diligence, by May 31, 2022, a definitive contract will be signed that will determine the transfer of the aforementioned business unit and will contain the precise indication of the consideration.  </w:t>
        <w:br/>
        <w:t xml:space="preserve">III. QUALIFICATION OF THE OPERATION  </w:t>
        <w:br/>
        <w:t xml:space="preserve">8. The notified operation, as it involves the acquisition of exclusive control of a company, constitutes a concentration pursuant to Article 5, paragraph 1, letter b), of Law No. 287/90.  </w:t>
        <w:br/>
        <w:t xml:space="preserve">It falls within the scope of application of Law No. 287/90, as the conditions set out in Article 1 of Regulation (EC) No. 139/04 do not apply, and it is subject to the obligation of prior notification provided for by Article 16, paragraph 1, of the same law (as amended by Article 1, paragraph 177, of Law No. 124 of August 4, 2017, in force since August 29, 2017), as the total revenue, calculated pursuant to Article 16, paragraph 2, of Law No. 287/90, generated in the last financial year at the national level by the group of companies involved was over 517 million euros, and the revenue generated individually, at the national level, by at least two of them is over 31 million euros.  </w:t>
        <w:br/>
        <w:t xml:space="preserve">9. An integral part of the operation, and therefore its essential element, is the transfer of the business unit referred to in the integration to the Form submitted on April 19, 2022: therefore, the operation will be assessed net of this transfer.  </w:t>
        <w:br/>
        <w:t xml:space="preserve">IV. THE OPINION OF IVASS  </w:t>
        <w:br/>
        <w:t xml:space="preserve">10. In an opinion received on May 30, 2022, IVASS highlighted that, based on the available information, it appears that the operation in question would not result in an alteration of the competitive balance in the insurance distribution market in the life and non-life sectors.  </w:t>
        <w:br/>
        <w:t xml:space="preserve">V. EVALUATION OF THE OPERATION  </w:t>
        <w:br/>
        <w:t xml:space="preserve">11. The operation concerns multiple markets included in the traditional banking, asset management, insurance, and payment instruments sectors, and in particular:  </w:t>
        <w:br/>
        <w:t xml:space="preserve">1. the banking collection market;  </w:t>
        <w:br/>
        <w:t xml:space="preserve">2. the lending markets (to consumer households, to producer households-small businesses; to medium and large enterprises; to public entities);  </w:t>
        <w:br/>
        <w:t xml:space="preserve">3. the asset management markets, including complementary pension schemes;  </w:t>
        <w:br/>
        <w:t xml:space="preserve">4. the administered savings market;  </w:t>
        <w:br/>
        <w:t xml:space="preserve">5. the markets for the distribution of life and non-life insurance products;  </w:t>
        <w:br/>
        <w:t xml:space="preserve">6. the payment instruments market (credit and debit cards);  </w:t>
        <w:br/>
        <w:t xml:space="preserve">7. the consumer credit market (direct and targeted).  </w:t>
        <w:br/>
        <w:t xml:space="preserve">12. In the following paragraphs, the operation will be analyzed in the relevant markets as defined based on the established practice of the Authority.  </w:t>
        <w:br/>
        <w:t xml:space="preserve">1) TRADITIONAL BANKING ACTIVITY  </w:t>
        <w:br/>
        <w:t xml:space="preserve">a) Banking collection market  </w:t>
        <w:br/>
        <w:t>13. The banking collection market identifies the entirety of direct banking collection from ordinary customers through free and fixed-term current accounts, savings deposits, savings bonds,</w:t>
      </w:r>
    </w:p>
    <w:p>
      <w:r>
        <w:rPr>
          <w:b/>
        </w:rPr>
        <w:t>[Pages 163–165]</w:t>
      </w:r>
    </w:p>
    <w:p>
      <w:r>
        <w:t>BULLETIN NO. 21 OF JUNE 6, 2022 165</w:t>
        <w:br/>
        <w:t>as well as certificates of deposit. This definition of the banking collection market does not include postal collection4.</w:t>
      </w:r>
    </w:p>
    <w:p>
      <w:r>
        <w:t>14. Considering the low mobility on the demand side, the banking collection market has local territorial relevance, which, in practice, the Authority has deemed to correspond, in the first approximation, to provincial boundaries. Only where the preliminary screening conducted on a provincial basis makes it appropriate, is an analysis also carried out at the level of catchment areas5.</w:t>
      </w:r>
    </w:p>
    <w:p>
      <w:r>
        <w:t>15. Furthermore, it is noted that, according to the Authority's practice6, the market shares of collection and loans are calculated using data collected based on the "branch location" criterion, which appears to appropriately represent the operators' ability to exercise their market power over demand; this is particularly true with reference to banking markets of a local dimension (markets for collection, loans to consumer households, and loans to producer households and small enterprises). In fact, as already established by the Authority, from the consumer's perspective, also considering the willingness and/or necessity for users to maintain a relationship with the branch, competition among banks occurs at the local level, in terms of the ability to attract customers to their branches located in the territory7.</w:t>
      </w:r>
    </w:p>
    <w:p>
      <w:r>
        <w:t>16. In this specific case, as a result of the overall operation considered (and therefore net of the transfer to Banco Desio of the aforementioned business unit), no provincial market will reach a significant post-merger market share.</w:t>
      </w:r>
    </w:p>
    <w:p>
      <w:r>
        <w:t>17. In particular, in the provinces of Sardinia, the operation is neutral with respect to the position already held by BPER, as the transfer to Banco Desio of 100% of the Carige branches subject to acquisition is planned; moreover, the position already held by BPER is reduced through the transfer of the additional 5 branches subject to the measure referred to in proceeding C12231 (BPER/Unipol).</w:t>
      </w:r>
    </w:p>
    <w:p>
      <w:r>
        <w:t>18. In no other provincial market affected by the operation will the joint share held by the Parties exceed 25%.</w:t>
      </w:r>
    </w:p>
    <w:p>
      <w:r>
        <w:t>19. Considering the above, the operation does not result in restrictive effects on competition in the collection market.</w:t>
      </w:r>
    </w:p>
    <w:p>
      <w:r>
        <w:t>b) Loan Markets</w:t>
      </w:r>
    </w:p>
    <w:p>
      <w:r>
        <w:t>20. Within the scope of loans, short-term, medium-term, and long-term credit are included, in various and possible technical forms. From the demand perspective, loans can be distinguished based on the type of subjects in favor of whom they are made, specifically: (i) consumer households; (ii) producer households-small enterprises; (iii) medium and large enterprises; and (iv) public entities. These different categories of subjects, in fact, express different financing needs, for which banks offer diversified products/services, and for these reasons, constitute several relevant product markets.</w:t>
      </w:r>
    </w:p>
    <w:p>
      <w:r>
        <w:t>21. The different forms of expressed demand also seem to be characterized by differences in terms of mobility, and therefore in willingness to substitute the offer by seeking other loans in more or less broad geographical areas. In particular, the loan markets to households and small enterprises present a local territorial dimension, which in the Authority's practice has been assessed in the first approximation at the provincial level, conducting, where appropriate, in analogy with the banking collection, also an analysis at the catchment area level.</w:t>
      </w:r>
    </w:p>
    <w:p>
      <w:r>
        <w:t>Loans to consumer households and loans to producer households-small enterprises</w:t>
      </w:r>
    </w:p>
    <w:p>
      <w:r>
        <w:t>22. In the case at hand, both in the market for loans to consumer households and in that for loans to producer households-small enterprises, in no local market affected do the joint shares of the Parties appear significant8.</w:t>
      </w:r>
    </w:p>
    <w:p>
      <w:r>
        <w:t>23. In particular, with regard to the market for loans to consumer households, while maintaining the above observations regarding the sterilization, through the transfer of the business unit to Banco Desio, of the effects of the operation in the provinces of Sardinia, in all other provincial markets the post-merger share will be below 25%, except for the province of Savona where the aggregated share will still be below 30%.</w:t>
      </w:r>
    </w:p>
    <w:p>
      <w:r>
        <w:t>24. With regard to the market for loans to producer households-small enterprises, reiterating the above with respect to sterilization, through the transfer of the business unit to Banco Desio, of the effects of the operation in the provinces of Sardinia, and noting that in some provinces there is no increase in BPER's share because Carige was not active there, in all other affected provincial markets the post-merger share will be below 30%, except for the provinces of Genoa and Savona where the aggregated share will still be below 35% and where, as a result of the transfer of the business unit, the operation proves pro-competitive as the significant share already held by Carige there decreases as a result of the concentration.</w:t>
      </w:r>
    </w:p>
    <w:p>
      <w:r>
        <w:t>25. In light of the above considerations, it is believed that the operation in question does not result in restrictive effects on competition in the markets for loans to consumer households and loans to producer households-small enterprises.</w:t>
      </w:r>
    </w:p>
    <w:p>
      <w:r>
        <w:t>Loans to medium-large enterprises</w:t>
      </w:r>
    </w:p>
    <w:p>
      <w:r>
        <w:t>26. As for the market for loans to medium-large enterprises, it has a territorial dimension assessed in the first approximation at the regional level, given the greater mobility of these subjects compared to the previous segments of demand. In this regard, adopting the branch location criterion, while maintaining the above observations regarding the neutralization of the effects of the operation in the Sardinia region due to the transfer of the business unit to Banco Desio, in no region will the post-merger share exceed 25%9.</w:t>
      </w:r>
    </w:p>
    <w:p>
      <w:r>
        <w:t>27. The operation therefore does not result in restrictive effects on competition in the market for loans to medium-large enterprises.</w:t>
      </w:r>
    </w:p>
    <w:p>
      <w:r>
        <w:t>Loans to public entities</w:t>
      </w:r>
    </w:p>
    <w:p>
      <w:r>
        <w:t>28. In relation to the market for loans to public entities, in light of the Authority's practice10, it seems possible to consider that this market has a geographically national extension, while noting that, given the heterogeneity of public entities (by nature and size), in certain specific circumstances it may be necessary to resort to a more restricted identification of the geographical scope concerned.</w:t>
      </w:r>
    </w:p>
    <w:p>
      <w:r>
        <w:t>29. At the national level, as a result of the operation, the post-merger share, calculated according to the "counterparty residence" criterion and considering the increasing presence of Cassa Depositi e Prestiti S.p.A. (hereinafter also "CDP"), is below 1%.</w:t>
      </w:r>
    </w:p>
    <w:p>
      <w:r>
        <w:t>30. Even considering the joint shares of the parties at the regional level, these, also calculated according to the counterparty residence criterion and considering CDP, will always be positioned at average values below 10%11. Therefore, even in the market for loans to public entities, no competitive issues are identified.</w:t>
      </w:r>
    </w:p>
    <w:p>
      <w:r>
        <w:t>2) MARKET FOR ADMINISTERED SAVINGS</w:t>
      </w:r>
    </w:p>
    <w:p>
      <w:r>
        <w:t>31. The services of administered savings include the activity of collecting, transmitting, and negotiating orders in financial instruments on behalf of an investor who has made the conferment of individual orders to the same intermediaries. The provision of services related to the administered savings market is closely linked to traditional banking activity and, in particular, to the banking collection market, considering the high correlation between holding a current account and a securities account at the same banking institution12. The administered savings market has a provincial dimension, considering the limited willingness to move on the part of the final clientele.</w:t>
      </w:r>
    </w:p>
    <w:p>
      <w:r>
        <w:t>32. In this context, based on estimates provided by BPER – based on the market shares held by the Parties in the collection market which, in this case, would represent a suitable proxy – the operation, net of the transferred business unit, does not raise competitive issues.</w:t>
      </w:r>
    </w:p>
    <w:p>
      <w:r>
        <w:t>33. In particular, as mentioned above, in the provinces of Sardinia the operation is neutral with respect to the position already held by BPER, as the transfer to Banco Desio of 100% of the Carige branches subject to acquisition is planned; moreover, the position already held by BPER is reduced through the transfer of the additional 5 branches subject to the measure referred to in proceeding C12231 (BPER/Unipol).</w:t>
      </w:r>
    </w:p>
    <w:p>
      <w:r>
        <w:t>34. In no other provincial market of administered savings will the joint share held by the Parties exceed 25%.</w:t>
      </w:r>
    </w:p>
    <w:p>
      <w:r>
        <w:rPr>
          <w:b/>
        </w:rPr>
        <w:t>[Pages 166–168]</w:t>
      </w:r>
    </w:p>
    <w:p>
      <w:r>
        <w:t>168 BULLETIN NO. 21 OF JUNE 6, 2022</w:t>
        <w:br/>
        <w:t>3) MANAGED SAVINGS SECTOR</w:t>
        <w:br/>
        <w:t>35. Within the managed savings sector, various activities are included, corresponding to distinct product markets and related to: (i) the management of mutual investment funds; (ii) individual management of financial assets (GPM) and in funds (GPF); and (iii) management of complementary pension products.</w:t>
        <w:br/>
        <w:t>36. Furthermore, the services offered within the managed savings sector typically have an upstream management phase and a downstream distribution phase, each of which leads to the identification of distinct markets along the supply chain, both in geographical and product terms. The production phase, according to the Authority's consistent practice, has a national geographical dimension, being normally centralized and homogeneous throughout the Italian territory. Regarding the distribution market, however, considering the limited mobility of demand, the geographical dimension has been defined by the Authority, in the first approximation, at the provincial level. With reference to the pension sector, there are differences between contractual pension funds, open pension funds, and individual pension plans (PIP) that may affect the definition of the geographical market, which can have a broader, typically national scope, but, also depending on the relevance of individual memberships, may require an extended screening to smaller local areas.</w:t>
        <w:br/>
        <w:t>37. The estimates provided by BPER to assess the competitive conditions in these markets are based on the market shares held by the Parties in the collection market which, in this case, would represent a suitable proxy.</w:t>
        <w:br/>
        <w:t>a) Management of mutual investment funds</w:t>
        <w:br/>
        <w:t>38. A mutual investment fund is an autonomous asset, divided into shares, belonging to multiple participants, managed collectively. As mentioned, the activity related to mutual investment funds presents two phases that identify two distinct markets: production and distribution. In this context, based on the information provided, the operation does not create overlaps at the production level but only at the downstream distribution level, where BPER has concluded distribution agreements with, inter alia, Arca SGR and Etica SGR, and Carige with Arca SGR.</w:t>
        <w:br/>
        <w:t>39. Based on the estimates provided by BPER – based on the market shares held by the Parties in the collection market which, in this case, would represent a suitable proxy – the operation, net of the divested business unit, does not raise competitive concerns, as the aggregate share of the Parties will be below 25% in all relevant provincial markets.</w:t>
        <w:br/>
        <w:t>b) Individual management of financial assets (GPM) and in funds (GPF)</w:t>
        <w:br/>
        <w:t>40. Individual management of financial assets (GPM) is an activity carried out by banks, investment firms, and asset management companies, based on a mandate granted by the client. Unlike collective management, the assets of each client remain distinct from those of others. Wealth management in funds (GPF) also has the peculiarity that the client's financial resources are invested in shares of mutual investment funds. GPFs are assimilated to collective management even though, from a contractual point of view, they have a common element with individual management, as the client can request the manager to modify the composition of the portfolio, always choosing among shares of mutual funds.</w:t>
        <w:br/>
        <w:t>41. The Parties have communicated that they are only present in the distribution phase of individual management services (GPM and GPF). More specifically, BPER provides this service exclusively through the management delegation to Optima S.p.A. SIM, while Carige does so through its subsidiary, Banca Cesare Ponti.</w:t>
        <w:br/>
        <w:t>42. Also in this market, in light of the estimates provided by BPER – based on the market shares held by the Parties in the collection market which, in this case, would represent a suitable proxy – the operation, net of the divested business unit, does not raise competitive concerns, as the aggregate share of the Parties will be below 25% in all relevant provincial markets.</w:t>
        <w:br/>
        <w:t>c) Management of complementary pension products</w:t>
        <w:br/>
        <w:t>43. Complementary pension aims to meet the income needs of workers during their retirement phase. This objective is pursued in Italy through a pension structure based on two different intervention methods: (i) mandatory pension; (ii) complementary pension, realized through the use of contractual pension funds (or closed), open pension funds, and individual pension policies (PIP).</w:t>
        <w:br/>
        <w:t>44. As mentioned, there are differences between contractual pension funds, open pension funds, and PIPs that may affect the definition of the geographical market. In particular, contractual pension funds are established for individual companies or groups of companies, for categories of workers, sometimes for territorial grouping; they are subject to a national collective agreement, or to company agreements or regulations and are managed, based on contributions, by SGRs, insurance companies, or banks. Open pension funds, on the other hand, are established and managed directly by banks, insurance companies, and SGRs and can be either collectively subscribed (like contractual funds) or individual. Finally, PIPs are individual subscription complementary pension contracts.</w:t>
        <w:br/>
        <w:t>45. Both BPER and Carige only distribute open pension funds (the Arca Previdenza fund of Arca SGR).</w:t>
        <w:br/>
        <w:t>46. In this context, based on the estimates provided by BPER – based on the market shares held by the Parties in the collection market which, in this case, would represent a suitable proxy – the operation, net of the divested business unit, does not raise competitive concerns, as the aggregate share of the Parties will be below 25% in all relevant provincial markets.</w:t>
        <w:br/>
        <w:t>47. In light of the above, it is believed that the operation is not likely to produce antitrust concerns in the managed savings markets.</w:t>
        <w:br/>
        <w:t>4) OTHER CREDIT MARKETS AND PAYMENT SYSTEMS</w:t>
        <w:br/>
        <w:t>a) Consumer credit market</w:t>
        <w:br/>
        <w:t>48. The operation also concerns the consumer credit sector, which involves the granting of credit in the form of payment deferral, financing, or other similar forms of facilitation in favor of a natural person acting for purposes unrelated to the entrepreneurial or professional activity carried out. According to the established orientation of the Authority, within the consumer credit sector, it is possible to distinguish two types of financing: (i) direct credit, granted in the form of personal loans without destination constraints, and (ii) targeted credit, that is, intended for the purchase of specific goods (vehicles, motorcycles, furniture, etc.). These two types of consumer credit present substantial differences in terms of service provided, methods of placement of financing, and related commercial conditions, the relationship between supply and demand; therefore, in accordance with previous cases, it is possible to consider them as two segments, if not two distinct markets, based on the service provided and the related commercial conditions.</w:t>
        <w:br/>
        <w:t>49. Regarding direct consumer credit, a peculiar element is the direct contact between the lender and the consumer, which creates a bilateral relationship. This includes financing primarily through personal loans, via revolving credit cards (that is, cards usable at all affiliated stores, associated with a line of credit that allows payments to be made in installments based on the customer's commitment to repay the amounts based on an agreed minimum monthly installment), as well as those through salary-backed loans. From a geographical perspective, the size of the direct consumer credit market is local and is typically confined to regional boundaries.</w:t>
        <w:br/>
        <w:t>50. Targeted consumer credit, on the other hand, is characterized by the granting of financing based on a trilateral relationship between the bank (or specialized financial company), the customer, and the affiliated dealer. Targeted credit includes financing for the purchase of various types of goods and/or services and, conventionally, is distinguished between credit aimed at the purchase of vehicles and credit aimed at the purchase of other goods or services. The geographical dimension of the targeted consumer credit market is national, considering the homogeneity of the characteristics of production and marketing of the services in question throughout the national territory.</w:t>
        <w:br/>
        <w:t>51. Based on the information provided by BPER, it is not present in the national targeted credit market, while in this market, Carige's presence is entirely marginal. In the regional markets of direct consumer credit, the joint share of the Parties reaches a maximum of [10-15]%.</w:t>
        <w:br/>
        <w:t>52. Therefore, given the contained positioning of the post-merger entity, the concentration is not likely to produce effects on competitive dynamics either in the national targeted credit market or in the regional direct consumer credit markets.</w:t>
        <w:br/>
        <w:t>b) Payment services markets</w:t>
        <w:br/>
        <w:t>53. Another sector affected by the operation is that of payment instruments via cards. Within the payment card sector, the Authority has previously identified three distinct markets: the card issuing market, the merchant acquiring market, and the operational and IT processing market.</w:t>
        <w:br/>
        <w:t>54. The activity of issuing payment cards (so-called card issuing) consists of a set of services aimed at providing payment cards (debit, credit, or prepaid) to end customers, who are typically represented by consumers. In particular, the card issuing activity mainly includes the offer of the card to the end customer (who becomes the holder), the</w:t>
      </w:r>
    </w:p>
    <w:p>
      <w:r>
        <w:rPr>
          <w:b/>
        </w:rPr>
        <w:t>[Pages 169–171]</w:t>
      </w:r>
    </w:p>
    <w:p>
      <w:r>
        <w:t>BULLETIN NO. 21 OF JUNE 6, 2022 171</w:t>
        <w:br/>
        <w:t>definition of the characteristics of the card and the related economic conditions (amount of the annual fee, commissions for cash advance service, statement sending fees, and other commissions), the credit assessment of the customer (i.e., whether the subject is creditworthy), the contractualization of the same, the management of relationships with the circuits, customer service and marketing activities, and the management of credit risk and fraud. More specifically, it should be noted that, regarding the economic and commercial policies related to such services, they are defined by the bank if the integrated model is adopted; conversely, if the bank limits itself to distributing the services and resorts to third-party companies for the issuing activity, the policies and criteria for product distribution, as well as pricing towards the final customers, can be defined by the third-party companies or by the banks, depending on the agreement.</w:t>
      </w:r>
    </w:p>
    <w:p>
      <w:r>
        <w:t>55. According to the Authority's practice, issuing can be divided based on the different types of payment instruments, distinguishing between credit and debit cards (including prepaid cards), corresponding to different product markets; however, more recently, the possibility of configuring a single market that would encompass all types of cards due to their substitutability from the supply side has been left open.</w:t>
      </w:r>
    </w:p>
    <w:p>
      <w:r>
        <w:t>56. Similarly, from a geographical point of view, the size of the payment card issuing market has been identified in practice within national borders, due to the homogeneity of the offering conditions of the described services throughout the national territory; however, even from this perspective, the possible redefinition of this market as having a size corresponding to the European Economic Area has been left open more recently.</w:t>
      </w:r>
    </w:p>
    <w:p>
      <w:r>
        <w:t>57. It is noted that, considering according to the most established practice debit and credit cards as two distinct national markets, due to the market positioning of the parties, the assessment of the present operation does not appear to raise critical issues. In fact, regarding the issuing of credit cards, in terms of the number of cards issued, BPER estimates its position to be approximately [5-10]% and Carige's position to be below [less than 1]%, with a post-merger share of approximately [5-10]%.</w:t>
      </w:r>
    </w:p>
    <w:p>
      <w:r>
        <w:t>58. In the debit card issuing market, in terms of the number of cards issued, BPER estimates its position to be approximately [5-10]% and Carige's position to be approximately [less than 1]%, resulting in a post-merger share of about [5-10]%.</w:t>
      </w:r>
    </w:p>
    <w:p>
      <w:r>
        <w:t>59. With reference to merchant acquiring services, based on recent practice, these services are articulated in the wholesale merchant acquiring market and the provision of POS and related services, having a geographical dimension that is supranational, equal to the EEA, and in the retail merchant acquiring market and the provision of POS and related services, having a national geographical dimension.</w:t>
      </w:r>
    </w:p>
    <w:p>
      <w:r>
        <w:t>60. In this case, such articulation can be left open as, with reference to credit cards, the Parties are not acquirers, while in the debit card market, this activity is carried out only to a marginal extent, with a post-merger market share in terms of affiliated establishments significantly below 15%.</w:t>
      </w:r>
    </w:p>
    <w:p>
      <w:r>
        <w:t>61. Considering the post-merger market shares, as well as the presence of numerous and qualified competitors, such as, among others, Nexi-SIA, Unicredit S.p.A., and BNP Paribas, as well as Poste Italiane S.p.A., it is not believed that the operation is likely to significantly impact the competitive dynamics of the affected markets.</w:t>
      </w:r>
    </w:p>
    <w:p>
      <w:r>
        <w:t>5) INSURANCE MARKETS</w:t>
      </w:r>
    </w:p>
    <w:p>
      <w:r>
        <w:t>62. With reference to the life and non-life insurance markets, according to the established orientation of the Authority, each branch of the life and non-life insurance sectors represents a distinct market. This distinction regarding the individual insurance branches is primarily based on the object of the service provided, the risks assumed, and the insurance coverage objective expressed by the demand of each individual branch. Furthermore, the non-life and life insurance markets are distinct, each, between the production phase, having a national geographical dimension, and the distribution phase, which is characterized by its local dimension, considered in the first approximation provincial according to the Authority's practice.</w:t>
      </w:r>
    </w:p>
    <w:p>
      <w:r>
        <w:t>63. The Parties have declared that they are active only in the market for the distribution of insurance products in both the life and non-life sectors.</w:t>
      </w:r>
    </w:p>
    <w:p>
      <w:r>
        <w:t>64. More specifically, regarding BPER, within the life and non-life insurance markets, it has concluded a distribution agreement with Arca Assicurazioni, Arca Vita, and Arca Vita International, belonging to the UnipolSai group, for which it distributes the respective products. Regarding Carige, it has concluded an agreement with Amissima concerning the distribution of life and non-life policies.</w:t>
      </w:r>
    </w:p>
    <w:p>
      <w:r>
        <w:t>65. With reference to the distribution of both life insurance products and non-life insurance products, BPER has provided an estimate based on public data, data from the parties, and market estimates prepared by the consulting company Prometeia.</w:t>
      </w:r>
    </w:p>
    <w:p>
      <w:r>
        <w:t>66. In the distribution of life insurance products, in most provinces, the joint market share of the Parties is below 15%, with the only exception being the province of Nuoro where it reaches [15-20]%.</w:t>
      </w:r>
    </w:p>
    <w:p>
      <w:r>
        <w:t>67. In the distribution of non-life insurance products, the post-merger share is even more limited, remaining below 10% in all affected provinces.</w:t>
      </w:r>
    </w:p>
    <w:p>
      <w:r>
        <w:t>68. In light of these data, no competitive issues arise in the insurance sector as a result of the operation.</w:t>
      </w:r>
    </w:p>
    <w:p>
      <w:r>
        <w:t>69. In conclusion, the operation, overall considered, in light of the preceding considerations, given the absence of horizontal and vertical critical issues, does not appear to cause significant alterations in the competitive structure of the affected markets.</w:t>
      </w:r>
    </w:p>
    <w:p>
      <w:r>
        <w:t>CONSIDERING, therefore, that the operation in question does not result, pursuant to Article 6, paragraph 1, of Law No. 287/90, in the establishment or strengthening of a dominant position in the affected markets, such as to eliminate or substantially and durably reduce competition;</w:t>
      </w:r>
    </w:p>
    <w:p>
      <w:r>
        <w:t>CONSIDERING that the realization of a concentration operation different from that communicated in its essential elements, as described above, may be subject to further evaluation pursuant to Article 16, paragraph 7, of Law No. 287/90;</w:t>
      </w:r>
    </w:p>
    <w:p>
      <w:r>
        <w:t>RESOLVES</w:t>
        <w:br/>
        <w:t>not to initiate the investigation referred to in Article 16, paragraph 4, of Law No. 287/90.</w:t>
      </w:r>
    </w:p>
    <w:p>
      <w:r>
        <w:t>BULLETIN NO. 21 OF JUNE 6, 2022 173</w:t>
        <w:br/>
        <w:t xml:space="preserve">The above conclusions will be communicated, pursuant to Article 16, paragraph 4, of Law No. 287/90, to the interested companies and the Minister of Economic Development. </w:t>
        <w:br/>
        <w:t>This provision will be published in the Bulletin of the Antitrust Authority.</w:t>
      </w:r>
    </w:p>
    <w:p>
      <w:r>
        <w:t xml:space="preserve">THE SECRETARY GENERAL THE PRESIDENT </w:t>
        <w:br/>
        <w:t>Guido Stazi Roberto Rustichelli</w:t>
      </w:r>
    </w:p>
    <w:p>
      <w:r>
        <w:rPr>
          <w:b/>
        </w:rPr>
        <w:t>[Pages 172–174]</w:t>
      </w:r>
    </w:p>
    <w:p>
      <w:r>
        <w:t>174 BULLETIN NO. 21 OF JUNE 6, 2022</w:t>
        <w:br/>
        <w:t>ACTIVITY OF REPORTING AND CONSULTATION</w:t>
        <w:br/>
        <w:t>AS1838 - LOMBARDY REGION - REGIONAL LAW DECEMBER 16, 2021</w:t>
        <w:br/>
        <w:t>REGARDING SPORTS PROFESSIONS RELATED TO MOUNTAINS</w:t>
        <w:br/>
        <w:t>Rome, April 22, 2022</w:t>
        <w:br/>
        <w:t>Lombardy Region</w:t>
        <w:br/>
        <w:t>With reference to the request for an opinion made, pursuant to art. 3, paragraph 3, of Legislative Decree 142/2020, by this Administration regarding the amendments to art. 11 of Regional Law no. 26/2014 introduced by art. 13 of Regional Law no. 23/2021, concerning the exercise of sports professions related to mountains and, in particular, access to the profession of aspiring guide, the Competition Authority, in its meeting of April 20, 2022, observed the following.</w:t>
        <w:br/>
        <w:t>Preliminarily, the Authority notes that this proportionality assessment is limited, as requested by the Lombardy Region, to the amendments made to Regional Law no. 26/2014, without this resulting in an assessment of the law as a whole, also in light of the observations already made by the Authority itself regarding the national regulation1.</w:t>
        <w:br/>
        <w:t>In particular, the Authority believes that, taking into account the reasons highlighted in the information table attached to the request for an opinion, the regulatory amendments to the exercise of the alpine guide profession introduced by art. 13 of Regional Law no. 23/2021 essentially consist of dividing the level of aspiring guide, already identified by the relevant state legislation, into two levels (first-level aspiring guide and second-level aspiring guide), allowing the first-level aspiring guide only the less demanding activities, while the second-level aspiring guide can perform all activities of the aspiring guide pursuant to Law no. 6/1989.</w:t>
        <w:br/>
        <w:t>In Annex 1, the Region stated that this amendment aims to facilitate access to the profession, in order to increase the safety of users who, being able to rely on a greater number of professionals, avoid venturing into the mountains independently, exposing themselves to risky situations.</w:t>
        <w:br/>
        <w:t>1 See report AS460 of 06/19/2008 in Bulletin 22/08.</w:t>
      </w:r>
    </w:p>
    <w:p>
      <w:r>
        <w:t>BULLETIN NO. 21 OF JUNE 6, 2022 175</w:t>
        <w:br/>
        <w:t>However, regardless of the circumstance that the availability of a greater number of professionals for less risky mountain activities may in practice and automatically translate into greater purchasing of professional services by users, it is noted that the regulatory amendment in question creates a specific qualification of aspiring guide that does not appear to be inherently restrictive of competition, provided that the related training course is proportionate to the type of activity connected to the required qualification. In this regard, it is recalled that according to Annex 1, the facilitation of access to the profession of aspiring guide occurs "by allowing the candidate to access the level of the profession from a starting level presumably compatible with the skills acquired at an amateur level."</w:t>
        <w:br/>
        <w:t>Conversely, the provision that access to training for second-level aspiring guide is conditional upon the prior attainment of the qualification for first-level aspiring guide does not appear proportionate to the pursued objective, as this provision (art. 11, paragraph 2-sexies introduced by the aforementioned art. 13 of Regional Law no. 23/2021) excludes the possibility of directly accessing the second level, making the path to access and professional growth more burdensome and lengthy, according to a process not provided for by the national legislator. The objective could be achieved, for example, by adequately structuring the training courses for direct access to the second level, recognizing the part of training possibly already completed for the first-level qualification and, in any case, without a subordination constraint between the two levels.</w:t>
        <w:br/>
        <w:t>This opinion will be published in the bulletin of the Competition Authority. Any confidentiality needs must be expressed within thirty days of receipt of the opinion, specifying the reasons.</w:t>
        <w:br/>
        <w:t>THE PRESIDENT</w:t>
        <w:br/>
        <w:t>Roberto Rustichelli</w:t>
      </w:r>
    </w:p>
    <w:p>
      <w:r>
        <w:t>176 BULLETIN NO. 21 OF JUNE 6, 2022</w:t>
        <w:br/>
        <w:t>UNFAIR BUSINESS PRACTICES</w:t>
        <w:br/>
        <w:t>PS11961 - ALTROCONSUMO CONNECT - BROKERAGE ACTIVITIES</w:t>
        <w:br/>
        <w:t>Provision no. 30151</w:t>
        <w:br/>
        <w:t>THE COMPETITION AUTHORITY</w:t>
        <w:br/>
        <w:t>IN ITS MEETING of May 10, 2022;</w:t>
        <w:br/>
        <w:t>HEARD the Rapporteur, President Roberto Rustichelli;</w:t>
        <w:br/>
        <w:t>VIEWED Part II, Title III, of Legislative Decree September 6, 2005, no. 206, and subsequent amendments (hereinafter, Consumer Code);</w:t>
        <w:br/>
        <w:t>VIEWED the "Regulation on investigative procedures regarding misleading and comparative advertising, unfair business practices, violation of consumer rights in contracts, violation of the prohibition of discrimination and unfair clauses" (hereinafter, Regulation), adopted by the Authority with resolution of April 1, 2015, no. 25411;</w:t>
        <w:br/>
        <w:t>VIEWED its resolution of December 21, 2021, with which pursuant to art. 7, paragraph 3, of the Regulation, the deadline for concluding the procedure was extended following the subjective extension of the procedure;</w:t>
        <w:br/>
        <w:t>VIEWED the communications received on February 8, 2022, and February 10, 2022, in which the Parties submitted commitments pursuant to article 27, paragraph 7, of the Consumer Code and article 9 of the Regulation;</w:t>
        <w:br/>
        <w:t>VIEWED its resolution of February 22, 2022, with which pursuant to art. 7, paragraph 3, of the Regulation, the deadline for concluding the procedure for evaluating the commitments submitted by the Professionals was extended;</w:t>
        <w:br/>
        <w:t>VIEWED its resolution of April 27, 2022, with which pursuant to art. 7, paragraph 3, of the Regulation, the deadline for concluding the procedure was extended, for specific investigative needs;</w:t>
        <w:br/>
        <w:t>VIEWED the documents of the procedure;</w:t>
        <w:br/>
        <w:t>I. THE PARTIES</w:t>
        <w:br/>
        <w:t>1. Altroconsumo Connect S.r.l. (hereinafter also Altroconsumo Connect), as a professional, pursuant to art. 18, letter b), of the Consumer Code.</w:t>
        <w:br/>
        <w:t>2. Altroconsumo Edizioni S.r.l. (hereinafter also Altroconsumo Edizioni), as a professional, pursuant to art. 18, letter b), of the Consumer Code.</w:t>
        <w:br/>
        <w:t>3. National Association of Professional Insurance Agents (hereinafter also Anapa).</w:t>
      </w:r>
    </w:p>
    <w:p>
      <w:r>
        <w:rPr>
          <w:b/>
        </w:rPr>
        <w:t>[Pages 175–177]</w:t>
      </w:r>
    </w:p>
    <w:p>
      <w:r>
        <w:t>BULLETIN NO. 21 OF JUNE 6, 2022 177</w:t>
        <w:br/>
        <w:t>II. THE COMMERCIAL PRACTICE</w:t>
        <w:br/>
        <w:t>4. The procedure concerns the conduct of the company Altroconsumo Connect and the company Altroconsumo Edizioni consisting of the realization of a form of allegedly non-transparent advertising through the dissemination of a message aimed at promoting an insurance product "Long Term Care Policy", directed at the members of the consumer association Altroconsumo, found on the websites www.altroconsumo.it and www.altroconsumoconnect.it. In particular, the complex of information provided on the two sites did not allow for a clear distinction between the roles played by the consumer association, on one side, and the insurance broker Altroconsumo Connect on the other, as the two entities used similar names, the same logo, and the same graphic interface on both sites. Furthermore, the confusing effect stemmed from the existence of a link, generated by the button "Join the purchasing group", which from the site altroconsumo.it redirected to the website altroconsumoconnect.it.</w:t>
        <w:br/>
        <w:t>III. THE OUTCOMES OF THE PROCEDURE: THE PRESENTATION OF COMMITMENTS</w:t>
        <w:br/>
        <w:t>1) The procedure process</w:t>
        <w:br/>
        <w:t>5. In relation to the conduct described above, with a communication dated July 29, 2021, the initiation of the investigative procedure no. PS119611 was communicated to Altroconsumo Connect. In this context, the incorrectness of the conduct carried out by the company Altroconsumo Connect was hypothesized, which could constitute a violation of Articles 20, 21, and 22 of the Consumer Code, due to the content of the information disseminated on the websites altroconsumo.it and altroconsumoconnect.it that led consumers to believe that the Long Term Care policy was promoted by the Altroconsumo Association and not by an intermediary for profit, such as Altroconsumo Connect. Consequently, such information was deemed capable of inducing consumers to rely on the superior quality of the insurance policy, as it was apparently proposed by the consumer association.</w:t>
        <w:br/>
        <w:t>6. On August 3, 2021, the request for participation in the procedure from the Anapa Association was accepted.</w:t>
        <w:br/>
        <w:t>7. On August 9, 2021, Altroconsumo Connect accessed the documents of the procedure. The Anapa association accessed the following September 21, 2021.</w:t>
        <w:br/>
        <w:t>8. Altroconsumo Connect responded to the request for information made in the communication initiating the procedure with documents submitted on September 13, 2021. On October 6, 2021, Anapa also submitted a document.</w:t>
        <w:br/>
        <w:t>9. On November 15, 2021, the investigative procedure was subjectively extended to the company Altroconsumo Edizioni, as it emerged that this company manages the information channels directed at Altroconsumo members and, based on a Convention with the consumer association, also manages the website altroconsumo.it.</w:t>
        <w:br/>
        <w:t>10. The professionals submitted (Altroconsumo Connect, on September 27, 2021, and Altroconsumo Edizioni, on November 26, 2021, the latter together with the defense documents) a proposal for commitments aimed at removing the profiles of incorrectness of the contested commercial practice.</w:t>
        <w:br/>
        <w:t>11. On December 22, 2021, the extension of the deadline for concluding the procedure was communicated to the Parties.</w:t>
        <w:br/>
        <w:t>12. On February 7, 2022, Altroconsumo Connect accessed the documents of the procedure.</w:t>
        <w:br/>
        <w:t>13. The professionals Altroconsumo Connect and Altroconsumo Edizioni, following the Authority's invitation on January 19, 2022 for their integration, presented on February 8, 2022 an additional version of the commitments.</w:t>
        <w:br/>
        <w:t>14. On February 22, 2022, the extension of the deadline for concluding the procedure was communicated to the Parties.</w:t>
        <w:br/>
        <w:t>15. On February 24, 2022, the date of conclusion of the investigative phase was communicated to the Parties pursuant to Article 16, paragraph 1, of the Regulation.</w:t>
        <w:br/>
        <w:t>16. On March 9, 2022, the final documents from Altroconsumo Connect and Altroconsumo Edizioni were received.</w:t>
        <w:br/>
        <w:t>17. On March 16, 2022, a request for opinion was made to IVASS, which provided it on May 3, 2022.</w:t>
        <w:br/>
        <w:t>18. On March 16, 2022, a request for opinion was made to the Authority for Guarantees in Communications, which provided it on April 19, 2022.</w:t>
        <w:br/>
        <w:t>19. On April 29, 2022, the extension of the deadline for concluding the procedure was communicated to the Parties, pursuant to Article 7, paragraph 3, of the Regulation.</w:t>
        <w:br/>
        <w:t>2) The acquired elements</w:t>
        <w:br/>
        <w:t>20. From the surveys of the websites www.altroconsumo.it and www.altroconsumoconnect.it, carried out on March 29, 2021, May 31, 2021, and lastly on April 19, 2022, it emerged that on the Altroconsumo Association's website it is proposed to be part of a Purchasing Group, in order to obtain favorable contractual conditions for a Long Term Care policy. Specifically, the webpage of the Altroconsumo Association (www.altroconsumo.it/soldi/assicurazioni/news/una-polizza-per-anziani-non-autosufficienti) generally describes Long Term Care policies and promotes the aforementioned purchasing group, through the statement "Altroconsumo has launched a purchasing group to obtain favorable conditions for an LTC policy with contractual conditions verified by Altroconsumo and at good economic conditions, both for the premium to be paid and for the annuity or reimbursement of expenses recognized in the case of non-self-sufficiency," inviting to click on the link "JOIN THE PURCHASING GROUP"; from here, users are redirected to the registration page for the group on the Altroconsumo Connect site.</w:t>
        <w:br/>
        <w:t>21. On the aforementioned webpage of the company Altroconsumo Connect, www.altroconsumoconnect.it/gruppoacquisto/assicurailfuturo, Long Term Care policies in question are described and membership in the aforementioned purchasing group is proposed, of which the functioning is described. In particular, in the FAQ section, the characteristics of LTC policies are illustrated. It is also stated that "LTC policies arrived on the Italian market in 2000 and Altroconsumo immediately understood their potential. (...) there are many aspects to consider when evaluating the quality of an LTC policy and Altroconsumo Connect, the insurance broker of the Altroconsumo Group, can help you find a suitable product and above all at a fair price. For this reason, it is important to join our purchasing group. The more we are, the more we will increase our bargaining power with insurance companies and thus we can obtain the best possible product at an adequate price."</w:t>
        <w:br/>
        <w:t>22. In the General Conditions of joining the Group, it is stated that by joining the Purchasing Group, the member grants Altroconsumo Connect an exploratory mandate for the identification of an LTC insurance proposal. Once the offer is selected, Altroconsumo Connect will submit it to the members of the Group.</w:t>
        <w:br/>
        <w:t>3) The commitments of the Professionals</w:t>
        <w:br/>
        <w:t>23. With notes received on September 27, 2021, and November 26, 2021, Altroconsumo Connect and Altroconsumo Edizioni each presented a proposal for commitments, which coincided with each other, pursuant to Article 27, paragraph 7, of the Consumer Code. The definitive versions of the commitments, identical for both, were presented on February 8, 2022.</w:t>
        <w:br/>
        <w:t>24. In particular, these commitments - which in their definitive version are attached to this provision and constitute an integral part thereof - provide for the measures described below:</w:t>
        <w:br/>
        <w:t>Commitment No. 1: Altroconsumo Connect and Altroconsumo Edizioni commit to creating within the site altroconsumo.it a page https://www.altroconsumo.it/vantaggi-extra/assicurazioni, dedicated exclusively to insurance services. On this page, only the policies subject to agreements or purchasing groups of insurance products reserved for members will be listed. For each offer, there will be a button ("DISCOVER THE DETAILS") and the following information will be inserted, in proximity to the button and therefore before the user takes any further steps: "The services related to the insurance products illustrated on this page are provided by Altroconsumo Connect S.r.l., a commercial insurance brokerage company, and not by Altroconsumo Edizioni S.r.l. and the Altroconsumo Association. By clicking on the button "DISCOVER THE DETAILS" you access the site of Altroconsumo Connect S.r.l., the insurance broker established by the Altroconsumo Foundation, registered in the Register of Insurance Intermediaries (Section B No. B000525056) and subject to IVASS control. Altroconsumo Connect S.r.l. operates in the market and,</w:t>
      </w:r>
    </w:p>
    <w:p>
      <w:r>
        <w:rPr>
          <w:b/>
        </w:rPr>
        <w:t>[Pages 178–180]</w:t>
      </w:r>
    </w:p>
    <w:p>
      <w:r>
        <w:t>180 BULLETIN NO. 21 OF JUNE 6, 2022</w:t>
        <w:br/>
        <w:t>taking into account the results of comparative tests and investigations on insurance products published by Altroconsumo, negotiates insurance policies for members and fans of Altroconsumo, manages the necessary steps for the potential purchase of the policy and the collection of memberships in the event that a purchasing group has been established. The activities carried out by Altroconsumo Connect S.r.l. are paid and compensated by the commissions included in the premiums of the policies concluded. Any subsequent communication regarding the purchase of the policy will take place directly and exclusively with Altroconsumo Connect S.r.l., based on the mandate that will be granted to it by the interested party”;</w:t>
      </w:r>
    </w:p>
    <w:p>
      <w:r>
        <w:t>Commitment No. 2: the professionals commit to including similar information on the pages of the site altroconsumo.it if a phone number is provided to call for access to a specific policy under agreement or to join a purchasing group or otherwise to receive more information about individual policies, as well as in all cases where links to the Altroconsumo Connect site are present on the altroconsumo.it site or in other communications disseminated to members and consumers regarding policies under agreement or purchasing groups of insurance products;</w:t>
      </w:r>
    </w:p>
    <w:p>
      <w:r>
        <w:t>Commitment No. 3: the companies commit to removing from the altroconsumo.it site all other pages related to the purchase process of individual insurance services intermediated by Altroconsumo Connect, which will be entirely placed within the altroconsumoconnect.it site;</w:t>
      </w:r>
    </w:p>
    <w:p>
      <w:r>
        <w:t>Commitment No. 4: the companies have committed to creating within the altroconsumoconnect.it site a page illustrating the details of each insurance product and to inserting, before the illustration of the individual product and therefore before the user takes further steps, the following information: “Welcome to the site of Altroconsumo Connect S.r.l. The services related to the insurance products illustrated on this page are provided by Altroconsumo Connect S.r.l., a commercial insurance brokerage company, and not by Altroconsumo Edizioni S.r.l. and Associazione Altroconsumo. Altroconsumo Connect S.r.l. is the insurance broker established by the Fondazione Altroconsumo, registered in the Register of Insurance Intermediaries (Section B No. B000525056) and subject to IVASS control. Altroconsumo Connect S.r.l. operates in the market and, taking into account the results of comparative tests and investigations on insurance products published by Altroconsumo, has negotiated this policy for the members and fans of Altroconsumo, manages the necessary steps for the potential purchase of the policy and the collection of memberships in the event that a purchasing group has been established. The activities carried out by Altroconsumo Connect S.r.l. are paid and compensated by the commissions included in the premiums of the policies concluded. Any subsequent communication regarding the purchase of the policy will take place directly and exclusively with Altroconsumo Connect S.r.l., based on the mandate that will be granted to it by the interested party.”</w:t>
      </w:r>
    </w:p>
    <w:p>
      <w:r>
        <w:t>Commitment No. 5: the companies have committed to inserting similar information on the site altroconsumoconnect.it, on the other pages to which the interested party will have access coming from the altroconsumo.it site or from other content (magazines, news, etc.) disseminated to members and consumers by Altroconsumo and related to insurance services.</w:t>
      </w:r>
    </w:p>
    <w:p>
      <w:r>
        <w:t>BULLETIN NO. 21 OF JUNE 6, 2022 181</w:t>
        <w:br/>
        <w:t>25. Regarding the timing of the implementation of the commitments, Altroconsumo Connect and Altroconsumo Edizioni, in a note received on February 10, 2022, committed to implementing the proposed measures within 20 days from the communication of the Authority's decision to accept.</w:t>
      </w:r>
    </w:p>
    <w:p>
      <w:r>
        <w:t>IV. OPINION OF THE AUTHORITY FOR GUARANTEES IN COMMUNICATIONS</w:t>
        <w:br/>
        <w:t>26. Since the commercial practice subject to this provision was carried out via the internet, on March 16, 2022, the opinion of the Authority for Guarantees in Communications was requested, pursuant to Article 27, paragraph 6, of the Consumer Code.</w:t>
      </w:r>
    </w:p>
    <w:p>
      <w:r>
        <w:t>27. In an opinion received on April 19, 2022, the aforementioned Authority preliminarily considered that, with reference to the specific case, the means of communication used (internet), in relation to the service offered by the professionals, is suitable for developing a significant impact on consumers who, based on the information read on the professionals' sites, could be induced to make a commercial decision that they otherwise would not have made, thus concretely developing the full promotional potential of the communications in question; therefore, the Authority deemed that, based on the documentation in the records, in this specific case, the internet is a suitable tool to significantly influence the realization of the commercial practice subject to the procedure.</w:t>
      </w:r>
    </w:p>
    <w:p>
      <w:r>
        <w:t>V. OPINION OF THE INSURANCE SUPERVISION INSTITUTE</w:t>
        <w:br/>
        <w:t>28. Since the commercial practice subject to this provision concerns the insurance market sector, on March 16, 2022, the opinion of the Insurance Supervision Institute (hereinafter IVASS) was requested, pursuant to Article 27, paragraph 1-bis, of the Consumer Code. In an opinion received on May 3, 2022, the aforementioned Authority, regarding the commitments proposed by the companies Altroconsumo Connect S.r.l. and Altroconsumo Edizioni S.r.l., communicated that it had no observations to make regarding both profiles contested by the AGCM.</w:t>
      </w:r>
    </w:p>
    <w:p>
      <w:r>
        <w:t>VI. EVALUATION OF THE COMMITMENTS</w:t>
        <w:br/>
        <w:t>29. The Authority believes that the commitments proposed by the professionals are suitable to remedy the possible profiles of illegitimacy of the commercial practice contested in the initiation communication of July 29, 2021, and in the subsequent communication of subjective extension of November 15, 2021. Firstly, the commitments presented allow for the full achievement of the objective of ensuring that the consumer receives clear and complete information about the service provided and the parties involved in its provision. In particular, the proposed measures, as integrated, provide the essential information using methods that allow the user to be informed about the role of Altroconsumo immediately and before viewing the details related to the individual policy, reported on the Altroconsumo Connect site.</w:t>
      </w:r>
    </w:p>
    <w:p>
      <w:r>
        <w:t>30. It is particularly noteworthy that the information provided following the commitments offers evidence that the insurance services are provided by a commercial company and not by the association in carrying out its consumer protection tasks, thus removing the risk of confusing effects in this regard.</w:t>
      </w:r>
    </w:p>
    <w:p>
      <w:r>
        <w:t>182 BULLETIN NO. 21 OF JUNE 6, 2022</w:t>
        <w:br/>
        <w:t>31. In fact, the information aimed at highlighting that the professional providing the insurance services is an insurance broker active in the market has improved, and that such services are therefore provided for a fee by a commercial company.</w:t>
      </w:r>
    </w:p>
    <w:p>
      <w:r>
        <w:t>32. In light of the above considerations, it is believed that the commitments presented meet the requirements set forth in Article 27, paragraph 7, of the Consumer Code.</w:t>
      </w:r>
    </w:p>
    <w:p>
      <w:r>
        <w:t>THEREFORE, it is deemed that the commitments presented by the companies Altroconsumo Connect S.r.l. and Altroconsumo Edizioni S.r.l., in the terms outlined above, are suitable to eliminate the possible profiles of illegality of the conduct subject to investigation;</w:t>
      </w:r>
    </w:p>
    <w:p>
      <w:r>
        <w:t>IT IS DEEMED to order the mandatory nature of the aforementioned commitments towards the companies Altroconsumo Connect S.r.l. and Altroconsumo Edizioni S.r.l.;</w:t>
      </w:r>
    </w:p>
    <w:p>
      <w:r>
        <w:t>IT IS DEEMED, therefore, to be able to close the procedure without ascertaining the infringement;</w:t>
      </w:r>
    </w:p>
    <w:p>
      <w:r>
        <w:t>RESOLVES</w:t>
        <w:br/>
        <w:t>a) to make mandatory, towards the companies Altroconsumo Connect S.r.l. and Altroconsumo Edizioni S.r.l., pursuant to Article 27, paragraph 7, of the Consumer Code and Article 9, paragraph 2, letter a), of the Regulation, the commitments proposed in final version on February 8, 2022, as described in the forms attached to this provision;</w:t>
      </w:r>
    </w:p>
    <w:p>
      <w:r>
        <w:t>b) to close the procedure without ascertaining the infringement, pursuant to Article 27, paragraph 7, of the Consumer Code and Article 9, paragraph 2, letter a), of the Regulation;</w:t>
      </w:r>
    </w:p>
    <w:p>
      <w:r>
        <w:t>c) that the companies Altroconsumo Connect S.r.l. and Altroconsumo Edizioni S.r.l., within sixty days from the date of notification of this resolution, inform the Authority of the implementation of the commitments.</w:t>
      </w:r>
    </w:p>
    <w:p>
      <w:r>
        <w:t>Pursuant to Article 9, paragraph 3, of the Regulation, the procedure may be reopened ex officio, where:</w:t>
        <w:br/>
        <w:t>a) the professionals do not implement the commitments;</w:t>
        <w:br/>
        <w:t>b) the factual situation changes regarding one or more elements on which the decision is based;</w:t>
        <w:b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rPr>
          <w:b/>
        </w:rPr>
        <w:t>[Pages 181–183]</w:t>
      </w:r>
    </w:p>
    <w:p>
      <w:r>
        <w:t>BULLETIN NO. 21 OF JUNE 6, 2022 183</w:t>
        <w:br/>
        <w:t>This provision will be notified to the interested parties and published in the Bulletin of the Authority for the Guarantee of Competition and the Market.</w:t>
        <w:br/>
        <w:t>THE SECRETARY GENERAL THE PRESIDENT</w:t>
        <w:br/>
        <w:t>Guido Stazi Roberto Rustichelli</w:t>
      </w:r>
    </w:p>
    <w:p>
      <w:r>
        <w:t>184 BULLETIN NO. 21 OF JUNE 6, 2022</w:t>
        <w:br/>
        <w:t>PS10888 - TIM-PASSEPARTOUT</w:t>
        <w:br/>
        <w:t>Provision No. 30159</w:t>
        <w:br/>
        <w:t>THE AUTHORITY FOR THE GUARANTEE OF COMPETITION AND THE MARKET</w:t>
        <w:br/>
        <w:t>IN ITS MEETING of May 17, 2022;</w:t>
        <w:br/>
        <w:t>HEARD the Rapporteur President Roberto Rustichelli;</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resolutions of November 10, 2021, December 22, 2021, and March 2, 2022, with which, pursuant to Article 7, paragraph 3, of the Regulation, the deadline for concluding the procedure was extended, pursuant to Article 27, paragraph 7, of the Consumer Code and Article 9 of the Regulation;</w:t>
        <w:br/>
        <w:t>VIEWED the documents of the procedure;</w:t>
        <w:br/>
        <w:t>I. THE PARTIES</w:t>
        <w:br/>
        <w:t>1. Telecom Italia S.p.A. (hereinafter Telecom or also TI), as a professional, pursuant to Article 18, paragraph 1, letter b), of the Consumer Code. The company, with its registered office in Milan, is active in the telecommunications sector. The company's balance sheet as of December 31, 2020 shows revenue of approximately 12.4 billion euros1.</w:t>
        <w:br/>
        <w:t>2. Sky Italia S.r.l. and the Consumer Association Confconsumatori Aps, as intervening parties in the procedure.</w:t>
        <w:br/>
        <w:t>II. THE COMMERCIAL PRACTICE</w:t>
        <w:br/>
        <w:t>3. The procedure concerns behaviors carried out by the professional, consisting of two alleged unfair commercial practices:</w:t>
        <w:br/>
        <w:t>i) a practice related to the absence of information regarding the activation of the payment service called "TIM Passepartout" and its nature, in possible violation of Articles 20, paragraph 2, and 22 of the Consumer Code;</w:t>
        <w:br/>
        <w:t>ii) a practice related to unjustified charges connected to the provision of Tim Passepartout and TV services (different from Tim Passepartout, such as, by way of mere example, TIM Vision, Disney+, and others) not requested, in possible violation of Article 26, paragraph 1, letter f), of the Consumer Code.</w:t>
        <w:br/>
        <w:t>1 See Infocamere Data.</w:t>
      </w:r>
    </w:p>
    <w:p>
      <w:r>
        <w:t>BULLETIN NO. 21 OF JUNE 6, 2022 185</w:t>
        <w:br/>
        <w:t>III. THE OUTCOMES OF THE PROCEDURE</w:t>
        <w:br/>
        <w:t>1) The course of the procedure</w:t>
        <w:br/>
        <w:t>4. In relation to the aforementioned conduct, on June 16, 20212, the professional was notified of the initiation of the investigative procedure PS10888. It was hypothesized that the conduct of Telecom could constitute a violation of Articles 20, paragraph 2, and 22 of the Consumer Code (practice sub i), as well as Article 26, paragraph 1, letter f), of the Consumer Code (practice sub ii).</w:t>
        <w:br/>
        <w:t>5. Concurrently with the initiation communication, in order to acquire useful knowledge elements for the assessment of the commercial practices in question, a request for information and related documentation was made to the professional, pursuant to Article 27, paragraphs 3 and 4, of the Consumer Code and Article 12, paragraph 1, of the Regulation.</w:t>
        <w:br/>
        <w:t>6. On July 28, 2021, the company responded to the request for information3 and, with a subsequent communication on July 29, 2021, submitted defensive memoranda4, along with a first version of commitments5.</w:t>
        <w:br/>
        <w:t>7. On August 8, 2021, Sky Italia S.r.l. submitted a request to participate in the procedure6, which was accepted with the communication of September 10, 20217 and with a related communication to Telecom on the same date8; Sky Italia S.r.l. was granted access to the documents of the procedure9.</w:t>
        <w:br/>
        <w:t>8. With a communication dated September 27, 2021, the consumer association Confconsumatori Aps submitted a request to participate in the investigation10, the acceptance of which was communicated on October 1, 2021, to the aforementioned consumer association11 and to Telecom12.</w:t>
        <w:br/>
        <w:t>9. On October 5, 2021, a hearing requested by Telecom13 took place, at the end of which the company, on October 22, 2021, provided the requested information and documentation during the hearing14.</w:t>
        <w:br/>
        <w:t>10. On October 29, 2021, Telecom submitted a second version of the Commitment Form, integrating the previous one following the hearing15.</w:t>
        <w:br/>
        <w:t>2 Doc. 126.</w:t>
        <w:br/>
        <w:t>3 Doc. 135 (reserved) and Doc. 140, annex 1 (accessible), response to the requests for information made in the initiation communication of the investigative procedure.</w:t>
        <w:br/>
        <w:t>4 Doc. 136: defensive memoranda of the company (reserved) and Doc. 140, annex 2 (accessible).</w:t>
        <w:br/>
        <w:t>5 Doc. 136, annex 1: first version of the commitment form.</w:t>
        <w:br/>
        <w:t>6 Doc. 143 (reserved) and Doc. 149 (accessible): request to participate in the investigation by Sky Italia S.r.l.</w:t>
        <w:br/>
        <w:t>7 Doc. 150: acceptance of the request to participate in the investigation made by Sky Italia S.r.l.</w:t>
        <w:br/>
        <w:t>8 Doc. 151: Communication to Telecom of the outcome of Sky Italia S.r.l.'s request.</w:t>
        <w:br/>
        <w:t>9 Doc. 155: Minutes of access to the documents by Sky Italia S.r.l.</w:t>
        <w:br/>
        <w:t>10 Doc. 157: request to participate in the procedure from the Confconsumatori Aps association.</w:t>
        <w:br/>
        <w:t>11 Doc. 159: communication to Confconsumatori Aps of acceptance to participate in the investigation.</w:t>
        <w:br/>
        <w:t>12 Doc. 160: Communication to Telecom of the outcome of Confconsumatori Aps's request.</w:t>
        <w:br/>
        <w:t>13 Doc. 163 (reserved) and Doc. 166 (accessible): Minutes of the hearing of October 5, 2021.</w:t>
        <w:br/>
        <w:t>14 Doc. 168 (reserved) and Doc. 214 (accessible): Arrival of requested information during the hearing with numerous attachments.</w:t>
        <w:br/>
        <w:t>15 Doc. 175: Transmission of the commitment form in the integrated version.</w:t>
      </w:r>
    </w:p>
    <w:p>
      <w:r>
        <w:rPr>
          <w:b/>
        </w:rPr>
        <w:t>[Pages 184–186]</w:t>
      </w:r>
    </w:p>
    <w:p>
      <w:r>
        <w:t>186 BULLETIN NO. 21 OF JUNE 6, 2022</w:t>
        <w:br/>
        <w:t>11. On November 10, 2021, the extension of the deadline for the conclusion of the procedure was transmitted16.</w:t>
        <w:br/>
        <w:t>12. On November 22, 2021, an additional request for information was sent to Telecom17, to which the professional responded on December 10, 202118.</w:t>
        <w:br/>
        <w:t>13. On December 22, 2021, the extension of the deadline for the conclusion of the procedure was communicated to Telecom and the other intervening parties19.</w:t>
        <w:br/>
        <w:t>14. On January 19, 2022, a communication was sent to Telecom assigning a deadline for the integration of the commitments20. The professional produced an integrated and consolidated version of the commitments on February 8, 202221.</w:t>
        <w:br/>
        <w:t>15. By communications on March 2, 2022, the parties were informed of the extension of the deadline for the conclusion of the procedure22.</w:t>
        <w:br/>
        <w:t>16. On March 17, 2022, the parties were informed of the conclusion date of the investigative phase pursuant to Article 16, paragraph 1, of the Regulation23.</w:t>
        <w:br/>
        <w:t>17. On March 24, 2022, Telecom submitted its final submissions24.</w:t>
        <w:br/>
        <w:t>18. During the investigation, Telecom exercised its right to access the documents in the file multiple times, specifically on June 28 and 30, 202125, August 20, 202126, December 21, 202127, and March 21, 202228.</w:t>
        <w:br/>
        <w:t>19. On March 30, 2022, an opinion was requested from the Authority for Communications Guarantees, pursuant to Article 27, paragraph 1-bis, of the Consumer Code29.</w:t>
        <w:br/>
        <w:t>20. On April 26, 2022, the opinion from the Authority for Communications Guarantees was received30.</w:t>
        <w:br/>
        <w:t>2) The elements acquired</w:t>
        <w:br/>
        <w:t>21. From the documentation in the records, the following emerges.</w:t>
        <w:br/>
        <w:t>22. Tim Passepartout (PPT) is not a service but a free functionality, specifically a payment method for the direct debit, without additional costs, of what is owed by the user for the domiciliation of the fees of the offers (so-called TIM Passepartout fee) and/or the installments of purchased products (TIM Passepartout Installments). Initially, it was called TIM Passepartout, defined as 'basic', discontinued since 2015, because it was a platform that had become obsolete. Today, the payment functionalities of Tim Passepartout have been replaced by new technical platforms and, therefore, since April 2021, they are no longer accessible to new customers, but remain available until exhausted for customers who were already using them31.</w:t>
        <w:br/>
        <w:t>23. In its submissions, the company explained that the acquisition of consent for PPT debits was manifested through the forms available at the point of sale or also through the digital channel (tim.it), along with that for deactivating the functionality. In this regard, the General Terms and Conditions of Contract expressly referred only to Passepartout (e.g., Article 1.1).</w:t>
        <w:br/>
        <w:t>24. The company TIM has produced certain contracts signed by consumers referring to the years 2015, 2017, 2018, 2019, and 2020 who had adhered to TIM offers, with installment payments and direct debit of the installments on the credit card associated with the TIM Passepartout service, from which it appears that customers authorized TIM to directly debit the credit card 'associated with the TIM Passepartout service'32.</w:t>
        <w:br/>
        <w:t>25. Nevertheless, the company has received numerous complaints regarding the denial of the activation of PPT. The professional represented that, in general, the complaints in question are all prior to the start of the investigation, and the related management, based on a cautious approach, followed company procedures, so that 'the rejection of the complaint is linked to the finding of contractual documentation, or to other elements ascertainable from the information systems that equally demonstrate the unfoundedness of the customer's grievances.' Furthermore, the professional stated that 'the sharing of such data by the assistance service with the customer has allowed clarifying the nature of the charges and their regularity.'</w:t>
        <w:br/>
        <w:t>26. With reference to TV services (e.g., DAZN, NOW TV, Disney World), by virtue of the agreements made with partners, TIM has been tasked since 2019 with marketing and billing audiovisual services to customers. However, the editorial content and the provision of the audiovisual service remain the full responsibility of the specific partner.</w:t>
        <w:br/>
        <w:t>27. For the purpose of granting consent to activate the individual service, the user is required to follow several steps both through the physical channel (point of sale) and through telephone contact and online registration33.</w:t>
        <w:br/>
        <w:t>31 Doc. 136, p. 4: defensive submissions of July 29, 2021. According to what the professional stated, regarding the Tim Passepartout option: "In any case, since 2020 it was not possible to adhere to either Passepartout Plus Fee or Passepartout Installments," and Doc. 194: information from TI.</w:t>
        <w:br/>
        <w:t>32 Doc. 168, attachment no. 1: contracts related to certain reporting consumers, concerning the activation of offers with charges on credit cards, in which it states: "The customer and the holder of the credit card as identified above, by signing this form, authorize Telecom Italia to charge the amounts due for the use of the offer chosen by the customer on the above-mentioned credit card associated with Telecom Italia and linked to the Tim Passepartout service [….]."</w:t>
        <w:br/>
        <w:t>33 Doc. 135: response of July 28, 2021, p. 5 et seq. The interaction between the consumer, service provider, and TIM occurs with: i. communication of personal data, such as phone, email, etc.; ii. communication of banking data for monthly debit; iii. consent to the service and receipt of the summary sheet, with the summary and details of the offer, including welcome letter; iv. registration for audiovisual services on the provider's portal. In physical channels, the sales staff necessarily proceed with the identification and collection of the customer's consent (presentation of identity document, request for activation of the multimedia service, delivery of the signed forms), as well as sending the confirmation email. In the telephone channel,</w:t>
      </w:r>
    </w:p>
    <w:p>
      <w:r>
        <w:t>188 BULLETIN NO. 21 OF JUNE 6, 2022</w:t>
        <w:br/>
        <w:t>28. The checks on the acquisition of consent consist of sample compliance verification on the partners of the sales network with possible sanctioning activities.</w:t>
        <w:br/>
        <w:t>29. Excerpts of the agreements with the respective partners (DAZN and Walt Disney) have been produced, from which it appears that the process requires TIM to create, for its customers, an account and to insert the access link to the content of the services34.</w:t>
        <w:br/>
        <w:t>30. Regarding the exercise of withdrawal, from the excerpts of the agreements with DAZN and Walt Disney produced by the company, it appears that the termination of the service may experience delays due to the misalignment of the times within which cancellations of customer codes intending to withdraw from the service are communicated by TIM. As long as this communication is not perfected between TIM and the respective commercial partners, the TV service continues to be charged on the customer's bill.</w:t>
        <w:br/>
        <w:t>31. Also with reference to the termination of TV Services, according to what was requested by AGCOM, a specific company procedure has been prepared to manage the different types of service disconnection: for example, the collection of the Tim Box – the situation that occurs most frequently – is carried out by a carrier appointed by Telecom, at no cost to the user, while only in exceptional cases (where there is an objective impossibility of recovery through an appointed carrier) is the consumer required to activate (with reimbursement of shipping costs and provision of a bonus for the return of the decoder). Nevertheless, in a letter from TIM attached by a reporting consumer, it appears that in reality the decoder (Tim Box) "will be returned at the user's expense and care"35.</w:t>
        <w:br/>
        <w:t>IV. THE COMMITMENTS OF TELECOM</w:t>
        <w:br/>
        <w:t>32. By notes of July 29, 202136, October 29, 202137, and lastly, in the consolidated version of February 8, 202238, the professional presented a proposal for commitments, pursuant to Article 27, paragraph 7, of the Consumer Code and Article 9 of the Regulation.</w:t>
        <w:br/>
        <w:t>33. The commitments – which in their final version are attached to this provision and constitute an integral part thereof – provide for:</w:t>
        <w:br/>
        <w:t>MEASURE NO. 1) - Practice A) – TIM Passepartout</w:t>
        <w:br/>
        <w:t>TIM commits to:</w:t>
        <w:br/>
        <w:t>i. modify the debit items present in the bank communications addressed to customers (e.g., statements), replacing the terms "Passepartout Plus" and similar with phrases more easily referable to the existing contractual relationship (such as, for example and depending on the case, "TIM offer renewal"; "TIM product installment");</w:t>
        <w:br/>
        <w:t>ii. publish a specific web notice that clarifies the nature and functioning of Passepartout Plus Fees and Installments.</w:t>
        <w:br/>
        <w:t>34. The measures under no. 1.i and 1.ii have already been implemented. In particular, regarding: the operator must proceed with remote contracting through a Verbal Order and the registration in the company systems on the TIM platform, and then, with the sending and receipt of a confirmation email of the order.</w:t>
        <w:br/>
        <w:t>34 Doc.168, attachment no. 3.</w:t>
        <w:br/>
        <w:t>35 Doc. 195 of December 15, 2021, see attached TIM letter.</w:t>
        <w:br/>
        <w:t>36 Doc. 136, attachment 1.</w:t>
        <w:br/>
        <w:t>37 Doc. 175: Commitment form in the integrated version following the hearing held on October 5, 2021 (Doc. 163).</w:t>
        <w:br/>
        <w:t>38 Doc. 205: Commitment form following the setting of a deadline for the integration of certain measures decided by the Authority on January 18, 2022.</w:t>
      </w:r>
    </w:p>
    <w:p>
      <w:r>
        <w:rPr>
          <w:b/>
        </w:rPr>
        <w:t>[Pages 187–189]</w:t>
      </w:r>
    </w:p>
    <w:p>
      <w:r>
        <w:t>BULLETIN NO. 21 OF JUNE 6, 2022 189</w:t>
        <w:br/>
        <w:t>- Measure 1.i, the modification has been introduced in communications to consumers belonging to the American Express and Visa-Mastercard circuits since June 2021, according to the methods (see exemplary screenshots) and the timing (see summary table) indicated below;</w:t>
        <w:br/>
        <w:t>Screenshot of the implementation of measure no. 1.i: “TIM Rata Prodotto” and “TIM Rinnovo Offerta” extracted from the e-banking portal of Unicredit bank</w:t>
        <w:br/>
        <w:t>Table of the timing used for the charge on the card for the implementation of measure no. 1.ii, attached to the minutes of the hearing of 5/10/2021, p. 4.</w:t>
        <w:br/>
        <w:t>- Measure 1.ii has been implemented on the company website since June 2021, through: a) the insertion, on the page dedicated to Customer Assistance (https://www.tim.it/assistenza/), of a tab with particular graphic prominence titled “What is TIM Passepartout” (see screenshot below); b) the publication of a specific landing page, containing the information in question (https://www.tim.it/assistenza/costi-e-pagamenti/tim-passepartout; as per the screenshot below);</w:t>
        <w:br/>
        <w:t>Tab of implementation of measure sub 1.ii, letter a), inserted on the page https://www.tim.it/assistenza/; see p. 5 of the document attached to the minutes of the hearing</w:t>
        <w:br/>
        <w:t>- The landing page sub measure 1.ii, letter b), available at https://www.tim.it/assistenza/costi-e-pagamenti/tim-passepartout, reports the notice of the existence of the TIM Passepartout option for those who had chosen the method of subscription to products/services with bank domiciliation and/or installment methods before April 2021, with an explanation of the nature of the platform as a payment method without additional costs.</w:t>
        <w:br/>
        <w:t>MEASURE NO. 2), TV Services:</w:t>
        <w:br/>
        <w:t>i. For all TV offers that should provide an initial free period, TIM commits to strengthen, also graphically, the information on the structure of the offer regarding said free period by introducing a disclaimer of the following tenor:</w:t>
        <w:br/>
        <w:t>“The offer [name of entertainment offer], chosen by you, includes an initial free period of xx months. At the end of this period, the monthly cost of the offer will be xxx.”</w:t>
        <w:br/>
        <w:t>Such or similar disclaimers will be included: a) in the contractual material (Contractual Conditions, Summary Sheet, Welcome Letter), in which the notice will be included that “the offer [name of entertainment offer], chosen by you, includes an initial free period of xxx months. At the end of this period, the monthly cost of the offer will be xxx”; b) in the first contact commercial communication (for example, with reference to the web channel, the offer sheet on the homepage), with a clarification (in the claims or in disclaimers adjacent to them) of the following tenor: “free for the first xxx months”; c) in the second contact commercial communication (for example, with reference to the web channel, the landing page dedicated to the offer), with a disclaimer of the following tenor: “the offer [name of entertainment offer] includes an initial free period of xxx months. At the end of this period, the monthly cost of the offer will be xxx.”</w:t>
        <w:br/>
        <w:t>These measures represent a form of guaranteed minimum communication, as other equivalent lexical formulas can be foreseen, adaptable based on the different types of offers, such as, by way of example:</w:t>
        <w:br/>
        <w:t>a) first contact phrases (“0 € until xxx”, or “zero euros per month until xxx”) and second contact phrases (“The monthly cost of the offer is 0€/month until xxx, then xxx€/month”);</w:t>
        <w:br/>
        <w:t>b) in the case of the need to provide the consumer with any peculiarities regarding the technical-commercial structure of the proposal. For example, in the case where the offer is structured not on two steps (free period and continuation at full price) but on three steps (free period, discounted period, and continuation at full price), the advertising material could inform the consumer through phrases of the following tenor: “0 € until xxx then xxx €/month until xxx. From xxx, xxx€/month”; while the contractual materials could reflect this structure through the phrase “The monthly cost of the offer is 0€/month until xxx, then xxx €/month until xxx. From xxx the cost of the offer will be xxx€/month.”</w:t>
        <w:br/>
        <w:t>ii. Development of a systematic monitoring service for registrations to TV services, aimed at verifying that, for each activation requested by consumers to TI, there are corresponding registrations (necessary to enjoy the services) on the TIM Vision portals and/or those of various partners.</w:t>
        <w:br/>
        <w:t>The operator has provided for an SMS to be sent to those who have not registered on the portals, structured as a warning to the consumer who receives it after activating the service with TI, but without having completed the registration, and also containing the indication of where to find the methods to request the eventual deactivation of the unused service:</w:t>
      </w:r>
    </w:p>
    <w:p>
      <w:r>
        <w:t>BULLETIN NO. 21 OF JUNE 6, 2022 191</w:t>
        <w:br/>
        <w:t>Fig. 1: template of the monitoring message sent to TIM customers, containing in the first sentence the warning about activation and in the last the information on deactivation methods</w:t>
        <w:br/>
        <w:t>Sms remind</w:t>
        <w:br/>
        <w:t>Dear customer, we inform you that the TIMVISION service is already active on your TIM line.</w:t>
        <w:br/>
        <w:t>To enjoy the service, it is necessary to associate a TIMVISION Account with the line. You can associate it immediately by clicking on &lt; &gt;, or follow the instructions contained in the email with the subject “TIMVISION is active on your TIM line, complete the Registration” that we have sent you. For info or deactivation go to MyTIM section Line/TV and Services, or call customer service.</w:t>
        <w:br/>
        <w:t>The measure also provides for the sending of reminder SMS and emails for customers not yet registered five days after the first invitation message for Registration (sent at the time of activation) and for four times, with an interval of five days (5 days - 10 days - 15 days - 20 days from activation).</w:t>
        <w:br/>
        <w:t>iii. Establishment of the Project “Observatory of Issues Reported by Consumers,” which provides for a team of analysts who will use online research and data analysis tools (on social networks, online press, blogs, forums), for active listening of the network, the identification of issues regarding the activation of unsolicited TV services, and timely intervention for corrections, using search keywords, for an analysis a) quantitative (collection of reports regarding issues reported online by consumers) and b) qualitative (identification, through sentiment analysis and opinion mining, of the real opinions expressed by consumers in relation to the defined topics).</w:t>
        <w:br/>
        <w:t>35. Measure no. 2.ii has been implemented. Instead, the remaining measures sub 2.i and 2.iii will be definitively implemented within 30 days following the notification by the Authority of the decision to accept the commitments.</w:t>
        <w:br/>
        <w:t>MEASURE NO. 3), digital confirmation:</w:t>
        <w:br/>
        <w:t>36. Also with reference to TV Services, the commitment consists of extending the digital confirmation system to all offers marketed through its telephone commercial channel, which is currently made available to consumers who intend to use it only for certain groups of offers.</w:t>
        <w:br/>
        <w:t>37. The digital confirmation consists of a computer procedure whereby: 1) the operator concluding the contract over the phone sends an SMS and/or email (with zipped files of the contractual documentation) to the consumer, and the Digital confirmation link; 2) the consumer clicks on the link accessing the Digital Confirmation web page to confirm the subscription to the service; 3) a thank you message is sent; 4) the order confirmation SMS and the summary contractual email are sent; 5) the offer activation SMS is sent.</w:t>
      </w:r>
    </w:p>
    <w:p>
      <w:r>
        <w:rPr>
          <w:b/>
        </w:rPr>
        <w:t>[Pages 190–192]</w:t>
      </w:r>
    </w:p>
    <w:p>
      <w:r>
        <w:t>192 BULLETIN NO. 21 OF JUNE 6, 2022</w:t>
        <w:br/>
        <w:t>Workflow of the operation of Measure No. 3</w:t>
        <w:br/>
        <w:t>38. Measure No. 3 has already been implemented, including for the purchase of television services included in packages that also include voice and internet services.</w:t>
        <w:br/>
        <w:t>MEASURE NO. 4), refunds:</w:t>
        <w:br/>
        <w:t>39. For charges related to Passepartout or TV services, Telecom commits to providing refunds or reversals in favor of those who have submitted a report to the Authority, whenever the supporting documentation for the charge is not recovered or where there is no other documentary evidence demonstrating the unfoundedness of the complaint.</w:t>
        <w:br/>
        <w:t>40. An information campaign will then be implemented for consumers who have not submitted a request for intervention to the Authority, aimed at encouraging them to contact for refunds and reversals.</w:t>
        <w:br/>
        <w:t>41. The measure in question will be implemented through two modalities:</w:t>
        <w:br/>
        <w:t>a) insertion on the Home page of the company website of a link placed with greater graphic prominence compared to other links dedicated to other refund campaigns, with the wording “PS10888-Refund for undue charges Passepartout, TV Offers, TIMVISION Box (from April 2017)” (self-explanatory wording that mentions both Passepartout, as well as TV offers, as well as the TIM Box, and the time frame of the charges subject to the refund campaign);</w:t>
        <w:br/>
        <w:t>b) publication of an informative landing page, which will remain online for at least 40 days, accessible from the link referred to in the previous point, containing a link to the Notice of initiation of the investigation procedure published in August 2021 in the Bulletin of the Authority and a brief description of the consumers potentially entitled to request a refund for undue charges incurred since April 2017; on the same page, an additional link will be included to a form for entering the applicant's data and transmitting the request electronically to the company.</w:t>
        <w:br/>
        <w:t>39 The link dedicated to the refunds of case PS10888 will be graphically highlighted in a band with a blue background, with white writing, above the link dedicated to the refund campaign for the twenty-eight-day billing, located in the footer of the page with a white background.</w:t>
      </w:r>
    </w:p>
    <w:p>
      <w:r>
        <w:t>BULLETIN NO. 21 OF JUNE 6, 2022 193</w:t>
        <w:br/>
        <w:t>42. Following the receipt of the form, the consumer's request will be processed and any compensation will be paid using standard payment methods (e.g. bank transfer/refund to credit card or issued in the first useful invoice, in the case of reversals).</w:t>
        <w:br/>
        <w:t>43. Refunds will be granted whenever the documentation that could justify the charge is not recovered or where there is no other documentary evidence demonstrating the unfoundedness of the request.</w:t>
        <w:br/>
        <w:t>44. Measure No. 4 has already been implemented, with reference to the reports acquired in the investigation file.</w:t>
        <w:br/>
        <w:t>45. The above-mentioned information campaign, aimed at contacting consumers who have not submitted a report to the Authority, may be carried out within 30 days after notification by the Authority of the decision to accept the commitments pursuant to Article 27, paragraph 7, of the Consumer Code.</w:t>
        <w:br/>
        <w:t>V. OPINION OF THE AUTHORITY FOR GUARANTEES IN COMMUNICATIONS</w:t>
        <w:br/>
        <w:t>46. Since the commercial practices subject to this provision have concerned the telecommunications sector, on March 30, 2022, an opinion was requested from the Authority for Guarantees in Communications, pursuant to Article 27, paragraph 1-bis, of the Consumer Code.</w:t>
        <w:br/>
        <w:t>47. In an opinion received on April 26, 2022, the aforementioned Authority expressed its opinion considering it appropriate, also in light of Article 27, paragraph 1-bis, of the Consumer Code, that the opinion on the specific case be rendered to the Authority pursuant to Article 27, paragraph 6, of the same Code, reporting evaluations, among other things, regarding the suitability of the specific means of communication used to disseminate the commercial practice to affect and amplify any misleading and/or unfairness of the same practice.</w:t>
        <w:br/>
        <w:t>48. That said, tariff transparency, both in the phase of advertising on websites and in contractual terms, assumes maximum relevance so that consumers have greater awareness in the choice of goods and services, having received correct and adequate information on the economic conditions of the offers.</w:t>
        <w:br/>
        <w:t>49. In fact, clarity and tariff transparency help to curb the phenomenon of charging for unsolicited services, additional to the costs of the basic electronic communication service. The practice in question refers to communications carried out by the professional via the Internet network, as a global means of communication, capable of quickly offering the user a wide sequence of information likely to influence their behavior.</w:t>
        <w:br/>
        <w:t>50. The means of communication used, the Internet network, in relation to the service offered by the Professional, thus proves suitable for developing a significant impact on consumers who, based on the promotional potential of the communications disseminated by the professional, could be influenced to make a commercial decision that they would not otherwise have made.</w:t>
        <w:br/>
        <w:t>VI. EVALUATION OF THE COMMITMENTS</w:t>
        <w:br/>
        <w:t>51. The Authority believes that the commitments proposed by the professional are suitable to remedy the possible illegitimacy profiles of the commercial practices contested in the initiation communication of June 16, 2021.</w:t>
      </w:r>
    </w:p>
    <w:p>
      <w:r>
        <w:t>194 BULLETIN NO. 21 OF JUNE 6, 2022</w:t>
        <w:br/>
        <w:t>52. The measures produced in the consolidated version of February 8, 2022, seem to eliminate all the contested critical issues in the initiation communication concerning measures of an informative nature and others aimed at refunding consumers who did not intend to adhere to unsolicited services.</w:t>
        <w:br/>
        <w:t>53. In this context, regarding commitment No. 1, - Practice sub A) Tim Passepartout, consisting of improving the informative aspects of commercial communications in order to clarify the nature and functioning of the Passepartout service, with clearer and more transparent descriptions of the type of charge linked to the payment service, it contributes to eliminating the prejudicial effects contested at the outset, especially towards those who until April 2021 (when this platform was discontinued) adhered to the Tim Passepartout payment option. Furthermore, since after April 2021 the platform appears to have been replaced by other payment methods for the purchase of TIM products and/or services, the prejudicial effects have now ceased.</w:t>
        <w:br/>
        <w:t>54. With reference to Measure No. 2 - Practice sub B) - TV Services, the planned systematic monitoring of the correspondence between the number of activations and that of registrations with TV service providers is to be considered a suitable measure to inform the customer that they have adhered to the service, in the event that the activation occurred without adequate awareness. Such initiatives aim to strengthen control over consumer adherence to the proposed offers, while the informative measures make consumers more aware of the possibility of adhering to the service provided as free for a limited period of time, with the possibility of deactivating it once the free period of the TV offer has expired.</w:t>
        <w:br/>
        <w:t>55. In particular, commitment 2.i, which provides for the inclusion of various disclaimers in the different channels (contractual, web, and other digital), which inform customers of the initial free period of TV services, after which billing begins and in which the link for possible deactivation is indicated, is a measure aimed at making the potential consumer more aware of the cost of the activated service, after the initial free period of service use. Also, the measure of commitment 2.ii, related to monitoring the activations of TV services that were not followed by registration on the service provider's portal, appears to be a useful verification tool for any unsolicited activations, and for remedying them, as the notice of the existence of the service is accompanied by the indication of the possibility and method for deactivating the service.</w:t>
        <w:br/>
        <w:t>56. With reference to commitment No. 3, on digital confirmation, it is a useful measure for tracking the actual purchase of the service through the telephone channel. The measure concerns an activity for which the consumer has the opportunity to digitally confirm the willingness to provide the service, not being solely dependent on the registration of the Vocal order. Furthermore, it is appropriate to emphasize that the traceability of the acquisition of consent is strengthened through the documentary storage of the contract and any other type of document by the operator.</w:t>
        <w:br/>
        <w:t>57. The measure, therefore, completes the verification and control process of adherence to the service by Telecom customers, also through the storage of their expression of will. Moreover, the above-described measure concerns not only all Audiovisual services but also those combined with telephony services, in order to make traceable also for these cases the occurrence of the customer's expression of will to adhere to the offer, without the possibility of misunderstandings and/or erroneous adherence to unsolicited services by consumers.</w:t>
      </w:r>
    </w:p>
    <w:p>
      <w:r>
        <w:rPr>
          <w:b/>
        </w:rPr>
        <w:t>[Pages 193–195]</w:t>
      </w:r>
    </w:p>
    <w:p>
      <w:r>
        <w:t>BULLETIN NO. 21 OF JUNE 6, 2022 195</w:t>
        <w:br/>
        <w:t>58. With reference to measure no. 4 concerning refunds, it is noted that the scope of the intervention and the information tools provided allow for the delineation of an effective measure for the benefit of consumers. The measure proposed by TI concerns all those who have incurred charges as a result of the conduct subject to the proceedings. Those for whom the company is unable to obtain documentation justifying the payment for the activated service in question will be able to obtain a refund.</w:t>
      </w:r>
    </w:p>
    <w:p>
      <w:r>
        <w:t>59. Potential beneficiaries will be informed through notices that clearly indicate those who may fall within the measure. In fact, there are various information tools regarding refunds that the company will implement: the information posted online on the Home page for forty days from the notification of the measure, the link bearing the wording “PS10888-Refund of undue charges Passepartout, TV Offers, TIMVISION Box (since April 2017),” will refer to the Notice of initiation of the investigative procedure published in August 2021 in the Authority's Bulletin, with a brief description of the consumers potentially entitled to request a refund for the undue charges incurred since April 2017; the link to the form for submitting refund requests. These are informative measures suitable for optimizing information and speeding up the times for the return of the amounts charged by TI for the unrequested services.</w:t>
      </w:r>
    </w:p>
    <w:p>
      <w:r>
        <w:t>60. Refunds will also include the expenses incurred by consumers for the return of unrequested Tim Boxes. Finally, the criterion of refunding those consumers for whom documentation that could justify the charge is not recovered or where there is no other documentary evidence demonstrating the unfoundedness of the complaint is deemed suitable to effectively compensate customers who did not intend to subscribe to the services in question.</w:t>
      </w:r>
    </w:p>
    <w:p>
      <w:r>
        <w:t>CONSIDERING, therefore, that the commitments presented by the company Telecom Italia S.p.A., in the terms outlined above, are suitable to eliminate the possible profiles of unfairness of the commercial practices subject to investigation;</w:t>
      </w:r>
    </w:p>
    <w:p>
      <w:r>
        <w:t>CONSIDERING to impose the obligation of the aforementioned commitments on the company Telecom Italia S.p.A.;</w:t>
      </w:r>
    </w:p>
    <w:p>
      <w:r>
        <w:t>CONSIDERING, therefore, that the procedure can be closed without ascertaining the infringements;</w:t>
      </w:r>
    </w:p>
    <w:p>
      <w:r>
        <w:t>RESOLVES</w:t>
        <w:br/>
        <w:t>a) to make mandatory, with respect to the company Telecom Italia S.p.A., pursuant to Article 27, paragraph 7, of the Consumer Code and Article 9, paragraph 2, letter a), of the Regulation, the commitments proposed by the company in its latest consolidated version dated February 8, 2022, as described in the Form attached to this measure, which constitutes an integral part thereof;</w:t>
      </w:r>
    </w:p>
    <w:p>
      <w:r>
        <w:t>b) to close the procedure without ascertaining the infringements, pursuant to Article 27, paragraph 7, of the Consumer Code and Article 9, paragraph 2, letter a), of the Regulation;</w:t>
      </w:r>
    </w:p>
    <w:p>
      <w:r>
        <w:t>c) that the company Telecom Italia S.p.A., within ninety days from the date of notification of this resolution, informs the Authority of the implementation of the commitments.</w:t>
      </w:r>
    </w:p>
    <w:p>
      <w:r>
        <w:t>196 BULLETIN NO. 21 OF JUNE 6, 2022</w:t>
        <w:br/>
        <w:t>Pursuant to Article 9, paragraph 3, of the Regulation, the procedure may be reopened ex officio, where:</w:t>
        <w:br/>
        <w:t>a) the professional does not implement the commitments;</w:t>
        <w:br/>
        <w:t>b) the factual situation changes with respect to one or more elements on which the decision is based;</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notified to the interested parties and published in the Bulletin of the Authority for Competition and the Market.</w:t>
      </w:r>
    </w:p>
    <w:p>
      <w:r>
        <w:t>THE SECRETARY GENERAL THE PRESIDENT</w:t>
        <w:br/>
        <w:t>Guido Stazi Roberto Rustichelli</w:t>
      </w:r>
    </w:p>
    <w:p>
      <w:r>
        <w:t>BULLETIN NO. 21 OF JUNE 6, 2022 197</w:t>
        <w:br/>
        <w:t>PS12240 - E-COMMERCE SPECIALIST-HWONLINE/ONLINE SALES</w:t>
        <w:br/>
        <w:t>Measure No. 30160</w:t>
        <w:br/>
        <w:t>THE AUTHORITY FOR COMPETITION AND THE MARKET</w:t>
        <w:br/>
        <w:t>IN ITS MEETING of May 17, 2022;</w:t>
        <w:br/>
        <w:t>HEARD the Rapporteur, Professor Michele Ainis;</w:t>
        <w:b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documents of the proceedings;</w:t>
      </w:r>
    </w:p>
    <w:p>
      <w:r>
        <w:t>VIEWED the communication of the initiation of procedure PS12240 of March 22, 2022, aimed at verifying the existence of unfair commercial practices in violation of Articles 20, 21, 22, 24, and 25 of the Consumer Code, carried out by the company E-Commerce Specialist S.r.l. (hereinafter also ECS, Professional or Company) [PI 11766170010];</w:t>
      </w:r>
    </w:p>
    <w:p>
      <w:r>
        <w:t>VIEWED the Authority's resolution of March 22, 2022, which authorized an inspection, pursuant to Article 27, paragraphs 2 and 3, of the Consumer Code, at the premises of E-Commerce Specialist S.r.l.;</w:t>
      </w:r>
    </w:p>
    <w:p>
      <w:r>
        <w:t>VIEWED the submissions of E-Commerce Specialist S.r.l., received on April 12, 2022, and May 2, 2022;</w:t>
      </w:r>
    </w:p>
    <w:p>
      <w:r>
        <w:t>CONSIDERED the following:</w:t>
        <w:br/>
        <w:t>I. FACT</w:t>
        <w:br/>
        <w:t>1. According to the intervention requests received by the Authority since November 2021 and the information acquired ex officio for the application of the Consumer Code, E-Commerce Specialist S.r.l. would have engaged in unfair commercial practices through the website www.hwonline.it (hereinafter Site), consisting of publishing incorrect information about the availability and delivery times of products, failing to deliver products purchased on its Site, failing to refund the amount paid by the consumer following the cancellation of the order or withdrawal, and failing/inadequate post-sale assistance.</w:t>
      </w:r>
    </w:p>
    <w:p>
      <w:r>
        <w:t>2. In light of the information acquired in the records, on March 22, 2022, the investigative procedure PS12240 was initiated, pursuant to Article 27, paragraph 3, of the Consumer Code, as well as pursuant to Article 6 of the Regulation, in order to verify the existence of unfair commercial practices in violation of Articles 20, 21, 22, 24, and 25 of the Consumer Code.</w:t>
      </w:r>
    </w:p>
    <w:p>
      <w:r>
        <w:t>3. Part of the procedure, in the capacity of professional, is the company E-Commerce Specialist S.r.l.</w:t>
      </w:r>
    </w:p>
    <w:p>
      <w:r>
        <w:t>4. Concurrently with the communication of the initiation of the procedure, the Party was invited, pursuant to Article 8, paragraph 2, of the Regulation, to submit written submissions and documents within 10 days of receipt, in order to evaluate the prerequisites for the provisional suspension of the practices, pursuant to Article 27, paragraph 3, of the Consumer Code.</w:t>
      </w:r>
    </w:p>
    <w:p>
      <w:r>
        <w:rPr>
          <w:b/>
        </w:rPr>
        <w:t>[Pages 196–198]</w:t>
      </w:r>
    </w:p>
    <w:p>
      <w:r>
        <w:t>BULLETIN NO. 21 OF JUNE 6, 2022</w:t>
      </w:r>
    </w:p>
    <w:p>
      <w:r>
        <w:t>5. In summary, the contested behaviors consist of: the publication of incorrect information regarding the availability and delivery times of the products; the cancellation of purchase orders; the delayed/non-delivery of products sold on the Site; the omission of the refund of the amount paid by the consumer following the cancellation of the order/withdrawal and inadequate post-sale assistance.</w:t>
      </w:r>
    </w:p>
    <w:p>
      <w:r>
        <w:t>II. INSPECTIVE CHECKS</w:t>
      </w:r>
    </w:p>
    <w:p>
      <w:r>
        <w:t>6. On March 22, 2022, in view of the communication initiating the proceedings, the Authority decided to authorize inspections, pursuant to Article 27, paragraphs 2 and 3, of the Consumer Code, at the premises of the company ECS. The inspective checks were carried out at the premises of the aforementioned Company on March 30, 2022.</w:t>
      </w:r>
    </w:p>
    <w:p>
      <w:r>
        <w:t>7. From the checks carried out at the ECS premises, a preliminary examination of the documentation acquired revealed that the Professional operates effectively, via the website www.hwonline.it, according to the promotional and marketing methods hypothesized in the communication initiating the proceedings. Specifically, it has emerged that numerous consumers purchased the products published online based on the stated availability of the same and the related delivery times, and, on the other hand, that ECS delayed/omitted the delivery of the products sold online and did not provide adequate customer assistance in the post-sale phase, also prejudicing the consumers' rights of withdrawal and refund*1.</w:t>
      </w:r>
    </w:p>
    <w:p>
      <w:r>
        <w:t>8. During the inspective check, the Professional stated that they charge the customer the purchase price of the product immediately after sending the order and only subsequently verify the actual presence of the ordered product in the automatic system transmitted by their suppliers (distributors' catalog) and updated daily. Therefore, as specified by ECS, the ordered products may not be available for sale, since the Company essentially operates according to the so-called dropshipping method, procuring goods from third-party suppliers; in cases where the good turns out to be unavailable, ECS would propose an alternative product to the customer or proceed with the cancellation of the order and the refund of the amount paid.</w:t>
      </w:r>
    </w:p>
    <w:p>
      <w:r>
        <w:t>* In this version, some data are omitted, as elements of confidentiality or secrecy of the information were deemed to exist.</w:t>
      </w:r>
    </w:p>
    <w:p>
      <w:r>
        <w:t>1 In particular, the inspective documentation provides numerous pieces of evidence from which it is evident that many consumers, following the non-delivery/delayed delivery of the good, made repeated requests (doc. 4044 of the inspective file), without being able to contact customer service to obtain assistance and information (docs. 4039, 4065, 4200 of the inspective file) and without obtaining a refund despite the reassurances received (docs. 4054 and 4080 of the inspective file). See also doc. 4049 of the inspective file containing the following message: “Since I have lost hope for a refund from you on order GQPYTZDS, I ask if it is possible to receive a voucher of 300 euros to spend at the store.” Also see doc. 4204 of the inspective file in which a customer complained, “After MONTHS I have not received my DUE REFUND, despite countless reminders via email. I request immediate execution of the refund. If I do not receive a response, I will resort to legal action.” Of the same tenor is doc. 4210 of the inspective file. In doc. 4108 of the file, there is the following message dated January 26, 2021: “Regarding order n CARHHHEAX ([omitted]) with payment made on 12/1/2020, I request to be refunded the amount paid due to a delivery delay that exceeds the days provided for by the order contract. Any delivery from this day forward will be refused; moreover, I urge you to refund me promptly, at least regarding the 40 days waited in vain for the arrival of the product I ordered and paid for. Otherwise, legal action will be taken.” Documents 4042 and 4045 of the inspective file contain complaints from numerous consumers who reported the impossibility of contacting customer service.</w:t>
      </w:r>
    </w:p>
    <w:p>
      <w:r>
        <w:t>9. With regard to the management and tracking of orders, the Company stated that it does not monitor the entire shipping and delivery process of the product since, once entrusted to the courier, the home delivery phase remains the responsibility of the latter. Consequently, ECS is unable to monitor the entire delivery process and becomes aware of any issues, such as delays or missed deliveries, only following specific complaints and/or requests for information from customers; the Company, in fact, specified that it does not have any reporting on the orders actually delivered, the related delivery times, and any delays compared to the times indicated to consumers.</w:t>
      </w:r>
    </w:p>
    <w:p>
      <w:r>
        <w:t>10. From the initial inspective findings, it emerged that the Professional received [5,000-10,000] orders2 between January 1, 2021, and March 31, 2022. In light of this number of orders, it appears that the Company canceled 966 orders, shipped 2,061 orders, and delivered only 69 orders, which is a significantly lower amount compared to the total orders received3.</w:t>
      </w:r>
    </w:p>
    <w:p>
      <w:r>
        <w:t>11. As for the withdrawal requests and refund procedures in general, ECS stated that it has not adopted an automated system capable of managing the entire process for each individual order from the request to the issuance of the refund and the crediting; the procedures would indeed be managed manually by company employees who, regarding refund requests, would prioritize the most recent ones, scheduled based on the company's cash availability, and then proceed with the older refund requests, which are the subject of complaints from consumers, for which the reputational damage is considered already consumed and, therefore, are deemed less urgent. Moreover, the Professional stated that they proceed with refunds via bank transfer even in some cases where the payment of the amount was made by credit card, thus necessitating communication with the customer to obtain the relevant bank details.</w:t>
      </w:r>
    </w:p>
    <w:p>
      <w:r>
        <w:t>12. Finally, ECS pointed out that it does not have any reporting related to the withdrawal and cancellation requests received from consumers nor any reporting on the refund requests received, the number and timing of refunds made, and those still to be made.</w:t>
      </w:r>
    </w:p>
    <w:p>
      <w:r>
        <w:t>III. MEMORIES OF THE PARTY</w:t>
      </w:r>
    </w:p>
    <w:p>
      <w:r>
        <w:t>13. Following the communication initiating the proceedings of March 22, 2022, delivered to ECS on March 30, 2022, regarding the precautionary proceedings, the Company submitted a defensive memorandum, received on April 12, 20224; furthermore, with communications received on May 2, 2022, the Party provided the requested information at the start5 and produced an additional defensive memorandum6.</w:t>
      </w:r>
    </w:p>
    <w:p>
      <w:r>
        <w:t>2 See doc. 4122 of the inspective file.</w:t>
      </w:r>
    </w:p>
    <w:p>
      <w:r>
        <w:t>3 See doc. 4122 of the inspective file.</w:t>
      </w:r>
    </w:p>
    <w:p>
      <w:r>
        <w:t>4 Memorandum prot. 33724 of April 11, 2022.</w:t>
      </w:r>
    </w:p>
    <w:p>
      <w:r>
        <w:t>5 See communication prot. 37894 of May 2, 2022.</w:t>
      </w:r>
    </w:p>
    <w:p>
      <w:r>
        <w:t>6 See defensive memorandum prot. 37896 of May 2, 2022.</w:t>
      </w:r>
    </w:p>
    <w:p>
      <w:r>
        <w:t>200 BULLETIN NO. 21 OF JUNE 6, 2022</w:t>
      </w:r>
    </w:p>
    <w:p>
      <w:r>
        <w:t>14. In the memorandum of April 12, 2022, the Professional, regarding the fumus boni iuris, stated that they had taken charge of the 27 intervention requests made to the Authority by the reporters and had already refunded 19 of them, although from the documentation on file, the refund of the purchase price would have occurred with very long times, even many months from the request7. According to ECS, in most of the cases reported to the Authority, the non-delivery of the products sold online would be attributable to alleged issues related to the distributors.</w:t>
      </w:r>
    </w:p>
    <w:p>
      <w:r>
        <w:t>15. With regard to the periculum in mora, the Company stated that the behaviors contested to it would be attributable to the difficulties associated with the spread of the Covid-19 pandemic, which would have caused, on the one hand, an exponential increase in online orders, and on the other hand, a supply difficulty due to the inability to rely on continuous supplies from wholesalers. According to the Professional, any precautionary measures would aim to determine the suspension of a commercial practice that the Company would have already predominantly ceased some time ago, being currently engaged in managing (through refunds and product exchanges) the contractual shortcomings of previous months.</w:t>
      </w:r>
    </w:p>
    <w:p>
      <w:r>
        <w:t>16. Essentially, according to ECS, the difficulties recorded in the management of orders would be attributable to "transient causes" - for the resolution of which the Company is already working - as deducible from the fact that the first reports to the Authority date back to November 2021, although the Company has been operating since 2017 both offering to the public the products in its warehouse and in dropshipping.</w:t>
      </w:r>
    </w:p>
    <w:p>
      <w:r>
        <w:t>17. In any case, according to ECS, the current formulation of the Site, "which clearly indicates to users the possible immediate unavailability of the product or the indicative delivery times"8, would already be sufficient to allow an adequate assessment by consumers, enabling them to make informed commercial decisions in comparing the price of goods and the sacrifice, in terms of waiting, possibly associated with them.</w:t>
      </w:r>
    </w:p>
    <w:p>
      <w:r>
        <w:t>18. On May 2, 2022, the Company sent its response to the request for information made in the communication initiating the proceedings, providing - among other things - the following feedback: i) regarding the methods of determining and indicating to consumers the availability of goods and the related delivery times, the Professional highlighted that, in the case where a product is available, on the Site - in the preview page - a green circle/traffic light is displayed and in the product sheet (which can be accessed by clicking on the product displayed in the preview) detailed information about the good and the expected shipping times appears ("Available. Indicative shipping 10-15 working days"). If, on the other hand, the product is not available, on the Site - in the preview page - a red circle/traffic light appears and in the product sheet (which can be accessed by clicking on the product displayed in the preview) a red banner associated with a prohibition signal is visible; ii) regarding delivery times, ECS stated that they vary depending on the distribution method: in the case of dropshipping, the Company expects to have full availability of the product.</w:t>
      </w:r>
    </w:p>
    <w:p>
      <w:r>
        <w:t>7 Specifically, see for example the following reports: prot. 85266 of 12/11/2021; prot. 87536 of 22/11/2021; prot. 88362 of 25/11/2021; prot. 10469 of 4/1/2022 and prot. 10821 of 7/1/2022.</w:t>
      </w:r>
    </w:p>
    <w:p>
      <w:r>
        <w:t>8 In particular, the Site expressly indicates the products "not available," inserting a red banner on the relevant page; in cases of operation via dropshipping, the Site indicates that the "shipping" - not the "delivery" - of the product will occur indicatively within a certain range of days from the order, by inserting a green banner bearing the following indication "Available. Indicative shipping x-x working days."</w:t>
      </w:r>
    </w:p>
    <w:p>
      <w:r>
        <w:rPr>
          <w:b/>
        </w:rPr>
        <w:t>[Pages 199–201]</w:t>
      </w:r>
    </w:p>
    <w:p>
      <w:r>
        <w:t>BULLETIN NO. 21 OF JUNE 6, 2022 201</w:t>
        <w:br/>
        <w:t>only at a later time after the order and delivery times may vary depending on the supplier; if shipments come from the company's warehouse (located in Turin), delivery times would be "relatively certain" and would not exceed 4/5 days from the order (including packaging and preparation for shipment);</w:t>
      </w:r>
    </w:p>
    <w:p>
      <w:r>
        <w:t>iii) regarding order tracking procedures, the customer would have the ability to follow their progress through their account, as well as through update emails sent with every change in status. Some couriers would provide a tracking number that allows the customer to monitor the shipment status through their portal; other couriers, however, would provide the shipment number only on the working day following the shipment. If the shipment is entirely managed by the supplier, the tracking reference is communicated by the supplier itself and the customer must consult the fulfilled orders.</w:t>
      </w:r>
    </w:p>
    <w:p>
      <w:r>
        <w:t>iv) concerning purchase orders, the Company claimed to have received a total number of orders between January 1, 2021, and March 31, 2022, equal to [4,000-8,000] and to have delivered only a small portion, corresponding to [1,000-4,000]. The company specified that it was unable to provide data regarding any delays accumulated in managing the aforementioned orders and delivery times as such aspects would fall exclusively within the competence of the couriers to whom the Company entrusts the shipment and delivery of goods. In this regard, ECS – in order to improve the management and traceability of orders – would have recently implemented its management system by introducing an innovative program that would allow tracking of every activity carried out in managing the platform;</w:t>
      </w:r>
    </w:p>
    <w:p>
      <w:r>
        <w:t>v) ECS stated that it received, during the same period (January 1, 2021 – March 31, 2022), [100-2,000] cancellation and annulment requests from customers and was, however, unable to indicate the outcome. The Company then stated that it had never unilaterally canceled received orders, as it would always have activated and made itself available to provide substitute products, even of higher quality than those subject to the original purchase, to customers who reported malfunctions or defects in the products or who did not wish to wait for the delivery times resulting from delays in supplies;</w:t>
      </w:r>
    </w:p>
    <w:p>
      <w:r>
        <w:t>vi) regarding refunds, the Company claimed that during the period between January 1, 2021, and March 31, 2022, it would have received [1,000-5,000] refund requests and that it would have satisfied almost all of them, with the number of orders still in the refund process being [100-500]. Complaints, although the management system in use does not allow tracking or cataloging of complaints received based on requests, would be managed by the Professional in such a way as to resolve the issue by contacting their supplier to allow the customer to choose the delivery of a product of the same category as the one ordered, even of higher quality, or, if this is impossible or not preferred by the customer, to fully refund the amount paid at the time of purchase.</w:t>
      </w:r>
    </w:p>
    <w:p>
      <w:r>
        <w:t>19. In the defensive memorandum received on May 2, 2022, the Professional first highlighted that they had refunded two other reporting consumers, one of whom, however, after more than six months from the refund request, and that even in these cases the shipment of the product would have suffered delays due to distribution-related issues. Furthermore, ECS reiterated the observations already made regarding the non-deceptiveness of the information published on the Site about the availability and delivery times of the products, also in light of the fact that the internet user would represent a careful and more astute consumer, capable of understanding the information and making an informed choice.</w:t>
      </w:r>
    </w:p>
    <w:p>
      <w:r>
        <w:t>20. ECS then contested the existence of aggressive profiles related to the immediate charge of the price of unavailable products and the subsequent unilateral cancellation of the order or the inducement of the consumer to request cancellation; according to ECS, the requirements of "coercion" of the consumer's behavior would not be present, as the latter, in the case of payment by bank transfer, would have the option to pay the amount in a single solution or to split the amount, paying only a deposit at the time of the order and then paying the balance "as soon as the product has actually become available for shipment"; this measure would have been introduced to address the variability of supply and delivery times of products sourced from third-party suppliers, in a perspective of customer protection, in line with the diligence standards required of e-commerce operators. Also, the multiplicity of payment methods made available to consumers, some of which would allow for deferred and installment payments, would demonstrate the willingness to meet user needs and the absence of coercion; finally, the consumer would still be protected by the chargeback tool that can be activated in case of withdrawal or fraudulent use of the credit card.</w:t>
      </w:r>
    </w:p>
    <w:p>
      <w:r>
        <w:t>21. Regarding the complaints related to the non-delivery of products, ECS reiterated that it had diligently refunded or offered an improved product to every consumer who did not receive the ordered good, moreover for reasons allegedly beyond its control and attributable to the difficulties of suppliers related to the pandemic crisis. The conduct concerning the omission of information on shipment tracking, according to ECS, would not be attributable to the Company since such service should be guaranteed by the carriers to whom e-commerce shipments are entrusted, so that the tracking service should be requested by users from the carriers. Finally, regarding post-sale assistance, ECS would make available to consumers a live chat, an email address, and, although it is not an obligation for the professional, also an active telephone service with some limitations on hours.</w:t>
      </w:r>
    </w:p>
    <w:p>
      <w:r>
        <w:t>IV. EVALUATIONS</w:t>
      </w:r>
    </w:p>
    <w:p>
      <w:r>
        <w:t>22. From the perspective of fumus boni iuris, the elements described above lead to believe prima facie that the behaviors contested to the Professional and carried out in the promotion and online sale activity through the website https://www.hwonline.it/, violate Articles 20, 21, 22, 24, and 25 of the Consumer Code, concerning the dissemination of misleading information about the availability and delivery times of products sold online, the cancellation of online orders after charging the purchase price, the omitted or delayed delivery of products ordered online and paid for by consumers, the failure to carry out refunds within the expected times following non-delivery or order cancellation, and the omission of adequate post-sale assistance to consumers.</w:t>
      </w:r>
    </w:p>
    <w:p>
      <w:r>
        <w:t>23. Moreover, in light of the initial investigative findings, the behavior of the Professional is characterized by particular seriousness and unfairness, as they immediately charge the price of goods sold online, already at the moment the consumer places the order, before verifying the actual availability of the product and proceeding with its shipment, thus also in cases where the product is subsequently found to be unavailable or obtainable only after very long periods. In such cases, therefore, the Professional would derive an unjustified economic benefit from the immediate availability of the amount paid by consumers, shifting the risk of unavailability of the good onto them.</w:t>
      </w:r>
    </w:p>
    <w:p>
      <w:r>
        <w:t>24. The generic arguments made by the Professional in the defensive memorandum, lacking documentary support, do not appear capable of undermining the foundation of the illicit acts attributed to the Company, as they merely indicate in a generic manner some contingent factors related to the alleged effects of the Covid-19 pandemic, which would have caused the reported difficulties in managing orders (such as alleged problems in managing relationships with some couriers), or make vague reference to the fact of not being able to "count on continuous supplies from suppliers."</w:t>
      </w:r>
    </w:p>
    <w:p>
      <w:r>
        <w:t>25. Conversely, the very circumstance that the Professional, who mostly operates in dropshipping, has highlighted the existence of supply problems from external suppliers seems to confirm that the ordinary practice of the Company is to misleadingly offer for sale, on the relevant website, products that are actually not available in its warehouse at the time of the order and the related payment, proceeding with the immediate charge of the purchase price and only later seeking to acquire the (possible) availability of the goods, thus shifting the risks and problems related to sourcing from suppliers onto consumers, as well as the potential cancellation of the order.</w:t>
      </w:r>
    </w:p>
    <w:p>
      <w:r>
        <w:t>26. The data acquired during the inspection assessment appear to attest to the existence of significant issues regarding deliveries, indicating that the Company, in relation to a high number of orders (approximately [5,000-10,000]) received in the 15 months of operation from January 1, 2021, to March 31, 2022, would have "shipped" only a small part, equal to 2,061 orders, and would have "delivered" an even smaller number, equal to 69 orders. Also, the information provided by the Professional on May 2, 2022, although quantitatively not fully coinciding, seems to confirm a significant case of non-deliveries, as it reports that ECS would have delivered only [1,000-4,000] orders out of a total (declared) of [4,000-8,000] orders received, with the consequence that even in this case a significant number of undelivered orders would emerge, equal to [2,000-6,000].</w:t>
      </w:r>
    </w:p>
    <w:p>
      <w:r>
        <w:t>27. In addition to these data, the numerous orders canceled by ECS (966) and the requests ([100-2,000]) for order cancellations and withdrawals by consumers – of which the Company is unable to indicate the outcome – as well as the numerous episodes of failure to comply with the delivery times promised to consumers, as evidenced by the inspection documents and the reports received by the Authority, must be considered. In this regard, it is noteworthy that the Professional is unable to provide – as they have no knowledge of it – the data regarding any delays accumulated in managing orders and delivery times, assuming that such aspects are within the exclusive competence of the couriers.</w:t>
      </w:r>
    </w:p>
    <w:p>
      <w:r>
        <w:rPr>
          <w:b/>
        </w:rPr>
        <w:t>[Pages 202–204]</w:t>
      </w:r>
    </w:p>
    <w:p>
      <w:r>
        <w:t>204 BULLETIN NO. 21 OF JUNE 6, 2022</w:t>
        <w:br/>
        <w:t>these aspects fall within the exclusive competence of the couriers to whom the Company entrusts the shipping service of the goods.</w:t>
      </w:r>
    </w:p>
    <w:p>
      <w:r>
        <w:t>28. Essentially, the current investigative findings reveal that a significant percentage of online consumer orders have been subject to non-delivery or failure to meet the proposed delivery time, including delays of considerable magnitude. In light of such critical issues, the lack of adoption of adequate order management methods as well as reporting of the related problems is significant for the correct resolution of the issues and fulfillment of consumer requests.</w:t>
      </w:r>
    </w:p>
    <w:p>
      <w:r>
        <w:t>29. The evidentiary elements in the records also attest to the existence of strong criticalities regarding the management of refund requests submitted by consumers due to the delayed/non-delivery of products ordered online; numerous testimonies and complaints from consumers collected during the inspection and reported to the Authority are relevant in this regard. The same information provided by the Company helps to support this picture: on one hand, the reconstruction of some reported incidents shows very long refund times, on the order of several months, in favor of customers, and on the other hand, ECS has stated that it has not yet processed at least [100-500] refund requests.</w:t>
      </w:r>
    </w:p>
    <w:p>
      <w:r>
        <w:t>30. The responses provided by the Professional regarding the issues raised by the reporters, on the other hand, appear evasive and generic, as he has merely attributed the responsibilities for the criticalities that occurred to third parties, without providing any element to substantiate the correctness of his actions nor, let alone, to demonstrate the actual management and concrete resolution of the aforementioned problems. In this context, the information provided by the Professional regarding refunds constitutes merely evidence of sporadic episodes resolved by the Party following the reiteration of requests by the reporters.</w:t>
      </w:r>
    </w:p>
    <w:p>
      <w:r>
        <w:t>31. From the information provided by the Party, it can also be inferred that there is a strong organizational deficit regarding the management of complaints, the purchasing process, and the traceability of orders, concerning which the Professional has provided rather generic indications and no elements to testify to his ability to ensure adequate consumer protection in these respects. In this regard, it is highlighted that further reports from consumers have continued to arrive, subsequent to the initiation of the procedure and until the adoption of this provision, complaining about the promotion at convenient prices of products indicated as "available" that would actually not be in the Company's warehouses, the non-delivery of what was ordered and paid for, the inadequate assistance from customer service, and the failure to refund.</w:t>
      </w:r>
    </w:p>
    <w:p>
      <w:r>
        <w:t>32. From the perspective of periculum in mora, it is worth noting that the aforementioned behaviors, consisting of the misleading representation of the availability and delivery times of the products, the failure to refund following the non-delivery of the sold goods, and the inadequate provision of post-sale assistance services, are characterized by a high degree of offensiveness as the website www.hwonline.it is still active and as such capable, during the course of the procedure, also considering the exponential growth of online sales, of reaching a large number of consumers who, attracted by the characteristics of the offer advertised by the Professional, could purchase the products, pay the price, not receive the goods within the expected time, and subsequently fail to obtain the return of the amounts paid, which are also of considerable magnitude, given the nature of the marketed goods.</w:t>
      </w:r>
    </w:p>
    <w:p>
      <w:r>
        <w:t>33. In light of all the above, considering the current nature of the illicit behaviors described, they appear capable, during the course of the procedure, of inducing consumers to make a commercial decision that they otherwise would not take, such as making purchases on the website www.hwonline.it in the belief that they will receive the purchased products shortly as they are "available," with the consequence of paying an amount for products that may not be delivered and for which the return of the sums paid is particularly difficult and complex.</w:t>
      </w:r>
    </w:p>
    <w:p>
      <w:r>
        <w:t>CONSIDERING, therefore, that from the examination of the acts of the procedure, elements emerge that support the need to act with particular urgency in order to prevent the above-described commercial practices, consisting of the misleading representation of the availability and delivery times of the products, the failure to refund following the non-delivery of the sold goods, and the inadequate provision of post-sale assistance services, from continuing to be carried out during the course of the substantive procedure;</w:t>
      </w:r>
    </w:p>
    <w:p>
      <w:r>
        <w:t>ORDERS</w:t>
        <w:br/>
        <w:t>pursuant to Article 27, paragraph 3, of the Consumer Code and Article 8, paragraph 1, of the Regulation, that the company E-Commerce Specialist S.r.l.:</w:t>
        <w:br/>
        <w:t>a) temporarily suspend all activities aimed at the marketing and sale of unavailable products when presented as "available" and/or otherwise not actually ready for delivery within the indicated timeframe;</w:t>
        <w:br/>
        <w:t>b) communicate to the Authority the execution of this suspension order and the related methods within ten days of receiving this order, sending a detailed report in which the measures adopted are illustrated.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communicated to the interested parties and published in the Bulletin of the Authority for Competition and the Market.</w:t>
      </w:r>
    </w:p>
    <w:p>
      <w:r>
        <w:t>Against this provision, an appeal may be filed with the TAR of Lazio, pursuant to Article 135, paragraph 1, letter b), of the Administrative Process Code (Legislative Decree July 2, 2010, no. 104), within sixty days from the date of communication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and twenty days from the date of communication of the provision itself.</w:t>
      </w:r>
    </w:p>
    <w:p>
      <w:r>
        <w:t>It is reminded that, pursuant to Article 8, paragraph 4, of the Regulation, this suspension decision must be immediately executed by the professionals and that the appeal against the Authority's suspension provision does not suspend its execution.</w:t>
      </w:r>
    </w:p>
    <w:p>
      <w:r>
        <w:t>THE SECRETARY GENERAL THE PRESIDENT</w:t>
        <w:br/>
        <w:t>Guido Stazi Roberto Rustichelli</w:t>
      </w:r>
    </w:p>
    <w:p>
      <w:r>
        <w:rPr>
          <w:b/>
        </w:rPr>
        <w:t>[Pages 205–207]</w:t>
      </w:r>
    </w:p>
    <w:p>
      <w:r>
        <w:t>BULLETIN NO. 21 OF JUNE 6, 2022 207</w:t>
        <w:br/>
        <w:t>PS12298 - FACILE ENERGY - UNREQUESTED ACTIVATIONS</w:t>
        <w:br/>
        <w:t>Measure No. 30166</w:t>
        <w:br/>
        <w:t>THE COMPETITION AND MARKET AUTHORITY</w:t>
        <w:br/>
        <w:t>IN ITS MEETING of May 31, 2022;</w:t>
        <w:br/>
        <w:t>HEARD the Rapporteur Professor Elisabetta Iossa;</w:t>
        <w:br/>
        <w:t>VIEWED Part II, Title III and Part III,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documents of the proceeding;</w:t>
        <w:br/>
        <w:t>VIEWED the communication initiating proceeding PS12298, dated April 27, 2022, aimed at verifying the existence of unfair commercial practices in violation of Articles 20, 21, 22, 24, 25, 26 letter f) in conjunction with Article 66 quinquies, 49, 50, 51, 52, 53, 54, and 55 of the Consumer Code, carried out by the company Facile Energy S.r.l. (hereinafter also Facile Energy, Professional or Company);</w:t>
        <w:br/>
        <w:t>VIEWED the Authority's resolution of April 27, 2022, which authorized an inspection, pursuant to Article 27, paragraphs 2 and 3, of the Consumer Code, at the premises of Facile Energy S.r.l.;</w:t>
        <w:br/>
        <w:t>VIEWED the memorandum submitted by Facile Energy S.r.l., received on May 17, 2022;</w:t>
        <w:br/>
        <w:t>CONSIDERING the following:</w:t>
        <w:br/>
        <w:t>I. FACT</w:t>
        <w:br/>
        <w:t>1. From the requests for intervention received by the Authority since July 2021 and the information acquired ex officio for the application of the Consumer Code, it emerged that Facile Energy S.r.l. would have engaged in conduct consisting of: i) the conclusion of contracts and the activation of unrequested supplies, in the absence of the consumer's signature or consent, also omitting the sending of contractual documentation and requesting payment of undue fees; ii) the dissemination of false, inaccurate, or incomplete information regarding the identity of the Professional and the characteristics of the offers; iii) the imposition of onerous or disproportionate non-contractual obstacles to the exercise of contractual rights by the consumer, with reference to the exercise of the right of reconsideration/cancellation; iv) the disconnection of the withdrawal point pending complaints or without adequate notice.</w:t>
        <w:br/>
        <w:t>2. In light of the information acquired in the records, on April 27, 2022, the investigative proceeding PS12298 was initiated, pursuant to Article 27, paragraph 3, of the Consumer Code, as well as pursuant to Article 6 of the Regulation, in order to ascertain the existence of unfair commercial practices in violation of Articles 20, 21, 22, 24, 25, 26 letter f) in conjunction with Articles 66 quinquies, 49, 50, 51, 52, 53, 54, and 55 of the Consumer Code.</w:t>
        <w:br/>
        <w:t>3. The parties to the proceeding are the company Facile Energy S.r.l., as the professional, and the consumer associations Adiconsum Padova, Adiconsum dei Laghi - Varese Office, Consumer Users Protection Center, Federconsumatori Arezzo, Federconsumatori Toscana, Federconsumatori Trieste, National Consumers Union as complainants.</w:t>
        <w:br/>
        <w:t>4. Concurrently with the communication initiating the proceeding, the Professional was invited, pursuant to Article 8, paragraph 2, of the Regulation, to submit written statements and documents within 10 days of receipt, for the evaluation of the prerequisites for the provisional suspension of the practices, pursuant to Article 27, paragraph 3, of the Consumer Code.</w:t>
        <w:br/>
        <w:t>II. INSPECTIVE FINDINGS</w:t>
        <w:br/>
        <w:t>5. On April 27, 2022, in view of the communication initiating the proceeding, the Authority resolved to authorize an inspection, pursuant to Article 27, paragraphs 2 and 3, of the Consumer Code, at the premises of the company Facile Energy S.r.l., which took place at the company's headquarters on May 5, 2022.</w:t>
        <w:br/>
        <w:t>6. From a preliminary examination of the documentation acquired, it emerges that the Professional has indeed engaged in the contested conduct in numerous cases, as supported by the considerable number of complaints and requests for contact from users recorded in the files, the inadequate management of which constitutes an integral part and an element of further criticality of the conduct itself. Approximately [1,500-2,000]* complaints were acquired via email from consumers in just over a month (from March 22 to May 5, 2022), about [400-600] of which were found to be not yet managed by the Company (in addition to those received via certified email and chat, which could not be quantified). Furthermore, these complaints do not appear to be appropriately categorized, tracked, and managed according to the current regulations11: indeed, in numerous standardized responses provided to consumers who send complaints via certified email, they are simply invited to forward them, via non-certified mail, to the email addresses “clienti@facile.energy” or “reclami@facile.energy” through poorly justified assertions such as “we do not use certified email to respond to complaints from customers, so if you have or will have problems, you can write directly to this email” or “In order to receive assistance from the relevant offices, we invite you to contact exclusively via email the following dedicated contacts: clienti@facile.energy or reclami@facile.energy”2. In various cases, such responses, merely dilatory, are provided by the Company several days after the receipt of the complaints themselves, further delaying the customers' ability to reiterate their communications and sometimes causing replies regarding this circumstance3.</w:t>
        <w:br/>
        <w:t>1 * In this version, some data is omitted, as elements of confidentiality or secrecy of the information were deemed to exist.</w:t>
        <w:br/>
        <w:t>1 See Resolution July 21, 2016 413/2016/R/com.</w:t>
        <w:br/>
        <w:t>2 See, for example, emails 2022-05-02 1816 and 2022-04-07 1808, acquired in the folder COMPLAINTS RESPONSES.zip (doc. 1348 of the inspection file).</w:t>
        <w:br/>
        <w:t>3 See, for example, the email 2022-04-07 1312, acquired in the folder COMPLAINTS RESPONSES.zip (doc. 1348 of the inspection file), in which a consumer's lawyer writes: “Dear Company, attached is a communication that I also report below.</w:t>
      </w:r>
    </w:p>
    <w:p>
      <w:r>
        <w:t>BULLETIN NO. 21 OF JUNE 6, 2022 209</w:t>
        <w:br/>
        <w:t>7. Furthermore, as noted in the report of the inspection activity, neither the complaints nor the requests received by phone are managed in real time, since the resources allocated to telephone assistance appear sufficient to handle very few requests, while the vast majority of these, forwarded through recorded messages in voicemail, as well as the numerous complaints sent via email and fax, do not receive any response even after some time, despite repeated reminders from consumers4.</w:t>
        <w:br/>
        <w:t>8. The findings made during the inspection also confirmed the recurring unfair conduct related to the various phases of the relationship between Facile Energy and its customers, as already deducible from the complaints in the files, revealing how, in a multitude of cases and with reference to several hundred consumers, the Professional, through the actions of its partner agencies, activates unrequested supplies for consumers who are systematically unaware (with few exceptions) that they have been contacted for the purpose of being contracted, who only become aware of the new supply following the delivery of a “welcome letter” or payment reminders and notices of power reduction and/or disconnection of the withdrawal point, often despite the non-delivery of unpaid bills or even pending complaints; finally, both in such cases and without the notice being delivered correctly and promptly, numerous customers suffer disconnection, often even despite having paid the invoices.</w:t>
        <w:br/>
        <w:t>9. With particular reference to unrequested activations via teleselling, consumers report being contacted by agents through the telephone channel, most often in manifestly pretextual ways, for example presenting themselves as operators of their current supplier and obtaining consent by suggesting the need to receive the supply from Facile Energy, tasked by this to address some technical difficulties in the provision of energy services5. Or, again, presenting themselves always as operators of the existing supplier, employees of ARERA or unspecified consumer protection entities and asking for confirmation of personal data to then use them in the registration related to the telephone consent6. Furthermore, in some cases, the artificiality of the recording is complained about, in which the person providing personal data and consent would not be the contracted customer7. Most of the time, from listening to such recordings or reading the complaints, it emerges that the recipients of such telephone contacts are vulnerable individuals, primarily in</w:t>
        <w:br/>
        <w:t>I note that the complaint was sent on March 30 via certified email to the address facile.energy@pec.it and only on April 6 did I receive your response asking me to forward the complaint to the email addresses to which action is now being taken. Therefore, since 8 days have already passed since the first sending, these will be counted for the calculation of the complaint deadlines, for all legal purposes.”</w:t>
        <w:br/>
        <w:t>4 See, for example, emails 2022-04-06 1749, 2022-05-02 1756, 2022-04-11 0954, acquired in the folder COMPLAINTS RESPONSES.zip (doc. 1348 of the inspection file).</w:t>
        <w:br/>
        <w:t>5 See, for example, the file complaints18-tele3, acquired in the folder scans 050522.zip (doc. 1 of the inspection file).</w:t>
        <w:br/>
        <w:t>6 See, for example, the files complaints4-pl1.pdf, complaints21-tele1, complaints22-tele1, complaints31-team1, complaints34-team1, acquired in the folder scans 050522.zip (doc. 1 of the inspection file).</w:t>
        <w:br/>
        <w:t>7 See, for example, emails 2022-04-15 1304 and 13042022-04-12 1129, acquired in the folder COMPLAINTS RECEIVED.zip (doc. 1347 of the inspection file). In the first, the complainant states: “I received the telephone recording according to which I would have concluded a contract with FACILE.ENERGY. The recordings are two and the first part is clearly tampered with and does not contain my voice, a conversation that I had never heard before and responses that I did not give to those questions, in which I would be proposed the change of supply from an incomprehensible voice and asked to confirm this activation, confirmation that I never gave. I am also asked to confirm the date March 18, 2022, and the time 16:56 of the call and the voice that answers is not mine and from telephone checks carried out on my phone there are no calls at the time you declared 16:56 and this is proof of fraud on your part.”</w:t>
        <w:br/>
        <w:t>See also the email 2022-04-11 0922, acquired in the folder COMPLAINTS RESPONSES.zip (doc. 1348 of the inspection file).</w:t>
      </w:r>
    </w:p>
    <w:p>
      <w:r>
        <w:rPr>
          <w:b/>
        </w:rPr>
        <w:t>[Pages 208–210]</w:t>
      </w:r>
    </w:p>
    <w:p>
      <w:r>
        <w:t>BULLETIN NO. 21 OF JUNE 6, 2022</w:t>
      </w:r>
    </w:p>
    <w:p>
      <w:r>
        <w:t>210. Due to advanced age and/or as disabled individuals, to whom information regarding the nature of the contract, the economic conditions of supply, and consumer rights in relation to the conclusion of the contract is often presented in a partial manner and/or at such a speed as to render it scarcely intelligible: consequently, confirmations are made by them without any awareness and in many cases in an evident state of confusion.</w:t>
      </w:r>
    </w:p>
    <w:p>
      <w:r>
        <w:t>10. In light of the numerous unsolicited activations carried out in such a manner, systematic and mirrored complaints were found during the inspection regarding the failure to obtain valid consent for the subscription of the contract and the request to exercise the right of reconsideration and/or withdrawal, as well as the failure to send the contractual package (despite CGC and CTE being mentioned as attachments to the "welcome letter" confirming the activation); in this regard, the responses provided by Facile Energy are based on standardized and dilatory replies, through the simple communication of the valid conclusion of a contract via teleselling, with the possible attachment of the relevant recording and the abused clarification that the exercise of the right of reconsideration would commence at the moment of the conclusion of the telephone contract.</w:t>
      </w:r>
    </w:p>
    <w:p>
      <w:r>
        <w:t>11. Moreover, during the inspection, no case was found in which the Professional actually acknowledged having made an unsolicited activation; the management of the reconsideration requests does not provide for any tracking and/or archiving of the same, but merely the entry of some basic data into Excel sheets and, barring sporadic exceptions, does not even report the outcome of the exercise of the right. Furthermore, since the requests are not managed in real time, consumers risk having the supply activated even in the event of timely exercise of the right of withdrawal (even according to the timelines proposed by Facile Energy and following confirmation of acknowledgment of the reconsideration by the latter).</w:t>
      </w:r>
    </w:p>
    <w:p>
      <w:r>
        <w:t>12. Similarly, numerous consumer complaints (and the related replies from the Professional) provide evidence of undue payment requests and various episodes of disconnection threatened or carried out without adequate notice or while a complaint is pending, revealing how entirely inadequate and lacking in traceability the management of both complaints and invoice payments is (often not delivered to consumers before the due date), as well as the registered letters containing payment reminders and notices of power reduction and disconnection (often sent while complaints are pending and/or after payment has been made or delivered with considerable delay). This situation results, in various cases, not only in the failure to comply with the procedure provided for reminders and disconnections but also in the outcome that consumers (often of advanced age or even belonging to non-disconnectable categories) remain suddenly without the provision of energy services and unaware of having outstanding debts to settle, if not even of the very activation of the supply with Facile Energy, and with an unjustified prolongation of the times for reactivating disconnected supplies or restoring power.</w:t>
      </w:r>
    </w:p>
    <w:p>
      <w:r>
        <w:t>13. Other issues reported on various occasions by consumers concern the direct debit from the current account of the invoice amounts, prior to their receipt, as well as the receipt of invoices, for the same period, from both the previous supplier and Facile Energy.</w:t>
      </w:r>
    </w:p>
    <w:p>
      <w:r>
        <w:t>III. MEMORANDUM OF THE PARTY</w:t>
      </w:r>
    </w:p>
    <w:p>
      <w:r>
        <w:t>14. Following the communication of the initiation of the procedure dated April 27, 2022, Facile Energy submitted a defensive memorandum, received on May 17, 2022 (prot. 41422), aimed at evaluating the prerequisites for the possible provisional suspension of the practice pursuant to Article 8, paragraph 2, of the Regulation.</w:t>
      </w:r>
    </w:p>
    <w:p>
      <w:r>
        <w:t>15. According to the Professional, the complaints referred to in the initiation communication are based on a small number of reports (71), received by the Authority between July 2021 and April 2022, against the numerous contracts concluded during the same period ([50,000-80,000]). Furthermore, the complaints would mainly concern contracts concluded via teleselling, an activity carried out by third parties, over which Facile Energy would not have immediate control.</w:t>
      </w:r>
    </w:p>
    <w:p>
      <w:r>
        <w:t>16. The Professional therefore believes that the prerequisite of fumus boni iuris is absent, due to the low percentage impact of the complaints in the records of the file compared to the total number of activations carried out (less than 1% of the total contracts concluded), which would therefore appear sporadic and would not allow for the identification of an incorrect modus operandi of the Company, with the consequence that the possible adoption of the precautionary measure would constitute a disproportionate and unjust measure.</w:t>
      </w:r>
    </w:p>
    <w:p>
      <w:r>
        <w:t>17. Likewise, the prerequisite of periculum in mora would also be lacking, both due to the low numerical consistency of the reports and because the possibility of negative repercussions on consumers would be averted by the prompt and effective activation of the Company towards partner agencies following the complaints received even before the initiation of the procedure, in order to avoid reputational damage.</w:t>
      </w:r>
    </w:p>
    <w:p>
      <w:r>
        <w:t>18. In particular, the Party would have already implemented, in the management of its activity, measures and guidelines aimed at compliance with the Consumer Code and the Code of Commercial Conduct as well as the principles of fairness, loyalty, and transparency, both in its commercial activity and in the management of customer relations, and particularly in handling complaints. This would be immediately perceivable, firstly, from the percentage rate of contracts activated compared to that of contracts for which telesellers procure the conclusion, in relation to which the numerical data for the period July 1, 2021 - April 30, 2022 would highlight that "against [80,000-100,000] contracts for which the commercial sector has procured the conclusion (teleselling and other channels with predominance of the teleselling sector), Facile.Energy has activated [50,000-80,000] contracts," not accepting 22.5% of the contractual proposals: this high percentage would be indicative of "a prudent conduct that tends not to activate users that present incongruous, incomplete data, are subject to compensation requests from other suppliers, or are not in line with company indications regarding age, etc."</w:t>
      </w:r>
    </w:p>
    <w:p>
      <w:r>
        <w:t>19. Furthermore, in the past, Facile Energy would have issued stringent guidelines [not produced as an attachment to the memorandum nor temporally placed, ed.] both towards partner agencies and...</w:t>
      </w:r>
    </w:p>
    <w:p>
      <w:r>
        <w:rPr>
          <w:b/>
        </w:rPr>
        <w:t>[Pages 211–213]</w:t>
      </w:r>
    </w:p>
    <w:p>
      <w:r>
        <w:t>BULLETIN NO. 21 OF JUNE 6, 2022 213</w:t>
        <w:br/>
        <w:t>for "back office activities, dedicated to managing complaints and arrears, including those concerning payment requests pending a complaint from the final customer and the disconnections resulting from the arrears of final customers."</w:t>
      </w:r>
    </w:p>
    <w:p>
      <w:r>
        <w:t>20. In relation to this second group of activities, the guidelines would provide: i) regarding complaints related to activations and unsolicited contracts, not to request or solicit payment, even through formal notice, until the complaint is resolved negatively; ii) the imperative necessity that every defaulting customer, whose contract is not subject to a complaint for unauthorized activation/contract, receives a formal notice of default and payment request with simultaneous notice of disconnection, in compliance with the Integrated Texts on electricity and gas arrears adopted by ARERA and, on the other hand, that only in the case of non-payment of the amounts due, after the notice period provided by current regulations, the customer may be disconnected; iii) consistently with what has been stated, none of the reports received from the Authority would attest to episodes of disconnection not preceded by written notice.</w:t>
      </w:r>
    </w:p>
    <w:p>
      <w:r>
        <w:t>21. Furthermore, already on March 15, 2022, Facile Energy, following the increase in complaints and negative reviews, would have invited "all commercial collaborators to analyze the methods of their structure in procuring contracts and to return to a correct sales conduct," through a communication disseminated via email and attached to the memorandum29 and, on April 1, 2022, would have supplemented its guidelines, sending commercial partners a communication via certified email (essentially reiterated on May 16, 2022), to warn them that, with reference to contracts concluded from April 2022, customers aged between 75 and 85 years, while requiring particular caution in contacts with them, will only be accepted in the presence of payment methods for bills via IBAN and that customers over 85 years old will not be accepted30. On May 16, letters would then have been sent requesting information about the reports received and contesting the behaviors adopted to the teleselling companies used by the Professional31.</w:t>
      </w:r>
    </w:p>
    <w:p>
      <w:r>
        <w:t>22. In addition to this, the Company reports that it has already adopted some corrective measures, issuing a circular to its staff responsible for managing back office, payments, and complaints outlining the following principles32:</w:t>
        <w:br/>
        <w:t>1) any complaint, in any form received, must be categorized as "unsolicited contract complaint" with the consequent inclusion of the user among those not to be solicited or disconnected even if received after the deadlines set by sector regulations and/or after the sending of reminders or notices with prior notice of disconnection in the absence of previous reports/complaints from the final customer;</w:t>
        <w:br/>
        <w:t>2) the non-activation and, if activated, the immediate blocking of any procedure aimed at recovering amounts possibly billed following the supply of electricity and/or natural gas, until the complaint is resolved which, if accepted, will not result in any charge to the complainant;</w:t>
        <w:br/>
        <w:t>3) the possibility of exercising the right of reconsideration, in any form or manner it is exercised, by accepting the relevant request even if late compared to the legal deadline.</w:t>
      </w:r>
    </w:p>
    <w:p>
      <w:r>
        <w:t>23. In this regard, the Professional specifies that these are "measures taken, for the moment on a temporary basis in order to manage the situation during the internal investigation and in view of the adoption of further and stricter guidelines aimed at preventing suppliers and the commercial staff of the company from adopting behaviors inconsistent with the regulatory provisions and with the company rules."</w:t>
      </w:r>
    </w:p>
    <w:p>
      <w:r>
        <w:t>24. In light of these arguments and actions, a precautionary measure would not be consistent with the principle of proportionality outlined by community and national regulations and case law.</w:t>
      </w:r>
    </w:p>
    <w:p>
      <w:r>
        <w:t>IV. EVALUATIONS</w:t>
        <w:br/>
        <w:t>25. From the perspective of fumus boni iuris, the evidence acquired during the inspection leads to the conclusion, prima facie, that the behaviors reported by consumers in the numerous reports on file exist, in violation of Articles 20, 21, 22, 24, 25, 26 letter f) in conjunction with Article 66 quinquies, 49, 50, 51, 52, 53, 54, and 55 of the Consumer Code, consisting of: i) the conclusion of contracts and the activation of unsolicited supplies; ii) the dissemination of misleading information regarding the identity of the Professional and the characteristics of the offers; iii) the imposition of onerous or disproportionate non-contractual obstacles to the exercise of the right of reconsideration/cancellation; iv) the disconnection of the withdrawal point pending complaints or without adequate prior notice.</w:t>
      </w:r>
    </w:p>
    <w:p>
      <w:r>
        <w:t>26. Firstly, the significant volume of complaints received (about [1,500-2,000], only via email, in just over a month) constitutes evidence capable of objectively refuting the arguments made by the Professional in their defense memorandum regarding the alleged sporadic nature of the reports received by the Authority and the related lack of grounds for adopting the precautionary measure.</w:t>
      </w:r>
    </w:p>
    <w:p>
      <w:r>
        <w:t>27. As already highlighted, serious gaps and inadequacies emerge in the management of this considerable volume of complaints: these do not appear to be categorized, tracked, and managed according to the methods indicated by ARERA, and the standardized responses, often provided after days of waiting, appear far from resolving (consumers who send complaints via certified email are simply invited to forward them, via non-certified mail, to specific simple email addresses).</w:t>
      </w:r>
    </w:p>
    <w:p>
      <w:r>
        <w:t>28. The communications sent to partner agencies33 also confirm the existence of the existing criticalities, in which Facile Energy acknowledges the increase in complaints from its customers. On the same line are the subsequent communications disseminated on April 1 and May 16, 2022, which merely prescribe particular caution in contacts with customers aged between 75 and 85 years, contracts concluded with whom would allegedly only be accepted in the presence of payment methods for bills via IBAN (a measure that would not preclude, moreover, the actual withdrawal of amounts directly from the consumers' bank accounts), and the prohibition of entering into contracts with customers over 85 years old34.</w:t>
      </w:r>
    </w:p>
    <w:p>
      <w:r>
        <w:t>29. Such communications provide clear evidence of the existence of the contested phenomenon, all the more significant as they come from the Professional themselves, while remaining confirmed by the complaints from consumers that continue to arrive, without interruption, at the Authority.</w:t>
      </w:r>
    </w:p>
    <w:p>
      <w:r>
        <w:t>30. Facile Energy also omits any control and tracking of the various phases of customer contracting, starting from the contact (predominantly by phone) of the agencies with customers, which is not subject to any monitoring regarding compliance with sales scripts, the communication of complete and truthful information (particularly regarding the characteristics of the offer, the economic conditions applied, and the rights of consumers), and the expression of actual consent by customers. Similarly, the sending of the contractual package (which, in fact, is systematically omitted unless specifically requested by the consumer, as confirmed by customer service responses), bills, reminders, notices of power reduction or disconnection, and conversely, the receipt of requests for reconsideration and cancellation, complaints, and payments are not tracked, so that the Professional in various cases requests payments and/or carries out disconnections without following any procedure.</w:t>
      </w:r>
    </w:p>
    <w:p>
      <w:r>
        <w:t>31. These findings fully support the allegations made at the start of the proceedings and confirm not only the current nature but also the seriousness of the behaviors, refuting the arguments put forward by the Professional regarding the alleged lack of grounds for adopting the precautionary intervention. In particular, as stated, the generic assertions regarding the alleged insignificance and sporadic nature of the reports and the correctness of the Company's conduct do not appear relevant: the latter is not supported either by the evidence related to the management of complaints and contacts from customers or by the underlying approach, widespread in the memorandum and clearly contrary to jurisprudential orientations, according to which the Company would not be liable for the incorrect conduct of the agencies.</w:t>
      </w:r>
    </w:p>
    <w:p>
      <w:r>
        <w:t>32. From the perspective of periculum in mora, it is worth noting that, in particular, the behaviors consisting of activating unsolicited supplies, demanding payment of undue fees and/or pending complaints, threatening or carrying out the disconnection of the withdrawal point without adequate prior notice and/or pending complaints, in light of the findings acquired during the inspection and the reports that continue to arrive, are still ongoing and characterized by a high degree of offensiveness. These are behaviors also carried out against vulnerable individuals, and in any case likely to cause serious harm to users, who are unknowingly taken from their previous supplier and exposed to the risk not only of being asked for unjustified payments but also of being threatened with (or directly facing) disconnection of the supply, not only in the event of non-payment of improperly issued invoices, and therefore not due, but also of payment made but not recorded by the Professional.</w:t>
        <w:br/>
        <w:t>34. See Attachments 3 and 4 of the memorandum.</w:t>
      </w:r>
    </w:p>
    <w:p>
      <w:r>
        <w:rPr>
          <w:b/>
        </w:rPr>
        <w:t>[Pages 214–216]</w:t>
      </w:r>
    </w:p>
    <w:p>
      <w:r>
        <w:t>BULLETIN NO. 21 OF JUNE 6, 2022</w:t>
      </w:r>
    </w:p>
    <w:p>
      <w:r>
        <w:t>33. In this regard, the measures allegedly implemented by the Company to curb phenomena such as unsolicited activations, requests for payment of undue fees, and unjustified disconnection, or threats of disconnection, of the withdrawal point do not appear adequate to eliminate the continuation of the conduct (the periculum). In fact, on one hand, the communications sent to the agencies appear merely programmatic and substantially limited to weak users, while on the other hand, the measures provided in the aforementioned internal circular do not seem capable of either remedying the significant shortcomings of the complaint management system and the communication of withdrawal/second thoughts identified during the inspection or of preemptively curbing the phenomenon of unsolicited activations by the agencies: the willingness of the latter to correctly and promptly receive the scant indications from Facile Energy would be tasked with self-limiting its operations, in the absence of an effective monitoring and control system, as well as a sanctioning one, established by the Professional (who has so far limited himself to simply requesting clarifications from only three agencies).</w:t>
      </w:r>
    </w:p>
    <w:p>
      <w:r>
        <w:t>34. In light of all the above, considering the current nature of the illicit conduct described, it is deemed capable, during the course of the proceedings, of exposing consumers to the risk of having unsolicited supplies activated and, often remaining unaware of it, of suffering undue payment requests and/or reductions in power or disconnections of the withdrawal points.</w:t>
      </w:r>
    </w:p>
    <w:p>
      <w:r>
        <w:t>CONSIDERING, therefore, that from the examination of the acts of the proceedings, elements emerge that support the necessity to act with particular urgency in order to prevent the continuation of the aforementioned commercial practices, consisting of: i) the conclusion of contracts and the activation of unsolicited supplies, in the absence of the consumer's signature or consent, along with the failure to send the contractual documentation and the request for payment of undue fees; ii) the dissemination of information that is untrue, inaccurate, or incomplete and the omission of relevant information regarding the identity of the Professional and the characteristics of the offers, in order to unduly influence consumers' choices and activate unsolicited supplies; iii) the imposition of onerous or disproportionate non-contractual obstacles to the exercise of contractual rights by the consumer, with reference to the exercise of the right of second thoughts/withdrawal; iv) the disconnection of the withdrawal point pending complaints or without adequate notice, continues to be carried out during the course of the substantive proceedings;</w:t>
      </w:r>
    </w:p>
    <w:p>
      <w:r>
        <w:t>ORDERS</w:t>
      </w:r>
    </w:p>
    <w:p>
      <w:r>
        <w:t>pursuant to Article 27, paragraph 3, of the Consumer Code and Article 8, paragraph 1, of the Regulation, that the company Facile Energy S.r.l.:</w:t>
      </w:r>
    </w:p>
    <w:p>
      <w:r>
        <w:t>a) temporarily suspend all activities aimed at: i) the activation of electricity and gas supply contracts through teleselling, in the absence of a corresponding manifestation of will from the consumer, or following misleading information, informational omissions, and undue conditioning; ii) the request for payment of the related supplies pending complaints; and iii) the execution or threat of disconnection of the withdrawal point pending complaints or without adequate notice.</w:t>
      </w:r>
    </w:p>
    <w:p>
      <w:r>
        <w:t>b) communicate to the Authority the execution of this suspension order and the related methods within 10 days from the receipt of this order, sending a detailed report in which the measures adopted are illustrated.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This order will be communicated to the interested parties and published in the Bulletin of the Antitrust Authority.</w:t>
      </w:r>
    </w:p>
    <w:p>
      <w:r>
        <w:t>Against this order, an appeal may be filed with the TAR of Lazio, pursuant to Article 135, paragraph 1, letter b), of the Code of Administrative Procedure (Legislative Decree of July 2, 2010, No. 104), within sixty days from the date of communication of the order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communication of the order itself.</w:t>
      </w:r>
    </w:p>
    <w:p>
      <w:r>
        <w:t>It is reminded that, pursuant to Article 8, paragraph 4, of the Regulation, this suspension decision must be immediately executed by the professionals and that the appeal against the suspension order of the Authority does not suspend its execution.</w:t>
      </w:r>
    </w:p>
    <w:p>
      <w:r>
        <w:t>THE SECRETARY GENERAL THE PRESIDENT</w:t>
        <w:br/>
        <w:t>Guido Stazi Roberto Rustichelli</w:t>
      </w:r>
    </w:p>
    <w:p>
      <w:r>
        <w:t>BULLETIN NO. 21 OF JUNE 6, 2022</w:t>
      </w:r>
    </w:p>
    <w:p>
      <w:r>
        <w:t>PS12313 - ETORO/ADVERTISING WITHOUT COMMISSIONS</w:t>
        <w:br/>
        <w:t>Notice of initiation of investigative proceedings</w:t>
        <w:br/>
        <w:t>ANTITRUST AUTHORITY</w:t>
      </w:r>
    </w:p>
    <w:p>
      <w:r>
        <w:t>Notice of the initiation of the investigation,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proceeding PS12313.</w:t>
      </w:r>
    </w:p>
    <w:p>
      <w:r>
        <w:t>NOTICE</w:t>
      </w:r>
    </w:p>
    <w:p>
      <w:r>
        <w:t>The publication of this notice, followed by the communication of the initiation of the proceedings, in the weekly Bulletin of the Antitrust Authority, is made pursuant to and for the effects of Article 19, paragraph 2, of the Regulation, given the unsuccessful outcome of the attempt to transmit the initiation communication, carried out on April 12, 2022, prot. No. 33858, through the Consulate of Italy in Nicosia, Republic of Cyprus.</w:t>
      </w:r>
    </w:p>
    <w:p>
      <w:r>
        <w:t>For any communication addressed to the Authority regarding this case, please refer to Directorate B of the General Directorate for Consumer Protection and the reference PS12313.</w:t>
      </w:r>
    </w:p>
    <w:p>
      <w:r>
        <w:t>_______________________________________________________________________</w:t>
      </w:r>
    </w:p>
    <w:p>
      <w:r>
        <w:t>PS12313 - ETORO/ADVERTISING WITHOUT COMMISSIONS</w:t>
        <w:br/>
        <w:t>Communication of initiation of investigative proceedings</w:t>
        <w:br/>
        <w:t>Subject: Communication of the initiation of the proceedings pursuant to Article 27, paragraph 3, of Legislative Decree No. 206 of September 6, 2005 and subsequent amendments (hereinafter, Consumer Code), as well as pursuant to Article 6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and simultaneous request for information pursuant to Article 12, paragraph 1, of the Regulation.</w:t>
      </w:r>
    </w:p>
    <w:p>
      <w:r>
        <w:t>I. The Party</w:t>
        <w:br/>
        <w:t>1. eToro Europe Ltd (hereinafter also eToro, the Professional or the Company), as a Professional, pursuant to Article 18, letter b), of the Consumer Code, is a multinational social trading and multi-asset brokerage company that provides online investment/trading services.</w:t>
      </w:r>
    </w:p>
    <w:p>
      <w:r>
        <w:t>II. The commercial practice</w:t>
        <w:br/>
        <w:t>2. According to information acquired for the application of the Consumer Code, eToro would have promoted its investment services by providing consumers with misleading and non...</w:t>
      </w:r>
    </w:p>
    <w:p>
      <w:r>
        <w:rPr>
          <w:b/>
        </w:rPr>
        <w:t>[Pages 217–219]</w:t>
      </w:r>
    </w:p>
    <w:p>
      <w:r>
        <w:t>BULLETIN NO. 21 OF JUNE 6, 2022 219</w:t>
        <w:br/>
        <w:t>immediately available, in such a way as to prevent them from understanding the actual economic and technical characteristics of the products/services offered.</w:t>
      </w:r>
    </w:p>
    <w:p>
      <w:r>
        <w:t>3. In fact, eToro, through the website www.etoro.com/it, presents on the homepage stock investment services with no fees, while, in reality, the user would be faced with stock investments that involve risks due to currency fluctuations, costs arising from exchange commissions and charges to be paid in case of withdrawals from the account, constraints arising from the non-transferability of the shares to other intermediaries and from the unavailability of voting rights.</w:t>
      </w:r>
    </w:p>
    <w:p>
      <w:r>
        <w:t>4. Specifically, the professional eToro uses expressions on the Italian homepage of the site such as: “Invest in stocks with commissions equal to 0%”, “100% stocks, 0% commissions”, or further makes solicitations to the consumer on the page https://www.etoro.com/it/stocks/ such as “open a free investment account with eToro and free yourself from commissions”. The actual conditions of the stock investment service are specified on a landing page of the website accessed after hovering the cursor over the wording “invest” and clicking on the phrase option “0% Commissions on stocks”, in characters that are moreover reduced and positioned away from the claim “100% stocks, 0% commissions open a free investment account with eToro and free yourself from commissions”, through the wording: “Zero commissions means that no brokerage fee is charged when opening or closing the position; it does not apply to short or leveraged positions. Other fees apply. Your capital is at risk.” Therefore, the set of information provided could lead the consumer to believe that there are no costs and risks that the consumer actually faces.</w:t>
      </w:r>
    </w:p>
    <w:p>
      <w:r>
        <w:t>220 BULLETIN NO. 21 OF JUNE 6, 2022</w:t>
        <w:br/>
        <w:t>5. In reality, the promoted investment activity would present various costs and it would result in particular that there are commissions depending on the type of shares and service chosen. In fact, only from the FAQs placed on the last screen of the page in question would costs be evident, since not all shares can be traded without commissions. In fact, after clicking on the question “Which stocks are subject to zero commissions?” it reads: “For accounts subject to CySec/FCA regulation, zero commissions apply to most of the stocks available on the eToro platform. For accounts subject to ASIC regulation, zero commissions apply to all US stocks available on the eToro platform. Zero commissions apply when investing in BUY positions in stocks without leverage. Zero commissions do not apply to CFDs in stocks.”</w:t>
      </w:r>
    </w:p>
    <w:p>
      <w:r>
        <w:t>6. Furthermore, additional profiles of informational deficiency concern the following aspects, which are inadequately and/or not immediately reported:</w:t>
        <w:br/>
        <w:t>- all trading operations of the financial instruments offered by the professional would have to take place in US dollars, with the consequence that any amount deposited in the account held for trading could be subject to the risk due to fluctuations in exchange rates, and to the application of currency conversion fees (by clicking on the wording “Other” visible by scrolling the page https://www.etoro.com/it/trading/fees/#others);</w:t>
        <w:br/>
        <w:t>- for each withdrawal of liquidity from the account used for trading operations, fixed fees would be charged (by clicking on the wording “Other” visible by scrolling the page https://www.etoro.com/it/trading/fees/#others);</w:t>
        <w:br/>
        <w:t>- the shares would not be transferable to another intermediary but could only be resold within the eToro trading platform (FAQ at the bottom of the page https://www.etoro.com/it/stocks/);</w:t>
        <w:br/>
        <w:t>- the shares purchased on the eToro platform would not grant the right to vote at the shareholders' meeting (FAQ at the bottom of the page https://www.etoro.com/it/stocks/).</w:t>
      </w:r>
    </w:p>
    <w:p>
      <w:r>
        <w:t>In summary, the information provided by the company eToro, through its website, would not highlight essential informational elements regarding the contents of the service offered by the professional, considering that the possibility of trading stocks with zero commissions is misleadingly presented through the claim “100% stocks, 0% commissions” and that the presence of other costs, risks, operational constraints, and limitations on the rights of the purchasing customer of the shares is not highlighted.</w:t>
      </w:r>
    </w:p>
    <w:p>
      <w:r>
        <w:t>BULLETIN NO. 21 OF JUNE 6, 2022 221</w:t>
        <w:br/>
        <w:t>III. Possible profiles of illegality of the commercial practice</w:t>
        <w:br/>
        <w:t>7. The behavior described in point II of this communication could constitute an unfair commercial practice in violation of Articles 20, 21, and 22 of the Consumer Code, as the information provided by the company eToro, through its website, regarding the conditions for providing investment services in stocks offered by the professional would not highlight essential elements regarding the contents of the service, considering that the possibility of trading stocks with zero commissions is misleadingly presented, while the presence of costs of various nature, risks related to the activity, operational constraints, and limitations on the rights of the purchasing customer of the shares is not highlighted. The Professional would therefore not adequately and immediately provide the user with relevant information, which the average consumer needs to make an informed commercial decision, thus leading them to make a commercial decision that they would not have otherwise made (to engage in investment activities through the online trading company eToro).</w:t>
      </w:r>
    </w:p>
    <w:p>
      <w:r>
        <w:t>IV. Procedural methods and terms</w:t>
        <w:br/>
        <w:t>8. Based on the above, it is hereby communicated:</w:t>
        <w:br/>
        <w:t>a) the initiation of the procedure, pursuant to Article 6 of the Regulation, in order to verify the alleged violations mentioned in point III;</w:t>
        <w:br/>
        <w:t>b) that the person responsible for the procedure is Dr. Paola Scotti;</w:t>
        <w:br/>
        <w:t>c) that the procedure will conclude within 210 days from the date of protocol of this communication, pursuant to Article 7 of the Regulation;</w:t>
        <w:br/>
        <w:t>d) that the person responsible for the procedure will communicate, pursuant to Article 16, paragraph 1, of the Regulation, the date of conclusion of the investigative phase;</w:t>
        <w:br/>
        <w:t>e) that the person responsible for the procedure will request the opinion from the Authority for Communications Guarantees pursuant to Article 27, paragraph 6, of the Consumer Code, according to the methods provided for in Article 16, paragraphs 3 and 4, of the Regulation;</w:t>
        <w:br/>
        <w:t>f) that the person responsible for the procedure will request the opinion from Consob pursuant to Article 27, paragraph 1-bis, of the Consumer Code;</w:t>
        <w:br/>
        <w:t>g) that the office where the Parties can access the documents of the procedure, upon written request and telephone contact to establish the methods of access, is Directorate B of the General Directorate for Consumer Protection (tel. 06/85821.544). Access may be made directly by the Party or by a person delegated in writing;</w:t>
        <w:br/>
        <w:t>h) that the Parties may submit written statements and documents within 30 days from the receipt of this communication.</w:t>
      </w:r>
    </w:p>
    <w:p>
      <w:r>
        <w:rPr>
          <w:b/>
        </w:rPr>
        <w:t>[Pages 220–222]</w:t>
      </w:r>
    </w:p>
    <w:p>
      <w:r>
        <w:t>222 BULLETIN NO. 21 OF JUNE 6, 2022</w:t>
        <w:br/>
        <w:t>V. Request for Information</w:t>
        <w:br/>
        <w:t>9. In order to acquire useful knowledge elements for the evaluation of the commercial practice outlined above, eToro is requested to provide, within 30 days from receipt of this communication, the information listed below, accompanied by the relevant documentation:</w:t>
        <w:br/>
        <w:t>1) indication of the date from which the Professional has promoted investment services in financial products using the promotional methods in question;</w:t>
        <w:br/>
        <w:t>2) indication of the number of investors who have an account on the “eToro” platform, specifying the number of Italian investors;</w:t>
        <w:br/>
        <w:t>3) description of the different means of communication used to advertise the platform and its related services, with specific indication of the type and duration of use of the relevant means;</w:t>
        <w:br/>
        <w:t>4) description of the process for activating the investment service, indicating the information provided to the user intending to start the relevant service;</w:t>
        <w:br/>
        <w:t>5) indication of the trading commissions provided with reference to the investment services related to the buying and selling of shares, and any other type of cost associated with such service;</w:t>
        <w:br/>
        <w:t>6) amount (countervalue) of the shares traded in 2020 and 2021, and the related expenses charged to investors, broken down by type;</w:t>
        <w:br/>
        <w:t>7) in relation to the service offered by eToro for trading shares, specify the characteristics of the shares purchasable on this platform, with particular reference to transferability, exercise of voting rights, and any other limitations;</w:t>
        <w:br/>
        <w:t>8) indication of the currency in which the trading operations of the financial instruments offered by the professional must take place;</w:t>
        <w:br/>
        <w:t>9) number of complaints received in the last 2 years from investors registered on the platform regarding trading costs and the characteristics of the shares;</w:t>
        <w:br/>
        <w:t>10) number of requests for opening and closing eToro accounts received in the last 2 years;</w:t>
        <w:br/>
        <w:t>11) any other element deemed useful for the evaluation of the case in question.</w:t>
        <w:br/>
        <w:t>10. The requested information and documents, as well as any possible memoranda, may be transmitted, also on suitable electronic support, to the address of the Authority or, in electronic format, to the PEC box protocollo.agcm@pec.agcm.it.</w:t>
        <w:br/>
        <w:t>11. Pursuant to Article 11, paragraph 7, of the Regulation, it is possible to indicate the specific information and parts of the documents provided for which confidentiality or secrecy is requested, indicating the reasons justifying such request. To this end, it is kindly requested to also transmit a non-confidential version of the documents containing confidential information.</w:t>
        <w:br/>
        <w:t>12. Pending the requested information elements, it is reminded that, pursuant to Article 27, paragraph 4, of the Consumer Code, the parties consulted are subject, by order of the Authority, to an administrative pecuniary sanction from 2,000 to 20,000 euros if they refuse or omit without justified reason to provide the requested information or to exhibit the requested documents, or to an administrative pecuniary sanction from 4,000 to 40,000 euros if they provide untruthful information or exhibit untruthful documents.</w:t>
        <w:br/>
        <w:t>13. For the purposes of quantifying any pecuniary sanction referred to in Article 27, paragraph 9, of the Consumer Code, eToro (Europe) Ltd is requested to provide a copy of the last approved financial statement or suitable tax documentation from which the economic results related to the considered financial year emerge.</w:t>
        <w:br/>
        <w:t>14. For any communication addressed to the Authority regarding the case in question, please refer to Direction B of the General Directorate for Consumer Protection and reference PS12313. For any clarifications and information, you may contact Dr. Paola Scotti (06-85821544).</w:t>
        <w:br/>
        <w:t>15. Attached is the information pursuant to Article 13 of Regulation (EU) 2016/679.</w:t>
        <w:br/>
        <w:t>THE RESPONSIBLE OFFICER OF THE PROCEDURE</w:t>
      </w:r>
    </w:p>
    <w:p>
      <w:r>
        <w:t>224 BULLETIN NO. 21 OF JUNE 6, 2022</w:t>
        <w:br/>
        <w:t>PS12314 - DEGIRO/ADVERTISING WITHOUT COMMISSIONS</w:t>
        <w:br/>
        <w:t>Notice of initiation of investigative procedure</w:t>
        <w:br/>
        <w:t>ANTITRUST AUTHORITY</w:t>
        <w:br/>
        <w:t>Notice of initiation of the investigation,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PS12314.</w:t>
        <w:br/>
        <w:t>NOTICE</w:t>
        <w:br/>
        <w:t>The publication of this notice, followed by the communication of the initiation of the procedure, in the weekly Bulletin of the Antitrust Authority, is made pursuant to and for the effects of Article 19, paragraph 2, of the Regulation, given the unsuccessful outcome of the attempt to transmit the initiation communication, carried out on April 13, 2022, prot. no. 34152, through the competent German central authority.</w:t>
        <w:br/>
        <w:t>For any communication addressed to the Authority regarding the case in question, please refer to Direction B of the General Directorate for Consumer Protection and reference PS12314.</w:t>
        <w:br/>
        <w:t>___________________________________________________________________________</w:t>
        <w:br/>
        <w:t>PS12314 - DEGIRO/ADVERTISING WITHOUT COMMISSIONS</w:t>
        <w:br/>
        <w:t>Communication of initiation of investigative procedure</w:t>
        <w:br/>
        <w:t>Subject: Communication of initiation of the procedure pursuant to Article 27, paragraph 3, of Legislative Decree September 6, 2005, no. 206 and subsequent amendments (hereinafter, Consumer Code) as well as pursuant to Article 6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and simultaneous request for information pursuant to Article 12, paragraph 1, of the Regulation.</w:t>
        <w:br/>
        <w:t>I. The Party</w:t>
        <w:br/>
        <w:t>1. flatexDEGIRO Bank AG (hereinafter also Degiro, the Professional or the Company), as a Professional, pursuant to Article 18, letter b), of the Consumer Code, a financial brokerage company, provides investment/online trading services.</w:t>
        <w:br/>
        <w:t>II. The commercial practices</w:t>
        <w:br/>
        <w:t>2. According to information acquired for the application of the Consumer Code, Degiro would have engaged in the following conduct in relation to the offer of financial instruments and investment services:</w:t>
      </w:r>
    </w:p>
    <w:p>
      <w:r>
        <w:rPr>
          <w:b/>
        </w:rPr>
        <w:t>[Pages 223–225]</w:t>
      </w:r>
    </w:p>
    <w:p>
      <w:r>
        <w:t>BULLETIN NO. 21 OF JUNE 6, 2022 225</w:t>
        <w:br/>
        <w:t>a) The Professional would have provided consumers with misleading or not immediately available information such that it would not allow them to understand the actual economic and technical characteristics of the products/services offered;</w:t>
        <w:br/>
        <w:t>b) The Professional would induce the customer to make, unknowingly, a choice for the conversion into dollars of the amounts deposited in the account for investments, AutoFX, which is more burdensome for them compared to the alternative "manual" option, through the presence of a pre-selection for the automatic option.</w:t>
        <w:br/>
        <w:t>3. In more detail, Degiro, with the messages present on the website www.degiro.it and with television campaigns, would promote its investment services in ways that could be misleading, as they emphasize the absence of fees instead of those present for operations on the platform, and do not indicate the risks associated with the investment such as foreign exchange risk; furthermore, there would be a pre-activation related to the currency conversion mode that could unduly condition the customer to make an unexpressed and unaware choice towards a more burdensome mode.</w:t>
        <w:br/>
        <w:t>4. In fact, the professional has promoted its investment services as fee-free through banners depicting a smartphone with the text “€0” prominently displayed in large font, and containing statements such as “Degiro introduces zero,” On the company website, there are statements such as “invest your way. Without commissions or with incredibly low commissions, just like our 2 million other users,” only partially clarified, to the right of the page, by a statement referenced by the footnote number: “1 Currency, connection, product, spread, and external costs (0.50€) may apply. Please consult our fees page.” Clicking on “fees” leads to a page that emphatically opens with “DEGIRO introduces zero,” followed by “Invest without commissions in US stocks, Italian stocks, and all ETFs.”</w:t>
        <w:br/>
        <w:t>5. The company, when opening an investment account in euros, provides two types of options for conversion into another currency in order to trade not in euros:</w:t>
        <w:br/>
        <w:t>226 BULLETIN NO. 21 OF JUNE 6, 2022</w:t>
        <w:br/>
        <w:t>- a pre-set option called AutoFX for which, in the absence of a modification of the option through an explicit choice by the customer, the exchange occurs simultaneously with each purchase/sale operation of financial instruments with a fee of 0.25% of the transaction value;</w:t>
        <w:br/>
        <w:t>- an option, which must be expressly selected by the customer as an alternative to AutoFX using a cumbersome procedure, for which the exchange occurs when determined by the customer with a cost of 10 euros + 0.25% of the converted value. The converted amount is deposited into a currency account, from which trading can be conducted; it is therefore not necessary to convert the currency for each operation, so the application of fees can occur a significantly lower number of times compared to the other option, resulting in savings on management costs.</w:t>
        <w:br/>
        <w:t>6. Information on currency conversion costs is only available by downloading the Degiro Price List or accessing the helpdesk pages from a link located in a barely visible position at the bottom of the home page. The information regarding the absence of costs and fees would therefore be formulated misleadingly.</w:t>
        <w:br/>
        <w:t>7. Furthermore, the Professional would induce acceptance, through the pre-selection system of the “AutoFX” exchange option, of a setting for currency conversion that is more burdensome than the alternative manual one, which can only be chosen through a complex procedure.</w:t>
        <w:br/>
        <w:t>III. Possible Illegality Profiles of Commercial Practices</w:t>
        <w:br/>
        <w:t>8. The behaviors described in point II of this communication could constitute two distinct unfair commercial practices in violation of the Consumer Code with respect to the profiles illustrated below:</w:t>
        <w:br/>
        <w:t>Practice sub a): violation of Articles 20, 21, and 22 of the Consumer Code as the Professional on its website and with television campaigns would not adequately and immediately inform the user about the actual economic characteristics of the products/services offered, implying that stock investments can be made without costs, which are instead present in the form of currency exchange commissions, thereby inducing them to make a commercial decision that they would not have otherwise made (to engage in investment activities through the online trading company Degiro).</w:t>
        <w:br/>
        <w:t>Practice sub b): violation of Articles 20, 24, and 25 of the Consumer Code, as the Professional would exert undue pressure on the customer, who in order to make the investment in foreign currency would be induced to accept, through Degiro's pre-selection of the “Auto FX” exchange option, a setting for currency conversion that is more expensive than the alternative manual one, which can only be chosen through a complex procedure.</w:t>
        <w:br/>
        <w:t>IV. Investigative Procedures and Terms</w:t>
        <w:br/>
        <w:t>9. Based on the above, it is hereby communicated:</w:t>
        <w:br/>
        <w:t>a) the initiation of the procedure, pursuant to Article 6 of the Regulation, in order to verify the alleged violations mentioned in point III;</w:t>
        <w:br/>
        <w:t>b) that the person responsible for the procedure is Dr. Paola Scotti;</w:t>
        <w:br/>
        <w:t>BULLETIN NO. 21 OF JUNE 6, 2022 227</w:t>
        <w:br/>
        <w:t>c) that the procedure will conclude within 210 days from the date of protocol of this communication, pursuant to Article 7 of the Regulation;</w:t>
        <w:br/>
        <w:t>d) that the person responsible for the procedure will communicate, pursuant to Article 16, paragraph 1, of the Regulation, the date of conclusion of the investigative phase;</w:t>
        <w:br/>
        <w:t>e) that the person responsible for the procedure will request the opinion of the Authority for Guarantees in Communications pursuant to Article 27, paragraph 6, of the Consumer Code, according to the methods provided for in Article 16, paragraphs 3 and 4, of the Regulation;</w:t>
        <w:br/>
        <w:t>f) that the person responsible for the procedure will request the opinion from Consob pursuant to Article 27, paragraph 1-bis, of the Consumer Code;</w:t>
        <w:br/>
        <w:t>g) that the office where the Parties can access the documents of the procedure, upon written request and telephone contact to establish the access modalities, is Direction B of the Directorate General for Consumer Protection (tel. 06/85821.544). Access may be made directly by the Parties or by a person delegated in writing;</w:t>
        <w:br/>
        <w:t>h) that the Parties may submit written statements and documents within 30 days from the receipt of this communication.</w:t>
        <w:br/>
        <w:t>V. Request for Information</w:t>
        <w:br/>
        <w:t>10. In order to acquire useful knowledge elements for the evaluation of the commercial practices illustrated above, Degiro is requested to provide, within 30 days from the receipt of this communication, the information listed below, accompanied by the relevant documentation:</w:t>
        <w:br/>
        <w:t>1) indication of the date from which the Professional has promoted investment services in financial products using the promotional methods in question;</w:t>
        <w:br/>
        <w:t>2) indication of the number of investors who have an account on the “Degiro” platform, specifying the number of Italian investors;</w:t>
        <w:br/>
        <w:t>3) description of the various means of communication used to advertise the platform and its services, with specific indication of the type and duration of use of the relevant means;</w:t>
        <w:br/>
        <w:t>4) description of the activation process of the investment service with indication of the information provided to the user intending to start the relevant service;</w:t>
        <w:br/>
        <w:t>5) indication of the trading commissions provided with reference to the investment services and any other type of cost related to such service;</w:t>
        <w:br/>
        <w:t>6) amount (value) of investments, distinguished by category (stocks, etc.), made by customers in 2020 and 2021, and the related expenses charged to investors, distinguished by type;</w:t>
        <w:br/>
        <w:t>7) indication of the currency in which the trading operations of the financial instruments offered by the professional must take place;</w:t>
        <w:br/>
        <w:t>8) characteristics of each of the two options provided for currency conversion and methods of choosing each, indicating their evolution over time;</w:t>
        <w:br/>
        <w:t>9) amount (value) of investments, distinguished by category (stocks, etc.), in foreign currency made by customers in 2020 and 2021;</w:t>
        <w:br/>
        <w:t>10) amount of currency conversion fees paid overall by customers in 2020 and 2021 based on each of the two options;</w:t>
      </w:r>
    </w:p>
    <w:p>
      <w:r>
        <w:rPr>
          <w:b/>
        </w:rPr>
        <w:t>[Pages 226–228]</w:t>
      </w:r>
    </w:p>
    <w:p>
      <w:r>
        <w:t>228 BULLETIN NO. 21 OF JUNE 6, 2022</w:t>
        <w:br/>
        <w:t>11) number of complaints received in the last 2 years from investors registered on the platform regarding the costs of trading and in particular the currency conversion fees;</w:t>
        <w:br/>
        <w:t>12) number of requests for opening and closing of the Degiro account received in the last 2 years;</w:t>
        <w:br/>
        <w:t>13) any other element deemed useful for the assessment of the case in question.</w:t>
        <w:br/>
        <w:t>11. The requested information and documents, as well as any memoranda, may be transmitted, also on appropriate electronic support, to the address of the Authority or, in electronic format, to the PEC box protocollo.agcm@pec.agcm.it.</w:t>
        <w:br/>
        <w:t>12. Pursuant to Article 11, paragraph 7, of the Regulation, it is possible to indicate the specific information and parts of the documents provided for which confidentiality or secrecy is requested, stating the reasons justifying such a request. To this end, it is kindly requested to also transmit a non-confidential version of the documents containing confidential information.</w:t>
        <w:br/>
        <w:t>13. Pending the requested informational elements, it is reminded that, pursuant to Article 27, paragraph 4, of the Consumer Code, the parties consulted are subject, by order of the Authority, to an administrative pecuniary sanction from 2,000 to 20,000 euros if they refuse or omit without justified reason to provide the requested information or to exhibit the requested documents, or to an administrative pecuniary sanction from 4,000 to 40,000 euros if they provide untruthful information or exhibit untruthful documents.</w:t>
        <w:br/>
        <w:t>14. For the purposes of quantifying any pecuniary sanction referred to in Article 27, paragraph 9, of the Consumer Code, flatexDEGIRO Bank AG is requested to provide a copy of the last approved financial statement or suitable tax documentation from which the economic results relating to the considered financial year emerge.</w:t>
        <w:br/>
        <w:t>15. For any communication addressed to the Authority regarding the case in question, please cite Directorate B of the Directorate General for Consumer Protection and reference PS12314. For any clarifications and information, you may contact Dr. Paola Scotti (06-85821544).</w:t>
        <w:br/>
        <w:t>Attached is the information pursuant to Article 13 of Regulation (EU) 2016/679.</w:t>
        <w:br/>
        <w:t>THE PERSON RESPONSIBLE FOR THE PROCEDURE</w:t>
      </w:r>
    </w:p>
    <w:p>
      <w:r>
        <w:t>BULLETIN NO. 21 OF JUNE 6, 2022 229</w:t>
        <w:br/>
        <w:t>CONFLICT OF INTEREST</w:t>
        <w:br/>
        <w:t>SI1204B - RENATO BRUNETTA - MINISTER OF PUBLIC ADMINISTRATION</w:t>
        <w:br/>
        <w:t>- OPINION</w:t>
        <w:br/>
        <w:t>Rome, January 18, 2022</w:t>
        <w:br/>
        <w:t>Subject: request for an opinion regarding the regime of incompatibilities pursuant to Article 2, paragraph 1, of Law No. 215 of July 20, 2004, containing "Rules on the resolution of conflicts of interest," received on January 12, 2022</w:t>
        <w:br/>
        <w:t>Dear Minister,</w:t>
        <w:br/>
        <w:t>on January 12, 2022, a note was received in which Your Excellency requests an opinion on the compatibility between the position of Minister for Public Administration, held by you in the Draghi Government, and the assumption of the position of President of the newly established cultural foundation "Venice World Capital of Sustainability."</w:t>
        <w:br/>
        <w:t>In relation to this request, the Authority, in its meeting of January 18, 2022, resolved the following opinion.</w:t>
        <w:br/>
        <w:t>According to an established orientation, the Authority believes that positions in private law foundations may be relevant, with reference to the provision of Article 2, paragraph 1, letter c) of Law No. 215/2004, where the entity is attributable the exercise of an activity of entrepreneurial relevance. Honorary positions must also be considered included where they carry powers of interference over the management of the entity, which may only be excluded if they do not include management powers and this circumstance is expressly stated in the founding and organizational acts of the entity concerned.</w:t>
        <w:br/>
        <w:t>In the specific case, it does not seem possible to exclude, based on the statutory provisions, that in the future the Foundation "Venice World Capital of Sustainability" may find itself exercising, directly or indirectly, one or more economic activities.</w:t>
        <w:br/>
        <w:t>That said, it is noted that the provision of Article 10, paragraph 10, of the Statute of the newly established Foundation provides that, if the President is appointed from among the subjects falling within the application scope of Law No. 215 of July 20, 2004 and the exercise of his powers should fall within the application scope of such discipline, "he assumes the function of non-executive President without management and representation powers and the functions of the President are exercised by the Vice President."</w:t>
      </w:r>
    </w:p>
    <w:p>
      <w:r>
        <w:t>230 BULLETIN NO. 21 OF JUNE 6, 2022</w:t>
        <w:br/>
        <w:t>Therefore, considering this specific provision as well as the established interpretative orientation so far followed by the Authority, it is believed that the assumption of the position of non-executive President without management and representation powers in the newly established Foundation "Venice World Capital of Sustainability" does not currently constitute a case of incompatibility with respect to the position of Minister of Public Administration currently held by you.</w:t>
        <w:br/>
        <w:t>It is made known that this opinion, pursuant to Article 23, second paragraph of the Regulation on conflicts of interest, is subject to publication in the Authority's bulletin, except for "any confidentiality needs duly represented."</w:t>
        <w:br/>
        <w:t>It is therefore requested that Your Excellency communicate to this Authority, within 15 days of receipt of the opinion, the existence of any confidentiality needs, justifying the specific reasons.</w:t>
        <w:br/>
        <w:t>Best regards.</w:t>
        <w:br/>
        <w:t>THE DEPUTY SECRETARY GENERAL</w:t>
        <w:br/>
        <w:t>Serena Stella</w:t>
      </w:r>
    </w:p>
    <w:p>
      <w:r>
        <w:rPr>
          <w:b/>
        </w:rPr>
        <w:t>[Pages 229–229]</w:t>
      </w:r>
    </w:p>
    <w:p>
      <w:r>
        <w:t>Antitrust Authority Weekly Bulletin</w:t>
        <w:br/>
        <w:t>of Competition and Market Year XXXII - No. 21 - 2022</w:t>
        <w:br/>
        <w:t>Editorial Coordination Giulia Antenucci</w:t>
        <w:br/>
        <w:t>Editorial Staff Valerio Ruocco, Simonetta Schettini, Manuela Villani</w:t>
        <w:br/>
        <w:t>Antitrust Authority for Competition and Market</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