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https://www.agcm.it/dotcmsdoc/bollettini/2023/21-23.pdf</w:t>
      </w:r>
    </w:p>
    <w:p>
      <w:r>
        <w:t>Pages translated : 10</w:t>
      </w:r>
    </w:p>
    <w:p/>
    <w:p>
      <w:r>
        <w:rPr>
          <w:b/>
        </w:rPr>
        <w:t>[Pages 1–3]</w:t>
      </w:r>
    </w:p>
    <w:p>
      <w:r>
        <w:t>Bulletin</w:t>
        <w:br/>
        <w:t>Weekly</w:t>
        <w:br/>
        <w:t>Year XXXIII - No. 21</w:t>
        <w:br/>
        <w:t>Published on the website www.agcm.it</w:t>
        <w:br/>
        <w:t>June 5, 2023</w:t>
      </w:r>
    </w:p>
    <w:p>
      <w:r>
        <w:t>SUMMARY</w:t>
        <w:br/>
        <w:t>CONCENTRATION OPERATIONS 5</w:t>
        <w:br/>
        <w:t>C12523 - IQ-EQ FUND MANAGEMENT (IRELAND)/PS RETI</w:t>
        <w:br/>
        <w:t>Measure no. 30639 5</w:t>
        <w:br/>
        <w:t>UNFAIR COMMERCIAL PRACTICES 10</w:t>
        <w:br/>
        <w:t>PS12557 – SEI SERVIZIO ENERGETICO ITALIANO/UNREQUESTED ACTIVATIONS</w:t>
        <w:br/>
        <w:t>Notice of initiation of investigative proceedings 10</w:t>
      </w:r>
    </w:p>
    <w:p>
      <w:r>
        <w:t>BULLETIN NO. 21 OF JUNE 5, 2023 5</w:t>
        <w:br/>
        <w:t>CONCENTRATION OPERATIONS</w:t>
        <w:br/>
        <w:t>C12523 - IQ-EQ FUND MANAGEMENT (IRELAND)/PS RETI</w:t>
        <w:br/>
        <w:t>Measure no. 30639</w:t>
        <w:br/>
        <w:t>THE ANTITRUST AUTHORITY</w:t>
        <w:br/>
        <w:t>IN ITS MEETING of May 16, 2023;</w:t>
        <w:br/>
        <w:t>HEARD the Rapporteur, Professor Elisabetta Iossa;</w:t>
        <w:br/>
        <w:t>HAVING REGARD to Law No. 287 of October 10, 1990;</w:t>
        <w:br/>
        <w:t>HAVING REGARD to Presidential Decree No. 217 of April 30, 1998;</w:t>
        <w:br/>
        <w:t>HAVING REGARD to the communication from IQ-EQ Fund Management (Ireland) Limited, received on</w:t>
        <w:br/>
        <w:t>February 9, 2023;</w:t>
        <w:br/>
        <w:t>HAVING REGARD to the additional information sent by IQ-EQ Fund Management (Ireland) Limited</w:t>
        <w:br/>
        <w:t>on February 23 and 27, 2023;</w:t>
        <w:br/>
        <w:t>HAVING REGARD to the request for information sent on March 8, 2023, to IQ-EQ Fund</w:t>
        <w:br/>
        <w:t>Management (Ireland) Limited, resulting in the suspension of deadlines pursuant to Article 5,</w:t>
        <w:br/>
        <w:t>paragraph 3, of Presidential Decree No. 217 of April 30, 1998;</w:t>
        <w:br/>
        <w:t>HAVING REGARD to the information sent by IQ-EQ Fund Management (Ireland) Limited and received</w:t>
        <w:br/>
        <w:t>on April 26, 2023;</w:t>
        <w:br/>
        <w:t>HAVING REGARD to the additional information sent by IQ-EQ Fund Management (Ireland) Limited</w:t>
        <w:br/>
        <w:t>and received on May 12, 2023;</w:t>
        <w:br/>
        <w:t>HAVING REGARD to the documentation on file;</w:t>
        <w:br/>
        <w:t>CONSIDERING the following:</w:t>
        <w:br/>
        <w:t>I. THE PARTIES</w:t>
        <w:br/>
        <w:t>1. IQ-EQ Fund Management (Ireland) Limited (hereinafter "IQ-EQ") is an Irish company engaged in</w:t>
        <w:br/>
        <w:t>asset management, authorized by the Central Bank of Ireland to provide collective investment</w:t>
        <w:br/>
        <w:t>management services and enabled to establish and manage mutual investment funds. IQ-EQ manages</w:t>
        <w:br/>
        <w:t>assets belonging to heterogeneous asset classes, including private credit and unlikely-to-pay exposures.</w:t>
        <w:br/>
        <w:t>2. IQ-EQ manages the “RSCT Fund – Credit Segment” of the Italian multi-segment closed-end</w:t>
        <w:br/>
        <w:t>alternative investment fund RSCT (hereinafter “RSCT Fund” and, together with IQ-EQ, the</w:t>
        <w:br/>
        <w:t>“Purchaser”) and the fund named “Fi. Nav.” (“Fi. Nav. Fund” and, together with the RSCT Fund,</w:t>
        <w:br/>
        <w:t>the “Funds”).</w:t>
        <w:br/>
        <w:t>3. The RSCT and Fi.Nav. Funds are Italian multi-segment closed-end alternative investment funds,</w:t>
        <w:br/>
        <w:t>reserved for professional investors, whose assets consist of receivables, securities representing</w:t>
        <w:br/>
        <w:t>receivables, and equity instruments towards Italian companies operating in various</w:t>
      </w:r>
    </w:p>
    <w:p>
      <w:r>
        <w:rPr>
          <w:b/>
        </w:rPr>
        <w:t>[Pages 4–6]</w:t>
      </w:r>
    </w:p>
    <w:p>
      <w:r>
        <w:t>BULLETIN NO. 21 OF JUNE 5, 2023</w:t>
        <w:br/>
        <w:t>industrial sectors, in which the Funds hold, in some cases, controlling interests. With regard to both Funds, Pillarstone S.p.A. (hereinafter "Pillarstone"), an independent company under Italian law, acts, by virtue of specific contractual agreements, as the investment advisor of IQ-EQ. In 2021, the consolidated turnover achieved worldwide by IQ-EQ was approximately [100-517]* million euros, of which approximately [100-517] million euros were achieved in Italy. 4. Sirti S.p.A. (hereinafter, "Sirti") is the operating holding company of the group of the same name ("Sirti Group"), currently exclusively controlled by PS Reti S.p.A. (hereinafter "PS Reti"; together with the Sirti Group, the "Target"; in turn, together with the Purchaser, the "Parties"), whose share capital is currently entirely held by K Equity Italy 2 S.à r.l. ("KEI2"), a limited liability company under Luxembourg law, ultimately controlled by KKR &amp; Co. Inc. ("KKR"), a U.S. investment company active globally. 5. More specifically, in Italy the Sirti Group operates through the following controlled companies: i) Sirti Telco Infrastructures S.p.A. (hereinafter "Sirti Telco", whose share capital is entirely held by Sirti) which, in turn, holds the entire share capital of Sirti Telco Piemonte S.r.l.. Both companies carry out activities of design, construction, activation, maintenance, and any other activity related to the realization and installation of infrastructures, systems, networks, and fixed and mobile telecommunications systems; ii) Sirti Telco Infrastructures S.p.A. also controls the company Sirti Alliance for Infrastructures S.c.a.r.l. (whose share capital is held by Sirti Telco at 94.78% and by Sirti Telco Piemonte S.r.l. at 0.01%), active in coordinating the group companies in the preparation and submission of bids for participation in tenders in the telecommunications engineering sector; iii) Sirti Digital Solutions S.p.A. (whose share capital is entirely held by Sirti) which, in turn, holds the entire share capital of Wellcomm Engineering S.p.A.. Both companies operate in the field of IT services, carrying out activities of design, construction, activation, and maintenance – generally integrated with the provision of technological systems – of Networking, Cybersecurity, IoT, Data Center &amp; Cloud devices and systems for Public Administration and private companies. In 2021, PS Reti and the Sirti Group achieved a consolidated turnover worldwide of [517-700] million euros, of which [517-700] million euros from sales within the European Union and, more specifically, [517-700] million euros at the national level. II. DESCRIPTION OF THE OPERATION 6. The communicated operation consists of the exclusive acquisition of control by IQ-EQ – through the RSCT Fund – over Sirti and the companies of the same name Group, through the exclusive acquisition of control over PS Reti. 7. Upon completion of the Operation, IQ-EQ will hold – as the management company of the RSCT Fund and through it – a shareholding equal to [80-90]% of the share capital of PS Reti, corresponding to [90-100]% of the voting rights, to which all governance rights will be associated and [0-10]% of the economic rights. Through KEI2, KKR will maintain a non-controlling minority stake of [20-30]% of the share capital of PS Reti, corresponding to [0-10]% of the voting rights, to which [90-100]% of the property rights on the Company will be associated. 8. Following the execution of the operation, KEI2 may transfer its minority stakes in PS Reti to a vehicle ("New Holding Company") affiliated with Pillarstone. III. QUALIFICATION OF THE OPERATION 9. The communicated operation, aimed at acquiring exclusive control of a company, constitutes a concentration pursuant to Article 5, paragraph 1, letter b), of Law No. 287/1990. It falls within the scope of application of Law No. 287/1990 as the conditions set out in Article 1 of Regulation EC 139/2004 are not met, and it is subject to the obligation of prior notification provided for by Article 16, paragraph 1, of the same law as the total turnover achieved, in the last financial year at the national level, by the group of companies involved was over 517 million euros and the total turnover achieved, in the last financial year at the national level, by at least two of the companies involved was over 31 million euros. IV. EVALUATION OF THE CONCENTRATION Relevant markets 10. The activities of the Sirti Group concern the following sectors: i) the telecommunications engineering sector; ii) the Information Technology ("IT") services sector; iii) the sector of centralized management systems for technical systems of buildings (so-called building automation). 11. In its precedents1, the Authority has defined the telecommunications engineering market as a market that includes the activities of research, design, construction, installation, and maintenance of wireless (base stations, repeaters, radiating systems, radio bridges) and wireline (transmission devices in coaxial cable and fiber optic) equipment of mobile and fixed network operators as well as wireless broadband operators. From a geographical extension perspective, the market has a national dimension. 12. Regarding the IT services market2, according to established national and EU practice, the market can be segmented considering the type of services offered as well as the sectors of activity in which the customers operate. In particular, with reference to IT services directed to businesses, the aforementioned Authorities have identified the following segments: (i) IT management, for the use of specific skills to create and optimize business processes and information flows; (ii) business management/transaction IT management, for transactions that require IT support; (iii) software development, to develop and integrate solutions into existing infrastructures; (iv) consulting, for the analysis and improvement of technological strategies; (v) software maintenance, for the maintenance of products (operating systems, software applications, etc.) and technical assistance (also online or by phone); (vi) hardware maintenance, to optimize systems through installation, maintenance, and technical assistance of hardware components; and (vii) education and training, for the transfer of knowledge outside of professional training. These segments are further subdividable into groups of services and are characterized by high fragmentation and substitutability on the supply side, also considering the fact that IT service providers generally offer a more or less wide range of different services in packages that can involve all or some of the aforementioned segments. 13. With reference to the geographical definition of this market, in its precedents, the Authority has noted the homogeneity of competitive conditions in the national territory and the absence of significant imports of IT services, elements that would suggest a national dimension of the market3. On the other hand, the Authority, in line with what has been highlighted by the European Commission, has noted a trend towards the internationalization of demand and supply (services offered on a supranational basis, homogeneity of the nature and quality of services among different countries, high mobility of workers, use of the English language), elements that would suggest a European dimension of the market. 14. In this regard, it should be noted that the Sirti Group is developing and integrating digital solutions into existing infrastructures and, considering the activities it carries out in this context and the IT services offered, the segments of the IT services market relevant to this assessment are represented by: IT management, transaction IT management, software development, software maintenance, and hardware maintenance. 15. In any case, in the present case, it does not appear necessary to provide a precise definition of the relevant geographical market as, based on the considerations set out above and below, the operation does not appear to raise any competitive concerns even if the market is defined as national. 16. Regarding the third sector involved, the Authority has previously identified the market in question as the market in which the interested operators carry out activities of design and production of high-tech solutions for the centralized management and control of technical systems (for example, lighting) and automated systems for buildings intended for industrial, commercial, and residential use (building automation). For example, lighting control systems include products created by the combination of devices, microprocessors, and computer networks that, allowing for the multiple management of systems and/or interoperability with other systems created by third parties, enable the realization of complete multiple control devices. According to the same case analyzed in the previous section, the market for products and services for the centralized management of technical systems of buildings appears to have a European dimension, due to (a) the highly technological nature of the products in question (and their high added value), (b) the low transportation costs, as well as (c) the absence of technical and/or regulatory barriers to access this market. 3 See, inter alia, C12317 – Fondo Italiano di investimento SGR/Maticmind, measure no. 28342 of September 8, 2020 and C12312 – OEP 14/Techedge, measure no. 28331 of October 25, 2017.</w:t>
      </w:r>
    </w:p>
    <w:p>
      <w:r>
        <w:rPr>
          <w:b/>
        </w:rPr>
        <w:t>[Pages 7–9]</w:t>
      </w:r>
    </w:p>
    <w:p>
      <w:r>
        <w:t>BULLETIN NO. 21 OF JUNE 5, 2023 9</w:t>
        <w:br/>
        <w:t>In any case, even in this instance, it does not seem necessary to arrive at a precise definition of the relevant geographic market since, based on the considerations outlined above and below, the operation does not appear to raise any competitive concerns even if the market is defined as national.</w:t>
        <w:br/>
        <w:t>The effects of the operation</w:t>
        <w:br/>
        <w:t>17. Firstly, it is noted that the acquiring company, IQ-EQ, is not active in any of the markets described above, nor in upstream, downstream, or conglomerate markets relative to those in which the Target operates. The operation will therefore result in the simple replacement of one operator with another and does not appear capable of altering any competitive dynamics.</w:t>
        <w:br/>
        <w:t>18. Based on the information provided, specifically regarding the year 2021, the Target, in the telecommunications plant market, holds a market share of approximately [10-20]% at the national level. In the IT services market (year 2021), the market share of the Sirti Group stands at approximately [less than 1]% at the national level. In the market for centralized management systems of technical building installations (so-called building automation), the Target holds a share of less than 1%, both at the level of the European Economic Area and at the national level, due to the revenue generated from this activity, amounting to approximately [0-31] million.</w:t>
        <w:br/>
        <w:t>19. In conclusion, considering the market shares held by the interested Parties and the presence of significant competitors, in the absence of significant entry barriers, the operation under examination does not appear capable of significantly hindering competition conditions in the relevant market or of constituting or strengthening a dominant position.</w:t>
        <w:br/>
        <w:t>CONSIDERED, therefore, that the operation under examination does not significantly hinder, pursuant to Article 6, paragraph 1, of Law No. 287/1990, effective competition in the relevant market and does not entail the establishment or strengthening of a dominant position;</w:t>
        <w:br/>
        <w:t>RESOLVES</w:t>
        <w:br/>
        <w:t>not to initiate the investigation referred to in Article 16, paragraph 4, of Law No. 287/1990.</w:t>
        <w:br/>
        <w:t>The above conclusions will be communicated, pursuant to Article 16, paragraph 4, of Law No. 287/1990, to the interested companies and to the Minister of Enterprises and Made in Italy.</w:t>
        <w:br/>
        <w:t>This measure will be published in the Bulletin of the Antitrust Authority.</w:t>
        <w:br/>
        <w:t>THE SECRETARY GENERAL THE PRESIDENT</w:t>
        <w:br/>
        <w:t>Guido Stazi Roberto Rustichelli</w:t>
      </w:r>
    </w:p>
    <w:p>
      <w:r>
        <w:t>10 BULLETIN NO. 21 OF JUNE 5, 2023</w:t>
        <w:br/>
        <w:t>UNFAIR COMMERCIAL PRACTICES</w:t>
        <w:br/>
        <w:t>PS12557 – SEI SERVIZIO ENERGETICO ITALIANO/UNREQUESTED ACTIVATIONS</w:t>
        <w:br/>
        <w:t>Notice of initiation of investigative proceedings</w:t>
        <w:br/>
        <w:t>ANTITRUST AUTHORITY</w:t>
        <w:br/>
        <w:t>Notice of initiation of the investigation, due to the high number of intervention requests received, pursuant to Article 6, paragraph 2, of the Regulation on investigative procedures regarding misleading and comparative advertising, unfair commercial practices, violation of consumer rights in contracts, violation of the prohibition of discrimination and unfair clauses (hereinafter, Regulation) adopted by the Authority's resolution of April 1, 2015, in relation to the procedure PS12557.</w:t>
        <w:br/>
        <w:t>I. THE PARTY</w:t>
        <w:br/>
        <w:t>The company Servizio Energetico Italiano S.r.l. (hereinafter also "SEI", "the Company" or "the Professional"), active in the sale of natural gas and electricity to end customers in the free market, as a professional pursuant to Article 18, letter b) of the Consumer Code.</w:t>
        <w:br/>
        <w:t>II. THE COMMERCIAL PRACTICES</w:t>
        <w:br/>
        <w:t>Based on numerous and ongoing complaints (over 60) received by the Authority since February 2023, from individual consumers and consumer associations, it has emerged that SEI, following contracts concluded without explicit consent from consumers, would have activated supplies of electricity and/or natural gas in misleading and/or omissive ways, resulting in the provision of services. Furthermore, the Professional would have adopted behaviors that hinder the exercise of the right of reconsideration and withdrawal from the contract.</w:t>
        <w:br/>
        <w:t>Below are the behaviors carried out by the Professional, which could constitute relevant cases under the Consumer Code.</w:t>
        <w:br/>
        <w:t>A) Conclusion of contracts and activation of electricity and/or natural gas supplies, in the absence of a corresponding manifestation of the consumer's will to sign the contract.</w:t>
        <w:br/>
        <w:t>Numerous complainants have reported that the company SEI would proceed to conclude contracts and activate electricity and/or natural gas supplies without having previously obtained the consumer's consent. Agents would use, as a mode of contact, primarily the teleselling channel and door-to-door sales.</w:t>
        <w:br/>
        <w:t>The unrequested activation (ANR) would occur:</w:t>
        <w:br/>
        <w:t>(i) following a mere phone contact or home visit during which agents would not provide correct information about the purpose of the call, the nature and conditions of the proposed offer, and the identity of the Professional (according to what consumers reported, for example, the sales agents used by SEI would have contracted users of other suppliers qualifying themselves as agents of the latter or of unspecified entities for consumer protection), the characteristics and price of the offer, as well as the possibility of exercising the right of withdrawal within the prescribed terms (in particular, reports highlight the receipt of information that is untrue, inaccurate, or incomplete regarding the purpose of visits or calls and the obligations arising from the contract and/or the statement of the same at such a high speed as to be incomprehensible);</w:t>
        <w:br/>
        <w:t>(ii) following a fabricated phone call in terms of adherence to the offer;</w:t>
        <w:br/>
        <w:t>(iii) in the absence of a phone contact or a home visit by an agent/procurer of the Professional.</w:t>
        <w:br/>
        <w:t>In most cases, despite the obvious absence of consent and/or the contestation of the ANR by consumers, SEI would have insisted on demanding immediate payment of the fees.</w:t>
        <w:br/>
        <w:t>B) Obstacles to the exercise of contractual rights by the user.</w:t>
        <w:br/>
        <w:t>From the reports in the records, it also appears that the Professional has hindered the exercise of the right of withdrawal by providing unclear or misleading information, failing to send the letter of acceptance of the offer signed by the customer (or sending it late) and the contractual documentation, as well as the withdrawal information to the consumer's home and, in addition, considering the right of reconsideration validly exercised within the terms deducible from the presumed date of conclusion of the contract as untimely or ineffective.</w:t>
        <w:br/>
        <w:t>Moreover, from some consumer complaints, it appears that the contractual documentation allegedly provided by the Professional as attached to the "welcome letter," or the contractual package mentioned at the bottom of the same, never reached the customers, who often became aware of the change of supplier following the delivery of invoices or, even, of the related payment reminders.</w:t>
        <w:br/>
        <w:t>In this way, the Professional would have hindered the right of reconsideration.</w:t>
        <w:br/>
        <w:t>III. NOTICE</w:t>
        <w:br/>
        <w:t>Through this notice, interested parties who have submitted a request for intervention pursuant to Article 4 of the Regulation are informed that, with communication of May 8, 2023, prot. no. 0042151, an investigative procedure has been initiated against the Professional, aimed at ascertaining any violation of Articles 20, 24, 25, 26 letter f) in conjunction with Article 66 quinquies and 52 of the Consumer Code.</w:t>
        <w:br/>
        <w:t>It is also informed that interested parties have the right to intervene in the ongoing procedure by submitting a specific act, duly signed, containing the elements indicated in Article 10 of the Regulation.</w:t>
        <w:br/>
        <w:t>For any communication addressed to the Authority regarding the procedure in question, please refer to the Transport, Energy and Environment Directorate of the Consumer Protection Department and the reference PS12557.</w:t>
      </w:r>
    </w:p>
    <w:p>
      <w:r>
        <w:rPr>
          <w:b/>
        </w:rPr>
        <w:t>[Pages 10–10]</w:t>
      </w:r>
    </w:p>
    <w:p>
      <w:r>
        <w:t>Antitrust Authority Weekly Bulletin</w:t>
        <w:br/>
        <w:t>of Competition and Market Year XXXIII - No. 21 - 2023</w:t>
        <w:br/>
        <w:t>Editorial Coordination Giulia Antenucci</w:t>
        <w:br/>
        <w:t>Editorial Staff Valerio Ruocco, Manuela Villani</w:t>
        <w:br/>
        <w:t>Antitrust Authority for Competition and the Market</w:t>
        <w:br/>
        <w:t>Document Management, Protocol, and Statistical Services Directorate</w:t>
        <w:br/>
        <w:t>Piazza Giuseppe Verdi, 6/a - 00198 Rome</w:t>
        <w:br/>
        <w:t>Tel.: 06-858211 Fax: 06-85821256</w:t>
        <w:br/>
        <w:t>Web: https://www.agcm.it</w:t>
        <w:b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