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https://www.agcm.it/dotcmsdoc/bollettini/2024/21-24.pdf</w:t>
      </w:r>
    </w:p>
    <w:p>
      <w:r>
        <w:t>Pages translated : 157</w:t>
      </w:r>
    </w:p>
    <w:p/>
    <w:p>
      <w:r>
        <w:rPr>
          <w:b/>
        </w:rPr>
        <w:t>[Pages 1–3]</w:t>
      </w:r>
    </w:p>
    <w:p>
      <w:r>
        <w:t>Bulletin</w:t>
        <w:br/>
        <w:t>Weekly</w:t>
        <w:br/>
        <w:t>Year XXXIV - No. 21</w:t>
        <w:br/>
        <w:t>Published on the website www.agcm.it</w:t>
        <w:br/>
        <w:t>May 27, 2024</w:t>
      </w:r>
    </w:p>
    <w:p>
      <w:r>
        <w:t>SUMMARY</w:t>
        <w:br/>
        <w:t>CONCENTRATION OPERATIONS 5</w:t>
        <w:br/>
        <w:t>C12623 - W GROUP HOLDING/ALI AGENZIA PER IL LAVORO</w:t>
        <w:br/>
        <w:t>Resolution No. 31191 5</w:t>
        <w:br/>
        <w:t>C12626B - ECOSUNTEK-SERGIO MARINANGELI/+ENERGIA</w:t>
        <w:br/>
        <w:t>Resolution No. 31192 11</w:t>
        <w:br/>
        <w:t>C12628 - MAIORA/BRANCHES OF HOLDING REGINA GROUP</w:t>
        <w:br/>
        <w:t>Resolution No. 31193 14</w:t>
        <w:br/>
        <w:t>C12586 - IGNAZIO MESSINA &amp; C./TERMINAL SAN GIORGIO</w:t>
        <w:br/>
        <w:t>Resolution No. 31198 18</w:t>
        <w:br/>
        <w:t>REPORTING AND CONSULTATIVE ACTIVITIES 74</w:t>
        <w:br/>
        <w:t>AS1967 – MUNICIPALITY OF PALERMO – SPL 2023 SURVEY 74</w:t>
        <w:br/>
        <w:t>AS1968 – MUNICIPALITY OF CASTELLABATE (SA) – EXTENSION OF STATE MARITIME CONCESSIONS FOR TOURIST, RECREATIONAL, AND SPORTS PURPOSES 78</w:t>
        <w:br/>
        <w:t>AS1969 – CHAMBER OF COMMERCE OF ROMAGNA – FORLI’, CESENA AND RIMINI – ANNUAL PLAN FOR RATIONALIZATION OF PARTICIPATIONS FOR THE YEAR 2023 85</w:t>
        <w:br/>
        <w:t>AS1970 – MUNICIPALITY OF CROTONE – URBAN HYGIENE SERVICE 91</w:t>
        <w:br/>
        <w:t>AS1971 – PORT SYSTEM AUTHORITY OF THE TYRRHENIAN SEA – STATE MARITIME CONCESSIONS 96</w:t>
        <w:br/>
        <w:t>AS1972 – MUNICIPALITY OF BELLARIA IGEA MARINA (RN) – STATE MARITIME CONCESSIONS 103</w:t>
        <w:br/>
        <w:t>UNFAIR TRADE PRACTICES 109</w:t>
        <w:br/>
        <w:t>PS11563 - POSTE ITALIANE – FAILURE TO DELIVER REGISTERED MAIL</w:t>
        <w:br/>
        <w:t>Resolution No. 31195 109</w:t>
        <w:br/>
        <w:t>PS12580 - INTESA SANPAOLO RBM SALUTE/PREVIMEDICAL</w:t>
        <w:br/>
        <w:t>Resolution No. 31196 111</w:t>
        <w:br/>
        <w:t>PS12650 - VUELING – HAND LUGGAGE PURCHASE PRICES</w:t>
        <w:br/>
        <w:t>Resolution No. 31197 146</w:t>
        <w:br/>
        <w:t>IP367 - MULPOR – INTERNATIONAL FAIRS DIRECTORY</w:t>
        <w:br/>
        <w:t>Notice of extension of the deadline for the conclusion of the procedure 152</w:t>
        <w:br/>
        <w:t>PS12666 - BCUBE AGENCY – SALE OF APPRAISALS</w:t>
        <w:br/>
        <w:t>Notice of communication of the burden of proof assignment 153</w:t>
      </w:r>
    </w:p>
    <w:p>
      <w:r>
        <w:t>BULLETIN NO. 21 OF MAY 27, 2024 5</w:t>
        <w:br/>
        <w:t>CONCENTRATION OPERATIONS</w:t>
        <w:br/>
        <w:t>C12623 - W GROUP HOLDING/ALI AGENZIA PER IL LAVORO</w:t>
        <w:br/>
        <w:t>Resolution No. 31191</w:t>
        <w:br/>
        <w:t>THE ANTITRUST AUTHORITY</w:t>
        <w:br/>
        <w:t>IN ITS MEETING of May 7, 2024;</w:t>
        <w:br/>
        <w:t>HEARD the Rapporteur Professor Elisabetta Iossa;</w:t>
        <w:br/>
        <w:t>HAVING REGARD TO Regulation (EC) No. 139/2004;</w:t>
        <w:br/>
        <w:t>HAVING REGARD TO Law No. 287 of October 10, 1990;</w:t>
        <w:br/>
        <w:t>HAVING REGARD TO D.P.R. No. 217 of April 30, 1998;</w:t>
        <w:br/>
        <w:t>HAVING REGARD TO the communication from W Group Holding S.p.A. received on April 9, 2024;</w:t>
        <w:br/>
        <w:t>HAVING REGARD TO the documentation on file;</w:t>
        <w:br/>
        <w:t>CONSIDERING the following:</w:t>
        <w:br/>
        <w:t>I. THE PARTIES</w:t>
        <w:br/>
        <w:t>1. W Group Holding S.p.A. (hereinafter, “Buyer” or “WGH”) is a company primarily active in the sectors of temporary work supply (labor leasing), placement services (search and selection), and professional training and updating services. WGH is controlled by the sub-fund STG Alternative Investments RAIF sub-E, which holds approximately [80-85%]* of the share capital, which is in turn controlled by STG Alternative Investments GP S.A.R.L., whose share capital is wholly owned by RIG Kapital GmbH. In 2023, WGH achieved a total consolidated revenue globally of approximately [567-700] million euros, of which approximately [567-700] million euros were generated in the European Union and approximately [100-567] million euros in Italy.</w:t>
        <w:br/>
        <w:t>2. Ali - Agenzia per il Lavoro S.p.A. (hereinafter “Ali”) is a company active in the sectors of temporary work supply, placement services, professional training, career transition, organisational consulting, and payroll. Ali controls the companies Labor B S.p.A. (hereinafter “Labor”) and Yous S.r.l. (hereinafter “Yous” and, together with Ali and Labor, “Ali Group” or “Target”). Ali is currently exclusively controlled by Magister Group S.p.A. (“Magister”). The revenue of the Ali Group, entirely generated in Italy, was approximately [100-567] million euros in 2022.</w:t>
        <w:br/>
        <w:t>* In this version, some data are omitted, as elements of confidentiality or secrecy of the information were deemed to exist.</w:t>
      </w:r>
    </w:p>
    <w:p>
      <w:r>
        <w:rPr>
          <w:b/>
        </w:rPr>
        <w:t>[Pages 4–6]</w:t>
      </w:r>
    </w:p>
    <w:p>
      <w:r>
        <w:t>6 BULLETIN NO. 21 OF MAY 27, 2024</w:t>
      </w:r>
    </w:p>
    <w:p>
      <w:r>
        <w:t>II. DESCRIPTION OF THE TRANSACTION</w:t>
      </w:r>
    </w:p>
    <w:p>
      <w:r>
        <w:t>3. The communicated transaction concerns the acquisition by WGH from Magister of 100% of the shares of Ali and, consequently and indirectly, the entire share capital of the companies controlled by it (Labor and Yous). Therefore, as a result of the transaction, WGH will hold exclusive control over the Target.</w:t>
      </w:r>
    </w:p>
    <w:p>
      <w:r>
        <w:t>4. The transaction is accompanied by a non-competition and non-solicitation agreement, which provides for the commitment by Magister and its partners not to engage, for a period of [omissis] from the closing, directly or indirectly, in activities competing with those carried out by the Target in Italy, as well as activities of poaching or solicitation of employees or agents.</w:t>
      </w:r>
    </w:p>
    <w:p>
      <w:r>
        <w:t>III. QUALIFICATION OF THE TRANSACTION</w:t>
      </w:r>
    </w:p>
    <w:p>
      <w:r>
        <w:t>5. The communicated transaction, as it involves the acquisition of exclusive control of a business,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 the last financial year at the national level, individually by at least two of the companies involved was over 35 million euros1.</w:t>
      </w:r>
    </w:p>
    <w:p>
      <w:r>
        <w:t>6. The clauses contained in the non-competition and non-solicitation agreement described above can be qualified as ancillary to the communicated concentration, to the extent that they contain restrictions directly related to the realization of the transaction. In particular, in this case, the commitments undertaken by the seller benefit the buyer and respond to the need to ensure the transfer of the actual value of the acquisition to the latter. However, in order not to exceed the limits of what is reasonably required for this purpose, it is necessary that the material scope of the non-competition and non-solicitation clauses be confined to the geographical area and the activities carried out by the Target, and that their duration be limited to a maximum period of two years2.</w:t>
      </w:r>
    </w:p>
    <w:p>
      <w:r>
        <w:t>IV. ASSESSMENT OF THE CONCENTRATION</w:t>
      </w:r>
    </w:p>
    <w:p>
      <w:r>
        <w:t>IV.1 The relevant markets</w:t>
      </w:r>
    </w:p>
    <w:p>
      <w:r>
        <w:t>7. Considering the activities carried out by the Target, the Transaction concerns six distinct markets: a) temporary work services, b) placement services, c) vocational training services; d) payroll services; e) career transition services; f) organisational consulting services.</w:t>
      </w:r>
    </w:p>
    <w:p>
      <w:r>
        <w:t>1 Authority Resolution No. 31088 “Reevaluation of turnover thresholds pursuant to Article 16, paragraph 1, of Law No. 287/90”, published in Bulletin No. 10 of March 11, 2024.</w:t>
      </w:r>
    </w:p>
    <w:p>
      <w:r>
        <w:t>2 Commission Communication on restrictions directly related and necessary to concentrations (2005/C56/03).</w:t>
      </w:r>
    </w:p>
    <w:p>
      <w:r>
        <w:t>BULLETIN NO. 21 OF MAY 27, 2024 7</w:t>
      </w:r>
    </w:p>
    <w:p>
      <w:r>
        <w:t>8. The activities of WGH and the Target overlap only in the first four markets (sub a)-d)), with combined shares significantly below the 15% threshold. As for the last two markets (sub e) and f)), only the Target is marginally active. Furthermore, the Transaction does not configure any vertical or conglomerate relevant market.</w:t>
      </w:r>
    </w:p>
    <w:p>
      <w:r>
        <w:t>a) Temporary work supply market (labor supply)</w:t>
      </w:r>
    </w:p>
    <w:p>
      <w:r>
        <w:t>9. Temporary work supply, or labor supply, refers to that form of work involving three parties: the employment agency, a person seeking employment, and the company requesting it. The employment agency, in particular, seeks and hires the worker, thus making them available to the company for a fixed or indefinite period.</w:t>
      </w:r>
    </w:p>
    <w:p>
      <w:r>
        <w:t>According to the Authority's practice, the market for the provision of temporary work services is different from the market for placement services (see infra). In particular, the market for the provision of temporary work services is characterized by companies that normally establish a direct, long-term relationship with job seekers, and in some cases even an exclusive one. Moreover, regarding the type of services offered, companies providing temporary work services offer a range of supplementary services, essentially related to staff training, which serve to differentiate them from placement companies3. Given its generality, the provision of temporary work services can be directed at a wide and varied range of industrial sectors, types of clients, and sizes of companies.</w:t>
      </w:r>
    </w:p>
    <w:p>
      <w:r>
        <w:t>10. From a geographical perspective, based on established national jurisprudence, the temporary work supply market has a national dimension based on considerations related to linguistic differences and the various regulatory regimes in force in different states, on the supply side, as well as the preferences of workers and the indications of user companies in terms of workplace location, on the demand side4.</w:t>
      </w:r>
    </w:p>
    <w:p>
      <w:r>
        <w:t>b) Placement services market</w:t>
      </w:r>
    </w:p>
    <w:p>
      <w:r>
        <w:t>11. The placement services market includes companies that carry out intermediation/recruitment activities between labor demand and supply and personnel search and selection, which can be conducted both online and offline.</w:t>
      </w:r>
    </w:p>
    <w:p>
      <w:r>
        <w:t>12. From a geographical perspective, in line with the Authority's practice5, it is believed that the placement services market, based on circumstances similar to those of the temporary work services market, has a national dimension, essentially due to factors such as linguistic differences, workers' preferences regarding workplace location, and the different regulatory regimes in force in various member states.</w:t>
      </w:r>
    </w:p>
    <w:p>
      <w:r>
        <w:t>3 See AGCM Resolution No. 10624 of April 4, 2002, case C5161 - Adecco/Jobpilot; AGCM Resolution No. 8876 of November 9, 2000, case C4242 - Eurolabour/Sinterim-Sintex-Ergon Line-Tempor; AGCM Resolution No. 31022 of January 10, 2024, case C12591 - Openjobmetis/Just On Business; AGCM Resolution No. 28580 of February 16, 2021, case C12356 - Openjobmetis/Quanta-Quanta Ressources Humaines.</w:t>
      </w:r>
    </w:p>
    <w:p>
      <w:r>
        <w:t>4 See, among others, AGCM Resolution No. 31022 of January 10, 2024, case C12591 - Openjobmetis/Just On Business; AGCM Resolution No. 28580 of February 16, 2021, case C12356 - Openjobmetis/Quanta-Quanta Ressources Humaines; AGCM Resolution No. 8876 of November 9, 2000, case C4242 - Eurolabour/Sinterim-Sintex-Ergon Line-Tempor.</w:t>
      </w:r>
    </w:p>
    <w:p>
      <w:r>
        <w:t>5 See AGCM Resolution No. 28580 of February 16, 2021, case C12356 - Openjobmetis/Quanta-Quanta Ressources Humaines; AGCM Resolution No. 10624 of April 4, 2002, case C5161 - Adecco/Jobpilot; AGCM Resolution No. 8876 of November 9, 2000, case C4242 - Eurolabour/Sinterim-Sintex-Ergon Line-Tempor.</w:t>
      </w:r>
    </w:p>
    <w:p>
      <w:r>
        <w:t>8 BULLETIN NO. 21 OF MAY 27, 2024</w:t>
      </w:r>
    </w:p>
    <w:p>
      <w:r>
        <w:t>c) Vocational training services market</w:t>
      </w:r>
    </w:p>
    <w:p>
      <w:r>
        <w:t>13. This market consists of managing vocational training also through the development of dedicated software programs. In particular, companies active in the market in question provide, also through information technology, vocational training services consisting of the design, organization, and management of training courses, delivered to employees of private companies, to public administration, and aimed at third parties6.</w:t>
      </w:r>
    </w:p>
    <w:p>
      <w:r>
        <w:t>14. From a geographical perspective, the vocational training services market has a national dimension considering the importance of language in relation to the type of service provided and the necessity for supplying companies to have a stable organization in the national territory.</w:t>
      </w:r>
    </w:p>
    <w:p>
      <w:r>
        <w:t>d) Payroll services market</w:t>
      </w:r>
    </w:p>
    <w:p>
      <w:r>
        <w:t>15. Payroll services are essentially focused on processing employee paychecks and other related activities (including managing attendance and absences, vacations, and business trips)7.</w:t>
      </w:r>
    </w:p>
    <w:p>
      <w:r>
        <w:t>16. From a geographical perspective, the market in question has a national dimension, as users predominantly choose operators with organizations present in the national territory. Furthermore, the organization and provision of payroll services must comply with national regulations governing the remuneration, contribution, and tax aspects of personnel administration.</w:t>
      </w:r>
    </w:p>
    <w:p>
      <w:r>
        <w:t>e) Career transition and organisational consulting services markets</w:t>
      </w:r>
    </w:p>
    <w:p>
      <w:r>
        <w:t>17. Based on the Authority's decision-making practice, career transition services consist of assisting companies in planning and implementing initiatives aimed at reducing the workforce. In particular, these services aim to provide support to individual employees or groups of employees, regardless of their role (executives, managers, etc.), when the employment relationship is interrupted.</w:t>
      </w:r>
    </w:p>
    <w:p>
      <w:r>
        <w:t>Organisational consulting services consist of advising companies on human resource organization, to minimize staff turnover aimed at avoiding production reductions.</w:t>
      </w:r>
    </w:p>
    <w:p>
      <w:r>
        <w:t>6 See AGCM Resolution No. 31022 of January 10, 2024, case C12591 - Openjobmetis/Just On Business; AGCM Resolution No. 22941 of November 3, 2011, case C11285 - GI Group/Asset Management-Asset Data.</w:t>
      </w:r>
    </w:p>
    <w:p>
      <w:r>
        <w:t>7 See AGCM Resolution No. 27570 of February 20, 2019, case C12210 - Zucchetti/Branch of Data Management Human Resource Management; AGCM Resolution No. 11539 of December 20, 2002, case C5615 - Business Solutions-Antex Personnel Administration/Human Resources Services.</w:t>
      </w:r>
    </w:p>
    <w:p>
      <w:r>
        <w:rPr>
          <w:b/>
        </w:rPr>
        <w:t>[Pages 7–9]</w:t>
      </w:r>
    </w:p>
    <w:p>
      <w:r>
        <w:t>BULLETIN NO. 21 OF MAY 27, 2024</w:t>
      </w:r>
    </w:p>
    <w:p>
      <w:r>
        <w:t>18. From the demand perspective, career transition services are requested from time to time, in relation to specific circumstances, while organisational consulting services are based on more stable consultancy relationships between the requesting company and the service provider8.</w:t>
      </w:r>
    </w:p>
    <w:p>
      <w:r>
        <w:t>19. From a geographical standpoint, the demand for the aforementioned services largely comes from multinational companies that require individuals capable of operating on an international scale; therefore, in its decision-making practice, the Authority has deemed that the relevant markets have a potentially supranational geographical dimension9.</w:t>
      </w:r>
    </w:p>
    <w:p>
      <w:r>
        <w:t>20. For the purposes of evaluating the transaction in question, however, it is highlighted that it does not appear necessary to arrive at a precise definition of the markets identified above, as, regardless of the definition adopted, the transaction does not seem to raise competitive issues.</w:t>
      </w:r>
    </w:p>
    <w:p>
      <w:r>
        <w:t>IV.2 Effects of the transaction</w:t>
      </w:r>
    </w:p>
    <w:p>
      <w:r>
        <w:t>21. As mentioned, the transaction does not appear to result in significant changes in the affected markets. In particular, in the national market for temporary work supply, the Target holds a share of [1-5%], while WGH's share is [1-5%]. Various competitors are active in this market, such as Adecco, Randstad, GI Group, Manpower, with individual market shares significantly higher than those of the Parties.</w:t>
      </w:r>
    </w:p>
    <w:p>
      <w:r>
        <w:t>22. Even in the other national markets where there is a horizontal overlap between the Parties - placement services; professional training and payroll services - the transaction does not appear likely to raise competitive concerns due to the modest shares held by them and the presence of numerous competitors. In fact, WGH's market share in each of these markets does not exceed [1-5%] and that of the Target does not exceed [1-5%].</w:t>
      </w:r>
    </w:p>
    <w:p>
      <w:r>
        <w:t>23. In the markets, finally, for career transition services and organisational consulting, there is merely a substitution of one operator with another.</w:t>
      </w:r>
    </w:p>
    <w:p>
      <w:r>
        <w:t>24. In light of the above considerations, the transaction in question does not appear overall likely to produce harmful effects on competition, as it does not result in substantial changes in the affected markets.</w:t>
      </w:r>
    </w:p>
    <w:p>
      <w:r>
        <w:t>CONSIDERING, therefore, that the transaction in question does not significantly impede effective competition in the affected markets pursuant to Article 6, paragraph 1, of Law No. 287/1990 and does not entail the establishment or strengthening of a dominant position;</w:t>
      </w:r>
    </w:p>
    <w:p>
      <w:r>
        <w:t>CONSIDERING, furthermore, that the non-competition and non-solicitation clauses described above can be deemed ancillary to this transaction only to the extent indicated above and that the Authority reserves the right to evaluate, where the conditions exist, the aforementioned clauses that may occur beyond those limits;</w:t>
      </w:r>
    </w:p>
    <w:p>
      <w:r>
        <w:t>DECISION</w:t>
      </w:r>
    </w:p>
    <w:p>
      <w:r>
        <w:t>not to initiate the investigation referred to in Article 16, paragraph 4, of Law No. 287/1990. The above conclusions will be communicated, pursuant to Article 16, paragraph 4, of Law No. 287/90, to the interested companies and to the Minister of Enterprises and Made in Italy. The measure will be published in the Bulletin of the Antitrust Authority.</w:t>
      </w:r>
    </w:p>
    <w:p>
      <w:r>
        <w:t>THE SECRETARY GENERAL THE PRESIDENT</w:t>
        <w:br/>
        <w:t>Guido Stazi Roberto Rustichelli</w:t>
      </w:r>
    </w:p>
    <w:p>
      <w:r>
        <w:t>BULLETIN NO. 21 OF MAY 27, 2024</w:t>
      </w:r>
    </w:p>
    <w:p>
      <w:r>
        <w:t>C12626B - ECOSUNTEK-SERGIO MARINANGELI/+ENERGIA</w:t>
      </w:r>
    </w:p>
    <w:p>
      <w:r>
        <w:t>Provision No. 31192</w:t>
      </w:r>
    </w:p>
    <w:p>
      <w:r>
        <w:t>THE ANTITRUST AUTHORITY</w:t>
      </w:r>
    </w:p>
    <w:p>
      <w:r>
        <w:t>IN ITS MEETING of May 7, 2024;</w:t>
      </w:r>
    </w:p>
    <w:p>
      <w:r>
        <w:t>HEARD the Rapporteur, Professor Elisabetta Iossa;</w:t>
      </w:r>
    </w:p>
    <w:p>
      <w:r>
        <w:t>HAVING REGARD to Law No. 287 of October 10, 1990;</w:t>
      </w:r>
    </w:p>
    <w:p>
      <w:r>
        <w:t>HAVING REGARD, in particular, to Article 19, paragraph 2, of Law No. 287/1990, pursuant to which, in the event that companies have not complied with the obligations of prior notification referred to in paragraph 1 of Article 16 of the same law, the Authority may impose administrative monetary penalties of up to 1% of the turnover of the year preceding the year in which the contestation is made;</w:t>
      </w:r>
    </w:p>
    <w:p>
      <w:r>
        <w:t>HAVING REGARD to Law No. 689 of November 24, 1981;</w:t>
      </w:r>
    </w:p>
    <w:p>
      <w:r>
        <w:t>HAVING REGARD to the Presidential Decree No. 217 of April 30, 1998;</w:t>
      </w:r>
    </w:p>
    <w:p>
      <w:r>
        <w:t>HAVING REGARD to the communication from Ecosuntek S.p.A. and Sergio Marinangeli, received on April 12, 2024;</w:t>
      </w:r>
    </w:p>
    <w:p>
      <w:r>
        <w:t>HAVING REGARD to its resolution of April 30, 2024, concerning the evaluation of the concentration transaction consisting of the acquisition of joint control of the company +Energia S.p.A. by Ecosuntek S.p.A., through Eco Trade S.r.l., and Sergio Marinangeli;</w:t>
      </w:r>
    </w:p>
    <w:p>
      <w:r>
        <w:t>CONSIDERING the following:</w:t>
      </w:r>
    </w:p>
    <w:p>
      <w:r>
        <w:t>I. THE PARTIES</w:t>
      </w:r>
    </w:p>
    <w:p>
      <w:r>
        <w:t>1. Ecosuntek S.p.A. (hereinafter, "Ecosuntek") is the operational holding company of the Ecosuntek Group, active (i) in the production and wholesale procurement (including trading) of electricity from renewable sources, (ii) in the retail sale of electricity to domestic and non-domestic customers connected at low and medium voltage, (iii) in the wholesale sale of natural gas and to end customers of small and medium/large sizes, as well as (iv) in the production and marketing of certificates of origin and in bio-construction. Ecosuntek exercises exclusive direct control over Eco Trade S.r.l. (hereinafter, "Eco Trade"), which is in turn a direct buyer of +Energia S.p.A. Eco Trade is also active in the retail and wholesale sale of both the electricity produced by photovoltaic plants owned by companies of the Ecosuntek Group and the electricity purchased from third parties on the market. Eco Trade also carries out retail and wholesale sales of natural gas and marketing of certificates of origin. In 2022, the Ecosuntek Group achieved a consolidated worldwide turnover of approximately €896.5 million, of which approximately [800-900]* million euros in Italy.</w:t>
      </w:r>
    </w:p>
    <w:p>
      <w:r>
        <w:t>2. Sergio Marinangeli is a natural person holding a non-controlling stake (equal to 46.775%) in +Energia S.p.A.</w:t>
      </w:r>
    </w:p>
    <w:p>
      <w:r>
        <w:t>* In this version, some data are omitted, as it has been deemed that there are elements of confidentiality or secrecy of the information.</w:t>
      </w:r>
    </w:p>
    <w:p>
      <w:r>
        <w:rPr>
          <w:b/>
        </w:rPr>
        <w:t>[Pages 10–12]</w:t>
      </w:r>
    </w:p>
    <w:p>
      <w:r>
        <w:t>12 BULLETIN NO. 21 OF MAY 27, 2024</w:t>
      </w:r>
    </w:p>
    <w:p>
      <w:r>
        <w:t>The revenue entirely generated in Italy in 2022 by the only company over which Sergio Marinangeli had control amounted to [19,000-20,000] euros.</w:t>
      </w:r>
    </w:p>
    <w:p>
      <w:r>
        <w:t>3. +Energia S.p.A. (hereinafter, “+Energia” or “Target”) is a company active in the retail sale of electricity to domestic and non-domestic customers connected at low and medium voltage. +Energia holds origin certificates and limits itself to purchasing such certificates – subsequently subject to cancellation – for the sole purpose of self-certification – vis-à-vis its customers – of the renewable source origin of the energy it sells. +Energia does not hold stakes in any company. In 2022, +Energia generated, entirely in Italy, revenue of approximately 204.3 million euros.</w:t>
      </w:r>
    </w:p>
    <w:p>
      <w:r>
        <w:t>II. DESCRIPTION OF THE TRANSACTION</w:t>
      </w:r>
    </w:p>
    <w:p>
      <w:r>
        <w:t>4. The transaction consisted of the acquisition by the Ecosuntek Group, through Eco Trade, and Sergio Marinangeli of joint control over +Energia.</w:t>
      </w:r>
    </w:p>
    <w:p>
      <w:r>
        <w:t>5. In particular, prior to the transaction in question, [omitted]: none of these parties held control for antitrust purposes over +Energia. On October 31, 2023, three agreements were executed through which: [omitted]. By virtue of the above, following the completion of the transaction on January 8, 2024, the share capital of +Energia is held by Eco Trade (46.775%), Sergio Marinangeli (46.775%), and Mariano Musci (6.45%).</w:t>
      </w:r>
    </w:p>
    <w:p>
      <w:r>
        <w:t>6. On October 31, 2023, Eco Trade, Sergio Marinangeli, and Mariano Musci also signed a shareholders' agreement and approved a new statute for the Target, by virtue of which Eco Trade and Sergio Marinangeli acquired joint control over +Energia. [Omitted].</w:t>
      </w:r>
    </w:p>
    <w:p>
      <w:r>
        <w:t>III. QUALIFICATION OF THE TRANSACTION</w:t>
      </w:r>
    </w:p>
    <w:p>
      <w:r>
        <w:t>7. The transaction in question constitutes a concentration pursuant to Article 5, paragraph 1, letter b), of Law No. 287/1990, as it involved the acquisition of joint control of a company.</w:t>
      </w:r>
    </w:p>
    <w:p>
      <w:r>
        <w:t>8. It falls within the scope of application of Law No. 287/1990, as the conditions of Article 1 of EC Regulation No. 139/2004 do not apply, and it is subject to the obligation of prior notification provided for by Article 16, paragraph 1, of the same law, as the total revenue generated at the national level by the group of companies involved in 2022 exceeded 532 million euros and the total revenue generated individually at the national level by at least two of the companies involved in 2022 exceeded 32 million euros, thresholds applicable ratione temporis.</w:t>
      </w:r>
    </w:p>
    <w:p>
      <w:r>
        <w:t>CONSIDERED, therefore, that the transaction, as it involved the acquisition of joint control of a company, constitutes a concentration, pursuant to Article 5, paragraph 1, letter b), of Law No. 287/1990;</w:t>
      </w:r>
    </w:p>
    <w:p>
      <w:r>
        <w:t>CONSIDERED that the revenue generated at the national level by the group of companies involved and the total revenue generated individually at the national level by at least two of the companies involved, for the period to which the transaction refers, exceeded the minimum threshold provided for by Article 16, paragraph 1, of Law No. 287/1990 and that, therefore, the above-identified transaction was subject to the obligation of prior notification provided for by the same article;</w:t>
      </w:r>
    </w:p>
    <w:p>
      <w:r>
        <w:t>CONSIDERED that the aforementioned transaction, carried out on October 31, 2023, and completed on January 8, 2024, was not notified in advance, in violation of Article 16, paragraph 1, of Law No. 287/1990;</w:t>
      </w:r>
    </w:p>
    <w:p>
      <w:r>
        <w:t>RESOLVES</w:t>
      </w:r>
    </w:p>
    <w:p>
      <w:r>
        <w:t>a) to contest to Ecosuntek S.p.A. and Sergio Marinangeli the violation of the obligation of prior notification, provided for by Article 16, paragraph 1, of Law No. 287/1990, in relation to the transaction of acquisition of joint control of +Energia by Ecosuntek S.p.A., through Eco Trade S.r.l., and Sergio Marinangeli;</w:t>
      </w:r>
    </w:p>
    <w:p>
      <w:r>
        <w:t>b) to initiate proceedings for the possible imposition of the monetary sanction referred to in Article 19, paragraph 2, of Law No. 287/1990, against Ecosuntek S.p.A. and Sergio Marinangeli, for non-compliance with the obligations of prior notification of the transaction referred to in the previous letter a);</w:t>
      </w:r>
    </w:p>
    <w:p>
      <w:r>
        <w:t>c) that the person responsible for the proceedings is Dr. Chiara de Mari;</w:t>
      </w:r>
    </w:p>
    <w:p>
      <w:r>
        <w:t>d) that the acts of the proceedings can be viewed at the Transport, Energy and Environment Directorate of Department 2 of Competition, by the legal representatives of Ecosuntek S.p.A. and Sergio Marinangeli, or by persons delegated by them;</w:t>
      </w:r>
    </w:p>
    <w:p>
      <w:r>
        <w:t>e) that, pursuant to Article 18, paragraph 1, of Law No. 689/1981, within thirty days from the notification of this contestation, the interested parties may submit defensive writings and documents to the Authority and request to be heard;</w:t>
      </w:r>
    </w:p>
    <w:p>
      <w:r>
        <w:t>f) that the proceedings must be concluded within ninety days from the date of notification of this provision.</w:t>
      </w:r>
    </w:p>
    <w:p>
      <w:r>
        <w:t>This provision will be notified to the interested parties and published in the Bulletin of the Competition and Market Authority.</w:t>
      </w:r>
    </w:p>
    <w:p>
      <w:r>
        <w:t>THE SECRETARY GENERAL THE PRESIDENT</w:t>
      </w:r>
    </w:p>
    <w:p>
      <w:r>
        <w:t>Guido Stazi Roberto Rustichelli</w:t>
      </w:r>
    </w:p>
    <w:p>
      <w:r>
        <w:t>14 BULLETIN NO. 21 OF MAY 27, 2024</w:t>
      </w:r>
    </w:p>
    <w:p>
      <w:r>
        <w:t>C12628 - MAIORA/BRANCHES OF HOLDING REGINA GROUP</w:t>
      </w:r>
    </w:p>
    <w:p>
      <w:r>
        <w:t>Provision No. 31193</w:t>
      </w:r>
    </w:p>
    <w:p>
      <w:r>
        <w:t>THE COMPETITION AND MARKET AUTHORITY</w:t>
      </w:r>
    </w:p>
    <w:p>
      <w:r>
        <w:t>IN ITS MEETING of May 7, 2024;</w:t>
      </w:r>
    </w:p>
    <w:p>
      <w:r>
        <w:t>HEARD the Rapporteur, Saverio Valentino;</w:t>
      </w:r>
    </w:p>
    <w:p>
      <w:r>
        <w:t>VIEWED EC Regulation No. 139/2004;</w:t>
      </w:r>
    </w:p>
    <w:p>
      <w:r>
        <w:t>VIEWED Law No. 287 of October 10, 1990;</w:t>
      </w:r>
    </w:p>
    <w:p>
      <w:r>
        <w:t>VIEWED the D.P.R. No. 217 of April 30, 1998;</w:t>
      </w:r>
    </w:p>
    <w:p>
      <w:r>
        <w:t>VIEWED the communication made by Maiora S.r.l. received on April 23, 2024;</w:t>
      </w:r>
    </w:p>
    <w:p>
      <w:r>
        <w:t>VIEWED the documentation on file;</w:t>
      </w:r>
    </w:p>
    <w:p>
      <w:r>
        <w:t>CONSIDERED the following:</w:t>
      </w:r>
    </w:p>
    <w:p>
      <w:r>
        <w:t>I. THE PARTIES</w:t>
      </w:r>
    </w:p>
    <w:p>
      <w:r>
        <w:t>1. Maiora S.r.l. (hereinafter, “Maiora”) is a company active, mainly in Central-Southern Italy, in the organized distribution of food and non-food products, and in particular operates (i) in the wholesale channel with a network of cash &amp; carry managed under the Altasfera brand and (ii) in the retail channel through a network of supermarkets under the Despar brand and its variations (“Eurospar” and “Interspar”). The company is controlled by Cannillo S.r.l., which holds 55% of its share capital, in turn controlled by individuals. The revenue generated in Italy by Maiora in 2022 is approximately [700-1,000]* million euros.</w:t>
      </w:r>
    </w:p>
    <w:p>
      <w:r>
        <w:t>2. Holding Regina Group S.r.l. (hereinafter, “Gruppo Regina”) is a holding company that operates, through its subsidiaries, in the sectors of large-scale distribution, wholesale food sales, industry, and real estate. Gruppo Regina is 100% controlled by an individual. The revenue generated entirely in Italy by Gruppo Regina in the financial year 2022 is [100-567] million euros.</w:t>
      </w:r>
    </w:p>
    <w:p>
      <w:r>
        <w:t>II. DESCRIPTION OF THE TRANSACTION</w:t>
      </w:r>
    </w:p>
    <w:p>
      <w:r>
        <w:t>3. The notified transaction consists of the acquisition by Maiora of thirteen retail outlets (hereinafter also “Branches of the Company”) of Gruppo Regina. Specifically, it involves 6 supermarkets, currently under the Crai brand, located in the provinces of Cosenza, Catanzaro, Vibo Valentia, and Reggio Calabria, and 7 cash &amp; carry, currently under the Elefante brand, located in the provinces of Bari, Lecce, Catanzaro, Cosenza, and Potenza.</w:t>
      </w:r>
    </w:p>
    <w:p>
      <w:r>
        <w:t>4. Furthermore, following the transaction, Gruppo Regina will ensure that its affiliates, small retailers operating mainly through so-called supermarkets, linked to the franchisor Regina with...</w:t>
      </w:r>
    </w:p>
    <w:p>
      <w:r>
        <w:rPr>
          <w:b/>
        </w:rPr>
        <w:t>[Pages 13–15]</w:t>
      </w:r>
    </w:p>
    <w:p>
      <w:r>
        <w:t>BULLETIN NO. 21 OF MAY 27, 2024</w:t>
      </w:r>
    </w:p>
    <w:p>
      <w:r>
        <w:t>15 contracts with a maximum duration of three years, accept – but without being obliged – to transfer to Maiora the existing supply/franchise contracts.</w:t>
      </w:r>
    </w:p>
    <w:p>
      <w:r>
        <w:t>5. A non-competition agreement is provided for, lasting three years from the closing of the transaction, under which the selling party agrees to refrain from (i) diverting customers and (ii) engaging in or exercising, directly or indirectly or even through an intermediary, an activity that directly competes with those carried out by the sales points subject to the transaction. A non-solicitation agreement is also provided for, lasting two years from the closing of the transaction, under which the selling party agrees to refrain from soliciting the hiring or hiring any employee of the Regina Group involved in the activities of the Business Branches or in activities related and functional to their management.</w:t>
      </w:r>
    </w:p>
    <w:p>
      <w:r>
        <w:t>6. The rationale of the transaction lies in Maiora's intention to consolidate its activities.</w:t>
      </w:r>
    </w:p>
    <w:p>
      <w:r>
        <w:t>III. QUALIFICATION OF THE TRANSACTION</w:t>
      </w:r>
    </w:p>
    <w:p>
      <w:r>
        <w:t>7. The communicated transaction constitutes a concentration pursuant to Article 5, paragraph 1, letter b), of Law No. 287/1990, as it aims at acquiring exclusive control of a company. It falls within the scope of application of Law No. 287/1990 as the conditions set out in Article 1 of EC Regulation 139/2004 do not apply, and it is subject to the obligation of prior notification provided for by Article 16, paragraph 1, of the same law, as the total turnover achieved, in the last financial year at the national level, by the group of companies involved exceeded 567 million euros and the total turnover achieved, in the last financial year at the national level, by at least two of the companies involved exceeded 35 million euros.</w:t>
      </w:r>
    </w:p>
    <w:p>
      <w:r>
        <w:t>8. The non-competition agreement and the non-solicitation agreement described above can be qualified as directly connected and necessary for the realization of the concentration transaction in question, as they are functional to safeguarding the value of the acquired Business Branches, provided that the non-competition agreement also has a duration limited to two years, since Maiora is active in the relevant sectors and, therefore, the proposed transfer does not include the transfer of any particular know-how.</w:t>
      </w:r>
    </w:p>
    <w:p>
      <w:r>
        <w:t>IV. EVALUATION OF THE TRANSACTION</w:t>
      </w:r>
    </w:p>
    <w:p>
      <w:r>
        <w:t>Relevant markets</w:t>
      </w:r>
    </w:p>
    <w:p>
      <w:r>
        <w:t>9. The markets affected by the transaction are:</w:t>
        <w:br/>
        <w:t>i) the local supermarket market centered around the sales point at Spina Santa in Sellia Marina, CZ (hereinafter also referred to as the "Sellia Marina market");</w:t>
        <w:br/>
        <w:t>ii) the local supermarket market centered around the sales point at Via Finlandia 6/14 in Vibo Valentia (hereinafter also referred to as the "Vibo Valentia market");</w:t>
        <w:br/>
        <w:t>iii) the local supermarket market centered around the sales point at Viale dei Normanni in Catanzaro, CZ (hereinafter also referred to as the "Viale dei Normanni market");</w:t>
        <w:br/>
        <w:t>iv) the local supermarket market centered around the sales point at Viale Crotone in Catanzaro, CZ (hereinafter also referred to as the "Viale Crotone market");</w:t>
        <w:br/>
        <w:t>v) the local wholesale distribution market for food and non-food products using the cash &amp; carry formula.</w:t>
      </w:r>
    </w:p>
    <w:p>
      <w:r>
        <w:t>Local supermarket markets</w:t>
      </w:r>
    </w:p>
    <w:p>
      <w:r>
        <w:t>10. The product and geographical definition of the supermarket market, based on the Authority's precedents, concerns the set of supermarkets, superettes, hypermarkets, and discount stores, that is, all sales points larger than 100 square meters.</w:t>
      </w:r>
    </w:p>
    <w:p>
      <w:r>
        <w:t>11. From a geographical perspective, the extent of the local supermarket markets corresponds to the area delineated by a 15-minute driving isochrone built around the sales points of the target company subject to acquisition, namely, in this case, the supermarket at Spina Santa in Sellia Marina, the supermarket at Via Finlandia in Vibo Valentia, and the supermarkets at Viale dei Normanni and Viale Crotone in Catanzaro.</w:t>
      </w:r>
    </w:p>
    <w:p>
      <w:r>
        <w:t>The local wholesale distribution market for food and non-food products using the cash &amp; carry formula</w:t>
      </w:r>
    </w:p>
    <w:p>
      <w:r>
        <w:t>12. As noted in previous cases, the wholesale distribution of food and non-food products using the cash &amp; carry formula, primarily aimed at specialized operators (retailers, large professional users, hotels, restaurants, and catering - the so-called HoReCa), identifies a distinct relevant market separate from modern retail distribution and traditional wholesale, due to the particular characteristics that distinguish it (packaging, presentation, and packaging of products, breadth and depth of the range of products offered, etc.), as well as the fact that access to cash &amp; carry is limited to holders of an authorization card mostly issued to traders.</w:t>
      </w:r>
    </w:p>
    <w:p>
      <w:r>
        <w:t>13. From a geographical perspective, cash &amp; carry markets have generally been considered by the Authority to be of local size, approximately coinciding with the regional territory, as these sales points serve a broader territorial area than retail sales points.</w:t>
      </w:r>
    </w:p>
    <w:p>
      <w:r>
        <w:t>14. In the present transaction, the market size in question would concern Puglia, the region where the Business Branches of Monopoli (BA) and Melissano (LE) are located. However, the definition of the geographical market can be left open, as the analysis of the effects of the transaction does not change regardless of the size of the market considered.</w:t>
      </w:r>
    </w:p>
    <w:p>
      <w:r>
        <w:t>The effects of the transaction</w:t>
      </w:r>
    </w:p>
    <w:p>
      <w:r>
        <w:t>15. The communicated transaction does not appear to be capable of producing distortive effects on competition considering the market shares held by the Parties in the relevant markets.</w:t>
      </w:r>
    </w:p>
    <w:p>
      <w:r>
        <w:t>16. In fact, according to the data provided by the parties, in the Sellia Marina, Vibo Valentia, Viale dei Normanni, and Viale Crotone markets, following the concentration, Maiora will hold a share, calculated in value, of less than [15-20%]. Furthermore, even if all the affiliates of the Regina Group related to these markets accepted to transfer to Maiora the existing supply/franchise contracts, Maiora would hold, in the considered markets, a share calculated in value not exceeding [20-25%].</w:t>
      </w:r>
    </w:p>
    <w:p>
      <w:r>
        <w:t>In these markets, there are numerous competitors with significant shares, including Eurospin, COOP, and Conad, capable of exerting a certain competitive pressure.</w:t>
      </w:r>
    </w:p>
    <w:p>
      <w:r>
        <w:t>17. In the local wholesale distribution market for food and non-food products using the cash &amp; carry formula, considered to be of regional size (specifically in Puglia, where the cash &amp; carry stores of Monopoli and Melissano are located), following the concentration, Maiora will hold a share, calculated in value, of less than [15-20%]. Even considering a more restricted size, provincial or corresponding to the area delineated by a 40-60 minute driving isochrone built around the sales points of the target company, the Parties will hold joint market shares, calculated in value, of less than [20-25%] at the provincial level and [15-20%] at the isochrone level. Therefore, the geographical definition of the market can be left open without changing the effects of the transaction.</w:t>
      </w:r>
    </w:p>
    <w:p>
      <w:r>
        <w:t>Even in this market, there are numerous competitors with significant shares, including Metro, capable of exerting a certain competitive pressure.</w:t>
      </w:r>
    </w:p>
    <w:p>
      <w:r>
        <w:t>19. In light of the above considerations, the concentration in question does not appear to significantly hinder competition in the affected markets or to create or strengthen a dominant position.</w:t>
      </w:r>
    </w:p>
    <w:p>
      <w:r>
        <w:t>CONSIDERING, therefore, that the transaction in question does not significantly hinder effective competition in the affected markets pursuant to Article 6, paragraph 1, of Law No. 287/1990 and does not result in the creation or strengthening of a dominant position;</w:t>
      </w:r>
    </w:p>
    <w:p>
      <w:r>
        <w:t>CONSIDERING, also, that the non-competition agreement and the non-solicitation agreement described in the previous paragraph 5 are directly connected and necessary for the concentration transaction only within the indicated time limits and that the Authority reserves the right to evaluate, where the conditions exist, the aforementioned agreements that are realized beyond the time indicated therein;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16–18]</w:t>
      </w:r>
    </w:p>
    <w:p>
      <w:r>
        <w:t>18 BULLETIN NO. 21 OF MAY 27, 2024</w:t>
      </w:r>
    </w:p>
    <w:p>
      <w:r>
        <w:t>C12586 - IGNAZIO MESSINA &amp; C./TERMINAL SAN GIORGIO</w:t>
      </w:r>
    </w:p>
    <w:p>
      <w:r>
        <w:t>Provision No. 31198</w:t>
      </w:r>
    </w:p>
    <w:p>
      <w:r>
        <w:t>THE ANTITRUST AUTHORITY</w:t>
      </w:r>
    </w:p>
    <w:p>
      <w:r>
        <w:t>IN ITS MEETING of May 23,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its resolution of September 26, 2023, with which, pursuant to Article 16, paragraph 1-bis, of Law No. 287/1990, the companies Ignazio Messina &amp; C. S.p.A. and Terminal San Giorgio S.r.l. were requested to notify the concentration operation that concerns them;</w:t>
      </w:r>
    </w:p>
    <w:p>
      <w:r>
        <w:t>HAVING REGARD to its resolution of October 10, 2023, with which, at the request of the Parties, the deadline for the requested notification was extended to November 27, 2023;</w:t>
      </w:r>
    </w:p>
    <w:p>
      <w:r>
        <w:t>HAVING REGARD to the communication from Ignazio Messina &amp; C. S.p.A., received on November 16, 2023, and supplemented on November 17 and 21, 2023;</w:t>
      </w:r>
    </w:p>
    <w:p>
      <w:r>
        <w:t>HAVING REGARD to the request for information sent on December 6, 2023, to Ignazio Messina &amp; C. S.p.A., resulting in the interruption of the deadlines pursuant to Article 5, paragraph 3, of Presidential Decree No. 217 of April 30, 1998;</w:t>
      </w:r>
    </w:p>
    <w:p>
      <w:r>
        <w:t>HAVING REGARD to the information and documentation sent in response to the request for information of December 6, 2023, by Ignazio Messina &amp; C. S.p.A. on January 24, 2024, and by Stazioni Marittime S.p.A. and Grandi Navi Veloci S.p.A. on January 29, 2024;</w:t>
      </w:r>
    </w:p>
    <w:p>
      <w:r>
        <w:t>HAVING REGARD to provision No. 31066 of February 27, 2024, with which the Authority decided to initiate an investigation, pursuant to Article 16, paragraph 4, of Law No. 287/1990, against Ignazio Messina &amp; C. S.p.A. and Terminal San Giorgio S.r.l.;</w:t>
      </w:r>
    </w:p>
    <w:p>
      <w:r>
        <w:t>HAVING REGARD to the amendments to the Shareholders' Agreement proposed by Ignazio Messina &amp; C. S.p.A. on March 27, 2024, aimed at removing the distorting effects arising from the concentration operation;</w:t>
      </w:r>
    </w:p>
    <w:p>
      <w:r>
        <w:t>HAVING REGARD to the communication of April 29, 2024, with which Ignazio Messina &amp; C. S.p.A. supplemented the proposed amendments to the Shareholders' Agreement aimed at removing the distorting effects arising from the concentration operation;</w:t>
      </w:r>
    </w:p>
    <w:p>
      <w:r>
        <w:t>HAVING REGARD to the Communication of Investigative Findings transmitted on May 8, 2024;</w:t>
      </w:r>
    </w:p>
    <w:p>
      <w:r>
        <w:t>HAVING REGARD to the concluding memorandum submitted by Ignazio Messina &amp; C. S.p.A. on May 17, 2024;</w:t>
      </w:r>
    </w:p>
    <w:p>
      <w:r>
        <w:t>HAVING REGARD to the acts of the proceeding and the documentation acquired during the investigation;</w:t>
      </w:r>
    </w:p>
    <w:p>
      <w:r>
        <w:t>CONSIDERING the following:</w:t>
      </w:r>
    </w:p>
    <w:p>
      <w:r>
        <w:t>I. THE PARTIES</w:t>
      </w:r>
    </w:p>
    <w:p>
      <w:r>
        <w:t>1. Ignazio Messina &amp; C. S.p.A. (hereinafter also "IM&amp;C") is a company active in the maritime transport of goods through containers and rolling stock, in the management of a multipurpose terminal located in the port of Genoa, in intermodal logistics, and in repair and maintenance services ancillary to logistics and transport activities. By virtue of a shareholders' agreement, IM&amp;C is jointly controlled by Gruppo Messina S.p.A. (hereinafter, "GM") and Marinvest S.r.l.; the latter is indirectly controlled by Mediterranean Shipping Company S.A. (hereinafter, "MSC"). In 2022, IM&amp;C achieved consolidated revenues of over 512 million euros, largely derived from maritime transport. In the same year, IM&amp;C generated a turnover of approximately [100-532]* million euros in Italy. The MSC group generated a turnover in Italy in 2022 significantly exceeding 532 million euros.</w:t>
      </w:r>
    </w:p>
    <w:p>
      <w:r>
        <w:t>2. Terminal San Giorgio S.r.l. (hereinafter also "TSG") operates as a "multipurpose third-party terminal" in the port of Genoa, specializing in the handling of rolling stock and, to a lesser extent, in the handling of containers and solid bulk. The company manages, in a temporary business association (hereinafter, "ATI") with IM&amp;C, the concession for the use of the areas of Ponte Canepa and Ponte Libia in the port of Genoa. This concession was granted to the ATI in July 2011 following a public procurement procedure and will expire on December 31, 2035. TSG is controlled by Autosped G S.p.A. (hereinafter, "Autosped"), which heads a group operating in the construction of commercial vehicles, transport, and logistics. Autosped is in turn controlled by the Gavio group. In 2022, it generated revenues of approximately 25 million euros.</w:t>
      </w:r>
    </w:p>
    <w:p>
      <w:r>
        <w:t>II. DESCRIPTION OF THE OPERATION</w:t>
      </w:r>
    </w:p>
    <w:p>
      <w:r>
        <w:t>3. The notified operation consists of the acquisition of 100% of the share capital of TSG by IM&amp;C. According to the Parties, TSG will remain an autonomous economic entity and its relations with IM&amp;C will be governed by a specific operational/commercial agreement regarding the management of areas and docks.</w:t>
      </w:r>
    </w:p>
    <w:p>
      <w:r>
        <w:t>III. QUALIFICATION OF THE OPERATION</w:t>
      </w:r>
    </w:p>
    <w:p>
      <w:r>
        <w:t>4. The notified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at the request of the Authority as provided for by Article 16, paragraph 1-bis, of the aforementioned law, as the total turnover achieved in the last financial year at the national level by the group of companies involved exceeded 532 million euros.</w:t>
      </w:r>
    </w:p>
    <w:p>
      <w:r>
        <w:t>IV. INITIATION OF THE PROCEDURE AND INVESTIGATIVE ACTIVITY</w:t>
      </w:r>
    </w:p>
    <w:p>
      <w:r>
        <w:t>5. On September 26, 2023, the Authority decided, pursuant to Article 16, paragraph 1-bis, of Law No. 287/1990, to request the companies Ignazio Messina &amp; C. S.p.A. and Terminal San Giorgio S.r.l. to notify the concentration operation involving them. The operation was notified on November 16, 2023.</w:t>
      </w:r>
    </w:p>
    <w:p>
      <w:r>
        <w:t>6. The Authority, on December 5, 2023, decided to interrupt the deadlines due to the incompleteness of the information provided. The notifying party completed the submission of the requested supplementary information on January 29, 2024.</w:t>
      </w:r>
    </w:p>
    <w:p>
      <w:r>
        <w:t>7. On February 27, 2024, the Authority initiated an investigation pursuant to Article 16, paragraph 4, of Law No. 287/1990, against Ignazio Messina &amp; C. S.p.A. and Terminal San Giorgio S.r.l. (hereinafter also jointly "the Parties"), believing that the Operation was likely to significantly impede effective competition, pursuant to Article 6, paragraph 1, of Law No. 287/1990, also due to the establishment or strengthening of a dominant position in the market for terminal services for rolling stock and in some vertically related markets for maritime transport of rolling stock. The Authority believed that the operation was likely to produce unilateral effects in the market for terminal services for rolling stock - where Marinvest controls the Ro-Pax and Ro-Ro terminal of Stazioni Marittime - and vertical effects due to Marinvest's ability and incentive to implement foreclosure strategies against competitors of its subsidiary GNV - Grandi Navi Veloci S.p.A. (hereinafter, "GNV") that use TSG.</w:t>
      </w:r>
    </w:p>
    <w:p>
      <w:r>
        <w:t>8. Even before the initiation of the investigation, numerous requests for information were sent to third parties. In particular, information was requested from the Port System Authority of the Western Ligurian Sea (hereinafter, "AdSP-MLO"), other terminal operators, shipping companies, and users of the services of these companies. The AdSP-MLO, the shipping companies...</w:t>
      </w:r>
    </w:p>
    <w:p>
      <w:r>
        <w:rPr>
          <w:b/>
        </w:rPr>
        <w:t>[Pages 19–21]</w:t>
      </w:r>
    </w:p>
    <w:p>
      <w:r>
        <w:t>BULLETIN NO. 21 OF MAY 27, 2024</w:t>
      </w:r>
    </w:p>
    <w:p>
      <w:r>
        <w:t>21 navigation companies and all terminal operators have provided feedback, as have a large part of the aforementioned users.</w:t>
      </w:r>
    </w:p>
    <w:p>
      <w:r>
        <w:t>9. During the investigation, further requests for information were sent to other AdSPs and other terminal operators. Information was also requested from a sample of hauliers.</w:t>
      </w:r>
    </w:p>
    <w:p>
      <w:r>
        <w:t>10. During the investigative proceedings, IM&amp;C was heard in a hearing on March 27, 2024, and April 16, 2024, and AdSP-MLO (April 9, 2024).</w:t>
      </w:r>
    </w:p>
    <w:p>
      <w:r>
        <w:t>11. IM&amp;C exercised the right of access to documents.</w:t>
      </w:r>
    </w:p>
    <w:p>
      <w:r>
        <w:t>12. On May 8, 2024, the Communication of Investigative Findings (hereinafter also "CRI") was transmitted to the Parties.</w:t>
      </w:r>
    </w:p>
    <w:p>
      <w:r>
        <w:t>13. IM&amp;C submitted a final memorandum on May 17, 2024, also waiving the final hearing previously requested.</w:t>
      </w:r>
    </w:p>
    <w:p>
      <w:r>
        <w:t>V. INVESTIGATIVE FINDINGS</w:t>
      </w:r>
    </w:p>
    <w:p>
      <w:r>
        <w:t>V.1. The activity of the Parties</w:t>
      </w:r>
    </w:p>
    <w:p>
      <w:r>
        <w:t>14. The operation communicated concerns the main rolling cargo terminal for third parties in the port of Genoa, which also operates, albeit to a lesser extent, as a container and general cargo terminal. This terminal is adjacent to the terminal activity managed by the acquiring company in the same port (see Figure 1).</w:t>
      </w:r>
    </w:p>
    <w:p>
      <w:r>
        <w:t>22</w:t>
      </w:r>
    </w:p>
    <w:p>
      <w:r>
        <w:t>Fig. 1: The areas on which the activities of IM&amp;C and TSG are based</w:t>
        <w:br/>
        <w:t>1: area granted to IM&amp;C; 2: area granted to the ATI Messina-San Giorgio; 3: area granted to TSG</w:t>
      </w:r>
    </w:p>
    <w:p>
      <w:r>
        <w:t>15. The following Table 1 details the terminal activities carried out by TSG and IM&amp;C in their respective areas, based on data published and provided by AdSP-MLO.</w:t>
      </w:r>
    </w:p>
    <w:p>
      <w:r>
        <w:t>18 IM&amp;C noted that AdSP-MLO allocates traffic based on the berth used. The Ro-Ro ships that dock at Ponte Somalia are generally equipped with a rear ramp for access and must therefore necessarily use the dock located at Calata Tripoli, which is part of the area granted to the ATI.</w:t>
      </w:r>
    </w:p>
    <w:p>
      <w:r>
        <w:t>BULLETIN NO. 21 OF MAY 27, 2024</w:t>
      </w:r>
    </w:p>
    <w:p>
      <w:r>
        <w:t>23</w:t>
      </w:r>
    </w:p>
    <w:p>
      <w:r>
        <w:t>Tab. 1: cargo movements of TSG and IM&amp;C, total (2021-22) and by area (2022)</w:t>
      </w:r>
    </w:p>
    <w:p>
      <w:r>
        <w:t>General Cargo Rolling Cargo Containers</w:t>
        <w:br/>
        <w:t>(tons) (linear meters) (TEU)</w:t>
        <w:br/>
        <w:t>Total 2022 58,786 9 6,288 173,647</w:t>
        <w:br/>
        <w:t>IM&amp;C Area Ronco [95%-100%] [95%-100%] [55%-70%]</w:t>
        <w:br/>
        <w:t>ATI area share [0%-5%] [0%-5%] [30%-45%]</w:t>
        <w:br/>
        <w:t>Total 2022 58,627 2,090,425 9 3,085</w:t>
        <w:br/>
        <w:t>2022</w:t>
        <w:br/>
        <w:t>TSG Area Somalia [15%-25%] [35%-45%] [1%-15%]</w:t>
        <w:br/>
        <w:t>ATI area share [75%-85%] [55%-65%] [85%-100%]</w:t>
        <w:br/>
        <w:t>ATI Messina - San Giorgio 45,966 1,201,860 148,583</w:t>
        <w:br/>
        <w:t>IM&amp;C Total 2021 13,731 9 7,076 189,316</w:t>
        <w:br/>
        <w:t>TSG Total 2021 34,000 1,944,127 9 8,499</w:t>
        <w:br/>
        <w:t>2021</w:t>
        <w:br/>
        <w:t>ATI Messina - San Giorgio 29,158 1,277,441 168,500</w:t>
      </w:r>
    </w:p>
    <w:p>
      <w:r>
        <w:t>Source: AdSP-MLO, Traffic and Employment Initiatives of the Port System Authority of the Western Ligurian Sea, Years 2021 and 2022, available on the institutional website; AdSP-MLO, response of 18/9/23, doc. 67.2</w:t>
      </w:r>
    </w:p>
    <w:p>
      <w:r>
        <w:t>V.1.1. Terminal San Giorgio</w:t>
      </w:r>
    </w:p>
    <w:p>
      <w:r>
        <w:t>16. TSG operates exclusively through a terminal primarily dedicated to the maritime traffic of rolling cargo (Ro-Ro traffic), located in the port of Genoa. This terminal is divided into two areas: (a) the Ponte Libia area, which is part of the concession held by the ATI Messina-San Giorgio, of which IM&amp;C is the agent; (b) the Ponte Somalia area, for which TSG holds a specific concession that will expire on December 31, 2033. About 80% of the goods handled (in tons) and over 35% of revenues come from rolling cargo traffic, with the remainder from containers and general cargo. Almost all of the Ro-Ro traffic handled by TSG concerns the cargo lines of the Grimaldi group to/from Sardinia, Sicily, and other locations in the western Mediterranean.</w:t>
      </w:r>
    </w:p>
    <w:p>
      <w:r>
        <w:t>17. As indicated by the data from AdSP-MLO reported in Table 1, while the handling of containers and general cargo is concentrated at Ponte Libia, the rolling cargo traffic is almost evenly divided between Ponte Somalia (43% by volume) and Ponte Libia. This allocation appears to be based on the berth used for the ship's docking: Grimaldi ships generally dock at Ponte Somalia levante, using the dock at Calata Tripoli, which is located in the area granted to the ATI.</w:t>
      </w:r>
    </w:p>
    <w:p>
      <w:r>
        <w:t>19 Container terminal services are provided to CMA CGM, Tarros, Arkas Line, Melfi Marine.</w:t>
      </w:r>
    </w:p>
    <w:p>
      <w:r>
        <w:t>20 See the minutes of the IM&amp;C hearing (doc. 108).</w:t>
      </w:r>
    </w:p>
    <w:p>
      <w:r>
        <w:t>21 See the resolution of the Management Committee of AdSP-MLO of 30/12/2021 (https://docvia.regione.liguria.it/screening/S944/nota%20al%20MASE%20Prot-2023-0964136%2005.07.23/ALLEGATO%204%20Delibera%20104_5_2021.pdf), which states (p. 5.6) that 41% of Grimaldi ships would have used the Ponte Somalia levante berth in recent years and only a small minority that of Ponte Somalia ponente.</w:t>
      </w:r>
    </w:p>
    <w:p>
      <w:r>
        <w:rPr>
          <w:b/>
        </w:rPr>
        <w:t>[Pages 22–24]</w:t>
      </w:r>
    </w:p>
    <w:p>
      <w:r>
        <w:t>24 BULLETIN NO. 21 OF MAY 27, 2024</w:t>
      </w:r>
    </w:p>
    <w:p>
      <w:r>
        <w:t>Ponte Somalia contains a large parking area (approximately 60,000 square meters) for vehicles to be loaded/unloaded onto ships, covering about 30% of the entire area managed by TSG. Given the nature of the terminal's activity for rolling cargo, which requires the availability of large areas for the parking and movement of trucks, articulated lorries, and semi-trailers, the availability of this parking area plays an essential role in ensuring the operationality of the TSG terminal.</w:t>
      </w:r>
    </w:p>
    <w:p>
      <w:r>
        <w:t>V.1.2. The ATI Messina - San Giorgio</w:t>
      </w:r>
    </w:p>
    <w:p>
      <w:r>
        <w:t>18. The operation of the ATI Messina - San Giorgio is governed by a single activity program, approved by AdSP-MLO, for which both partners IM&amp;C and TSG are jointly responsible.</w:t>
      </w:r>
    </w:p>
    <w:p>
      <w:r>
        <w:t>19. As confirmed by IM&amp;C during the hearing and as provided for in the ATI's business plan, the two partners have distinguished their areas of activity within the ATI: IM&amp;C did not plan to develop rolling cargo or various goods traffic and has dedicated itself almost exclusively to container traffic, while TSG has intended from the outset to develop rolling cargo traffic and, to a much lesser extent, container and various goods traffic.</w:t>
      </w:r>
    </w:p>
    <w:p>
      <w:r>
        <w:t>20. TSG enjoys commercial autonomy regarding the conditions applied for the services offered in the Ponte Libia area. This is confirmed both by the content of the contracts that TSG enters into with its clients, which do not distinguish between the activities carried out in the two areas, and by the reference rates published by AdSP-MLO, which do not differentiate between the two areas and appear to be structured differently from those of IM&amp;C. Moreover, TSG's reference rates for rolling cargo have significantly increased in 2023, unlike those applied by IM&amp;C.</w:t>
      </w:r>
    </w:p>
    <w:p>
      <w:r>
        <w:t>21. However, this commercial autonomy is exercised within the framework of the traffic objectives set out in the ATI's activity program. IM&amp;C, also as the mandate partner and representative of the ATI, is therefore required to verify the consistency of TSG's commercial decisions with the commitments made jointly to AdSP-MLO, having the power to influence its management. Furthermore, IM&amp;C, as the mandate partner, manages the requests for port labor necessary for the ATI and in particular for TSG (the management of rolling cargo is labor-intensive compared to that of containers and various goods).</w:t>
      </w:r>
    </w:p>
    <w:p>
      <w:r>
        <w:t>22. Based on these elements, in the pre-merger situation, the activity of the ATI Messina - San Giorgio in the Ponte Libia area, although entrusted to the operational management of TSG, can be classified as jointly controlled by IM&amp;C and TSG.</w:t>
      </w:r>
    </w:p>
    <w:p>
      <w:r>
        <w:t>V.1.3. Ignazio Messina &amp; C.</w:t>
      </w:r>
    </w:p>
    <w:p>
      <w:r>
        <w:t>23. IM&amp;C primarily operates in the maritime transport of goods, which represents 85% of the group's unconsolidated revenues and over 90% of the consolidated revenues, and produces [70-90%] of the company's operating margin. IM&amp;C also manages a terminal activity in the port of Genoa and an integrated logistics system of land services centered on four intermodal terminals owned, connected by rail to the Genoese maritime terminal. The company also provides industrial repair and maintenance services in the port area. A large part of these services is consumed within IM&amp;C itself, as they are supporting activities related to the maritime transport of containers, aimed at offering a more comprehensive service to the customers of this service.</w:t>
      </w:r>
    </w:p>
    <w:p>
      <w:r>
        <w:t>24. A large part of the volumes transported and the revenue generated in maritime transport comes from the transport of standard containers. About [20-40%] of the maritime transport revenue comes from activities other than the transport of standard containers, particularly including project cargo. The new fleet of full container ships, which has replaced the decommissioned Con-Ro fleet to remedy the company's financial situation, has been equipped with specific equipment to transport various goods, rolling cargo, and exceptional pieces, including through non-standard containers, in continuity with IM&amp;C's historical ability to offer flexible and innovative services to its customers, particularly in project cargo.</w:t>
      </w:r>
    </w:p>
    <w:p>
      <w:r>
        <w:t>25. IM&amp;C currently operates on the main routes with an owned fleet and on others with chartered ships, acquired in a market where there is ample availability of ships; only two of them have been chartered from a company in the MSC group. On the routes to/from West Africa (which represent about [5-10%] in volume of the deep-sea container transports carried out by IM&amp;C), the company operates through a slot charter agreement with MSC.</w:t>
      </w:r>
    </w:p>
    <w:p>
      <w:r>
        <w:t>26. The terminal business of IM&amp;C represents less than 10% of IM&amp;C's unconsolidated revenues and accounted for about 10% of IM&amp;C's consolidated net operating margin in 2023. The area where this activity takes place – also referred to as the Intermodal Marine Terminal (“IMT”) – is divided into two areas: (a) Ponte Ronco, for which IM&amp;C holds a specific concession; and (b) Ponte Canepa, which is located in the area granted to the ATI Messina-San Giorgio.</w:t>
      </w:r>
    </w:p>
    <w:p>
      <w:r>
        <w:t>27. IM&amp;C primarily provides container terminal services (over 80% by volume), offered for about two-thirds at Ponte Ronco and for the remainder in the area granted to the ATI (Ponte Canepa). The remaining project cargo and rolling cargo activities are carried out at Ponte Ronco.</w:t>
      </w:r>
    </w:p>
    <w:p>
      <w:r>
        <w:t>28. During 2023, the volumes of rolling cargo and various goods managed on behalf of third parties increased. During this period, GNV's Ro-Ro ships also occasionally docked at Ponte Ronco.</w:t>
      </w:r>
    </w:p>
    <w:p>
      <w:r>
        <w:t>V.1.4. The partners of IM&amp;C</w:t>
      </w:r>
    </w:p>
    <w:p>
      <w:r>
        <w:t>29. As previously indicated, IM&amp;C is jointly controlled by GM and Marivest. GM is a holding company that does not hold significant stakes in other companies besides IM&amp;C.</w:t>
      </w:r>
    </w:p>
    <w:p>
      <w:r>
        <w:t>30. Marinvest S.r.l., co-controller of IM&amp;C, controls Stazioni Marittime S.p.A., which manages a ferry and cruise terminal in the old port of Genoa. The terminal service for Ro-Pax ships takes place at Ponte Caracciolo, Ponte Assereto, and Ponte Colombo. Ponte Assereto also regularly serves Ro-Ro ships.</w:t>
      </w:r>
    </w:p>
    <w:p>
      <w:r>
        <w:t>31. Marinvest also controls GNV - Grandi Navi Veloci S.p.A., active in the transport of passengers and goods via Ro-Pax and Ro-Ro ships from Genoa and other ports.</w:t>
      </w:r>
    </w:p>
    <w:p>
      <w:r>
        <w:t>32. MSC, the indirect controlling entity of Marinvest, is the main competitor of IM&amp;C in maritime container transport, which constitutes, as seen, the core business of IM&amp;C. MSC is the leading operator in the market for cargo transport via containers, with a balance sheet that, according to press reports, reached revenues of €86.4 billion and net profits of €36.2 billion in 2022, with cash liquidity of €63 billion.</w:t>
      </w:r>
    </w:p>
    <w:p>
      <w:r>
        <w:t>33. The MSC group made a significant financial intervention in IM&amp;C in 2017-19, resulting in the acquisition of 49% of the capital and joint control of the company. Following the success of the Recovery Plan in 2023, the company has now eliminated debts with bank creditors arising from that Plan. As part of that Plan, the company sold its owned fleet, part of which had been contributed to Ro-Ro Italia S.p.A. as collateral for creditors. The sale of the ships contributed to Ro-Ro Italia - two of which had been sub-chartered by MSC to IM&amp;C - has also resolved a significant economic link with MSC.</w:t>
      </w:r>
    </w:p>
    <w:p>
      <w:r>
        <w:t>34. Currently, there are no financial receivables/payables recorded in the balance sheet with MSC, which in turn does not provide financial guarantees in favor of IM&amp;C. The commercial debts and receivables with MSC appear to be modest (less than €5 million) compared to the size of the operations.</w:t>
      </w:r>
    </w:p>
    <w:p>
      <w:r>
        <w:rPr>
          <w:b/>
        </w:rPr>
        <w:t>[Pages 25–27]</w:t>
      </w:r>
    </w:p>
    <w:p>
      <w:r>
        <w:t>BULLETIN NO. 21 OF MAY 27, 2024</w:t>
      </w:r>
    </w:p>
    <w:p>
      <w:r>
        <w:t>27</w:t>
      </w:r>
    </w:p>
    <w:p>
      <w:r>
        <w:t>company, to the total amount of trade debts (less than 11%) and trade receivables (less than 9%).</w:t>
      </w:r>
    </w:p>
    <w:p>
      <w:r>
        <w:t>33. The available elements indicate that GM and IM&amp;C already possessed their own know-how and the necessary technologies for managing both the terminal business and maritime transport before MSC's entry into IM&amp;C's capital. Moreover, IM&amp;C has specific competencies that differ from those of the global carrier MSC (flexible services, transportation of oversized pieces in non-standard containers, etc.) and organizes its services differently from MSC to offer a differentiated service.</w:t>
      </w:r>
    </w:p>
    <w:p>
      <w:r>
        <w:t>34. IM&amp;C's activity is carried out, as seen, with owned or chartered ships, only two of which have been chartered from a company of the MSC group.</w:t>
      </w:r>
    </w:p>
    <w:p>
      <w:r>
        <w:t>35. The terminal activity managed by IM&amp;C is largely independent from the MSC group in terms of costs and revenues. In fact, on the revenue side, it is noted that IM&amp;C's maritime terminal is almost entirely dedicated to GM, and the ships of the MSC group use it on a predominantly occasional basis, also depending on the saturation of the Stazioni Marittime terminal. As for the portion of the ATI managed operationally by TSG, it does not serve, except in exceptional cases, ships of the MSC group. Finally, the MSC group does not provide inputs to the Terminal Business.</w:t>
      </w:r>
    </w:p>
    <w:p>
      <w:r>
        <w:t>V.2. The control structure of IM&amp;C and the Terminal Business</w:t>
      </w:r>
    </w:p>
    <w:p>
      <w:r>
        <w:t>V.2.1. The Shareholders' Agreement of IM&amp;C</w:t>
      </w:r>
    </w:p>
    <w:p>
      <w:r>
        <w:t>36. As established in the decision not to initiate an investigation into the concentration C/12255, IM&amp;C is subject to the joint control of GM and Marinvest through a Shareholders' Agreement, which provides for: (i) the equal composition of the Board of Directors (hereinafter, "BdD"), which prevents any shareholder from holding the absolute majority required by Article 2388 of the Civil Code; and (ii) the granting of significant veto power to both shareholders by requiring a high qualified majority, which includes a large part of the directors designated by each shareholder, to decide on the Board of Directors' Reserved Matters.</w:t>
      </w:r>
    </w:p>
    <w:p>
      <w:r>
        <w:t>37. The Shareholders' Agreement also provides (Article 6) that GM, after consulting with Marinvest, has the right to appoint the Chief Executive Officer ("CEO") and the Executive Vice President of IM&amp;C and the Chairman of the BdD of IM&amp;C (collectively, the "CEOs"). The Chairman of the BdD and the CEO will have all the powers necessary to manage IM&amp;C and its subsidiaries, based on the Business Plan and the Budget, and to supervise and direct the key executives under them for the implementation of the Budget and the Business Plan. The Chief Financial Officer is, however, appointed by the CEO from a shortlist proposed by Marinvest, after consulting with GM.</w:t>
      </w:r>
    </w:p>
    <w:p>
      <w:r>
        <w:t>38. The powers delegated to the CEOs and the key executives are defined by the Delegation of Authority Matrix attached to the Agreement, which identifies which bodies or senior figures have the power to authorize a series of operational decisions related to activities (investments/disinvestments, operating expenses, capital expenditures, financial statements, banking operations) provided for and not provided for in the Budget of IM&amp;C and the companies controlled or affiliated with IM&amp;C and the joint ventures in which IM&amp;C participates. The Matrix specifies the decisions that require approval from Marinvest's representatives on the BdD in IM&amp;C.</w:t>
      </w:r>
    </w:p>
    <w:p>
      <w:r>
        <w:t>39. The Agreement also provides (Article 7) for the creation of equal Committees whose task is to "supervise and support" the CEOs.</w:t>
      </w:r>
    </w:p>
    <w:p>
      <w:r>
        <w:t>40. The Agreement (Article 12.1.3) finally provides that all directors shall have the right to receive, in the context of the meetings of the BdD of IM&amp;C, all the necessary information to keep them adequately informed about the performance of the sector and the business of IM&amp;C and its subsidiaries, including monthly management accounting data, operational statistics, and commercial information.</w:t>
      </w:r>
    </w:p>
    <w:p>
      <w:r>
        <w:t>V.2.2. Amendments to the Shareholders' Agreement concerning the Terminal Business</w:t>
      </w:r>
    </w:p>
    <w:p>
      <w:r>
        <w:t>41. Following the aforementioned authorization of the concentration operation C/12255, IM&amp;C requested the authorization of the Port Authority of Genoa - now the Port System Authority of the Western Ligurian Sea ("AdSP-MLO") - for the takeover of the concession for the terminal activity originally granted to GM. AdSP-MLO conditioned this authorization on the exclusion of Marinvest's influence on IM&amp;C's terminal activity. This was to overcome the prohibition on the accumulation of multiple concessions by the same entity (as per the then-current text of Article 18, paragraph 7, of Law No. 84/1994).</w:t>
      </w:r>
    </w:p>
    <w:p>
      <w:r>
        <w:t>42. GM and Marinvest then modified the Shareholders' Agreement examined by the Authority in concentration C/12255, providing for a different decision-making regime for the Terminal Business Reserved Matters discussed by the BdD, under which no shareholder has veto rights in the Terminal Business Reserved Matters, while GM has the power to have decisions approved by the Chairman of the BdD, of its own designation. The Terminal Business Reserved Matters include...</w:t>
      </w:r>
    </w:p>
    <w:p>
      <w:r>
        <w:t>43. In Section 5.4.2 of the Shareholders' Agreement, it is stated that the provision of specific governance aims to exclude the joint control of Gruppo Messina and Marinvest over the so-called Terminal Business, through...</w:t>
      </w:r>
    </w:p>
    <w:p>
      <w:r>
        <w:t>44. As for the objective scope of the so-called Terminal Business, the Agreement refers to the definition... This scope therefore includes the entire concession held by the ATI Messina-San Giorgio, which includes the Compendio Ponte Libia where TSG carries out part of its activity.</w:t>
      </w:r>
    </w:p>
    <w:p>
      <w:r>
        <w:t>45. AdSP-MLO has acknowledged these amendments to the Shareholders' Agreement and has given its consent to the modification of the concessionaire's control, deeming the new Shareholders' Agreement suitable to avoid the accumulation of concessions.</w:t>
      </w:r>
    </w:p>
    <w:p>
      <w:r>
        <w:t>V.3. The concentration notified in light of the current control structure of the Terminal Business</w:t>
      </w:r>
    </w:p>
    <w:p>
      <w:r>
        <w:t>46. Considering that the exercise of the casting vote concerns a wide range of strategic matters, which antitrust law has typically considered capable of conferring control over the ordinary management of a company or a business unit, it must be deemed, in accordance with the Jurisdictional Notice of the European Commission, that the Terminal Business of IM&amp;C falls under the exclusive control of Gruppo Messina S.p.A., to the extent that no circumstances arise that could practically limit the importance and effectiveness of such vote.</w:t>
      </w:r>
    </w:p>
    <w:p>
      <w:r>
        <w:t>47. In light of GM's exclusive control over the Terminal Business, the notified operation will entail: (i) the acquisition of exclusive control by Gruppo Messina over the terminal activity carried out in the area granted to the ATI Messina-San Giorgio, previously subject to joint control by Gruppo Messina (through IM&amp;C) and TSG; as well as (ii) the acquisition of joint control by Gruppo Messina and Marinvest, through IM&amp;C, over the concession granted to TSG located at Ponte Somalia, currently not included in the Terminal Business.</w:t>
      </w:r>
    </w:p>
    <w:p>
      <w:r>
        <w:t>V.4. The relevant markets for the assessment of the operation in question</w:t>
      </w:r>
    </w:p>
    <w:p>
      <w:r>
        <w:t>48. Due to the operations of the companies involved, the operation results in horizontal overlaps in the provision of cargo terminal services for various goods (break bulk), for containers, and for rolling cargo.</w:t>
      </w:r>
    </w:p>
    <w:p>
      <w:r>
        <w:t>49. Community and national practice has identified distinct relevant product markets for port handling services dedicated to different types of cargo (containerized goods, bulk materials and liquids, Ro-Ro, break bulk goods), based on the different characteristics of the served ships, the equipment necessary for handling the cargo, and the services required.</w:t>
      </w:r>
    </w:p>
    <w:p>
      <w:r>
        <w:t>50. ...</w:t>
      </w:r>
    </w:p>
    <w:p>
      <w:r>
        <w:t>51. ...</w:t>
      </w:r>
    </w:p>
    <w:p>
      <w:r>
        <w:rPr>
          <w:b/>
        </w:rPr>
        <w:t>[Pages 28–30]</w:t>
      </w:r>
    </w:p>
    <w:p>
      <w:r>
        <w:t>30 BULLETIN NO. 21 OF MAY 27, 2024</w:t>
      </w:r>
    </w:p>
    <w:p>
      <w:r>
        <w:t>The operation communicated therefore concerns, from a horizontal perspective, the markets for (i) break bulk cargo terminal services, (ii) container terminal services, and (iii) rolling cargo terminal services.</w:t>
      </w:r>
    </w:p>
    <w:p>
      <w:r>
        <w:t>50. Since cargo terminal services can be considered an input for maritime transport of goods and the MSC group, co-controller of IM&amp;C, operates in the maritime transport of containers and rolling cargo, the operation concerns, from a vertical perspective, the upstream markets of goods transport by container ships (where both IM&amp;C and the MSC group operate) and the transport of goods by Ro-Ro and Ro-Ro/Pax ships - where the MSC group operates through Grandi Navi Veloci S.p.A. (“GNV”).</w:t>
      </w:r>
    </w:p>
    <w:p>
      <w:r>
        <w:t>V.4.1. The market for general cargo terminal services (break bulk)</w:t>
      </w:r>
    </w:p>
    <w:p>
      <w:r>
        <w:t>51. Break bulk cargo terminal services consist of the loading/unloading and storage of goods in bags, boxes, barrels, and similar containers, sometimes assembled on pallets, or of “out-of-gauge” pieces in terms of size and weight, often placed on special bases (skids) to facilitate handling. They require the use of specific cranes for heavy loads, differentiated by the type of break bulk, which are poorly substitutable with the equipment used for other types of cargo. Therefore, break bulk cargo terminals have been considered a distinct relevant market from that of other cargo terminals.</w:t>
      </w:r>
    </w:p>
    <w:p>
      <w:r>
        <w:t>52. The Parties, referring to cases concerning container terminal services, believe that the market for break bulk cargo terminal services should be identified within a catchment area of approximately 200-300 km around the terminal and that, therefore, the relevant market includes all terminals along the Ligurian and upper Tyrrhenian coast, from Vado Ligure to Livorno.</w:t>
      </w:r>
    </w:p>
    <w:p>
      <w:r>
        <w:t>53. For the purposes of evaluating this operation, however, it is not deemed necessary to precisely define the catchment area of the acquired terminal.</w:t>
      </w:r>
    </w:p>
    <w:p>
      <w:r>
        <w:t>V.4.2. The market for container terminal services</w:t>
      </w:r>
    </w:p>
    <w:p>
      <w:r>
        <w:t>54. According to established national and community practice, within the sector of port cargo handling, a separate market is distinguished for the services provided by container terminals. The provision of such services requires the use of specific equipment for the loading/unloading, storage, and land handling of containers (both for storage and for preparation for subsequent transport phases). It is also possible to consider a separate market for auxiliary services of long-term parking, rental, repair, and maintenance of containers. In the provision of container terminal services, national and community practice has also distinguished: (i) services for hinterland traffic (or from/to the inland), which concern the transfer of containers from the container ship to other means (train, truck, etc.) that carry out transport inland (and vice versa); these services characterize the so-called gateway ports; (ii) services for transshipment traffic, which concern the transfer of containers between different deep-sea ships (so-called relay) or between deep-sea and short-sea ships for transport to smaller ports or with equipment unsuitable for deep-sea container ships (so-called feeder).</w:t>
      </w:r>
    </w:p>
    <w:p>
      <w:r>
        <w:t>55. TSG is characterized as a gateway terminal, like all container terminals in the port of Genoa, capable of serving medium-sized container ships operating on oceanic routes (for example Central America, West Africa) and Mediterranean routes. From a product perspective, therefore, the operation concerns the market for gateway container terminal services.</w:t>
      </w:r>
    </w:p>
    <w:p>
      <w:r>
        <w:t>56. Regarding the geographical dimension of this market, the Parties, based on community and national practice, believe that the extension of the market for container terminal services should be identified within a catchment area of approximately 200-300 km around the TSG terminal and that therefore the relevant market includes all container terminals along the Ligurian and upper Tyrrhenian coast, from Vado Ligure to Livorno - all characterized as gateway terminals, due to the clear prevalence of hinterland traffic. In fact, in community practice, competitive areas have been considered, in light of the intensity of competitive constraints exerted by container terminals located in various ports, ranging from about 100 km (Antwerp - Rotterdam) to about 240 km (the German ports of the North Sea from Hamburg to Emden) up to about 500-1000 km (the Northern Range from Le Havre or Antwerp to Hamburg), so the catchment area indicated by the Parties constitutes only an initial reference for the analysis.</w:t>
      </w:r>
    </w:p>
    <w:p>
      <w:r>
        <w:t>57. The port of Genoa is the largest Italian gateway port, capable of accommodating all types of container ships and equipped with significant intermodal infrastructures. It is therefore certainly able to exert significant competitive pressure on the container terminals of the Ligurian and Upper Tyrrhenian ports. Conversely, some of these ports are able to exert less competitive pressure on the port of Genoa due to infrastructural limitations and differ from Genoa both in terms of primary catchment areas and cargo specialization. The port of Livorno, for example, caters more to the central and northeastern regions, while the port of Genoa primarily serves the regions of the industrial triangle, although it also serves the Northeast; it has specialized in traffic with the Americas (unable to compete on traffic with the Far East due to draft limitations) and in the trade of alcoholic beverages, food products, and products requiring temperature-controlled containers (reefers).</w:t>
      </w:r>
    </w:p>
    <w:p>
      <w:r>
        <w:t>58. For the purposes of evaluating this operation, however, it is not necessary to define whether the geographical extension of the market for gateway container terminal services centered on the port of Genoa includes only Ligurian ports or also the ports of Marina di Carrara and Livorno, as the assessment of the effects of the operation would not change.</w:t>
      </w:r>
    </w:p>
    <w:p>
      <w:r>
        <w:t>V.4.3. The market for rolling cargo terminal services</w:t>
      </w:r>
    </w:p>
    <w:p>
      <w:r>
        <w:t>V.4.3.a. The market for rolling cargo terminal services: commodity definition</w:t>
      </w:r>
    </w:p>
    <w:p>
      <w:r>
        <w:t>59. The facilities managed by TSG constitute the largest “third-party” terminal for rolling cargo in the port of Genoa, handling approximately 45% of the rolling cargo in the port of Genoa, including new/used cars (which represent less than 10% of the traffic of the terminal managed by TSG). This terminal is not able to accommodate passenger ships, as it does not possess the necessary infrastructures and therefore the required authorizations.</w:t>
      </w:r>
    </w:p>
    <w:p>
      <w:r>
        <w:t>60. Rolling cargo terminal services are those services aimed at handling goods that are loaded onto vehicles with or without drivers, trailers, and other rolling means, which are transported on so-called Roll-on/Roll-off (“Ro-Ro”) ships equipped with a loading ramp through which the rolling means access the ship for boarding (Roll-on) and are then unloaded at the destination (Roll-off). The handling of rolling cargo therefore requires shaped quays to fit the loading/unloading ramps (for example, the so-called “scasse” for the stern ramps) and sufficiently large yards to allow for the parking of vehicles, maneuvering of tractors and trailers, and passage of vehicles.</w:t>
      </w:r>
    </w:p>
    <w:p>
      <w:r>
        <w:t>61. Rolling cargo can be loaded both onto ships that exclusively carry cargo (Ro-Ro ships) and onto ships that provide both cargo and passenger services with cars on board (Ro-Ro/Pax ships). Terminals serving Ro-Ro/Pax ships must be equipped with specific facilities for managing passengers (ticket offices, waiting rooms, areas for the safe transit of passengers without vehicles). Terminals for rolling cargo that do not have such facilities (referred to by the Parties as “strictly Ro-Ro terminals”) are not authorized to serve Ro-Ro/Pax ships. A substantial part of Ro-Ro traffic occurs over short distances (e.g., on the routes of the so-called Motorways of the Sea connecting Italian and Mediterranean ports). Exceptions are specialized ships for transporting cars (car carriers), which also operate on ocean routes, for example from the Far East to Europe.</w:t>
      </w:r>
    </w:p>
    <w:p>
      <w:r>
        <w:t>62. In community and national decision-making practice, terminals for rolling cargo have been distinguished from container terminals, due to the diversity of port operations and the equipment required. Community practice has left open the question of a possible distinction between “strictly Ro-Ro” terminals and “mixed” terminals for rolling cargo, which also serve Ro-Ro/Pax ships.</w:t>
      </w:r>
    </w:p>
    <w:p>
      <w:r>
        <w:rPr>
          <w:b/>
        </w:rPr>
        <w:t>[Pages 31–33]</w:t>
      </w:r>
    </w:p>
    <w:p>
      <w:r>
        <w:t>BULLETIN NO. 21 OF MAY 27, 2024</w:t>
      </w:r>
    </w:p>
    <w:p>
      <w:r>
        <w:t>33. A possible distinction has also been suggested between terminals for rolling cargo for short or long-haul routes, with the latter identified as terminals equipped with specific infrastructures (parking lots, etc.) for ocean car carriers.</w:t>
      </w:r>
    </w:p>
    <w:p>
      <w:r>
        <w:t>63. According to the Parties, the relevant product market should be identified as the market for "Ro-Ro terminal services in the strict sense." The Parties argued that Ro-Ro ships and Ro-Ro/Pax ships (for brevity, Ro-Pax) have fundamentally different port requirements: Ro-Ro ships "only transport goods [and] do not require specific terminal infrastructures [and can] utilize any port terminal that has berths with sufficient length and draft and that is located near areas that facilitate the movement of rolling cargo." Ro-Pax ships, on the other hand, require "specific infrastructures for the reception and parking of passengers [...] as well as simple and dedicated access roads." From this difference in requirements, it follows that "Ro-Ro terminals in the strict sense dedicated solely to Ro-Ro ship traffic are not interchangeable with Ro-Pax terminals, as Ro-Pax ships require specific infrastructures that pure Ro-Ro terminals do not have." The Parties also pointed out, already at the notification stage, that "some Ro-Pax terminals, such as Stazioni Marittime, have the capacity to offer terminal services to both types of ships."</w:t>
      </w:r>
    </w:p>
    <w:p>
      <w:r>
        <w:t>64. In reality, the fact that Ro-Pax ships cannot be accommodated by "Ro-Ro terminals in the strict sense" could exclude interchangeability between "mixed" terminals and Ro-Ro terminals in the strict sense for passenger traffic, but not for cargo traffic. Ro-Pax terminals appear to be able to offer parking and handling services for rolling cargo that are generally interchangeable with those offered by "Ro-Ro terminals in the strict sense," albeit with limitations determined by the sharing of parking spaces with cars accompanying passengers and by the peculiar characteristics of Ro-Pax ships. Ro-Ro ships do not require specific equipment compared to Ro-Pax ships, as they can dock anywhere there are suitable berths and depths for the size of the ship, but only the availability of adequate spaces for loading/unloading maneuvers and for the parking of semi-trailers. In support of this, the Parties themselves noted that Stazioni Marittime offers terminal services for rolling cargo to both types of ships; moreover, the "mixed" terminal SDT in Livorno has been regularly used by Grimaldi's Ro-Ro cargo ships, and until 2022, Grimaldi operated Ro-Ro/Pax and Ro-Ro services from the port of Savona; finally, Forship S.p.A., in relation to the Ro-Pax terminal in Vado Ligure, explicitly stated that Ro-Pax terminals can accommodate Ro-Ro ships.</w:t>
      </w:r>
    </w:p>
    <w:p>
      <w:r>
        <w:t>Ro-Pax terminals can therefore serve both mixed ships and ships specialized in the transport of rolling cargo and compete for the demand for terminal services expressed by both types of ships.</w:t>
      </w:r>
    </w:p>
    <w:p>
      <w:r>
        <w:t>63. Mixed passenger and cargo terminals generally do not accommodate car carriers, which require a very large parking space for the cars to be loaded/unloaded: reserving parking space for such cars would indeed prevent adequately serving the cars accompanying passengers.</w:t>
      </w:r>
    </w:p>
    <w:p>
      <w:r>
        <w:t>64. See documents 58 and 60.</w:t>
      </w:r>
    </w:p>
    <w:p>
      <w:r>
        <w:t>34. V.4.3.b. The market for terminal services for rolling cargo: geographical extension</w:t>
      </w:r>
    </w:p>
    <w:p>
      <w:r>
        <w:t>65. Regarding the geographical dimension of the market for terminal services for rolling cargo, the Parties, based on community and national practices related to the container terminal market, believe that the extension of the container terminal services market should be identified in a catchment area of about 200-300 km around the TSG terminal and that, therefore, the relevant market includes all terminals in the Ligurian and upper Tyrrhenian arc, from Vado Ligure to Livorno.</w:t>
      </w:r>
    </w:p>
    <w:p>
      <w:r>
        <w:t>66. The Parties believe that "from the perspective of maritime transport service operators, the interchangeability between terminals fundamentally depends on the extent to which hauliers see such terminals as interchangeable, and hauliers tend to consider terminals as interchangeable whenever the total transport times and costs (between the origin and destination of the transported goods) do not differ radically." Based on this premise, the Parties assert that "the Ro-Ro terminals in the port of Genoa are in direct competition with other terminals in the Upper Tyrrhenian for all their traffic"; this is because the differences in travel times to reach Genoa or Livorno from certain representative locations in Lombardy and the Northeast considered would generally be contained within less than an hour, and even when greater (as in the case of Milan), they would be much lower than the duration of the maritime route, which is 18 hours for Livorno-Palermo and 20 hours for Genoa-Palermo. The overall travel time would in any case be substantially the same, as the differences in land travel would be offset by those of maritime journeys.</w:t>
      </w:r>
    </w:p>
    <w:p>
      <w:r>
        <w:t>67. In support of the interchangeability between the various ports of the Upper Tyrrhenian, the Parties also cite: (i) GNV's habit of redirecting excess cargo from Genoa-Sicily to Livorno-Sicily, especially in high season when GNV preferred to allocate the space of Ro-Pax ships from Genoa to the more profitable passengers; and (ii) Grendi's shift from Genoa to Vado Ligure in 2011, without traffic losses for the shipowner, and from Vado Ligure to Marina di Carrara in 2016, from where in 2022 it transported double the traffic compared to that from Genoa in 2010.</w:t>
      </w:r>
    </w:p>
    <w:p>
      <w:r>
        <w:t>68. It should be noted preliminarily that it does not seem correct to extend to the market for terminal services for rolling cargo conclusions reached for the market for container terminal services, as the geographical extension of the latter appears influenced by considerations and circumstances of a different nature than those that apply to rolling cargo terminals that primarily serve the so-called Motorways of the Sea. The same practice of the Commission appears to be oriented towards defining markets according to a case-by-case approach that has led to evaluating concentrations based both on a market limited to the port where the terminal subject to the transaction is located and on a market including the catchment area of ports in a certain area.</w:t>
      </w:r>
    </w:p>
    <w:p>
      <w:r>
        <w:t>69. With reference to rolling cargo terminals, the elements available to the Authority indicate that the catchment areas of the ports of Genoa and Livorno are significantly different and that users of these ports for shipping/receiving rolling cargo would find it very costly to move from one port to another even in the face of significant increases in the average transport cost from the port of Genoa.</w:t>
      </w:r>
    </w:p>
    <w:p>
      <w:r>
        <w:t>70. First of all, the Parties' own data indicate that the port of Genoa is concentrated on the regions of the industrial triangle and France, while Emilia Romagna and the Northeast account for only 20% of the goods that are routed through this port. The port of Livorno, on the contrary, serves Tuscany, Emilia Romagna, and the entire Northeast, which represent the regions of origin/destination of a large part of the goods loaded/unloaded in Livorno.</w:t>
      </w:r>
    </w:p>
    <w:p>
      <w:r>
        <w:t>71. The Port System Authority of the Northern Tyrrhenian Sea, in previous discussions, stated that "Livorno is the reference port for Tuscany, Emilia Romagna, and the Lower Po Valley and also serves the entire Northeast and part of Liguria [...] Livorno is the first Italian port for volumes of rolling traffic to Sardinia, Sicily, and Corsica, and there is also significant traffic to Spain and Tunisia. Thanks to its excellent geographical position, the port of Livorno plays a prominent role in the maritime transport of new cars; in particular, cars coming from Southeast Asia transit through Livorno to be redistributed in Central-Northern Italy and Europe."</w:t>
      </w:r>
    </w:p>
    <w:p>
      <w:r>
        <w:t>72. The Port System Authority of the Western Ligurian Sea (hereinafter, "AdSP-MLO") suggested, in response to a request for information, that the "area of influence" of the port of Genoa would extend to Piedmont, Lombardy, Western Emilia, and Veneto, while that of the port of Livorno would extend, in addition to Tuscany, to Emilia-Romagna east of Parma and the rest of Veneto. The checks carried out by AdSP-MLO reveal a clear advantage in land transport costs from Genoa to Milan and Piacenza compared to Livorno, the convenience of transport from Genoa also from Brescia, and the almost equivalence of land transport costs from Verona to Genoa (282 km, 3h4’) and Livorno (309 km, 3h19’).</w:t>
      </w:r>
    </w:p>
    <w:p>
      <w:r>
        <w:t>73. An academic study examined, through a theoretical model calibrated on real data and questionnaires to transporters, the routes followed by hauliers to transport goods to Sicily via the Motorways of the Sea. The theoretical model, which takes into account both the direct transport costs and the value of time, predicts that the port of Genoa will be chosen for transports – both accompanied and unaccompanied – originating from Milan, Turin, and Genoa and destined for both western and eastern Sicily.</w:t>
      </w:r>
    </w:p>
    <w:p>
      <w:r>
        <w:rPr>
          <w:b/>
        </w:rPr>
        <w:t>[Pages 34–36]</w:t>
      </w:r>
    </w:p>
    <w:p>
      <w:r>
        <w:t>36 BULLETIN NO. 21 OF MAY 27, 2024</w:t>
      </w:r>
    </w:p>
    <w:p>
      <w:r>
        <w:t>Eastern. The port of Livorno will instead be chosen for unaccompanied transport77 originating from Trieste, Venice, Bologna, Florence, and Livorno, with a destination of western Sicily78.</w:t>
      </w:r>
    </w:p>
    <w:p>
      <w:r>
        <w:t>From the questionnaires sent to transporters, it emerged that Genoa was the port of embarkation for shipments from North-Western Italy, regardless of the destination in Sicily. Livorno was the port of embarkation for shipments from North-Eastern Italy to western Sicily (if the transport was organized by a company from Northern Italy)79.</w:t>
      </w:r>
    </w:p>
    <w:p>
      <w:r>
        <w:t>74. Genoa Port Terminal, a Genoese terminal operator offering Ro-Ro terminal services, has excluded the substitutability of the port of Genoa with neighboring ports and with the port of Livorno. The port of Marina di Carrara was indicated as a possible alternative by Grendi80 and by a transporter81, due to its intermediate position between Genoa and Livorno. However, Grendi emphasized that this would be a limited alternative due to the reduced space available at the port. Regarding this latter port, it should also be noted that, contrary to what the Parties claimed, the shift from Genoa/Savona to Marina di Carrara initially resulted in a significant reduction in rolling stock transported by Grendi82, and the increase noted by the Parties between 2010 and 2022 simply reflects the generalized increase in rolling cargo traffic that occurred during the considered period in Italian ports, amounting, for example, to 136% in the port of Genoa alone.</w:t>
      </w:r>
    </w:p>
    <w:p>
      <w:r>
        <w:t>75. Grimaldi83 has excluded the substitutability of the port of Livorno with that of Genoa, due to the different served areas (Piedmont, part of Lombardy and France for Genoa; Tuscany, Emilia, part of Lombardy, and the North-East for Livorno).</w:t>
      </w:r>
    </w:p>
    <w:p>
      <w:r>
        <w:t>76. The existence of a different catchment area for the ports of Genoa and Livorno also emerges from the responses of the majority of the transporters interviewed84, who use the port of Genoa or that of Livorno depending on the location of these ports in relation to the delivery or pickup areas.</w:t>
      </w:r>
    </w:p>
    <w:p>
      <w:r>
        <w:t>77. The responses of these operators testify that the choice of port is based on the optimization not only of the overall time but also of the overall cost of transport, in light of the road distances to be covered (and therefore of fuel consumption and driver hours) and maritime freight costs. Regarding these costs, the weight of terminal service costs (the port costs transferred into the freight) is rather low. For this reason, a potential increase of 5-10% in the cost of terminal services in Genoa is not perceived as a sufficient element to justify the shift from that port to the port of Livorno, because the higher costs that would have to be incurred to/from Livorno would exceed the increase experienced in Genoa: an "average cost increase of 10% would not be able to change the selection criteria since assuming Genoa as the reference port, an eventual disembarkation or embarkation in Livorno presupposes a road travel that produces a cost in terms of vehicle consumption and driver hours, significantly higher than the hypothesized 10% cost increase”85.</w:t>
      </w:r>
    </w:p>
    <w:p>
      <w:r>
        <w:t>Grendi, which operates both as a terminal operator in Marina di Carrara and as a transporter, clearly stated that “the increase in port costs, especially if limited to 10%-20%, does NOT constitute a reason for shifting the service, as it represents a small part of the entire cost of the logistics chain and the shift by road (from Genoa to Savona or to Marina di Carrara) would have a decidedly different weight”86.</w:t>
      </w:r>
    </w:p>
    <w:p>
      <w:r>
        <w:t>78. Finally, the responses to a further questionnaire sent to a sample of transporters87 who use the ports of Genoa and Livorno indicate a limited overlap of the catchment areas of the two ports. Twenty-four of the twenty-five companies88 that use the port of Genoa do so for transports originating/destined in provinces located in Piedmont, Liguria, or Lombardy; just under a third also uses the port of Genoa for transports originating/destined in the province of Piacenza, one-sixth for transports coming/directed to Emilia (two specify the western part of the region), one-third also for transports coming/directed to Verona.</w:t>
      </w:r>
    </w:p>
    <w:p>
      <w:r>
        <w:t>Tuscany is the only or one of the provinces of origin/destination for shipments for twenty-four of the twenty-nine companies that use the port of Livorno89. More than half of them also add origins/destinations in Emilia-Romagna, Veneto, Friuli, Umbria, and Marche, while one-fifth adds to these also one or more Lombardy provinces (such as Brescia and Mantova). The overlap between the catchment areas of the two ports thus appears to be limited to Emilia (Romagna is served through Livorno) and the provinces of Brescia, Verona, and Mantova.</w:t>
      </w:r>
    </w:p>
    <w:p>
      <w:r>
        <w:t>In particular, fourteen of the sixteen respondents who use both the ports of Genoa and Livorno clearly separate the areas of origin/destination for which they use the port of Genoa or that of Livorno and use the former for North-West and, in half of the cases, for one or two provinces among Verona, Piacenza, and Western Emilia. Over 80% of valid respondents stated that they would not consider shifting part of their shipments from Genoa (or from Livorno to Genoa) in the event of a 5%-10% increase in transport costs from Genoa (or Livorno), due to the higher direct costs (fuels, driver, in some cases parking) and the reorganization costs that this would entail, both for the company and for the drivers.</w:t>
      </w:r>
    </w:p>
    <w:p>
      <w:r>
        <w:t>V.4.3.c. The market structure</w:t>
      </w:r>
    </w:p>
    <w:p>
      <w:r>
        <w:t>79. In the market thus defined (the market for terminal services for rolling cargo, offered by both pure Ro-Ro and Ro-Pax terminals, in the area ranging from Vado Ligure to Genoa and at most to Marina di Carrara), the terminals listed in the following Table 2 are present, along with their market shares in terms of rolling cargo handled.</w:t>
      </w:r>
    </w:p>
    <w:p>
      <w:r>
        <w:t>Table 2: market shares of terminals (average rolling cargo handled 2021-22)</w:t>
      </w:r>
    </w:p>
    <w:p>
      <w:r>
        <w:t xml:space="preserve">Including Marina di Carrara (MdC) </w:t>
        <w:br/>
        <w:t xml:space="preserve">Terminal Companies Served </w:t>
        <w:br/>
        <w:t xml:space="preserve">TSG [25-30] [25-30] Grimaldi </w:t>
        <w:br/>
        <w:t xml:space="preserve">of which TSG concession on Ponte [10-15] [10-15] Somalia </w:t>
        <w:br/>
        <w:t xml:space="preserve">of which ATI Messina – San Giorgio (Ponte [15-20] [15-20] Libia) </w:t>
        <w:br/>
        <w:t xml:space="preserve">Terminal Business Group [0-5] [0-5] Group Messina </w:t>
        <w:br/>
        <w:t xml:space="preserve">of which concession [0-5] [0-5] Ponte Ronco </w:t>
        <w:br/>
        <w:t xml:space="preserve">of which ATI Messina – 0 0 San Giorgio </w:t>
        <w:br/>
        <w:t xml:space="preserve">GNV, Moby, Stazioni Marittime [25-30] [30-35] Tirrenia, Cotunav </w:t>
        <w:br/>
        <w:t xml:space="preserve">Genoa Port Terminal [5-10] [5-10] Cotunav </w:t>
        <w:br/>
        <w:t xml:space="preserve">(Group Spinelli) </w:t>
        <w:br/>
        <w:t xml:space="preserve">Savona Terminal Auto (Grimaldi Group) [25-30] [30-35] Grimaldi </w:t>
        <w:br/>
        <w:t xml:space="preserve">Forship [0-5] [0-5] Forship </w:t>
        <w:br/>
        <w:t>Grendi [5-10] -- Grendi</w:t>
      </w:r>
    </w:p>
    <w:p>
      <w:r>
        <w:t>80. As emerges from the table, many terminals operate only captive traffic, meaning they have as clients controlled or affiliated companies. Grendi, Forship, and Savona Terminal Auto handle entirely captive volumes.</w:t>
      </w:r>
    </w:p>
    <w:p>
      <w:r>
        <w:rPr>
          <w:b/>
        </w:rPr>
        <w:t>[Pages 37–39]</w:t>
      </w:r>
    </w:p>
    <w:p>
      <w:r>
        <w:t>BULLETIN NO. 21 OF MAY 27, 2024</w:t>
      </w:r>
    </w:p>
    <w:p>
      <w:r>
        <w:t>39</w:t>
        <w:br/>
        <w:t>The traffic managed by Stazioni Marittime is attributable for just over [50-70%] to the subsidiary GNV and for almost all of the remaining [90%] to Moby S.p.A. - a company that holds a minority stake in Stazioni Marittime S.p.A. and is itself 49% owned by SAS Shipping Agencies Services S.A. (the parent company of Marinvest) - and could therefore be considered substantially captive.</w:t>
      </w:r>
    </w:p>
    <w:p>
      <w:r>
        <w:t>On the other hand, the movements that are not captive include those of TSG at Ponte Somalia (approximately [30-35%] of the total non-captive), those of the ATI Messina – San Giorgio (approximately [40-45%], jointly controlled by GM and TSG), those of Gruppo Messina at Ponte Ronco (approximately [1-5%]), and those of Genoa Port Terminal (approximately [15-20%] of the total non-captive). The non-captive traffic attributable to Stazioni Marittime is marginal and does not exceed 1% of the total.</w:t>
      </w:r>
    </w:p>
    <w:p>
      <w:r>
        <w:t>80. It should be noted that approximately 60% of the rolling cargo traffic at Savona Terminal Auto consists of new vehicles from abroad, which are parked in dedicated facilities and transported by car carriers. Identifying a separate market for terminal services dedicated to car carriers would therefore result in an increase in the share attributed to the Parties.</w:t>
      </w:r>
    </w:p>
    <w:p>
      <w:r>
        <w:t>81. TSG distributes its activity fairly evenly between the concession at Ponte Somalia (approximately 40% of the total volumes handled) and that at Ponte Libia, the part of the ATI Messina-San Giorgio concession where TSG operates. Almost all of these volumes are handled with the Grimaldi group. AdSP-MLO has estimated a capacity of 2.34 million linear meters for all the assets managed by TSG, of which about 10% would be unused.</w:t>
      </w:r>
    </w:p>
    <w:p>
      <w:r>
        <w:t>82. As provided for by the original Business Plan of the ATI, IM&amp;C has not carried out rolling terminal activities in the ATI's area of competence, so all of IM&amp;C's share in rolling cargo is attributed to the Ponte Ronco asset. AdSP-MLO has estimated a capacity of 140-150,000 linear meters, considering the "tombing" of the Calata Derna basin and the full operation of the terminal. About one-third of this capacity would be unused.</w:t>
      </w:r>
    </w:p>
    <w:p>
      <w:r>
        <w:t>83. Stazioni Marittime, as mentioned, primarily operates in favor of the subsidiary GNV and the affiliate Moby S.p.A. According to the Parties' estimates, the terminal would essentially not have unused capacity, to the point that GNV has occasionally used IMT and Genoa Port Terminal for the docking of its Ro-Ro ships. This scarcity has also been confirmed, at least for the high season of passenger traffic, by AdSP-MLO91 and finds further confirmation in GNV's search for parking spaces at other terminals, which has recently obtained the possibility to use a space of 10,000 square meters for vehicle parking at the Rinfuse Terminal.</w:t>
      </w:r>
    </w:p>
    <w:p>
      <w:r>
        <w:t>84. According to the information acquired, there would be little unused capacity at other terminals, with the exception of the Grendi terminal:</w:t>
        <w:br/>
        <w:t>- approximately [1-10%] of the capacity of Genoa Port Terminal would be unused;</w:t>
        <w:br/>
        <w:t>- Savona Terminal Auto would be almost saturated92;</w:t>
        <w:br/>
        <w:t>90 Cotunav used less than 0.5% of the terminal's capacity in 2021-22.</w:t>
        <w:br/>
        <w:t>91 See doc. 226.1.</w:t>
        <w:br/>
        <w:t>92 See doc. 51.</w:t>
      </w:r>
    </w:p>
    <w:p>
      <w:r>
        <w:t>40</w:t>
        <w:br/>
        <w:t>BULLETIN NO. 21 OF MAY 27, 2024</w:t>
      </w:r>
    </w:p>
    <w:p>
      <w:r>
        <w:t>- Forship would not have unused capacity, except during the winter months, due to the unavailability of two out of three docks; the available dock does not allow safe service to larger Ro-Ro ships93;</w:t>
        <w:br/>
        <w:t>- the Grendi terminal, located in Marina di Carrara, would have significant unused capacity, slightly more than that of TSG94.</w:t>
      </w:r>
    </w:p>
    <w:p>
      <w:r>
        <w:t>85. The Reefer Terminal - which has a Ro-Ro dock, not usable for dimensional reasons by the latest generation Ro-Ro ships (for example, ECO class of the Grimaldi group) - has also stated that its capacity for handling Ro-Ro traffic is approximately 4,000 linear meters (i.e., a marginal fraction of the traffic developed by TSG).</w:t>
      </w:r>
    </w:p>
    <w:p>
      <w:r>
        <w:t>86. In the relevant market, there are also other terminals that have the necessary authorizations and facilities to provide rolling cargo terminal services, but which do not intend or are currently unable to offer such services. Regarding the PSA Genova Prà terminal95, the concession provides, alongside the terminal activity for containerized goods, also the possibility to provide Ro-Ro and car-carrier terminal services, for which it has an authorization for performing port operations on behalf of third parties and a ramp for Ro-Ro and car carrier ships, with dedicated access and gate, currently unused. The terminal operator has stated that it is not interested in its use, being focused on the development of container traffic which has, moreover, required works that inhibit the use of the ramp96. The PSA Sech terminal also has a ramp usable for Ro-Ro traffic, but again there is no economic interest on the part of the terminal operator to pursue such activity. The Steinweg Terminal has stated97 that it currently does not offer rolling cargo terminal services, except in a completely sporadic manner, “considering the limited space in the terminal and the availability of only one ramp”; to offer such services, the terminal would need to build a second ramp (feasible in less than six months) and find new operational spaces, so as not to have to give up the services currently provided98.</w:t>
      </w:r>
    </w:p>
    <w:p>
      <w:r>
        <w:t>87. Regarding the Rinfuse Genova Terminal, AdSP-MLO has stated that it “is an authorized terminal for the handling of rolling cargo based on new investments planned by the concessionaire's business plan but, currently, without the necessary infrastructure”99. Starting from 2023, GNV has been authorized to use some areas of the terminal for the parking of rolling cargo100.</w:t>
      </w:r>
    </w:p>
    <w:p>
      <w:r>
        <w:t>93 See docs. 58 and 60.</w:t>
        <w:br/>
        <w:t>94 See doc. 62.</w:t>
        <w:br/>
        <w:t>95 See doc. 94.</w:t>
        <w:br/>
        <w:t>96 Due to the works carried out to expand the container docks, any future use, should there be an economic interest from the company in Ro-Ro traffic, would require the use of docks outside the concession.</w:t>
        <w:br/>
        <w:t>97 See doc. 42.</w:t>
        <w:br/>
        <w:t>98 Steinweg seems to have applied for the concession of the area of the former ENEL Carbonile, with the aim of developing current traffic, rather than developing new ones (https://www.shippingitaly.it/2024/04/22/oltre-a-spinelli-anche-steinweg-gmt-corre-per-i-27-000-mq-dellex-carbonile-in-porto-a-genova/).</w:t>
        <w:br/>
        <w:t>99 Response of September 18, 2023, to the information request of 08/31/2023 (see doc. 67).</w:t>
        <w:br/>
        <w:t>100 This amounts to approximately 10,000 square meters, equal to less than 10% of the area of TSG or IMT (see https://www.portsofgenoa.com/it/news-archivio/4232-comitato-di-gestione-ok-formazione-reimpiego-culmv-culp.html).</w:t>
      </w:r>
    </w:p>
    <w:p>
      <w:r>
        <w:t>BULLETIN NO. 21 OF MAY 27, 2024</w:t>
      </w:r>
    </w:p>
    <w:p>
      <w:r>
        <w:t>41</w:t>
        <w:br/>
        <w:t>88. Overall, it can be estimated that less than 10% of the terminal capacity readily available on the market is unused and that it is concentrated in the terminal managed by TSG, which is subject to acquisition, and at the Grendi terminal in Marina di Carrara.</w:t>
      </w:r>
    </w:p>
    <w:p>
      <w:r>
        <w:t>89. It should also be noted that, based on the information acquired from the Port System Authority of the Northern Tyrrhenian Sea, the terminal capacity available at the port of Livorno would be limited and, in any case, only partially usable, for technical-nautical reasons, by ships such as those of Grimaldi101.</w:t>
      </w:r>
    </w:p>
    <w:p>
      <w:r>
        <w:t>V.4.4. The container shipping market</w:t>
      </w:r>
    </w:p>
    <w:p>
      <w:r>
        <w:t>90. The terminal managed by TSG serves some intra-Mediterranean routes as well as two deep-sea routes, one to the Caribbean and the other to West Africa.</w:t>
      </w:r>
    </w:p>
    <w:p>
      <w:r>
        <w:t>91. Community and national practice has identified distinct relevant markets for the bundle of routes connecting the western part of the Mediterranean to the eastern part and for the bundles of deep-sea routes connecting the Mediterranean to the Caribbean and West Africa102.</w:t>
      </w:r>
    </w:p>
    <w:p>
      <w:r>
        <w:t>92. Some of these routes belong to bundles of routes on which MSC, also jointly with the Maersk group with which it shares the 2M Alliance, holds market shares exceeding 30%, while Gruppo Messina has shares below 10%. These bundles of routes therefore represent markets affected by the vertical effects of the operation.</w:t>
      </w:r>
    </w:p>
    <w:p>
      <w:r>
        <w:t>V.4.5. The market for rolling cargo transport</w:t>
      </w:r>
    </w:p>
    <w:p>
      <w:r>
        <w:t>93. The markets for terminal services for rolling cargo are vertically linked to the market for rolling cargo transport services due to the presence of the MSC group in these markets. In this case, all terminal services for rolling cargo provided by TSG are rendered in favor of the Grimaldi Group103.</w:t>
      </w:r>
    </w:p>
    <w:p>
      <w:r>
        <w:t>94. In these markets, as shown in Table 3, Grimaldi operates from the areas managed by TSG (ATI/Ponte Libia and Ponte Somalia) on various routes in competition with GNV, a company controlled by Marinvest that operates from Stazioni Marittime.</w:t>
      </w:r>
    </w:p>
    <w:p>
      <w:r>
        <w:t>101 See docs. 229.1 and 229.2.</w:t>
        <w:br/>
        <w:t>102 See, for example, the European Commission decision of April 10, 2017, M.8330 - Maersk Line / HSDG.</w:t>
        <w:br/>
        <w:t>103 Grimaldi Euromed S.p.A. and, until 2021, Grimaldi Deep Sea S.p.A. The latter operated on a route to West Africa, which was then moved to the port of Savona, representing a marginal fraction of the Ro-Ro traffic volumes (excluding new cars) handled by the TSG terminal.</w:t>
      </w:r>
    </w:p>
    <w:p>
      <w:r>
        <w:rPr>
          <w:b/>
        </w:rPr>
        <w:t>[Pages 40–42]</w:t>
      </w:r>
    </w:p>
    <w:p>
      <w:r>
        <w:t>BULLETIN NO. 21 OF MAY 27, 2024</w:t>
      </w:r>
    </w:p>
    <w:p>
      <w:r>
        <w:t>Table 3: routes operated in competition by Grimaldi and GNV, for Terminal TSG: Terminal San Giorgio (ATI/Ponte Libia + Ponte Somalia); GPT: Genoa Port Terminal; STA: Savona Auto Terminal</w:t>
      </w:r>
    </w:p>
    <w:p>
      <w:r>
        <w:t>96. Based on national and community practice, in maritime transport of goods, markets are identified according to the origin/destination approach, in terms of bundles of routes connecting ports considered interchangeable.</w:t>
      </w:r>
    </w:p>
    <w:p>
      <w:r>
        <w:t>97. In light of the Authority's precedents, the considerations previously made on the relevant market for rolling cargo terminals, and the information provided by the Parties in the Form, it is possible to identify the following bundles of routes to/from the terminals in the relevant market104 where GNV and Grimaldi operate in competition:</w:t>
        <w:br/>
        <w:t>- Genoa/Savona/Vado - Palermo/Termini Imerese, which includes the routes Genoa - Palermo and Genoa - Termini Imerese;</w:t>
        <w:br/>
        <w:t>- Genoa/Savona/Vado - Northern Sardinia105, which includes the routes Genoa - Porto Torres, Genoa - Olbia, Savona - Porto Torres;</w:t>
      </w:r>
    </w:p>
    <w:p>
      <w:r>
        <w:t>104 From Marina di Carrara, only a service to Cagliari is operated, provided by Grendi. For simplicity, only the terminals in the Genoa/Savona/Vado Ligure area have been considered.</w:t>
      </w:r>
    </w:p>
    <w:p>
      <w:r>
        <w:t>105 See A487, cited.</w:t>
      </w:r>
    </w:p>
    <w:p>
      <w:r>
        <w:t>- Genoa - Catania</w:t>
        <w:br/>
        <w:t>- Genoa - Palermo</w:t>
        <w:br/>
        <w:t>- Genoa - Porto Torres</w:t>
        <w:br/>
        <w:t>- Genoa - Olbia</w:t>
        <w:br/>
        <w:t>- Genoa - Cagliari</w:t>
        <w:br/>
        <w:t>- Genoa - Tunis</w:t>
        <w:br/>
        <w:t>- Genoa - Malta</w:t>
        <w:br/>
        <w:t>- Genoa - Salerno</w:t>
        <w:br/>
        <w:t>- Genoa - Barcelona</w:t>
        <w:br/>
        <w:t>- Savona - Barcelona</w:t>
        <w:br/>
        <w:t>- Savona - Barcelona</w:t>
        <w:br/>
        <w:t>- Valencia - Livorno</w:t>
        <w:br/>
        <w:t>- Savona - Porto Torres (suspended in 2023)</w:t>
      </w:r>
    </w:p>
    <w:p>
      <w:r>
        <w:t>TSG</w:t>
        <w:br/>
        <w:t>Grimaldi (Ro-Ro)</w:t>
        <w:br/>
        <w:t>Grimaldi (Ro-Ro)</w:t>
        <w:br/>
        <w:t>Grimaldi (Ro-Ro)</w:t>
        <w:br/>
        <w:t>Grimaldi (Ro-Ro)</w:t>
        <w:br/>
        <w:t>Grimaldi (Ro-Ro)</w:t>
        <w:br/>
        <w:t>Grimaldi (Ro-Ro)</w:t>
        <w:br/>
        <w:t>Grimaldi (Ro-Ro)</w:t>
        <w:br/>
        <w:t>Grimaldi (Ro-Ro/Pax)</w:t>
      </w:r>
    </w:p>
    <w:p>
      <w:r>
        <w:t>G</w:t>
        <w:br/>
        <w:t>Co Tu (Ro-Ro)</w:t>
        <w:br/>
        <w:t>N</w:t>
        <w:br/>
        <w:t>o</w:t>
        <w:br/>
        <w:t>T</w:t>
        <w:br/>
        <w:t>a</w:t>
        <w:br/>
        <w:t>)</w:t>
        <w:br/>
        <w:t>v Co Tu (Ro-Ro</w:t>
        <w:br/>
        <w:t>N</w:t>
        <w:br/>
        <w:t>o</w:t>
        <w:br/>
        <w:t>a</w:t>
        <w:br/>
        <w:t>/</w:t>
        <w:br/>
        <w:t>v</w:t>
        <w:br/>
        <w:t>P a</w:t>
        <w:br/>
        <w:t>S</w:t>
        <w:br/>
        <w:t>x</w:t>
        <w:br/>
        <w:t>t a</w:t>
        <w:br/>
        <w:t>)</w:t>
        <w:br/>
        <w:t>z io</w:t>
        <w:br/>
        <w:t>G N</w:t>
        <w:br/>
        <w:t>Ro</w:t>
        <w:br/>
        <w:t>G N</w:t>
        <w:br/>
        <w:t>Ro</w:t>
        <w:br/>
        <w:t>G N</w:t>
        <w:br/>
        <w:t>Ro</w:t>
        <w:br/>
        <w:t>G N</w:t>
        <w:br/>
        <w:t>Ro</w:t>
        <w:br/>
        <w:t>G N</w:t>
        <w:br/>
        <w:t>Ro</w:t>
        <w:br/>
        <w:t>G N</w:t>
        <w:br/>
        <w:t>Ro</w:t>
        <w:br/>
        <w:t>n i Mar it</w:t>
        <w:br/>
        <w:t>V (Ro -</w:t>
        <w:br/>
        <w:t>/ Pax )</w:t>
        <w:br/>
        <w:t>V (Ro -</w:t>
        <w:br/>
        <w:t>/ Pax )</w:t>
        <w:br/>
        <w:t>V (Ro -</w:t>
        <w:br/>
        <w:t>/ Pax )</w:t>
        <w:br/>
        <w:t>V (Ro -</w:t>
        <w:br/>
        <w:t>/ Pax )</w:t>
        <w:br/>
        <w:t>V (Ro -</w:t>
        <w:br/>
        <w:t>/ Pax )</w:t>
        <w:br/>
        <w:t>V (Ro -</w:t>
        <w:br/>
        <w:t>/ Pax )</w:t>
        <w:br/>
        <w:t>t im</w:t>
        <w:br/>
        <w:t>M</w:t>
        <w:br/>
        <w:t>(R</w:t>
        <w:br/>
        <w:t>M</w:t>
        <w:br/>
        <w:t>(R</w:t>
        <w:br/>
        <w:t>e</w:t>
        <w:br/>
        <w:t>o</w:t>
        <w:br/>
        <w:t>o</w:t>
        <w:br/>
        <w:t>o</w:t>
        <w:br/>
        <w:t>o</w:t>
        <w:br/>
        <w:t>b</w:t>
        <w:br/>
        <w:t>-</w:t>
        <w:br/>
        <w:t>b</w:t>
        <w:br/>
        <w:t>-</w:t>
        <w:br/>
        <w:t>y</w:t>
        <w:br/>
        <w:t>R</w:t>
        <w:br/>
        <w:t>y</w:t>
        <w:br/>
        <w:t>R</w:t>
        <w:br/>
        <w:t>/</w:t>
        <w:br/>
        <w:t>o</w:t>
        <w:br/>
        <w:t>/</w:t>
        <w:br/>
        <w:t>o</w:t>
        <w:br/>
        <w:t>C</w:t>
        <w:br/>
        <w:t>/</w:t>
        <w:br/>
        <w:t>C</w:t>
        <w:br/>
        <w:t>/</w:t>
        <w:br/>
        <w:t>IN</w:t>
        <w:br/>
        <w:t>P a</w:t>
        <w:br/>
        <w:t>IN</w:t>
        <w:br/>
        <w:t>P a</w:t>
        <w:br/>
        <w:t>x</w:t>
        <w:br/>
        <w:t>x</w:t>
        <w:br/>
        <w:t>)</w:t>
        <w:br/>
        <w:t>)</w:t>
        <w:br/>
        <w:t>G</w:t>
        <w:br/>
        <w:t>(R</w:t>
        <w:br/>
        <w:t>G</w:t>
        <w:br/>
        <w:t>(R</w:t>
        <w:br/>
        <w:t>S</w:t>
        <w:br/>
        <w:t>r im</w:t>
        <w:br/>
        <w:t>o -</w:t>
        <w:br/>
        <w:t>r im</w:t>
        <w:br/>
        <w:t>o -</w:t>
        <w:br/>
        <w:t>T A</w:t>
        <w:br/>
        <w:t>a ld</w:t>
        <w:br/>
        <w:t>R o )</w:t>
        <w:br/>
        <w:t>a ld</w:t>
        <w:br/>
        <w:t>R o )</w:t>
        <w:br/>
        <w:t>i</w:t>
        <w:br/>
        <w:t>i</w:t>
      </w:r>
    </w:p>
    <w:p>
      <w:r>
        <w:t>BULLETIN NO. 21 OF MAY 27, 2024</w:t>
      </w:r>
    </w:p>
    <w:p>
      <w:r>
        <w:t>43</w:t>
        <w:br/>
        <w:t>- Genoa/Savona/Vado - Tunis, which includes the route Genoa - Tunis;</w:t>
        <w:br/>
        <w:t>- Genoa/Savona/Vado - Malta, which includes the route Genoa - Malta;</w:t>
        <w:br/>
        <w:t>- Genoa/Savona/Vado - Barcelona, which includes the routes from Genoa to Barcelona-Tangeri and Barcelona-Valencia.</w:t>
      </w:r>
    </w:p>
    <w:p>
      <w:r>
        <w:t>98. The Parties argued in the Form that the ports of western and eastern Sicily would constitute a single relevant market, so that the bundle of routes connecting Genoa/Savona/Vado not only to Palermo/Termini Imerese but also to Catania should be considered. Only as a secondary option did they propose a differentiation between the ports of western Sicily and those of eastern Sicily, which would place the routes to Catania and Palermo in different relevant markets.</w:t>
      </w:r>
    </w:p>
    <w:p>
      <w:r>
        <w:t>99. The information acquired from the Port System Authorities of the Sea of Sicily (Eastern and Western)106, however, suggests placing the ports of Catania, on one side, and Palermo and Termini Imerese, on the other side, in two distinct relevant markets, as they primarily serve different geographical areas (respectively, eastern and western Sicily)107.</w:t>
      </w:r>
    </w:p>
    <w:p>
      <w:r>
        <w:t>100. The AdSP of the Eastern Sea of Sicily specifically noted that, given "the current road layout, it can be stated that the port of Catania represents, with reference to rolling cargo traffic, the main port for Eastern Sicily, both for the Catania hinterland and for the provinces of Messina, Syracuse, Enna, and Ragusa," from which the Etna port "can be reached in about two hours." The port of Catania is instead about 3 hours from Palermo and 2.5 hours from Termini Imerese along the least costly route for a heavy vehicle, while the driving time is about half an hour less for light vehicles. According to the AdSP, the geographical areas of Sicily "that can be considered interested in using both the ports of Termini Imerese and Palermo and the port of Catania are the territories falling within the provinces of Agrigento and Caltanissetta."</w:t>
      </w:r>
    </w:p>
    <w:p>
      <w:r>
        <w:t>101. The ports of Palermo and Termini Imerese, on the other hand, primarily serve western Sicily, as indicated by the accessibility maps prepared for their Strategic Planning Document (hereinafter, "DPSS") by the AdSP of the Western Sea of Sicily. These maps, consistent with what was stated by the AdSP of the Eastern Sea of Sicily, indicate that the port of Palermo is the most easily accessible for vehicles coming from the provinces of Trapani and Palermo. Termini Imerese is also accessible within two hours of travel for heavy vehicles coming from the provinces of Agrigento, Caltanissetta, and Enna.</w:t>
      </w:r>
    </w:p>
    <w:p>
      <w:r>
        <w:t>102. Based on the information currently available, the market shares of the operators present on these bundles of routes are as follows (Table 4).</w:t>
      </w:r>
    </w:p>
    <w:p>
      <w:r>
        <w:t>106 See the DPSS of the two Authorities, available on their official websites, and the responses to information requests (docs. 102, 115).</w:t>
      </w:r>
    </w:p>
    <w:p>
      <w:r>
        <w:t>107 Moreover, the ports of Palermo and Catania are about 200 km apart, a distance that can be covered in no less than 2h30’ incurring an extra cost of at least 60 euros, which appears to exceed the difference in freight from the Ligurian ports to one of the Sicilian ports.</w:t>
      </w:r>
    </w:p>
    <w:p>
      <w:r>
        <w:t>BULLETIN NO. 21 OF MAY 27, 2024</w:t>
      </w:r>
    </w:p>
    <w:p>
      <w:r>
        <w:t>Table 4: market shares on the routes operated in competition by Grimaldi and GNV (linear meters)</w:t>
      </w:r>
    </w:p>
    <w:p>
      <w:r>
        <w:t>2021 2022</w:t>
        <w:br/>
        <w:t>GNV Grimaldi GNV Grimaldi</w:t>
        <w:br/>
        <w:t>Genoa - Palermo [70-80] [20-30] [60-70] [30-40]</w:t>
      </w:r>
    </w:p>
    <w:p>
      <w:r>
        <w:t>2021 2022</w:t>
        <w:br/>
        <w:t>Genoa - Malta [30-40] [60-70] [40-50] [50-60]</w:t>
        <w:br/>
        <w:t>Genoa / Savona - Barcelona [0-5] [90-100] [0-5] [90-100]</w:t>
      </w:r>
    </w:p>
    <w:p>
      <w:r>
        <w:t>2021 2022</w:t>
        <w:br/>
        <w:t>Moby- Moby-</w:t>
        <w:br/>
        <w:t>GNV Grimaldi GNV Grimaldi</w:t>
        <w:br/>
        <w:t>Tirrenia Tirrenia</w:t>
        <w:br/>
        <w:t>Genoa – Olbia [10-20] [80-90] [0-5] [20-30] [70-80] [0-5]</w:t>
        <w:br/>
        <w:t>Genoa – Porto Torres [0-5] [70-80] [10-20] [10-20] [70-80] [10-20]</w:t>
        <w:br/>
        <w:t>Savona – Porto Torres - - - - - 100</w:t>
        <w:br/>
        <w:t>Genoa/Savona – Porto Torres / Olbia</w:t>
        <w:br/>
        <w:t>[0-5] [70-80] [20-30] [10-20] [60-70] [10-20]</w:t>
      </w:r>
    </w:p>
    <w:p>
      <w:r>
        <w:t>2021 2022</w:t>
        <w:br/>
        <w:t>GNV Cotunav Grimaldi GNV Cotunav Grimaldi</w:t>
        <w:br/>
        <w:t>Genoa - Tunis [20-30] [70-80] [5-10] [10-20] [70-80] [5-10]</w:t>
      </w:r>
    </w:p>
    <w:p>
      <w:r>
        <w:t>V.5. The incentives to increase the price of terminal services for rolling cargo</w:t>
      </w:r>
    </w:p>
    <w:p>
      <w:r>
        <w:t>103. By virtue of Marinvest's vertical integration in the markets for rolling cargo transport, the operation in question could create an incentive to increase the price of terminal services provided by TSG by the merged entity. These services are primarily used by the Grimaldi Group (hereinafter, "Grimaldi"), the main competitor of GNV in the maritime transport markets for rolling cargo.</w:t>
      </w:r>
    </w:p>
    <w:p>
      <w:r>
        <w:rPr>
          <w:b/>
        </w:rPr>
        <w:t>[Pages 43–45]</w:t>
      </w:r>
    </w:p>
    <w:p>
      <w:r>
        <w:t>BULLETIN NO. 21 OF MAY 27, 2024</w:t>
      </w:r>
    </w:p>
    <w:p>
      <w:r>
        <w:t>104. Such incentives substantially depend on the degree of competitive pressure that Grimaldi exerts on GNV (and vice versa) in the markets for the maritime transport of rolling cargo, the profitability of such markets, as well as the impact of the cost of terminal services on transport service prices.</w:t>
      </w:r>
    </w:p>
    <w:p>
      <w:r>
        <w:t>105. In order to quantify these incentives, several indices specifically developed to capture these dynamics have been estimated. These include in particular the indices vGUPPIu and vGUPPIr. The first index captures IM&amp;C's incentive to increase the upstream price of terminal services provided by TSG. An increase in this price results in an increase in the marginal cost for companies using the terminal, which will in turn be reflected in the downstream prices of transport services. The second index (vGUPPIr) measures the incentive for downstream companies receiving the upstream price increase to also raise their prices. In other words, the index vGUPPIr 'converts' the incentive to raise upstream prices into a corresponding incentive to raise downstream prices. The methodology used to estimate these indices is described in detail in the technical appendix to this provision.</w:t>
      </w:r>
    </w:p>
    <w:p>
      <w:r>
        <w:t>106. The following Table 5 presents the estimates of vGUPPI for routes departing/arriving in Genoa where there is overlap between the Grimaldi Group and GNV for 2021 and 2022. These routes represent approximately [30-50%] of the revenues from all routes operated by Grimaldi with departure/arrival in Genoa in 2021 and nearly [30-50%] in 2022.</w:t>
      </w:r>
    </w:p>
    <w:p>
      <w:r>
        <w:t>107. As can be seen, both the indices vGUPPIu and vGUPPIr take on extremely high values, indicating strong incentives to increase the prices of terminal services and, consequently, the prices of transport services as a result of this operation.</w:t>
      </w:r>
    </w:p>
    <w:p>
      <w:r>
        <w:t>Table 5: relevant vGUPPI indices for the operation in question</w:t>
        <w:br/>
        <w:t>Genoa - Genoa - Genoa - Genoa/Savona - vGUPPI</w:t>
        <w:br/>
        <w:t>Tunis - Malta Palermo Olbia/Porto Torres*</w:t>
        <w:br/>
        <w:t>Malta</w:t>
        <w:br/>
        <w:t>Route incidence (%) 17.81 14.44 2.96 6.67</w:t>
        <w:br/>
        <w:t>vGUPPIu (%) 2471 850 320 255</w:t>
        <w:br/>
        <w:t>2021 average vGUPPIu (%) 589</w:t>
        <w:br/>
        <w:t>vGUPPIr (%) 114.9 68.7 15.7 23.9</w:t>
        <w:br/>
        <w:t>average vGUPPIu (%) 32.4</w:t>
        <w:br/>
        <w:t>Route incidence (%) 18.60 23.50 2.80 4</w:t>
        <w:br/>
        <w:t>vGUPPIu (%) 2380 971 411 262</w:t>
        <w:br/>
        <w:t>average vGUPPIu (%) 693</w:t>
        <w:br/>
        <w:t>2022</w:t>
        <w:br/>
        <w:t>vGUPPIr (%) 84.2 60.2 15.6 20.0</w:t>
        <w:br/>
        <w:t>average vGUPPIu (%) 31.0</w:t>
      </w:r>
    </w:p>
    <w:p>
      <w:r>
        <w:t>NOTE: The average vGUPPI values have been estimated using the revenues of each of the considered routes as weights relative to the revenues of all routes operated by Grimaldi with departure/arrival in Genoa.</w:t>
      </w:r>
    </w:p>
    <w:p>
      <w:r>
        <w:t>V.6. The remedies proposed by the Parties: amendments to the Shareholders' Agreement</w:t>
      </w:r>
    </w:p>
    <w:p>
      <w:r>
        <w:t>108. On March 27 and April 29, the Parties proposed several amendments to the current Shareholders' Agreement concerning the Terminal Business, which have already been incorporated into a text approved by both shareholders of IM&amp;C. These amendments were further integrated on May 17.</w:t>
      </w:r>
    </w:p>
    <w:p>
      <w:r>
        <w:t>109. In the memorandum of May 17, IM&amp;C "commits to subscribe (and ensure that Marinvest subscribes), within 15 days from the notification of the provision that will authorize the Operation, to the Shareholders' Agreement as amended according to the proposals already formulated on March 27 and integrated on April 29." It also commits to extend to paragraph 12.1.3 "the measures provided for in paragraph 6.1.5 to ensure informational separation regarding the management of IM's terminal activities and further sterilize Marinvest's proximity to such activities [...] adequately clarifying that neither the monthly management accounts nor the commercial statistics nor the commercial information should include competitively sensitive information."</w:t>
      </w:r>
    </w:p>
    <w:p>
      <w:r>
        <w:t>110. The amendments as a whole concern:</w:t>
        <w:br/>
        <w:t>(a) the inclusion in the Agreement of a new, broader, and clearer definition of the Terminal Business, which clearly encompasses the companies controlled by IM&amp;C operating in this activity; this means that the entire terminal activity of TSG will be included in the Terminal Business post-merger;</w:t>
        <w:br/>
        <w:t>(b) a broader and more precise identification of the matters excluded from Marinvest's joint control, including the appointment of directors of the controlled companies;</w:t>
        <w:br/>
        <w:t>(c) a more precise definition of the powers of the Chairman of the Board of Directors and the CEOs in managing the Terminal Business and the matters on which they are not required to report to the Board of Directors;</w:t>
        <w:br/>
        <w:t>(d) provisions aimed at preventing the exchange of competitively sensitive information.</w:t>
      </w:r>
    </w:p>
    <w:p>
      <w:r>
        <w:t>V.6.1. The inclusion of the target TSG in the Terminal Business</w:t>
      </w:r>
    </w:p>
    <w:p>
      <w:r>
        <w:t>111. The new definition of "Terminal Business" is as follows: [omitted].</w:t>
      </w:r>
    </w:p>
    <w:p>
      <w:r>
        <w:t>112. The new definition of "Terminal Business," pivoting on that of "Terminal Subsidiary," clearly includes, without interpretative ambiguities, not only the activity on the original concession of Ponte Ronco [omitted].</w:t>
      </w:r>
    </w:p>
    <w:p>
      <w:r>
        <w:t>113. This new definition is completed, in order to eliminate any remaining ambiguity, by the inclusion in the Terminal Business Reserved Matters of the obtaining of new state concessions by IM&amp;C108, so as to include the takeover of the concession on Ponte Somalia by TSG through the acquisition of control of TSG itself.</w:t>
      </w:r>
    </w:p>
    <w:p>
      <w:r>
        <w:t>V.6.2. The clarification of matters excluded from Marinvest's joint control</w:t>
      </w:r>
    </w:p>
    <w:p>
      <w:r>
        <w:t>114. IM&amp;C has clarified and expanded the matters related to the Terminal Business, on which Marinvest does not have veto rights and GM has the decisive vote. In particular, the following matters have been added:</w:t>
        <w:br/>
        <w:t>- the appointment of directors of the companies controlled/affiliated by IM&amp;C and the joint ventures operating in the Terminal Business, who must not be employees or have functions within the MSC group109; this addition ensures that GM will have decisive influence in the appointment of the entire future Board of Directors of TSG and that employees or persons with functions in the MSC group will not be part of it;</w:t>
        <w:br/>
        <w:t>- the management of current and future state concessions granted by the Port System Authority of the Western Ligurian Sea to IM&amp;C or its controlled/affiliated/JVs (Article 5.4.1, new letter g); this provision is general in nature and aims to exclude the possibility that Marinvest could have decisive influence over matters concerning the management of IM&amp;C's terminal concessions in the port of Genoa.</w:t>
      </w:r>
    </w:p>
    <w:p>
      <w:r>
        <w:t>115. The exclusion of Marinvest's decisive influence from the appointment of directors of entities operating in the Terminal Business is further strengthened by the exclusion of the Terminal Business from the matters on which the Board of Directors of IM&amp;C – without the decisive vote of any of the shareholders – can give voting instructions to controlled/affiliated/JVs (Article 5.3.2, letter t).</w:t>
      </w:r>
    </w:p>
    <w:p>
      <w:r>
        <w:t>116. It has also been specified that, in decisions regarding the Terminal Business, approval by Marinvest's representatives is not required, where provided for by the Delegation of Authority Matrix110.</w:t>
      </w:r>
    </w:p>
    <w:p>
      <w:r>
        <w:t>117. Decisions related to the execution, modification, and termination of joint ventures or other cooperation agreements in the Terminal Business have been excluded from the Board of Directors’ Reserved Matters (on which both shareholders have veto rights).</w:t>
      </w:r>
    </w:p>
    <w:p>
      <w:r>
        <w:t>118. Finally, Article 6.2 of the Agreement, which granted Marinvest the power to influence the appointment of Chief Financial Officers (hereinafter, "CFO"), has been eliminated. Thus, the appointment of CFOs of the controlled/affiliated/JVs operating in the Terminal Business will be subject, like that of senior management and key executives, to the decisive influence of GM.</w:t>
      </w:r>
    </w:p>
    <w:p>
      <w:r>
        <w:t>V.6.3. The powers of the Chairman of the Board of Directors and the CEOs in managing the Terminal Business</w:t>
      </w:r>
    </w:p>
    <w:p>
      <w:r>
        <w:t>119. Regarding the powers of the CEOs, from the joint reading of the new paragraphs 6.1.5 and 6.1.6, it emerges that all matters related to the daily management of the Terminal Business, as well as the determination and implementation of strategic, pricing, and marketing policies of the Terminal Business ("Operational Terminal Business Matters") will fall entirely within the powers delegated to the Chairman of the Board of Directors and the CEOs111, which will be exercised according to the Business Plan, the budget, and the instructions provided by the Board of Directors112 - approved with GM's casting vote.</w:t>
      </w:r>
    </w:p>
    <w:p>
      <w:r>
        <w:t>120. Paragraph 6.1.5 also provides113 that, regarding "Operational Terminal Business Matters," the Chairman of the Board of Directors and the CEOs will report to the Board of Directors only if the members of the Board of Directors designated by Marinvest waive their presence at the discussion or, alternatively, if all necessary precautions are taken to avoid the exchange of competitively sensitive information regarding the Terminal Business.</w:t>
      </w:r>
    </w:p>
    <w:p>
      <w:r>
        <w:rPr>
          <w:b/>
        </w:rPr>
        <w:t>[Pages 46–48]</w:t>
      </w:r>
    </w:p>
    <w:p>
      <w:r>
        <w:t>BULLETIN NO. 21 OF MAY 27, 2024</w:t>
      </w:r>
    </w:p>
    <w:p>
      <w:r>
        <w:t>V.6.4. Provisions aimed at avoiding the exchange of competitively sensitive information</w:t>
      </w:r>
    </w:p>
    <w:p>
      <w:r>
        <w:t>121. In general, Article 5.4.2 of the current Agreement has been supplemented with the provision that every precaution will be taken to avoid the exchange of competitively sensitive information during the discussion of the Terminal Business Reserved Matters in the Board of Directors, through the confidentiality of certain information or their disclosure in aggregated or summarized form114.</w:t>
      </w:r>
    </w:p>
    <w:p>
      <w:r>
        <w:t>122. The same precautions have been provided in paragraph 6.1.5 for the Operational Terminal Business Matters.</w:t>
      </w:r>
    </w:p>
    <w:p>
      <w:r>
        <w:t>123. With reference to the information rights of the directors established in Article 12, and in particular Article 12.1.3, IM&amp;C in its memorandum of May 17 committed to extending to paragraph 12.1.3 "the measures provided for in paragraph 6.1.5 to ensure informational separation regarding the management of IM's terminal activities and further neutralize Marinvest's proximity to such activities […] adequately clarifying that neither the monthly management accounts nor the commercial statistics nor the commercial information should include competitively sensitive information."</w:t>
      </w:r>
    </w:p>
    <w:p>
      <w:r>
        <w:t>124. Regarding the Committees, it has been stipulated that the representatives designated by Marinvest shall not be present when Operational Terminal Business Matters are discussed and shall not receive information or documents concerning the Operational Terminal Business Matters either before, during, or after the Committee meetings115.</w:t>
      </w:r>
    </w:p>
    <w:p>
      <w:r>
        <w:t>V.6.5. Impact of the proposed amendments in the Parties' presentation</w:t>
      </w:r>
    </w:p>
    <w:p>
      <w:r>
        <w:t>125. According to the Parties, following the proposed amendments "Marinvest […] would not only be excluded without exceptions from the control chain of the Terminal Business, but on this matter would also have no possibility of expressing its own assessments within the governance bodies of [IM&amp;C], nor of acquiring sensitive commercial information regarding how, in practice, the Terminal Business will be managed by Gruppo Messina"116.</w:t>
      </w:r>
    </w:p>
    <w:p>
      <w:r>
        <w:t>126. IM&amp;C emphasized in its final memorandum that these are, moreover, "significantly improving amendments to the governance structure of IM&amp;C already approved without reservations by this Authority when, with the decision of September 25, 2019, it closed, without even deeming it necessary to initiate an investigation, the procedure regarding the notification of Marinvest's entry into the capital" of IM&amp;C.</w:t>
      </w:r>
    </w:p>
    <w:p>
      <w:r>
        <w:t>127. In light of the proposed amendments to the Shareholders' Agreement, the concentration operation according to IM&amp;C would involve:</w:t>
        <w:br/>
        <w:t>(a) the acquisition of exclusive control by Gruppo Messina over the terminal activities carried out in the area granted to the ATI Messina-San Giorgio, previously subject to the joint control of Gruppo Messina (through IM&amp;C) and TSG, as partners of the ATI;</w:t>
        <w:br/>
        <w:t>(b) the acquisition of exclusive control by Gruppo Messina over the terminal granted to TSG located on Ponte Somalia.</w:t>
      </w:r>
    </w:p>
    <w:p>
      <w:r>
        <w:t>128. The amendments to the Shareholders' Agreement would therefore eliminate the competitive concerns expressed at the outset, as they would remove the horizontal overlap between TSG and Marinvest and deprive Marinvest of the ability to induce IM&amp;C to implement an input foreclosure strategy in favor of GNV even on Ponte Somalia.</w:t>
      </w:r>
    </w:p>
    <w:p>
      <w:r>
        <w:t>V.7. The remedies proposed by the Parties: the obligation of non-discrimination and the guarantee of access to TSG services</w:t>
      </w:r>
    </w:p>
    <w:p>
      <w:r>
        <w:t>129. In the memorandum of May 17, IM&amp;C "commits to ensuring equal treatment for its customers and to providing its services at TSG terminals, acquired as a result of the concentration, to anyone who requests them, on non-discriminatory conditions (subject to the availability of spaces and berths), in line with the obligations already provided for in Articles 4.6 and 9.1. c) of the maritime state concession deed signed with AdSP-MLO on February 14, 2019 concerning Ponte Somalia." IM&amp;C clarified that: "this obligation of non-discrimination must be understood as applicable both to the management and availability of the infrastructures, spaces, and berths of TSG (acquired as a result of the concentration), as well as to the definition of the tariff conditions related to the provision of the services themselves."</w:t>
      </w:r>
    </w:p>
    <w:p>
      <w:r>
        <w:t>130. In order to "monitor the timely fulfillment of the aforementioned obligation of non-discrimination and ensure maximum transparency regarding the correctness of its commercial conduct, [IM&amp;C] also commits to transmitting; […] for the five years following the date of notification of the final decision of the Procedure that will authorize the Operation, an informational report that documents the actual application of the principle of non-discrimination in the relationships established with customers who have requested the services of the TSG terminal; more specifically, for the first three years, this report will be sent biannually and, for the subsequent two years, annually."</w:t>
      </w:r>
    </w:p>
    <w:p>
      <w:r>
        <w:t>131. Furthermore, in the same Memorandum, IM&amp;C declared its willingness, "should the Authority deem it necessary," "to adopt, following the authorization decision of the Operation, all measures that, with reference to the two contracts currently in place with Grimaldi Deep Sea S.p.A. and Grimaldi Euromed S.p.A., for the two years following the notification of the decision that will authorize the Operation, allow to:</w:t>
        <w:br/>
        <w:t>i) guarantee the same number of ship calls/year and frequency equal to the average of the previous 3 years;</w:t>
        <w:br/>
        <w:t>ii) guarantee a number of linear meters/year for each type of rolling stock (semi-trailers, cars, industrial vehicles) and containers/year, equal to the average of the previous 3 years, with the same average number of days of stay per unit;</w:t>
        <w:br/>
        <w:t>iii) not increase the tariffs, except in the face of actual increases in the cost items related to personnel (as identified by the national labor contract), the tariff of the labor supplier pursuant to Article 17 of Law No. 84/1994, port concession fees, and energy costs."</w:t>
      </w:r>
    </w:p>
    <w:p>
      <w:r>
        <w:t>VI. THE ARGUMENTS OF THE PARTIES</w:t>
      </w:r>
    </w:p>
    <w:p>
      <w:r>
        <w:t>132. In relation to the concerns expressed during the procedure regarding the possibility that Marinvest may exercise de facto joint control over the Terminal Business, IM&amp;C emphasized that the stipulations of the Shareholders' Agreement aim to ensure the exclusive legal control of the Terminal Business by GM, as explicitly stated in point 5.4.2 of the same Agreement, where it states: "Parties have agreed on the special governance of the Terminal Business under Section 5.4.1 above with the objective of excluding their joint control over the Terminal Business." The provisions of the Shareholders' Agreement concerning the Terminal Business should be interpreted substantively, always in light of this objective. Therefore, any alleged remaining ambiguities regarding Marinvest's exclusion from the control of the Terminal Business should be overcome "in consideration of the unequivocal (and expressed) intention to exclude any possible interference by MSC/Marinvest in the management of the Terminal Business"117.</w:t>
      </w:r>
    </w:p>
    <w:p>
      <w:r>
        <w:t>133. Regarding specifically the existence of factual circumstances that may limit GM's exercise of decisive voting, making de facto joint control by Marinvest over the Terminal Business possible, IM&amp;C argued that none of the indicators required by practice and antitrust jurisprudence would exist to configure de facto control by the minority shareholder118. In fact, there would be no commonality of interests in the management of the Terminal Business, with respect to which the incentives of the two shareholders of IM&amp;C would instead be completely misaligned. There would be no economic-financial dependence of IM&amp;C on MSC. The latter, in fact, has not provided financing and has always refused to provide guarantees in favor of GM or IM&amp;C. MSC also does not provide essential inputs for the organization of IM&amp;C and for the conduct of its business activities, nor are there any relevant supply agreements between MSC, on one side, and GM/IM&amp;C, on the other. IM&amp;C therefore noted that, in the absence of economic-financial ties, no "retaliation" by the larger shareholder would actually be possible. Finally, the size disparity between the competitors/shareholders of a joint venture (and between one of the shareholders and the joint venture itself) – and thus, in the present case, the economic-financial weight of MSC – is not considered sufficient by practice and EU jurisprudence to presume de facto joint control by the larger shareholder. According to IM&amp;C, the fact that IM&amp;C and MSC are competitors appears relevant for the purposes of configuring de facto joint control; rather, it may be relevant for the preparation of tools that prevent exchanges of information that could distort competition.</w:t>
      </w:r>
    </w:p>
    <w:p>
      <w:r>
        <w:t>134. In light of IM&amp;C's willingness to fully implement the corrective measures it proposed and those further deemed necessary by the Authority, the Party considers a precise definition of the relevant market unnecessary119. In any case, IM&amp;C reiterated in its final memorandum the correctness of the definition of the relevant market for rolling goods proposed at the time of notification of the concentration operation.</w:t>
      </w:r>
    </w:p>
    <w:p>
      <w:r>
        <w:t>135. According to IM&amp;C, the product market should be narrowed to only terminal services for Ro-Ro ships that transport exclusively goods (so-called "Ro-Ro in the strict sense"), in light of the irreplaceability with terminal services for Ro-Pax ships, both from the demand side and the supply side120. Each category of terminal would indeed require specific investments, and the transition from one type of service to another would imply the need for significant adjustments and...</w:t>
      </w:r>
    </w:p>
    <w:p>
      <w:r>
        <w:rPr>
          <w:b/>
        </w:rPr>
        <w:t>[Pages 49–51]</w:t>
      </w:r>
    </w:p>
    <w:p>
      <w:r>
        <w:t>BULLETIN NO. 21 OF MAY 27, 2024</w:t>
      </w:r>
    </w:p>
    <w:p>
      <w:r>
        <w:t>extraordinary adjustments of existing activities, with significant costs and timeframes. In particular, Ro-Pax terminals:</w:t>
        <w:br/>
        <w:t>(i) require dedicated infrastructure and resources for passenger reception and ticketing, for the safe disembarkation/embarkation of passengers, for the parking of accompanying vehicles before boarding, and for their flow after boarding; for this reason, Ro-Ro terminals in the strict sense are not authorized to receive Ro-Pax ships; (ii) are located near public road connections or have dedicated access roads (whereas Ro-Ro terminals would be located within the commercial areas of the ports); (iii) cannot be situated next to industrial areas with hazardous productions.</w:t>
        <w:br/>
        <w:t>There would also be no substitutability from the demand side, as the demand for Ro-Pax terminal services would be structurally different from that of Ro-Ro terminal services "in the strict sense." The ships to which the services are directed are indeed different, as the loading bridges of Ro-Pax ships are specifically configured for the combined transport of heavy vehicles and passengers' accompanying vehicles. This diversity would lead to a difference in the services required.</w:t>
        <w:br/>
        <w:t>136. Regarding the geographical dimension of the market, the Party does not believe there are reasons to deviate from the community and national practice that identifies a catchment area of 200-300 km, which would include all the ports of Liguria and the upper Tyrrhenian Sea from Vado Ligure to Livorno.</w:t>
        <w:br/>
        <w:t>According to IM&amp;C, the exclusion of Livorno would be based on the "execution (which is debatable) of the SSNIP test, as if this were the exhaustive and decisive tool, ignoring instead the complexity of the multiple factors that would guide the choices of hauliers in the markets in question." The weight attributed to the SSNIP test would be excessive also in light of the new communication on the definition of the relevant market, according to which "in most cases, the SSNIP test serves only as a conceptual framework for interpreting the available elements." Such considerations would find precise confirmation in the responses of many hauliers, who emphasized that the substitutability of Genoa with other ports should be assessed on a case-by-case basis, depending on multiple circumstances related to the loads to be managed. This would not allow for the a priori exclusion of substitutability between the two ports of Genoa and Livorno.</w:t>
        <w:br/>
        <w:t>Furthermore, both the responses from hauliers and that of AdSP-MLO would indicate the existence of an overlap between the catchment areas of Genoa and Livorno and would not allow for the exclusion that the port of Livorno also serves Lombardy (or at least part of it). Considering that Lombardy accounts for 45% of the traffic of the port of Genoa, this overlap appears to be of considerable importance.</w:t>
        <w:br/>
        <w:t>Finally, the savings in maritime transport costs from Livorno compared to those from Genoa reported in the cited academic study appear sufficient to offset the differences in land transport costs reported by AdSP-MLO, thus confirming the cost substitutability between the two ports.</w:t>
        <w:br/>
        <w:t>137. Regarding the effects of the operation, the Party argued that Marinvest's vertical integration into the terminal activities of IM&amp;C had already been examined by the Authority in the context of concentration C12255 - which occurred when the ATI Messina - San Giorgio had already been operating for some time - and that compared to it, the concentration does not bring significant differential elements: the activity of TSG at Ponte Somalia would, in fact, be of little strategic and commercial relevance, being essentially a large parking area (60,000 sqm) without berths. In any case, IM&amp;C would have demonstrated "its ability to manage terminal activities ensuring full and undisputed accessibility to all interested operators, on fair and non-discriminatory terms, without ever making decisions in the predominant interest of its partner Marinvest and to the detriment of its competitors (evidenced by the fact that the market, including Grimaldi, has never expressed discontent)"; in this spirit, IM&amp;C has voluntarily committed to continue the contractual relationships with TSG until their expiration under the conditions renewed by TSG prior to the acquisition.</w:t>
        <w:br/>
        <w:t>138. The Party believes that the analysis of Marinvest's incentives for foreclosure based on the so-called vGUPPI is not only merely hypothetical but also based on erroneous assumptions, such as the use of gross margins when capturing greater downstream volumes would require an expansion of the fleet, which would have produced the very high values reported.</w:t>
        <w:br/>
        <w:t>In any case, it appears to underestimate the countervailing buyer power that Grimaldi, as the sole customer of TSG for rolling cargo terminal services, holds against IM&amp;C: penalizing Grimaldi would indeed mean jeopardizing the continuity of that business, and GM would have no incentive to do so, given the recognized absence of dependence of GM on Marinvest.</w:t>
        <w:br/>
        <w:t>139. Finally, IM&amp;C emphasized the efficiencies that could arise from the Operation in terms of greater utilization of berths, resulting in reduced waiting times at anchor and optimization of land space usage.</w:t>
        <w:br/>
        <w:t>VII. EVALUATIONS</w:t>
        <w:br/>
        <w:t>VII.1. The effects of the operation on the markets for break-bulk and container terminal services and on maritime container transport</w:t>
        <w:br/>
        <w:t>VII.1.1. The market for break-bulk terminal services</w:t>
        <w:br/>
        <w:t>140. For the purposes of evaluating this operation, it is not necessary to precisely define the catchment area of the acquired terminal. In fact, even limiting the geographical extent of the market to only the Ligurian ports, which are no more than 110 km from Genoa, TSG's market share would be approximately below 5%, and that of IM&amp;C and its controlling entities would still be below [15-20%]. The operation would therefore not be able to substantially hinder competition in this market.</w:t>
        <w:br/>
        <w:t>141. The operation also does not appear to be capable of producing vertical effects in this market, as, according to what was communicated by the Parties, Gruppo Messina is marginally active in the transport of various goods, while MSC only occasionally transports various goods on routes departing from or destined for the Mediterranean.</w:t>
        <w:br/>
        <w:t>VII.1.2. The market for container terminal services</w:t>
        <w:br/>
        <w:t>142. The containers handled by TSG represent about 2.5% of those handled by the Ligurian ports in 2021-22, and the container handling capacity of the facilities managed by TSG can be estimated at no more than [0-5%] of the available capacity in those ports. These shares would be even lower if the container terminals of the ports of Marina di Carrara and Livorno were also included.</w:t>
        <w:br/>
        <w:t>143. Gruppo Messina, on the other hand, holds a share of less than 5% of the volumes handled at the Ligurian ports and less than 4%, including the ports of the Upper Tyrrhenian Sea.</w:t>
        <w:br/>
        <w:t>144. Following the operation, therefore, Gruppo Messina will hold less than 10% of the terminal capacity for container goods and maritime terminal services for container goods. It should also be noted that, as indicated in Table 1, TSG provides almost all container terminal services through the part of the concession it manages granted to the ATI, and therefore, the increase in terminal capacity for Gruppo Messina is limited to the transition from joint control to exclusive control of that available at ATI Messina - San Giorgio.</w:t>
        <w:br/>
        <w:t>145. In light of the marginal weight of the Ponte Somalia concession in the provision of container terminal services, the acquisition of joint control of this concession by the MSC group does not appear capable of producing significant competitive effects in this market, where qualified competitors are also present, such as the PSA group (which manages two terminals in Genoa capable of serving even the largest ocean-going vessels, holds a share of container handling of approximately [35-40%] considering only the Ligurian ports and [30-35%] including the Tuscan ports of the Upper Tyrrhenian Sea and has significant unused capacity) and the Spinelli group (approximately [5-15%], jointly controlled with the shipping company Hapag-Lloyd).</w:t>
        <w:br/>
        <w:t>VII.1.3. The container transport markets</w:t>
        <w:br/>
        <w:t>146. Given the modest quantities of containers handled by TSG on the affected routes, the MSC group does not appear to have the ability to exclude competitors operating through TSG: in the port of Genoa, there is indeed unused terminal capacity at container terminals (for example, PSA) and third-party multipurpose terminals sufficient to accommodate the container ships that currently dock at the facilities managed by TSG.</w:t>
        <w:br/>
        <w:t>VII.2. The relevant markets for rolling cargo</w:t>
        <w:br/>
        <w:t>VII.2.1. The market for rolling cargo terminal services</w:t>
        <w:br/>
        <w:t>147. As mentioned above, in previous community and national cases, terminals for rolling cargo have been distinguished from container terminals, due to the diversity of port operations and the equipment required. However, the question of a possible distinction between "strictly Ro-Ro" terminals and "mixed" terminals for rolling cargo, which also serve Ro-Ro/Pax ships, has remained open in community practice.</w:t>
        <w:br/>
        <w:t>148. The elements that emerged during the investigation, and which were not contested by the Party, show that while it is undisputed that strictly Ro-Ro terminals are unable to accommodate Ro-Pax ships, lacking the equipment dedicated to passengers, terminals capable of accommodating Ro-Pax ships...</w:t>
      </w:r>
    </w:p>
    <w:p>
      <w:r>
        <w:rPr>
          <w:b/>
        </w:rPr>
        <w:t>[Pages 52–54]</w:t>
      </w:r>
    </w:p>
    <w:p>
      <w:r>
        <w:t>54 BULLETIN NO. 21 OF MAY 27, 2024</w:t>
      </w:r>
    </w:p>
    <w:p>
      <w:r>
        <w:t>Pax (which transport passengers - with or without vehicles - and commercial vehicles that transport goods) are instead able to serve also pure Ro-Ro vessels, within the limits of the existing docks and parking spaces. In particular, Ro-Ro ships can, in principle, use the same docks utilized by Ro-Pax ships, as occurs at the Stazioni Marittime terminal - where Ponte Assereto Sud and Ponte Assereto Nord pro. are used by both Ro-Ro and Ro-Pax ships126 - and at the SDT terminal in Livorno, for example.</w:t>
      </w:r>
    </w:p>
    <w:p>
      <w:r>
        <w:t>149. The differentiation elements highlighted by IM&amp;C thus serve to exclude the substitutability between "narrow sense" Ro-Ro terminals and terminals for Ro-Pax ships, but not the ability of Ro-Pax terminals to offer services substitutable with those of "narrow sense" Ro-Ro terminals. Based on the previous considerations, it must therefore be considered that there exists an "asymmetric" substitutability relationship between Ro-Ro terminals and "Ro-Pax" terminals and that the relevant product market for the assessment of this operation is that of terminal services for rolling cargo provided by both terminals specialized in servicing Ro-Ro ships and "mixed" terminals that serve Ro-Ro and Ro-Ro/Pax ships.</w:t>
      </w:r>
    </w:p>
    <w:p>
      <w:r>
        <w:t>150. Considering that only a marginal part of the volumes handled by TSG and the parent companies of IM&amp;C concerns car carriers, it is not deemed necessary to distinguish a separate market for terminals capable of serving such vessels. The identification of a separate market for such terminals would further strengthen the competitive concerns raised by the operation.</w:t>
      </w:r>
    </w:p>
    <w:p>
      <w:r>
        <w:t>151. As for the geographical dimension of the market for rolling cargo terminal services, based on the elements that emerged during the investigative activity, it currently appears possible to circumscribe the geographical extent of the relevant market for rolling cargo terminal services to the port of Genoa and the port of Savona-Vado as well as, at most127, to the port of Marina di Carrara. This is due to the fact that: (i) the catchment areas of the ports of Genoa and Livorno are significantly different, as emerges from the declared choices of the interviewed hauliers and in line with those that emerged from previous studies and with the assessments expressed by the Port Authorities of the Western Ligurian Sea and the Northern Tyrrhenian Sea; (ii) users of these ports to send/receive rolling cargo would find it very costly to move from one port to another, so that a hypothetical monopolist of Ro-Ro terminal services at the port of Genoa would be able to raise the price of its services without losing a significant number of customers to the port of Livorno (SSNIP test). The substitutability between the port of Genoa and that of Livorno has also been excluded by industry operators, such as terminal managers and shipping companies that use both ports.</w:t>
      </w:r>
    </w:p>
    <w:p>
      <w:r>
        <w:t>152. This conclusion also appears consistent with the Authority's precedents and, in particular, with A487 - CIN - Maritime transport of goods to/from Sardinia, where for the bundles of routes for the transport of rolling cargo to/from Northern Sardinia (Porto Torres and Olbia) distinct markets had been identified for the bundles to/from Genoa/Savona and for those to/from Livorno, based on considerations related to the different catchment areas of the ports of Genoa/Savona and Livorno. The same conclusion does not appear to be in contrast with community practice, where the Commission, while not taking a definitive position, has assessed some concentrations also referring to a relevant market confined to a single port.</w:t>
      </w:r>
    </w:p>
    <w:p>
      <w:r>
        <w:t xml:space="preserve">126 See doc. 110.3.  </w:t>
        <w:br/>
        <w:t>127 The port of La Spezia currently does not offer Ro-Ro or Ro-Pax terminal services.</w:t>
      </w:r>
    </w:p>
    <w:p>
      <w:r>
        <w:t>BULLETIN NO. 21 OF MAY 27, 2024 55</w:t>
      </w:r>
    </w:p>
    <w:p>
      <w:r>
        <w:t>153. The identification of separate markets for Genoa and Livorno does not require, as seems to be suggested by the Party, that the catchment areas of the two ports are mutually exclusive, but only that such overlap is limited both from a spatial point of view and in terms of the number of operators using the two ports to serve the same regions. All available elements indicate that the overlap is limited to the eastern provinces of Lombardy, that of Verona, and western Emilia, for which the transport cost by road to/from Livorno and to Genoa shows limited differences that can be compensated by differences in maritime transport costs. For other areas (for example, Milan), the differences in transport costs are too wide to be compensated by differences in maritime transport costs. From the responses of the sample of hauliers, it also emerges that all those who use both ports clearly distinguish the areas of origin/destination of the goods for which one port or the other is used, while overall only a minority serves areas outside the primary influence area of each port. Overall, therefore, the overlap between the catchment areas of the two ports regarding rolling cargo traffic appears sufficiently limited to place the two ports in distinct relevant markets regarding the provision of terminal services for rolling cargo.</w:t>
      </w:r>
    </w:p>
    <w:p>
      <w:r>
        <w:t>154. Finally, it is noted that the SSNIP test was only part of the investigation carried out and that its results are consistent with the information collected regarding the catchment areas of the two ports.</w:t>
      </w:r>
    </w:p>
    <w:p>
      <w:r>
        <w:t>VII.2.2. The market for rolling cargo transport</w:t>
      </w:r>
    </w:p>
    <w:p>
      <w:r>
        <w:t>155. As mentioned above, in maritime transport of goods, markets are identified according to the origin/destination approach, in terms of bundles of routes connecting ports considered substitutable with each other.</w:t>
      </w:r>
    </w:p>
    <w:p>
      <w:r>
        <w:t>156. The evidence acquired during the investigative phase allows us to exclude that the ports of western and eastern Sicily constitute a single relevant market and therefore it is not necessary to consider the bundle of routes connecting Genoa to Catania, in addition to that connecting the Ligurian capital to Palermo/Termini Imerese.</w:t>
      </w:r>
    </w:p>
    <w:p>
      <w:r>
        <w:t>157. In conclusion, the distinct bundles of routes that are relevant for the assessment of this operation are those connecting Genoa with Palermo/Termini Imerese, Malta, northern Sardinia, Tunis, and Barcelona.</w:t>
      </w:r>
    </w:p>
    <w:p>
      <w:r>
        <w:t>VII.3. The effects of the operation regarding rolling cargo</w:t>
      </w:r>
    </w:p>
    <w:p>
      <w:r>
        <w:t xml:space="preserve">158. Based on the current Shareholders' Agreement between Gruppo Messina and Marinvest concerning the so-called Terminal Business, this operation involves:  </w:t>
        <w:br/>
        <w:t xml:space="preserve">(i) the acquisition of exclusive control by Gruppo Messina of the terminal activity carried out in the area granted to the ATI Messina-San Giorgio, previously subject to the joint control of Gruppo Messina (through IM&amp;C) and TSG, as well as  </w:t>
        <w:br/>
        <w:t>(ii) the acquisition of joint control by Gruppo Messina and Marinvest, through IM&amp;C, of the terminal granted to TSG located on Ponte Somalia, which does not fall within the Terminal Business.</w:t>
      </w:r>
    </w:p>
    <w:p>
      <w:r>
        <w:t>159. The operation will therefore allow GM to assume, both directly and through IM&amp;C, full control over the commercial policy and utilization of the spaces on the two properties of TSG and for Marinvest to exercise joint control over the use of Ponte Somalia.</w:t>
      </w:r>
    </w:p>
    <w:p>
      <w:r>
        <w:t>56 BULLETIN NO. 21 OF MAY 27, 2024</w:t>
      </w:r>
    </w:p>
    <w:p>
      <w:r>
        <w:t>160. The acquisition of Ponte Somalia does not have a negligible impact, contrary to what the Party claims, as the availability of adequate parking areas is essential for the provision of terminal services to Ro-Ro and Ro-Pax ships128. Specifically, a parking area of over 60,000 square meters, equal to about 30% of the surface area of the properties managed by TSG, appears essential for carrying out terminal activities on such properties and, in particular, for the use of the Calata Tripoli basin located at the root of Ponte Somalia: over 40% of the rolling cargo movements by TSG have been carried out thanks to the joint use of that basin and the parking area of Ponte Somalia, and they could not have been carried out solely on the property of Ponte Libia, which did not have sufficient capacity for the parking and handling of vehicles loaded/unloaded through Ponte Somalia and the Calata Tripoli basin. The essentiality of this parking area gives its controller the ability to exercise market power regarding both access to it and the price of its use for parking vehicles and semi-trailers.</w:t>
      </w:r>
    </w:p>
    <w:p>
      <w:r>
        <w:t>VII.3.1. Horizontal effects</w:t>
      </w:r>
    </w:p>
    <w:p>
      <w:r>
        <w:t xml:space="preserve">161. Prior to the concentration, the parent companies of IM&amp;C held directly about [45-50%] of the rolling cargo traffic and the related capacity, distributed as follows:  </w:t>
        <w:br/>
        <w:t xml:space="preserve">- approximately [0-5%], consisting of the traffic of the Terminal Business of IM&amp;C129;  </w:t>
        <w:br/>
        <w:t xml:space="preserve">- [15-20%] consisting of the goods handled by TSG through the ATI Messina – San Giorgio, jointly controlled by GM and TSG; and  </w:t>
        <w:br/>
        <w:t>- [25-30%] consisting of the goods handled by the Stazioni Marittime terminal.</w:t>
      </w:r>
    </w:p>
    <w:p>
      <w:r>
        <w:t xml:space="preserve">162. Following the concentration:  </w:t>
        <w:br/>
        <w:t xml:space="preserve">- all operations carried out by TSG on the concession held by the ATI Messina - San Giorgio will fall within the Terminal Business; thus, a share of just over [15-20%] can be attributed to the Terminal Business;  </w:t>
        <w:br/>
        <w:t>- IM&amp;C will acquire control of the TSG concession on Ponte Somalia, which holds a share of approximately [10-15%]; this concession is not part of the Terminal Business as defined in the current Agreement and will therefore certainly be subject to the joint control of Gruppo Messina and Marinvest. After the concentration, Marinvest will hold a share of approximately [35-40%] (attributing it the entire share of Ponte Somalia, jointly controlled) and GM a share of approximately [25-30%] (attributing it the entire share of Ponte Somalia, jointly controlled). The parent companies of IM&amp;C will collectively hold between [55-60%] and [60-65%] of rolling cargo traffic (depending on whether Marina di Carrara is included in the relevant market).</w:t>
      </w:r>
    </w:p>
    <w:p>
      <w:r>
        <w:t>163. If we look only at non-captive movements, the operation will not result in significant overlaps for Marinvest (the share of Stazioni Marittime is less than 1% and Marinvest will assume joint control of Ponte Somalia), nor for GM, as a result of IM&amp;C's acquisition of the entire share attributable to TSG, totaling approximately [75-80%].</w:t>
      </w:r>
    </w:p>
    <w:p>
      <w:r>
        <w:t xml:space="preserve">164. From a structural point of view, the operation will therefore involve (i) the strengthening of Marinvest's position as the leading operator in the market, through the acquisition of part  </w:t>
        <w:br/>
        <w:t xml:space="preserve">128 The indispensability of the Ponte Somalia parking area is also evidenced by the difficulties encountered by GNV due to congestion at Stazioni Marittime, which led to the license for the temporary use of a parking area at the Bulk Terminal.  </w:t>
        <w:br/>
        <w:t>129 IM&amp;C did not provide services for rolling cargo through the ATI.</w:t>
      </w:r>
    </w:p>
    <w:p>
      <w:r>
        <w:rPr>
          <w:b/>
        </w:rPr>
        <w:t>[Pages 55–57]</w:t>
      </w:r>
    </w:p>
    <w:p>
      <w:r>
        <w:t>BULLETIN NO. 21 OF MAY 27, 2024</w:t>
      </w:r>
    </w:p>
    <w:p>
      <w:r>
        <w:t>57</w:t>
        <w:br/>
        <w:t>of the activity of the closest competitor; (ii) the consolidation and strengthening of GM's position. Savona Terminal Auto does not appear to be a particularly close competitor to Marinvest and GM, as a significant portion of its rolling cargo traffic consists of new vehicles from abroad.</w:t>
      </w:r>
    </w:p>
    <w:p>
      <w:r>
        <w:t>165. For a full understanding of the unilateral effects of this operation, it must be considered that there is a scarcity of available capacity in the market, particularly at Stazioni Marittime. This circumstance makes it unlikely that significant horizontal, unilateral, and coordinated effects will manifest.</w:t>
      </w:r>
    </w:p>
    <w:p>
      <w:r>
        <w:t>166. The investigation indicates that the capacity of the Stazioni Marittime terminal is, at present, nearly saturated and almost completely utilized by GNV (a company controlled by Marinvest) and by Tirrenia/Moby (a company in which Marinvest has a stake). To confirm this saturation, GNV has often been using available capacity at the IM&amp;C terminal at Ponte Ronco for a Ro-Ro line to Sicily since mid-2023 and has acquired the use of a parking area at Terminal Rinfuse.</w:t>
      </w:r>
    </w:p>
    <w:p>
      <w:r>
        <w:t>167. The fact that the Stazioni Marittime terminal is nearly saturated means that it cannot, at present, constitute a stringent competitive constraint for TSG. In fact, a hypothetical price increase by TSG could be neutralized by a shift in traffic to Stazioni Marittime only if the latter has sufficient available capacity. TSG - having unused capacity - would theoretically constitute a competitive constraint for Stazioni Marittime. However, the latter has no incentive to raise prices for its captive customers.</w:t>
      </w:r>
    </w:p>
    <w:p>
      <w:r>
        <w:t>Therefore, the concentration, not eliminating a competitive constraint for either TSG or Stazioni Marittime, does not appear capable of producing significant unilateral horizontal effects.</w:t>
      </w:r>
    </w:p>
    <w:p>
      <w:r>
        <w:t>168. The acquisition of TSG by IM&amp;C will not eliminate a relevant competitive constraint, as pre-merger the two assets were managed jointly by TSG and consequently the operation will essentially involve the replacement of one operator with another. Furthermore, the two assets of TSG did not appear to be subject to significant competitive pressures either from Stazioni Marittime or from Ponte Ronco, due to the low levels of unused capacity available at them.</w:t>
      </w:r>
    </w:p>
    <w:p>
      <w:r>
        <w:t>169. A strategy of price coordination for terminal services between TSG and Stazioni Marittime would also be equally unlikely, as the latter, being almost completely saturated by the captive activities of Marinvest, would have neither the capacity nor the incentive to participate in such a strategy. In this sense, it seems extremely unlikely that the prices charged by TSG could increase as a result of the operation in question.</w:t>
      </w:r>
    </w:p>
    <w:p>
      <w:r>
        <w:t>170. For the reasons outlined above, the operation does not appear likely to produce significant horizontal unilateral and coordinated effects in the market for terminal services for rolling cargo. This is regardless of whether Ro-Pax terminals are included in the relevant market (contested by the Parties) and the extension of the relevant market up to Livorno (proposed by the Parties in the Form).</w:t>
      </w:r>
    </w:p>
    <w:p>
      <w:r>
        <w:t>171. Considering that the MSC group will hold a market share exceeding 30% in the market for terminal services for rolling cargo, all markets for maritime transport of rolling cargo vertically connected to it are affected by the concentration in question.</w:t>
      </w:r>
    </w:p>
    <w:p>
      <w:r>
        <w:t>172. The Parties' position on the markets affected by the potential vertical effects of the concentration is as follows:</w:t>
        <w:br/>
        <w:t>a) Genoa-Palermo, where GNV holds a market share exceeding [60-70%];</w:t>
        <w:br/>
        <w:t>b) Genoa-Malta, where GNV holds a share exceeding [40-50%], increasing between 2021 and 2022;</w:t>
        <w:br/>
        <w:t>c) Northern Sardinia-Genoa, where both GNV, with limited shares, and the Moby group operate, of which SAS Shipping Agencies Services S.A., the direct parent of Marinvest, holds 49% of the share capital;</w:t>
        <w:br/>
        <w:t>d) Genoa-Tunis, where GNV holds a share of about [20-30%] in 2021-2022.</w:t>
      </w:r>
    </w:p>
    <w:p>
      <w:r>
        <w:t>173. These routes represent almost all the volumes handled by GNV from Genoa and [30-40%] of the volumes handled by Grimaldi on TSG and about [40-60%] of the company's revenue from transport from Genoa.</w:t>
      </w:r>
    </w:p>
    <w:p>
      <w:r>
        <w:t>174. In these markets, Grimaldi operates from the areas managed by TSG (ATI/Ponte Libia and Ponte Somalia) various routes in competition with GNV, a company controlled by Marinvest that operates from Stazioni Marittime.</w:t>
      </w:r>
    </w:p>
    <w:p>
      <w:r>
        <w:t>175. The elements that emerged in the investigation lead to the conclusion that there is a concrete possibility that IM&amp;C could adopt input foreclosure strategies against Grimaldi with detrimental effects on the market. These elements include:</w:t>
        <w:br/>
        <w:t>- the high profitability of the downstream market compared to the upstream market. The EBITDA per linear meter handled (excluding new cars) by TSG at Ponte Libia and Ponte Somalia was below [0-5] euros in 2021-22. This is against an EBITDA per linear meter transported by GNV on both the Genoa-Palermo and Genoa-Malta routes that is significantly higher than that achieved by TSG [omitted]. This means that, from Marinvest's perspective, the reduction in profits on TSG resulting from a potential reduction in Grimaldi's rolling cargo traffic could be more than compensated by the higher profits of GNV, assuming that customers leaving Grimaldi are only partially recaptured by GNV, as is the case with Genoa-Tunis;</w:t>
        <w:br/>
        <w:t>- GNV and Grimaldi are the only operators present on the Genoa-Palermo and Genoa-Malta routes. This means that any volume lost by Grimaldi will be fully captured by GNV;</w:t>
        <w:br/>
        <w:t>- on the bundle of routes connecting Genoa with Northern Sardinia, GNV, while present, has a lower market share. The main operator is Moby/Tirrenia, in which Marinvest has a 49% stake, meaning that Marinvest is entitled to about half of the profits generated by Moby/Tirrenia on this bundle of routes.</w:t>
      </w:r>
    </w:p>
    <w:p>
      <w:r>
        <w:t>176. As indicated in the guidelines on non-horizontal concentrations of the Commission, in assessing the likelihood of an anti-competitive foreclosure scenario regarding access to production factors, it is necessary to examine, firstly, whether the entity resulting from the merger would, after the merger, have the capacity to substantially foreclose access to production factors, secondly, whether it would have the incentive to do so, and thirdly, whether a foreclosure strategy would have a significant negative effect on downstream competition. In practice, these factors are often examined together, as they are closely interconnected.</w:t>
      </w:r>
    </w:p>
    <w:p>
      <w:r>
        <w:t>VII.3.2.a. Ability to Foreclose</w:t>
      </w:r>
    </w:p>
    <w:p>
      <w:r>
        <w:t>177. As a result of this concentration, the asset granted to TSG at Ponte Somalia will be subject to joint control by Marinvest.</w:t>
      </w:r>
    </w:p>
    <w:p>
      <w:r>
        <w:t>178. The TSG terminal, currently almost completely utilized by the Grimaldi Group for its Ro-Ro traffic, appears difficult to replace with other terminals included in the relevant market. In fact, there is not enough unused capacity to replace that of the two assets at other terminals in the ports of Genoa and Savona, Vado Ligure, and Marina di Carrara.</w:t>
      </w:r>
    </w:p>
    <w:p>
      <w:r>
        <w:t>179. Marinvest will therefore be able to completely or partially foreclose access to the terminal at Ponte Somalia to the Grimaldi Group, its main competitor in the downstream markets of maritime transport of rolling cargo to/from Sicily/Sardinia from Genoa.</w:t>
      </w:r>
    </w:p>
    <w:p>
      <w:r>
        <w:t>VII.3.2.b. Incentive to Foreclose</w:t>
      </w:r>
    </w:p>
    <w:p>
      <w:r>
        <w:t>180. Regarding the incentive to foreclose by Marinvest, it could exist in the form of partial foreclosure, i.e., in the form of an increase in the costs for rival Grimaldi or the limitation of the spaces available to it.</w:t>
      </w:r>
    </w:p>
    <w:p>
      <w:r>
        <w:t>181. In fact, precisely because of the irreplaceability for Grimaldi of the terminal areas managed by TSG, the latter could not shift its traffic to another terminal in the face of an increase in the price of terminal services charged in those areas. Therefore, Grimaldi would be forced to increase the cost of its services to end customers, becoming immediately less competitive against GNV, or to reduce its margins and, consequently, the funds available to support its competitiveness in the medium to long term.</w:t>
      </w:r>
    </w:p>
    <w:p>
      <w:r>
        <w:t>182. The existence of an incentive to foreclose by Marinvest appears to be confirmed by the comparison between the profitability of the terminal services offered by TSG and the profitability of maritime transport of goods operated by GNV on the routes overlapping with Grimaldi. This means that, from Marinvest's perspective, the reduction in profits on TSG resulting from a potential reduction in Grimaldi's rolling cargo traffic could be more than compensated by the higher profits of GNV, assuming that customers leaving Grimaldi are recaptured, even partially, by GNV.</w:t>
      </w:r>
    </w:p>
    <w:p>
      <w:r>
        <w:rPr>
          <w:b/>
        </w:rPr>
        <w:t>[Pages 58–60]</w:t>
      </w:r>
    </w:p>
    <w:p>
      <w:r>
        <w:t>BULLETIN NO. 21 OF MAY 27, 2024</w:t>
      </w:r>
    </w:p>
    <w:p>
      <w:r>
        <w:t>183. This conclusion appears to be confirmed by a quantitative analysis aimed at estimating the incentive that IM&amp;C would have to increase the price of the terminal services that TSG provides to Grimaldi and the consequent pressure on Grimaldi to raise the price of its transport services. The analysis, detailed in the technical appendix to this provision, indeed indicates that IM&amp;C would have a very strong incentive to increase the price of such terminal services, as measured by the vGUPPIu index. In particular, in the face of attention thresholds for the vGUPPI index in the order of 5-10%, the vGUPPIu index reaches an average value exceeding 500% in 2021 and almost 700% in 2022. The vGUPPIu index continues to assume extremely high values, well above the mentioned attention thresholds, even considering the margin net of depreciation, as deemed more correct by IM&amp;C.</w:t>
      </w:r>
    </w:p>
    <w:p>
      <w:r>
        <w:t>184. Furthermore, there are easily implementable mechanisms capable of aligning the incentives of GM and Marinvest. For example, such a mechanism appears to be the relocation to TSG of all or part of GNV's Ro-Ro traffic. Such a relocation would help overcome the already mentioned problems of congestion and scarcity of parking areas that afflict GNV's operations at Stazioni Marittime, which could worsen with the publicized expansion of its activities on the served routes and the potential new opening of a route to Catania. These traffics currently represent about [10-30%] of TSG's traffic and would therefore be sufficient to compensate for any reductions in Grimaldi's traffic due to an increase in the price of its services as a result of the increase in the cost of terminal services.</w:t>
      </w:r>
    </w:p>
    <w:p>
      <w:r>
        <w:t>185. For the reasons outlined above, it is believed that IM&amp;C has the incentive to deny access to the TSG terminal to the Grimaldi Group in the form of partial exclusion.</w:t>
      </w:r>
    </w:p>
    <w:p>
      <w:r>
        <w:t>VII.3.2.c. Effects on downstream competition</w:t>
      </w:r>
    </w:p>
    <w:p>
      <w:r>
        <w:t>186. Regarding the effects on downstream competition resulting from IM&amp;C's adoption of a partial exclusion strategy (increase in terminal price), the analysis conducted during the investigation phase indicates that - despite the cost of terminal services weighing no more than 15% on Grimaldi's average revenues - it could lead to significant incentives for price increases downstream.</w:t>
      </w:r>
    </w:p>
    <w:p>
      <w:r>
        <w:t>187. Several considerations support this. Firstly, Grimaldi is the main Ro-Ro operator from the port of Genoa through the TSG terminal. Secondly, the Ro-Ro routes where Grimaldi overlaps with GNV and/or Moby Tirrenia represent a very significant fraction of its activities from Genoa (about [30-50%] of its revenues in 2021 and almost [30-50%] in 2022). Finally, Grimaldi is the only operator present besides GNV on the Genoa-Malta and Genoa-Palermo routes and, as indicated, holds very significant market shares ([over 50%] on Genoa-Malta and over 30% on Genoa-Palermo in 2022).</w:t>
      </w:r>
    </w:p>
    <w:p>
      <w:r>
        <w:t>188. In addition to these more qualitative considerations, a specific quantitative analysis was conducted during the investigation to estimate the impact of an increase in the cost of terminal services on the prices charged by Grimaldi to its customers, using the vGUPPIr index. This index has an average value of about 30%, with peaks of 60% and above on the Genoa-Palermo route and over 80% on the Genoa-Malta route, indicating a strong incentive for Grimaldi to pass on the increase in the cost of terminal services to customers, resulting in a loss of competitiveness against GNV. It should be noted that the attention thresholds commonly used in the assessments of such incentives are in the order of 5-10%. As with the vGUPPIu index, the vGUPPIr index also remains at values significantly above the attention thresholds, even considering the margin net of depreciation, as deemed more correct by IM&amp;C.</w:t>
      </w:r>
    </w:p>
    <w:p>
      <w:r>
        <w:t>189. Ultimately, the adoption of a partial exclusion strategy by Marinvest appears to have detrimental effects on competition in the downstream market for the maritime transport of rolling goods.</w:t>
      </w:r>
    </w:p>
    <w:p>
      <w:r>
        <w:t>VII.3.3. Weakening of competition due to access to sensitive information</w:t>
      </w:r>
    </w:p>
    <w:p>
      <w:r>
        <w:t>190. The operation in question could lead to a weakening of competition in the market for maritime transport services for rolling goods due to Marinvest's presence in the governance of IM&amp;C. This could occur if such presence allowed Marinvest to access particularly sensitive information about the commercial activities of its main competitor in the downstream market (Grimaldi), which could be used in defining its own commercial strategy. Furthermore, Marinvest's presence in the governance of IM&amp;C could disincentivize Grimaldi from adopting particularly aggressive strategies in the Ro-Ro transport market as Marinvest would become aware of them.</w:t>
      </w:r>
    </w:p>
    <w:p>
      <w:r>
        <w:t>191. In this regard, it is noted that, as confirmed by AdSP-MLO during the hearing on 9/4/2024, a terminal operator is not able to become aware, in its ordinary activities, of information regarding the identity of the customers of the shipowners who use its services, nor about the prices charged by them. Conversely, the reference rates of all terminal operators are published on the AdSP-MLO website, managed by the same.</w:t>
      </w:r>
    </w:p>
    <w:p>
      <w:r>
        <w:t>192. Therefore, the information that Marinvest could acquire through its presence in IM&amp;C concerns Grimaldi's use of the TSG terminal (aggregate information on the traffic handled through the terminal, including on a monthly basis) and any expansion plans of Grimaldi that require greater use of the terminal itself. Such information could be considered "nonpublic competitively sensitive information," capable of enabling GNV to respond aggressively to Grimaldi's strategies and, in this way, dissuade competitive behavior and expansion by the latter.</w:t>
      </w:r>
    </w:p>
    <w:p>
      <w:r>
        <w:t>193. Even though, by virtue of the amendments to the Shareholders' Agreement, none of the members of the Board of Directors of TSG, which will continue to exist as a separate company controlled by IM&amp;C, will be directly appointed by Marinvest and therefore Marinvest will not have direct access to sensitive information arising from the management of TSG's terminal activities, such information could be acquired through requests for information by Marinvest representatives within the Board of Directors of IM&amp;C, as provided for in Article 12.1.3 of the Shareholders' Agreement.</w:t>
      </w:r>
    </w:p>
    <w:p>
      <w:r>
        <w:t>194. Ultimately, it does not currently appear possible to exclude a weakening of competition in the market for maritime transport of rolling goods resulting from the operation in question.</w:t>
      </w:r>
    </w:p>
    <w:p>
      <w:r>
        <w:t>VII.4. The impact of the amendments to the current Shareholders' Agreement</w:t>
      </w:r>
    </w:p>
    <w:p>
      <w:r>
        <w:t>VII.4.1. Impact on the control structure of the Terminal Business</w:t>
      </w:r>
    </w:p>
    <w:p>
      <w:r>
        <w:t>195. The amendments to the current Agreement proposed by the Parties grant GM exclusive control over the management of Ponte Somalia and strengthen governance safeguards aimed at neutralizing Marinvest's control over the entire Terminal Business.</w:t>
      </w:r>
    </w:p>
    <w:p>
      <w:r>
        <w:t>196. Firstly, the range of matters included in the Terminal Business Reserved Matters, which are thus removed from Marinvest's veto power, is expanded and clarified. This includes, among other things, strategic matters such as the management of current and future state concessions granted by AdSP-MLO to IM&amp;C or its subsidiaries/affiliates/JVs, the execution/modification/termination of agreements or JVs related to the Terminal Business.</w:t>
      </w:r>
    </w:p>
    <w:p>
      <w:r>
        <w:t>197. The amendments to the current Agreement proposed by the Parties indeed ensure that the operational and strategic management of the Terminal Business – including Ponte Somalia – is placed under the exclusive control of the Chairman of the Board of Directors and the CEOs of IM&amp;C, who are appointed by GM “subject to prior consultation with [Marinvest]” (paragraph 6.1.1 of the current Agreement). The notion of “Operational Matters” adopted is not limited to the mere “daily” operational management of the Terminal Business but extends to the determination of the policies through which the Terminal Business attracts and develops new traffics and manages existing ones, including the determination of prices and conditions for the rolling cargo terminal service. These policies implement in the concrete activities of the Terminal Business the quantitative economic-financial objectives established in the Budget and the Business Plan, giving the figures appointed by GM an essential and decisive role in the management of the Terminal Business. This role appears to be strengthened by the exclusion, for activities related to the Terminal Business, of the approval by the representative of Marinvest as provided for in the Delegation Matrix and by aligning the appointment methods of the Chief Financial Officers with those of other key executives. In this way, every channel of influence of Marinvest over the ordinary management and investment decisions of the Terminal Business is eliminated.</w:t>
      </w:r>
    </w:p>
    <w:p>
      <w:r>
        <w:t>198. The proposed amendments also close the important channel of possible influence of Marinvest over the Terminal Business constituted by the Committees that assist the CEOs (the new paragraph 7.1.6 excludes both the participation of Marinvest representatives in discussions related to the Terminal Business and access to information related to such discussions).</w:t>
      </w:r>
    </w:p>
    <w:p>
      <w:r>
        <w:t>199. The only significant channel of influence of Marinvest over the Terminal Business remains the approval of the Budget and the Business Plan of the Terminal Business, which define the overall strategic framework of the Terminal Business activities. Given that, in light of the definition of the Terminal Business Operational Matters, these are documents intended to indicate the general strategic lines of the company, their discussion will take place in a context where Marinvest's potential ability to influence the exercise of the casting vote already appears reduced by the absence of an economic and financial dependence of IM&amp;C on the MSC group and will be further diminished by measures aimed at safeguarding the competitively sensitive nature of the data and information that will be reported to the Board of Directors of IM&amp;C or that may be requested by the directors regarding IM&amp;C and its subsidiaries concerning the Terminal Business: these latter indeed appear capable of reducing the risk of...</w:t>
      </w:r>
    </w:p>
    <w:p>
      <w:r>
        <w:rPr>
          <w:b/>
        </w:rPr>
        <w:t>[Pages 61–63]</w:t>
      </w:r>
    </w:p>
    <w:p>
      <w:r>
        <w:t>BULLETIN NO. 21 OF MAY 27, 2024</w:t>
      </w:r>
    </w:p>
    <w:p>
      <w:r>
        <w:t>63</w:t>
      </w:r>
    </w:p>
    <w:p>
      <w:r>
        <w:t>acquisition by representatives of Marinvest of sensitive information concerning the management of the Terminal Business and the policies of the competitor Grimaldi.</w:t>
      </w:r>
    </w:p>
    <w:p>
      <w:r>
        <w:t>200. Regarding the governance of the subsidiaries operating in the Terminal Business, it will be removed from Marinvest's influence through the inclusion of the appointment of the respective directors, voting instructions, and the definition of delegated powers among the matters removed from Marinvest's veto power in the Board of Directors of IM&amp;C, and the introduction of ineligibility requirements such that members of the Board of Directors of the companies affiliated and controlled by IM&amp;C cannot be employed or hold any position in the MSC group. These provisions completely remove TSG, as a controlled company, from the direct influence of Marinvest.</w:t>
      </w:r>
    </w:p>
    <w:p>
      <w:r>
        <w:t>VII.4.2. Impact on horizontal concerns</w:t>
      </w:r>
    </w:p>
    <w:p>
      <w:r>
        <w:t>201. The amendments to the current Agreement, excluding Marinvest's joint control over the Terminal Business which now also includes TSG, will result in GM acquiring exclusive control over the two assets on which TSG operates.</w:t>
      </w:r>
    </w:p>
    <w:p>
      <w:r>
        <w:t>202. From a structural perspective, this means that in the relevant market for terminal services for rolling cargo in the Ligurian ports139 (i) there will be no increase in market share for Marinvest, both with respect to the entire market and specifically regarding non-captive movements, and (ii) the entire share of TSG will be attributed to GM, which prior to the operation held directly a share of less than 2% and jointly with TSG a share of approximately [15-20%] and will reach a share of approximately [25-30%]. In light of the considerations made previously, the operation would not produce significant unilateral effects.</w:t>
      </w:r>
    </w:p>
    <w:p>
      <w:r>
        <w:t>VII.4.3. Impact on vertical concerns</w:t>
      </w:r>
    </w:p>
    <w:p>
      <w:r>
        <w:t>203. The amendments to the current Shareholders' Agreement outlined above exclude Marinvest from the control and ordinary management of the Terminal Business and, therefore, also of the asset of Ponte Somalia, and appear capable of eliminating Marinvest's ability to obstruct.</w:t>
      </w:r>
    </w:p>
    <w:p>
      <w:r>
        <w:t>204. GM, while having the capacity to implement input foreclosure strategies (see supra), specifically regarding the increase in the price of terminal services, towards the users of the terminal, would not have the incentive to do so, as it is not active in the downstream markets of rolling transport where its customers operate.</w:t>
      </w:r>
    </w:p>
    <w:p>
      <w:r>
        <w:t>205. However, it is not possible to exclude the existence of mechanisms that lead to the alignment of GM's incentives with those of the partner Marinvest due to the existing size disparity between MSC and IM&amp;C in the maritime container transport and the possibility that Marinvest may implement "compensatory" actions in the interest of GM. This could occur, for example, if Marinvest proposed to transfer GNV's Ro-Ro traffic to the assets managed by TSG to compensate for the loss of traffic on Grimaldi due to GM's adoption of tariff and usage conditions for the Libya and Somalia assets that make access to them more expensive for Grimaldi, in order to favor its subsidiary GNV.</w:t>
      </w:r>
    </w:p>
    <w:p>
      <w:r>
        <w:t>139 The inclusion or exclusion of the Marina di Carrara terminal in the relevant market does not change the conclusions.</w:t>
      </w:r>
    </w:p>
    <w:p>
      <w:r>
        <w:t>64</w:t>
      </w:r>
    </w:p>
    <w:p>
      <w:r>
        <w:t>BULLETIN NO. 21 OF MAY 27, 2024</w:t>
      </w:r>
    </w:p>
    <w:p>
      <w:r>
        <w:t>206. The commitments proposed by IM&amp;C appear suitable to eliminate any possible incentive for GM and Marinvest to implement such actions, to the extent that it is clarified that they apply to both assets currently managed by TSG, including the asset of Ponte Libya, on which, as stated by IM&amp;C, "TSG has enjoyed full commercial autonomy with particular regard to the determination of prices and conditions of its services"140 and for which the concession of the ATI, unlike that relating to Ponte Somalia, does not explicitly provide for non-discrimination obligations.</w:t>
      </w:r>
    </w:p>
    <w:p>
      <w:r>
        <w:t>207. The non-discrimination obligation indeed prevents Grimaldi from being discriminated against in accessing both assets now managed by TSG and ensures that access for other customers to the terminal can only occur if it is profitable for the terminal operator. It also allows for the alignment of the non-discrimination obligations provided by the ATI Messina - San Giorgio concession and the concession on Ponte Somalia. The reports to which IM&amp;C has committed to sending will allow for a precise verification of compliance with this obligation. In this regard, it is believed that to ensure effective and efficient control over compliance with this obligation, the relevant reports must be sent to the Authority for the entire duration of the concessions.</w:t>
      </w:r>
    </w:p>
    <w:p>
      <w:r>
        <w:t>208. The non-discrimination obligation increases the cost of input foreclosure strategies for the downstream company that would benefit from them, but does not in itself eliminate the danger that such a strategy may be implemented.</w:t>
      </w:r>
    </w:p>
    <w:p>
      <w:r>
        <w:t>The additional commitments that IM&amp;C has made available to implement appear aimed at completely eliminating this danger, guaranteeing the current largest customer of TSG - the Grimaldi group - for a period of two years, a minimum level of service (berths, frequencies, rolling stock and containers managed) and prices equal to the average of the previous three years. In this way, they effectively complement the non-discrimination obligation, ensuring that the operation does not result in a deterioration of the terms of use of the acquired terminal and a reduction in the competitive capacity of the Grimaldi group, to the advantage of GNV. Again, it seems necessary to inform the Authority about the actions taken to comply with the measure in order to adequately monitor compliance. The reports must be sent together with those provided in the previous paragraph and with the same timing, for the two years of the duration of the measure itself.</w:t>
      </w:r>
    </w:p>
    <w:p>
      <w:r>
        <w:t>VII.4.4. Impact on access to sensitive information from a competitive perspective</w:t>
      </w:r>
    </w:p>
    <w:p>
      <w:r>
        <w:t>209. The proposed measures appear sufficient to prevent Marinvest's access to sensitive information from a competitive standpoint. They indeed prevent representatives of Marinvest, in the context of the Board of Directors meetings of IM&amp;C or through Committees or through specific requests for management accounting data or operational and commercial statistics, from accessing data that would facilitate GNV's response to Grimaldi's competitive strategies.</w:t>
      </w:r>
    </w:p>
    <w:p>
      <w:r>
        <w:t>VIII. CONCLUSIONS</w:t>
      </w:r>
    </w:p>
    <w:p>
      <w:r>
        <w:t>210. In light of the considerations made, it is believed that the concentration operation under examination is likely to significantly hinder effective competition, particularly due to the capacity and incentive of Marinvest and GM to implement input foreclosure strategies in the market for rolling cargo terminal services and the weakening of downstream competition in the market for rolling cargo transport created by Marinvest's access to sensitive information from a competitive standpoint.</w:t>
      </w:r>
    </w:p>
    <w:p>
      <w:r>
        <w:t>211. The remedies proposed by IM&amp;C are, overall, suitable and proportionate to avert the detrimental effects on competition that the operation under examination is likely to produce.</w:t>
      </w:r>
    </w:p>
    <w:p>
      <w:r>
        <w:t>212. All things considered, it is believed that the concentration operation is likely to be authorized conditionally upon the implementation of the measures referred to in letters a), b) and c) of the Device.</w:t>
      </w:r>
    </w:p>
    <w:p>
      <w:r>
        <w:t>THEREFORE CONSIDERED, based on the elements emerged in the investigation, that the operation under examination is likely, pursuant to Article 6, paragraphs 1 and 2 of Law No. 287/1990, to significantly hinder effective competition;</w:t>
      </w:r>
    </w:p>
    <w:p>
      <w:r>
        <w:t>CONSIDERED necessary to prescribe to the company Ignazio Messina &amp; C. S.p.A., pursuant to Article 6, paragraph 2, of Law No. 287/1990, measures necessary to prevent the realization of the distorting effects on competition caused by the realization of the concentration under examination;</w:t>
      </w:r>
    </w:p>
    <w:p>
      <w:r>
        <w:t>CONSIDERED, therefore, that the communicated concentration operation is authorized subject to the full, effective, and timely execution of all measures prescribed in this provision;</w:t>
      </w:r>
    </w:p>
    <w:p>
      <w:r>
        <w:t>CONSIDERED that any failure to implement the aforementioned measures results in the realization of a concentration operation in violation of the prohibition set forth in Article 6, paragraph 1, of Law No. 287/1990;</w:t>
      </w:r>
    </w:p>
    <w:p>
      <w:r>
        <w:t>RESOLVES</w:t>
      </w:r>
    </w:p>
    <w:p>
      <w:r>
        <w:t>to authorize the communicated concentration operation, provided that Ignazio Messina &amp; C. S.p.A. fully and effectively executes the following measures prescribed pursuant to Article 6, paragraph 2, of Law No. 287/1990:</w:t>
      </w:r>
    </w:p>
    <w:p>
      <w:r>
        <w:t>a) amendment of the current Shareholders' Agreement</w:t>
      </w:r>
    </w:p>
    <w:p>
      <w:r>
        <w:t>Within fifteen days from the notification of this Provision, Ignazio Messina &amp; C. will communicate to the Authority the new Shareholders' Agreement, complete with attachments, signed by Gruppo Messina S.p.A. and Marinvest S.r.l., which reproduces the draft Agreement referred to in the communication of April 29, 2024, supplemented in such a way as to extend to Article 12.1.3 the measures provided for in Article 6.1.5 to ensure informational separation regarding the management of the terminal activities of IM and further neutralize Marinvest's proximity to such activities, adequately clarifying that neither the monthly management accounts nor the commercial statistics nor the commercial information should include competitively sensitive information.</w:t>
      </w:r>
    </w:p>
    <w:p>
      <w:r>
        <w:rPr>
          <w:b/>
        </w:rPr>
        <w:t>[Pages 64–66]</w:t>
      </w:r>
    </w:p>
    <w:p>
      <w:r>
        <w:t>66 BULLETIN NO. 21 OF MAY 27, 2024</w:t>
      </w:r>
    </w:p>
    <w:p>
      <w:r>
        <w:t>b) Non-discrimination obligations</w:t>
      </w:r>
    </w:p>
    <w:p>
      <w:r>
        <w:t>In the management and provision of the infrastructures, spaces, and berths currently managed by Terminal San Giorgio S.r.l. on the properties of Ponte Libia (part of the concession to the ATI Messina - San Giorgio) and Ponte Somalia (for which Terminal San Giorgio S.r.l. is the concessionaire under the maritime state concession agreement signed with the Port System Authority of the Western Ligurian Sea on February 14, 2019) and in defining the tariff conditions related to the provision of services on the two aforementioned properties, Ignazio Messina &amp; C. will ensure equal treatment for its customers (subject to the availability of spaces and berths) and will provide its services on the two properties now managed by TSG to anyone who requests them, on non-discriminatory terms, in line with the obligations already provided for in Articles 4.6 and 9.1 c) of the maritime state concession agreement signed between the Port System Authority of the Western Ligurian Sea and Terminal San Giorgio S.r.l. on February 14, 2019, in relation to Ponte Somalia. Ignazio Messina &amp; C. S.p.A. will transmit throughout the duration of the concessions - every six months for the first two years and then annually - a report documenting the access requests received and the conditions applied, containing all the necessary information for a timely verification of compliance with the non-discrimination obligations mentioned above.</w:t>
      </w:r>
    </w:p>
    <w:p>
      <w:r>
        <w:t>c) Guarantees of access to terminal services for rolling cargo provided by Terminal San Giorgio S.r.l.</w:t>
      </w:r>
    </w:p>
    <w:p>
      <w:r>
        <w:t>For the two years following the notification of the measure, Ignazio Messina &amp; C. S.p.A. will adopt, with reference to the two contracts currently in place with Grimaldi Deep Sea S.p.A. and Grimaldi Euromed S.p.A., all necessary measures to:</w:t>
        <w:br/>
        <w:t>(i) guarantee the same number of ship calls/year and frequency equal to the average of the previous three years;</w:t>
        <w:br/>
        <w:t>(ii) guarantee a number of linear meters/year for each type of rolling stock (semi-trailers, cars, industrial vehicles) and containers/year, equal to the average of the previous three years, with the same average number of days of stay per unit;</w:t>
        <w:br/>
        <w:t>(iii) not increase tariffs, except in the case of actual increases in cost items related to personnel (as identified by the national labor contract), the rate of the labor supplier under Article 17 of Law No. 84/1994, port concession fees, and energy costs.</w:t>
      </w:r>
    </w:p>
    <w:p>
      <w:r>
        <w:t>Along with the reports referred to in point b) above, Ignazio Messina &amp; C. S.p.A. will inform the Authority about the actions taken to comply with this measure for its duration.</w:t>
      </w:r>
    </w:p>
    <w:p>
      <w:r>
        <w:t>This measure will be notified to the interested parties and published in the Bulletin of the Antitrust Authority.</w:t>
      </w:r>
    </w:p>
    <w:p>
      <w:r>
        <w:t>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r>
    </w:p>
    <w:p>
      <w:r>
        <w:t xml:space="preserve">THE SECRETARY GENERAL THE PRESIDENT f.f.  </w:t>
        <w:br/>
        <w:t xml:space="preserve">Guido Stazi Elisabetta Iossa  </w:t>
        <w:br/>
        <w:t xml:space="preserve">__________________  </w:t>
        <w:br/>
        <w:t>Technical appendix regarding the analysis of vertical effects</w:t>
      </w:r>
    </w:p>
    <w:p>
      <w:r>
        <w:t>General methodology</w:t>
      </w:r>
    </w:p>
    <w:p>
      <w:r>
        <w:t>The objective of the analysis is to assess the competitive impact of the operation in question (“Operation”) in the markets (vertically related to terminal services for Ro-Ro ships) of maritime transport of rolling cargo. The central point of the analysis is the evaluation of the incentives to increase the prices of terminal services provided by TSG (upstream prices) by the merged entity as a result of the Operation. These services are primarily used by the Grimaldi Group (“Grimaldi”), the main competitor of GNV in the markets for maritime transport of rolling cargo. The Operation could therefore create an incentive to adopt input foreclosure strategies against the Grimaldi Group, to the benefit of GNV.</w:t>
      </w:r>
    </w:p>
    <w:p>
      <w:r>
        <w:t>These incentives depend substantially on the degree of competitive pressure that Grimaldi exerts on GNV (and vice versa) in the markets for maritime transport of rolling cargo, the profitability of these markets, as well as the incidence of the cost of terminal services on transport service prices.</w:t>
      </w:r>
    </w:p>
    <w:p>
      <w:r>
        <w:t>The degree of competitive pressure that Grimaldi and GNV exert on each other primarily depends on the degree of competitive proximity existing between them. The diversion ratios (“DR”) between the Parties capture this precisely. In fact, the higher the DR between the companies subject to the concentration, the higher the sales that the concentration will allow to internalize, making price increases profitable. The DR relevant for this analysis are the 'vertical' ones, i.e., the increase in sales 'captured' by GNV following a price increase of terminal services to Grimaldi by the merged entity.</w:t>
      </w:r>
    </w:p>
    <w:p>
      <w:r>
        <w:t>In this case, in light of the substantially homogeneous nature of the product provided as well as the predominant role of price as a competitive variable, the DR between the Parties have been estimated based on their market shares, calculated in terms of volumes delivered (linear meters transported). This implies that the ability of one of the two Parties to capture the lost sales of the other, following a price increase by the latter, is proportional to its market share.</w:t>
      </w:r>
    </w:p>
    <w:p>
      <w:r>
        <w:t>The other driver of the incentives to increase prices resulting from the concentration is the profitability of the 'recaptured' sales downstream and upstream. The incentive to increase prices will be stronger the more profitable the recaptured sales are, i.e., the higher the margins achieved on these.</w:t>
      </w:r>
    </w:p>
    <w:p>
      <w:r>
        <w:t>The peculiarity of this analysis lies in the fact that the Parties can "recover" the lost volumes due to the price increase at different stages of the supply chain than the one in which the increase occurs. The analytical methodology useful for capturing these peculiarities is based on the so-called vGUPPI (“vertical Gross Upward Pricing Pressure”). In the following paragraphs, we will outline how this methodological framework has been used to examine possible input foreclosure strategies resulting from the Operation.</w:t>
      </w:r>
    </w:p>
    <w:p>
      <w:r>
        <w:t>Incentives to increase prices upstream and/or downstream resulting from the Operation</w:t>
      </w:r>
    </w:p>
    <w:p>
      <w:r>
        <w:t>A possible risk of deterioration of competitive conditions in the markets to the detriment of consumers arises from the fact that IM&amp;C, as a result of the operation, may increase the price of terminal services that TSG provides to Grimaldi. This results in a loss of upstream volumes purchased by Grimaldi and, consequently, a reduction in its downstream maritime transport activity. However, a portion of the volumes lost by Grimaldi downstream, following the decision to increase the price of terminal services, is recaptured by GNV, Grimaldi's main competitor. This mechanism could trigger an incentive for IM&amp;C, jointly controlled by the Messina Group and Marinvest (which in turn controls GNV), to increase the price of terminal services.</w:t>
      </w:r>
    </w:p>
    <w:p>
      <w:r>
        <w:t>In this context, the vGUPPIu index measures the profits recaptured downstream through GNV and Moby/Tirrenia in relation to the revenues lost in the sales of terminal services upstream due to the increase in terminal price.</w:t>
      </w:r>
    </w:p>
    <w:p>
      <w:r>
        <w:t xml:space="preserve">𝑣𝐺𝑈𝑃𝑃𝐼 = 𝑝𝑟𝑜𝑓𝑖𝑡𝑡𝑖 𝑟𝑖𝑐𝑎𝑡𝑡𝑢𝑟𝑎𝑡𝑖 𝑎 𝑣𝑎𝑙𝑙𝑒 (1)  </w:t>
        <w:br/>
        <w:t>𝑢 0.49∗𝑟𝑖𝑐𝑎𝑣𝑖 𝑝𝑒𝑟𝑠𝑖 𝑛𝑒𝑙𝑙𝑎 𝑓𝑎𝑠𝑒 𝑎 𝑚𝑜𝑛𝑡𝑒</w:t>
      </w:r>
    </w:p>
    <w:p>
      <w:r>
        <w:t>Specifically, the index can be expressed as follows:</w:t>
      </w:r>
    </w:p>
    <w:p>
      <w:r>
        <w:t>In general, the DR between two companies (A and B) involved in a concentration operation can be calculated based on their respective market shares (QdM) as follows:</w:t>
      </w:r>
    </w:p>
    <w:p>
      <w:r>
        <w:t xml:space="preserve">𝐷𝑅 = 𝑄𝑑𝑀𝐵 (n.1)  </w:t>
        <w:br/>
        <w:t xml:space="preserve">𝐴&gt;𝐵 1−𝑄𝑑𝑀𝐴  </w:t>
        <w:br/>
        <w:t xml:space="preserve">𝐷𝑅 = 𝑄𝑑𝑀𝐴 (n.2)  </w:t>
        <w:br/>
        <w:t>𝐵&gt;𝐴 1−𝑄𝑑𝑀𝐵</w:t>
      </w:r>
    </w:p>
    <w:p>
      <w:r>
        <w:t>where formula n.1 indicates the shift to B of a portion of the volumes originally sold by A downstream of a price increase by A, while formula n.2 estimates the portion of volumes lost by B due to a price increase that is recaptured by A as a result of the concentration operation.</w:t>
      </w:r>
    </w:p>
    <w:p>
      <w:r>
        <w:t>Moresi S., Salop S. (2013), “VGUPPI: Scoring Unilateral Pricing Incentive in Vertical Mergers”, Antitrust Law Journal Vol. 79, No. 1.</w:t>
      </w:r>
    </w:p>
    <w:p>
      <w:r>
        <w:rPr>
          <w:b/>
        </w:rPr>
        <w:t>[Pages 67–69]</w:t>
      </w:r>
    </w:p>
    <w:p>
      <w:r>
        <w:t>BULLETIN NO. 21 OF MAY 27, 2024</w:t>
      </w:r>
    </w:p>
    <w:p>
      <w:r>
        <w:t>1</w:t>
        <w:br/>
        <w:t>𝑣𝐺𝑈𝑃𝑃𝐼 = 𝐷𝑅 ∗𝑚 ∗ (2)</w:t>
        <w:br/>
        <w:t>𝑢 𝐺𝑟𝑖𝑚𝑎𝑙𝑑𝑖&gt;𝐺𝑁𝑉 𝐺𝑁𝑉 (0.49∗𝑊𝑇𝑒𝑟𝑚𝑖𝑛𝑎𝑙 )</w:t>
        <w:br/>
        <w:t>where</w:t>
        <w:br/>
        <w:t>- 𝑫𝑹 is the DR, in the downstream transport service, from Grimaldi to GNV;</w:t>
        <w:br/>
        <w:t>𝑮𝒓𝒊𝒎𝒂𝒍𝒅𝒊&gt;𝑮𝑁𝑉</w:t>
        <w:br/>
        <w:t>- 𝒎 is the average unit margin (€/ml) on GNV's variable costs; and</w:t>
        <w:br/>
        <w:t>𝑮𝑵𝑉</w:t>
        <w:br/>
        <w:t>- 𝑾 is the average price for TSG terminal services.</w:t>
        <w:br/>
        <w:t>𝑻𝒆𝒓𝒎𝒊𝒏𝒂𝒍</w:t>
        <w:br/>
        <w:t>The lost revenues in the upstream phase that enter into formulas (1) and (2) are 'weighted' at 49% as Marinvest holds a 49% stake in the share capital of IM&amp;C. This means that only a fraction of the lost revenues following the price increase of terminal services is attributable to Marinvest, against the full increase of the additional profits realized by GNV as a result of the input foreclosure strategy. This circumstance thus strengthens Marinvest's incentive to implement such strategies.</w:t>
      </w:r>
    </w:p>
    <w:p>
      <w:r>
        <w:t>On the routes (or bundles of routes) to Northern Sardinia departing from Genoa, in addition to Grimaldi and GNV, Moby/Tirrenia, which is 49% owned by the MSC Group, also operates. This means that the 'recovery' of downstream profits can occur through the Moby/Tirrenia subsidiary, as well as through GNV. Therefore, eq. (2) must be modified as follows:</w:t>
        <w:br/>
        <w:t>1</w:t>
        <w:br/>
        <w:t>𝑣𝐺𝑈𝑃𝑃𝐼 =𝐷𝑅 ∗𝑚 ∗</w:t>
        <w:br/>
        <w:t>𝑢 𝐺𝑟𝑖𝑚𝑎𝑙𝑑𝑖&gt;𝐺𝑁𝑉 𝐺𝑁𝑉 (0.49∗𝑊𝑇𝑒𝑟𝑚𝑖𝑛𝑎𝑙)</w:t>
        <w:br/>
        <w:t>1</w:t>
        <w:br/>
        <w:t>+𝐷𝑅 ∗𝑚 ∗ (2bis)</w:t>
        <w:br/>
        <w:t>𝐺𝑟𝑖𝑚𝑎𝑙𝑑𝑖&gt;𝑀𝑜𝑏𝑦/𝑇𝑖𝑟𝑟𝑒𝑛𝑖𝑎 𝑀𝑜𝑏𝑦/𝑇𝑖𝑟𝑟𝑒𝑛𝑖𝑎 (0.49∗𝑊𝑇𝑒𝑟𝑚𝑖𝑛𝑎𝑙)</w:t>
        <w:br/>
        <w:t>Where</w:t>
        <w:br/>
        <w:t>- 𝑫𝑹 is the DR, in the downstream transport service, from Grimaldi to</w:t>
        <w:br/>
        <w:t>𝑮𝒓𝒊𝒎𝒂𝒍𝒅𝒊&gt;𝑴𝒐𝒃𝒚/𝑻𝒊𝒓𝒓𝒆𝒏𝒊𝒂</w:t>
        <w:br/>
        <w:t>Moby/Tirrenia; and</w:t>
        <w:br/>
        <w:t>- 𝒎 is the average unit margin (€/ml) on Moby/Tirrenia's variable costs.</w:t>
        <w:br/>
        <w:t>𝑴𝒐𝒃𝒚/𝑻𝒊𝒓𝒓𝒆𝒏𝒊𝒂</w:t>
        <w:br/>
        <w:t>In particular, the 𝐷𝑅 and 𝐷𝑅 have been estimated assuming that</w:t>
        <w:br/>
        <w:t>𝐺𝑟𝑖𝑚𝑎𝑙𝑑𝑖&gt;𝐺𝑁𝑉 𝐺𝑟𝑖𝑚𝑎𝑙𝑑𝑖&gt;𝑀𝑜𝑏𝑦/𝑇𝑖𝑟𝑟𝑒𝑛𝑖𝑎</w:t>
        <w:br/>
        <w:t>the ability to capture the lost volumes from Grimaldi is proportional to the market share of GNV and Moby/Tirrenia in downstream transport:</w:t>
        <w:br/>
        <w:t>𝐷𝑅 =</w:t>
        <w:br/>
        <w:t>𝑄𝑑𝑀𝐺𝑁𝑉</w:t>
        <w:br/>
        <w:t>(3)</w:t>
        <w:br/>
        <w:t>𝐺𝑟𝑖𝑚𝑎𝑙𝑑𝑖&gt;𝐺𝑁𝑉</w:t>
        <w:br/>
        <w:t>1−𝑄𝑑𝑀𝐺𝑟𝑖𝑚𝑎𝑙𝑑𝑖</w:t>
        <w:br/>
        <w:t>𝐷𝑅 =</w:t>
        <w:br/>
        <w:t>𝑄𝑑𝑀𝑀𝑜𝑏𝑦/𝑇𝑖𝑟𝑟𝑒𝑛𝑖𝑎</w:t>
        <w:br/>
        <w:t>(4)</w:t>
        <w:br/>
        <w:t>𝐺𝑟𝑖𝑚𝑎𝑙𝑑𝑖&gt;𝑀𝑜𝑏𝑦/𝑇𝑖𝑟𝑟𝑒𝑛𝑖𝑎</w:t>
        <w:br/>
        <w:t>1−𝑄𝑑𝑀𝐺𝑟𝑖𝑚𝑎𝑙𝑑𝑖</w:t>
        <w:br/>
        <w:t>where:</w:t>
        <w:br/>
        <w:t>- 𝑸𝒅𝑴 , 𝑸𝒅𝑴 and 𝑸𝒅𝑴 are respectively the market shares of</w:t>
        <w:br/>
        <w:t>𝑮𝑵𝑉 𝑮𝒓𝒊𝒎𝒂𝒍𝒅𝒊 𝑴𝒐𝒃𝒚/𝑻𝒊𝒓𝒓𝒆𝒏𝒊𝒂</w:t>
        <w:br/>
        <w:t>GNV, Grimaldi and Moby/Tirrenia in volume (linear meters), measured within each route departing/arriving in Genoa.</w:t>
      </w:r>
    </w:p>
    <w:p>
      <w:r>
        <w:t>The index vGUPPIu captures IM&amp;C's incentive to increase the upstream price of terminal services provided by TSG. An increase in this price results in an increase in the marginal cost of the companies using the terminal, which will in turn reflect on the downstream prices of transport services.</w:t>
      </w:r>
    </w:p>
    <w:p>
      <w:r>
        <w:t>The index vGUPPIr measures the incentive of downstream companies receiving the upstream price increase (Grimaldi in our case) to also raise their prices. In other words, the index vGUPPIr 'converts' the incentive to raise upstream prices into a corresponding incentive to raise downstream prices. The index vGUPPIr can be expressed as follows:</w:t>
        <w:br/>
        <w:t>𝑣𝐺𝑈𝑃𝑃𝐼 = 𝑣𝐺𝑈𝑃𝑃𝐼 ∗𝑃𝑇𝑅∗</w:t>
        <w:br/>
        <w:t>𝑊𝑇𝑒𝑟𝑚𝑖𝑛𝑎𝑙</w:t>
        <w:br/>
        <w:t>(5)</w:t>
        <w:br/>
        <w:t>𝑟 𝑢</w:t>
        <w:br/>
        <w:t>𝑃𝐺𝑟𝑖𝑚𝑎𝑙𝑑𝑖</w:t>
        <w:br/>
        <w:t>where:</w:t>
        <w:br/>
        <w:t>- 𝑷 is the average price (€/ml) of transport services offered by Grimaldi; and</w:t>
        <w:br/>
        <w:t>𝑮𝒓𝒊𝒎𝒂𝒍𝒅𝒊</w:t>
        <w:br/>
        <w:t>- 𝑷𝑇𝑅 (pass-through rate) is the downstream pass-through rate of the cost increase for terminal services.</w:t>
      </w:r>
    </w:p>
    <w:p>
      <w:r>
        <w:t>Equation (5) shows how the index vGUPPIr is given by the product of vGUPPIu, the downstream pass-through rate of the terminal cost increase, and the incidence of the terminal cost on the final price. This last factor is particularly relevant as the price of upstream services may represent a very small fraction of the price of downstream services, and it may happen that, despite the vGUPPIu index indicating a strong incentive to raise the upstream price, the incentive to raise downstream prices is not as strong.</w:t>
      </w:r>
    </w:p>
    <w:p>
      <w:r>
        <w:t>Estimation of variables</w:t>
        <w:br/>
        <w:t>The estimation of vGUPPI requires, in addition to the DRs, information on prices and margins. Regarding prices, the average unit prices for GNV and Grimaldi were obtained by dividing the revenues generated at the route level in 2021 and 2022 by the linear meters transported (including cars). The average unit margins of GNV were calculated, also at the route level, by dividing the difference between revenues and variable costs by the linear meters transported (including cars). The only costs recognized as variable for the purposes of this exercise are the "Commercial Costs" and Trip Costs (consumables &amp; harbour); the gross margin thus obtained was divided by the linear meters actually transported on the route (including cars), resulting in the average margins per linear meter used in the previously indicated formulas. Regarding the average unit margins of Moby/Tirrenia, they were calculated, also at the route level, by dividing the Gross Profit from the Income Statement (2022) by the linear meters transported (including cars) in 2022. The average unit margin of TSG was also calculated by dividing the gross operating margin in 2021 and 2022 by the linear meters transported (p. 39 of the notification form).</w:t>
      </w:r>
    </w:p>
    <w:p>
      <w:r>
        <w:t>As previously indicated, the diversion ratios were estimated based on the market shares of GNV, Grimaldi, and Moby/Tirrenia at the route level. On routes where GNV and Grimaldi are the only active operators, the DR is equal to 1.</w:t>
      </w:r>
    </w:p>
    <w:p>
      <w:r>
        <w:t>The average price of terminal services paid by Grimaldi to TSG was simply obtained by dividing the terminal revenue generated with Grimaldi by the linear meters transported through the terminal. These data are reported on p. 52 of the notification form.</w:t>
      </w:r>
    </w:p>
    <w:p>
      <w:r>
        <w:t>Finally, the downstream pass-through rate of the cost increase (PTR) of the terminal was assumed to be 0.5. It is noted that the UK competition authorities (CMA and predecessors) have consistently used values between 0.5 and 1, depending on specific competition conditions. Therefore, the choice made is favorable to the Party.</w:t>
      </w:r>
    </w:p>
    <w:p>
      <w:r>
        <w:t>The two tables that follow report the values of the margins and prices used in the previously indicated formulas.</w:t>
      </w:r>
    </w:p>
    <w:p>
      <w:r>
        <w:t>Variables used for 2021</w:t>
        <w:br/>
        <w:t>Genoa - Genoa - Genoa - Genoa/Savona-</w:t>
        <w:br/>
        <w:t>Malta Palermo Tunis - Olbia/Porto</w:t>
        <w:br/>
        <w:t>Malta Torres</w:t>
        <w:br/>
        <w:t>Average price of GNV (€/ml) [75-100] [25-50] [50-75] [25-50]</w:t>
        <w:br/>
        <w:t>Average price of Grimaldi [50-75] [25-50] [50-75] [25-50]</w:t>
        <w:br/>
        <w:t>(€/ml)</w:t>
        <w:br/>
        <w:t>Average margin of GNV [omitted] [omitted] [omitted] [omitted]</w:t>
        <w:br/>
        <w:t>(€/ml)</w:t>
        <w:br/>
        <w:t>Average margin of - - - 12.4</w:t>
        <w:br/>
        <w:t>Moby/Tirrenia (€/ml) (1)</w:t>
        <w:br/>
        <w:t>Average margin of TSG (€/ml) [omitted] [omitted] [omitted] [omitted]</w:t>
        <w:br/>
        <w:t>DR_Grimaldi_GNV 1 1 0.20* 0.06**</w:t>
        <w:br/>
        <w:t>DR_Grimaldi_Moby/Tirrenia - - - 0.94</w:t>
        <w:br/>
        <w:t>Average terminal price at [1-10] [1-10] [1-10] [1-10]</w:t>
        <w:br/>
        <w:t>Grimaldi (€/ml)</w:t>
        <w:br/>
        <w:t>PTR 0.5 0.5 0.5 0.5</w:t>
        <w:br/>
        <w:t>(1) based on public data https://static.moby.it/ir/2023/Moby_CIN_Presentation.pdf;</w:t>
        <w:br/>
        <w:t>* The DR Grimaldi/GNV is less than 1 because the main operator on this route is Cotunav with more than 60% of the market.</w:t>
        <w:br/>
        <w:t>** The DR Grimaldi/GNV is less than 1 because the main operator on this route is Moby/Tirrenia with more than 70% of the market.</w:t>
      </w:r>
    </w:p>
    <w:p>
      <w:r>
        <w:rPr>
          <w:b/>
        </w:rPr>
        <w:t>[Pages 70–72]</w:t>
      </w:r>
    </w:p>
    <w:p>
      <w:r>
        <w:t>72 BULLETIN NO. 21 OF MAY 27, 2024</w:t>
      </w:r>
    </w:p>
    <w:p>
      <w:r>
        <w:t>Variables used for 2022</w:t>
      </w:r>
    </w:p>
    <w:p>
      <w:r>
        <w:t>Genoa - Genoa - Genoa - Genoa/Savona - Malta Palermo Tunis - Olbia/Porto Malta Torres</w:t>
      </w:r>
    </w:p>
    <w:p>
      <w:r>
        <w:t xml:space="preserve">Average price of GNV (€/ml) [75-100] [25-50] [75-100] [25-50]  </w:t>
        <w:br/>
        <w:t xml:space="preserve">Average price of Grimaldi (€/ml) [50-75] [25-50] [50-75] [25-50]  </w:t>
        <w:br/>
        <w:t xml:space="preserve">Average margin of GNV (€/ml) [omitted] [omitted] [omitted] [omitted]  </w:t>
        <w:br/>
        <w:t xml:space="preserve">Average margin of Moby/Tirrenia (€/ml) 12.4 (1)  </w:t>
        <w:br/>
        <w:t>Average margin of TSG (€/ml) [omitted] [omitted] [omitted] [omitted]</w:t>
      </w:r>
    </w:p>
    <w:p>
      <w:r>
        <w:t xml:space="preserve">DR_Grimaldi_GNV 1 1 0.18* 0.14**  </w:t>
        <w:br/>
        <w:t xml:space="preserve">DR_Grimaldi_Moby/Tirrenia - - - 0.86  </w:t>
        <w:br/>
        <w:t xml:space="preserve">Average terminal price at Grimaldi (€/ml) [1-10] [1-10] [1-10] [1-10]  </w:t>
        <w:br/>
        <w:t>PTR 0.5 0.5 0.5 0.5</w:t>
      </w:r>
    </w:p>
    <w:p>
      <w:r>
        <w:t xml:space="preserve">(1) based on public data https://static.moby.it/ir/2023/Moby_CIN_Presentation.pdf;  </w:t>
        <w:br/>
        <w:t xml:space="preserve">* The DR Grimaldi/GNV is less than 1 because the main operator on this route is Cotunav with more than 60% of the market.  </w:t>
        <w:br/>
        <w:t>** The DR Grimaldi/GNV is less than 1 because the main operator on this route is Moby/Tirrenia with more than 70% of the market.</w:t>
      </w:r>
    </w:p>
    <w:p>
      <w:r>
        <w:t xml:space="preserve">Results  </w:t>
        <w:br/>
        <w:t>The following table reports the estimates of vGUPPI for the routes departing/arriving in Genoa where there is overlap between the Grimaldi Group and GNV for 2021 and 2022. These routes represent approximately [25-50%] of the revenues from all routes operated by Grimaldi departing/arriving in Genoa in 2021 and nearly [25-50%] in 2022.5</w:t>
      </w:r>
    </w:p>
    <w:p>
      <w:r>
        <w:t>As previously indicated, the vGUPPIu measures the incentive to increase the prices of terminal services of TSG considering that, on the routes where Grimaldi competes with GNV and Moby Tirrenia, this will benefit the latter. As can be seen, the vGUPPIu (average) index takes on extremely high values (589% for 2021 and 693% for 2022), well above the thresholds of concern normally considered.6 This indicates a strong incentive to increase the prices of TSG terminal services as a result of this operation.</w:t>
      </w:r>
    </w:p>
    <w:p>
      <w:r>
        <w:t>However, this does not mean that downstream prices will necessarily increase as a consequence of the increase in upstream prices. For example, in cases where the price of upstream services represents a very small fraction of the price of downstream services, it may well happen that a strong incentive to increase the upstream price does not correspond to an equally strong incentive to increase downstream prices. For this reason, during this analysis, the index vGUPPIr was also estimated, which measures the incentive to increase the downstream price by competitors subject to the upstream price increases.</w:t>
      </w:r>
    </w:p>
    <w:p>
      <w:r>
        <w:t>In this case, the vGUPPIr index was estimated for Grimaldi and captures the incentive for the latter to increase the price of transport services as a consequence of the increase in the price of terminal services. This index also takes on values well above the thresholds of concern normally considered, thus confirming a strong incentive to increase the price of transport services due to this operation.</w:t>
      </w:r>
    </w:p>
    <w:p>
      <w:r>
        <w:t xml:space="preserve">Genoa - Genoa/Savona - Genoa - Genoa -  </w:t>
        <w:br/>
        <w:t xml:space="preserve">vGUPPI Tunis - Olbia/Porto - Malta Palermo Malta Torres*  </w:t>
        <w:br/>
        <w:t xml:space="preserve">Route incidence (%) 17.81 14.44 2.96 6.67  </w:t>
        <w:br/>
        <w:t xml:space="preserve">vGUPPIu (%) 2471 850 320 255  </w:t>
        <w:br/>
        <w:t xml:space="preserve">2021 average vGUPPIu (%) 589  </w:t>
        <w:br/>
        <w:t xml:space="preserve">vGUPPIr (%) 114.9 68.7 15.7 23.9  </w:t>
        <w:br/>
        <w:t>average vGUPPIu (%) 32.4</w:t>
      </w:r>
    </w:p>
    <w:p>
      <w:r>
        <w:t xml:space="preserve">Route incidence (%) 18.60 23.50 2.80 4  </w:t>
        <w:br/>
        <w:t xml:space="preserve">vGUPPIu (%) 2380 971 411 262  </w:t>
        <w:br/>
        <w:t>average vGUPPIu (%) 693</w:t>
      </w:r>
    </w:p>
    <w:p>
      <w:r>
        <w:t xml:space="preserve">2022  </w:t>
        <w:br/>
        <w:t xml:space="preserve">vGUPPIr (%) 84.2 59.9 15.6 20.0  </w:t>
        <w:br/>
        <w:t>average vGUPPIu (%) 31.0</w:t>
      </w:r>
    </w:p>
    <w:p>
      <w:r>
        <w:t xml:space="preserve">NOTE: The average vGUPPI values were estimated using the revenues of each of the considered routes as weights relative to the revenues of all routes operated by Grimaldi departing/arriving in Genoa.  </w:t>
        <w:br/>
        <w:t>* The vGUPPI for the bundle of routes Genoa/Savona-Olbia/Porto Torres was estimated using equation (2bis) instead of (2).</w:t>
      </w:r>
    </w:p>
    <w:p>
      <w:r>
        <w:t>74 BULLETIN NO. 21 OF MAY 27, 2024</w:t>
      </w:r>
    </w:p>
    <w:p>
      <w:r>
        <w:t xml:space="preserve">REPORTING AND CONSULTATIVE ACTIVITY  </w:t>
        <w:br/>
        <w:t xml:space="preserve">AS1967 – CITY OF PALERMO - RECOGNITION SPL 2023  </w:t>
        <w:br/>
        <w:t>Rome, May 9, 2024</w:t>
      </w:r>
    </w:p>
    <w:p>
      <w:r>
        <w:t xml:space="preserve">City of Palermo  </w:t>
        <w:br/>
        <w:t>The Antitrust Authority, in its meeting on May 7, 2024, resolved to make some observations pursuant to Article 21 of Law No. 287/1990 regarding the report adopted by this Municipality pursuant to Article 30 of Legislative Decree No. 201/2022 (concerning "Reorganization of the regulation of local public services of economic relevance"), containing the recognition of the management situation of local public services of economic relevance entrusted in the territory of competence1.</w:t>
      </w:r>
    </w:p>
    <w:p>
      <w:r>
        <w:t>According to Article 30, paragraph 1, of Legislative Decree No. 201/2022, this recognition must assess the actual performance of each local public service entrusted by the competent authorities from the economic point of view, efficiency, quality of service, and compliance with the obligations indicated in the service contract, in an analytical manner and taking into account the acts and indicators adopted by the regulatory authorities (for network services) and by the Ministry of Enterprises and Made in Italy (for non-network services). The recognition must also indicate the extent of recourse to in-house assignments and the burdens and results for the contracting authorities.</w:t>
      </w:r>
    </w:p>
    <w:p>
      <w:r>
        <w:t>The new Legislative Decree No. 201/2022 thus aimed to make the results of the management of local public services more transparent, assigning to the authorities the task of verifying that the conditions for offering the service are sustainable over time from an economic and financial point of view and such as to ensure, also from a qualitative perspective, the satisfaction of users' needs.</w:t>
      </w:r>
    </w:p>
    <w:p>
      <w:r>
        <w:t>From the analysis of the report adopted by this Municipality, some critical issues and shortcomings emerge, particularly regarding the management of urban waste and local public transport services and related services, in relation to the evaluation elements required by the aforementioned Article 30, paragraph 1, of Legislative Decree No. 201/2022.</w:t>
      </w:r>
    </w:p>
    <w:p>
      <w:r>
        <w:t>Regarding the urban waste management service, entrusted to the in-house company RAP S.p.A. until 2035, the recognition completely lacks information regarding the management performance in terms of service quality (provided and/or perceived) and the achievement of contractual objectives by the contractor. Furthermore, it is indicated that the compensations due from this Municipality for the years 2021 to 2023 are based on the values recorded in the respective annual Economic-Financial Plans (hereinafter, "PEF"), without referring to how the tariffs comply with the acts and indicators established by the Regulatory Authority for Energy Networks and...</w:t>
      </w:r>
    </w:p>
    <w:p>
      <w:r>
        <w:t>1 The aforementioned report was acquired by the Authority on March 27, 2024 (following a request for information sent to the City of Palermo).</w:t>
      </w:r>
    </w:p>
    <w:p>
      <w:r>
        <w:rPr>
          <w:b/>
        </w:rPr>
        <w:t>[Pages 73–75]</w:t>
      </w:r>
    </w:p>
    <w:p>
      <w:r>
        <w:t>BULLETIN NO. 21 OF MAY 27, 2024</w:t>
      </w:r>
    </w:p>
    <w:p>
      <w:r>
        <w:t>75</w:t>
      </w:r>
    </w:p>
    <w:p>
      <w:r>
        <w:t>Environment (hereinafter, “ARERA”), since the current regulatory model provides for the formulation of a four-year PEF, valid for the years 2022-2025, with a biennial review in 2024.</w:t>
      </w:r>
    </w:p>
    <w:p>
      <w:r>
        <w:t>In addition to the above, from the data published in the “Urban Waste Report Edition 2023” by the Higher Institute for Environmental Protection and Research (hereinafter, “ISPRA”), it appears that among the fourteen Italian municipalities with a population exceeding 200,000 inhabitants, the Municipality of Palermo ranks fifth for per capita waste produced and is last, with a wide gap from the others, for the percentage of separate waste collection, which was only 15.2% in 2022 (1.6% more than in 2021).</w:t>
      </w:r>
    </w:p>
    <w:p>
      <w:r>
        <w:t>Some critical issues are therefore noted in the management performance, which are not highlighted in the survey, related to poor performance in terms of the percentage of separate waste collection, high per capita waste production, as well as the not infrequent occurrence of waste emergency episodes in the city.</w:t>
      </w:r>
    </w:p>
    <w:p>
      <w:r>
        <w:t>In the periodic review of public participations, adopted pursuant to Article 20 of Legislative Decree No. 175/2016 (containing the “Consolidated Text on Publicly Held Companies”), no intervention is provided regarding the maintenance of the participation in the company RAP S.p.A. and there is no reference to the reasons that, from an economic and service quality perspective, justify the maintenance of the assignment, also in relation to the results achieved in management, as required by Article 17, paragraph 5, of Legislative Decree No. 201/2022.</w:t>
      </w:r>
    </w:p>
    <w:p>
      <w:r>
        <w:t>The report on the management situation of the waste management service is therefore lacking with reference to: compliance with public service obligations in relation to the commitments made in the service contract; the levels achieved in terms of service quality, with reference to the commitments made in the service contract and the indicators provided by ARERA resolutions; the burdens and results for the contracting authority, with particular regard to the efficiency and economic-financial balance of the management.</w:t>
      </w:r>
    </w:p>
    <w:p>
      <w:r>
        <w:t>The local public transport service (hereinafter “TPL”) has instead been entrusted to the in-house company AMAT Palermo S.p.A., along with car sharing and bike sharing services, paid parking management, interchange parking lots and terminals for extra-urban public transport services, management of the Limited Traffic Zone (hereinafter, “ZTL”), removal of vehicles parked in violation of regulations or for public order or safety reasons, and the installation and maintenance of road signage. The survey reports that the assignment has a duration of thirty years starting from July 27, 2005, without indicating the details of the approval act, nor that related to the service contract signed on December 29, 2015.</w:t>
      </w:r>
    </w:p>
    <w:p>
      <w:r>
        <w:t>In the survey regarding the services in question, there is a complete absence of information regarding the management performance in terms of service quality (provided and/or perceived) and the achievement of contractual objectives by the contractor. Furthermore, there are no references to the acts and indicators established by the Transport Regulatory Authority (hereinafter, “ART”).</w:t>
      </w:r>
    </w:p>
    <w:p>
      <w:r>
        <w:t>2 It should be noted that, regarding the percentages of separate waste collection: the average in the fourteen Italian municipalities with a population exceeding 200,000 inhabitants is 46.9%; the average in the Metropolitan City of Palermo is 34.9% (the lowest among Italian Metropolitan Cities); the average for the Sicily Region is 51.5%.</w:t>
      </w:r>
    </w:p>
    <w:p>
      <w:r>
        <w:t>3 The link to the report on the periodic review of participations held as of December 31, 2022, by the Municipality of Palermo and the related attachments, approved by the City Council resolution No. 396 of December 29, 2023, is reported in the appropriate space of the summary table prepared on the model provided by ANAC.</w:t>
      </w:r>
    </w:p>
    <w:p>
      <w:r>
        <w:t>It is recalled that according to what is established by Article 30, paragraph 2, of Legislative Decree No. 201/2022, in the case of services entrusted to in-house companies, the survey constitutes an appendix to the report referred to in Article 20 of Legislative Decree No. 175/2016.</w:t>
      </w:r>
    </w:p>
    <w:p>
      <w:r>
        <w:t>76</w:t>
      </w:r>
    </w:p>
    <w:p>
      <w:r>
        <w:t>BULLETIN NO. 21 OF MAY 27, 2024</w:t>
      </w:r>
    </w:p>
    <w:p>
      <w:r>
        <w:t>Moreover, in light of the recent approval of the “Restructuring and Efficiency Plan” 2022-2024 of the company, neither the survey pursuant to Article 30 of Legislative Decree No. 201/2022, nor the report on the periodic review of public participations pursuant to Article 20 of Legislative Decree No. 175/2016, provide specific information regarding the status of implementation of the actions provided for in the aforementioned Plan. Such information appears, instead, necessary to justify, from an economic and service quality perspective, the maintenance of the service assignment to the in-house company, also in relation to the results achieved in management, as required by Article 17, paragraph 5, of Legislative Decree No. 201/2022.</w:t>
      </w:r>
    </w:p>
    <w:p>
      <w:r>
        <w:t>Regarding the economic-financial performance of the contracting company, the 2022 financial statements of the company have not been filed, while the 2021 financial statements extensively report on the condition of structural deficit that necessitated the development of the restructuring and business relaunch plan. In particular, from the Management Report, a persistent situation of difficult alignment of intents and wills between the company and the sole shareholder emerges, who is responsible for exercising an evidently cumbersome analogous control.</w:t>
      </w:r>
    </w:p>
    <w:p>
      <w:r>
        <w:t>Furthermore, from the data published in the report “Urban Ecosystem 2023” by Legambiente, it appears that, considering only the Italian municipalities with over 200,000 inhabitants, Palermo is last for TPL provision (with fourteen vehicle-km/inhabitants/year, followed by Naples with fifteen and Catania with twenty-two).</w:t>
      </w:r>
    </w:p>
    <w:p>
      <w:r>
        <w:t>The report on the management situation of the TPL service and related services is therefore lacking with reference to: compliance with public service obligations in relation to the commitments made in the service contract; the levels achieved in terms of service quality, with reference to the commitments made in the service contract and the indicators provided by ART resolutions; the burdens and results for the contracting authority, with particular regard to the efficiency and economic-financial balance of the management.</w:t>
      </w:r>
    </w:p>
    <w:p>
      <w:r>
        <w:t>Finally, regarding the duration of the assignments made in favor of the company AMAT Palermo S.p.A., it should be remembered that, without prejudice to what is now established by Article 19 of Legislative Decree No. 201/2022, the Authority has emphasized on several occasions that the duration of the assignments should be temporally limited, inspired by criteria of proportionality and justified based on technical, economic, and financial evaluations, in order to avoid the exclusion of access to the market and allow the administration itself to achieve the efficiency benefits resulting from greater alternation over time in the management of public services. Even in the case of assignments that require investments, the duration should not exceed the time necessary for the recovery of investments by the concessionaire and for a return on the invested capital.</w:t>
      </w:r>
    </w:p>
    <w:p>
      <w:r>
        <w:t>4 Except for the critical issues highlighted in the Opinion on accounting regularity, attached to the aforementioned periodic review, in which it is represented, regarding the restructuring plan of AMAT S.p.A., the precarious economic-financial situation of the company, for which it is noted that the budget project for the year 2022 has not yet been approved by the Board of Directors and for which the need to proceed with “an appropriate revision of the AMAT restructuring plan, the failure to implement which is capable of compromising the economic and financial balances of the Entity” is highlighted.</w:t>
      </w:r>
    </w:p>
    <w:p>
      <w:r>
        <w:t>5 Among the issues highlighted therein are: the need to reconfigure the Service Contract signed in 2015 to ensure economic-financial balance and business continuity (the company states, in this regard, that the revenues from the ZTL service intended to compensate for the TPL service are overestimated); the lack of operational staff and, consequently, the contraction of the volume of service offered to the citizens; the lack of technical staff in the workshops; the need to resolve the dispute with the Municipality of Palermo regarding tax assessments related to the management of paid parking.</w:t>
      </w:r>
    </w:p>
    <w:p>
      <w:r>
        <w:t>6 See AS1926 - Municipality of Milan - Assignment of the school catering service in favor of the company Milano ristorazione S.p.A., in Bulletin No. 44/2023; AS1730 - Proposals for competitive reform for the purposes of the annual law for the market and competition for the year 2021, in Bulletin No. 13/2021; AS1550 - Concessions and competitive criticalities, in Bulletin No. 48/2018.</w:t>
      </w:r>
    </w:p>
    <w:p>
      <w:r>
        <w:t>BULLETIN NO. 21 OF MAY 27, 2024</w:t>
      </w:r>
    </w:p>
    <w:p>
      <w:r>
        <w:t>77</w:t>
      </w:r>
    </w:p>
    <w:p>
      <w:r>
        <w:t>In conclusion, in light of the considerations outlined above, the Authority hopes that this Municipality will promptly take action to ensure that the urban waste management service and the local public transport service and related services in its area of competence are entrusted for a duration justified and proportionate to the investments and are carried out with high levels of quality, safety, and under the best economic conditions, for the benefit of users, also in view of the upcoming assignments. This is, after all, the rationale behind the pro-competitive reform enacted by Legislative Decree No. 201/2022 and, in particular, by Article 30, which established a principle of transparency regarding the choices made by administrations and the results of management, precisely in order to achieve and maintain those objectives of universality, quality, and accessibility of services that are at the very foundation of the public service's raison d'être.</w:t>
      </w:r>
    </w:p>
    <w:p>
      <w:r>
        <w:t>Therefore, this Administration is invited to communicate, within thirty days from the receipt of this notice, the initiatives taken to remove the critical issues highlighted above.</w:t>
      </w:r>
    </w:p>
    <w:p>
      <w:r>
        <w:t>This notice will be published in the Bulletin of the Authority for Competition and the Market.</w:t>
      </w:r>
    </w:p>
    <w:p>
      <w:r>
        <w:t>THE PRESIDENT</w:t>
      </w:r>
    </w:p>
    <w:p>
      <w:r>
        <w:t>Roberto Rustichelli</w:t>
      </w:r>
    </w:p>
    <w:p>
      <w:r>
        <w:rPr>
          <w:b/>
        </w:rPr>
        <w:t>[Pages 76–78]</w:t>
      </w:r>
    </w:p>
    <w:p>
      <w:r>
        <w:t>78 BULLETIN NO. 21 OF MAY 27, 2024</w:t>
      </w:r>
    </w:p>
    <w:p>
      <w:r>
        <w:t>AS1968 – MUNICIPALITY OF CASTELLABATE (SA) – EXTENSION OF STATE MARITIME CONCESSIONS FOR TOURIST, RECREATIONAL, AND SPORTS PURPOSES</w:t>
      </w:r>
    </w:p>
    <w:p>
      <w:r>
        <w:t>Rome, May 9, 2024</w:t>
      </w:r>
    </w:p>
    <w:p>
      <w:r>
        <w:t>Municipality of Castellabate</w:t>
      </w:r>
    </w:p>
    <w:p>
      <w:r>
        <w:t>The Italian Competition Authority, in its meeting on February 27, 2024, resolved to express its opinion, pursuant to Article 21-bis of Law No. 287 of October 10, 1990, regarding the Resolution of the Municipality of Castellabate's Executive Board dated December 19, 2023, No. 245, concerning "Provisions on the effectiveness of state maritime concessions for tourist, recreational, and sports purposes in application of Law No. 118 of August 5, 2022, and subsequent amendments, and the Judgment of the Supreme Court of Cassation, United Civil Sections No. R.G. 32559 of November 23, 2023," transmitted with a report received on January 5, 2024.</w:t>
      </w:r>
    </w:p>
    <w:p>
      <w:r>
        <w:t>With the aforementioned Resolution, the Municipality identifies "solely to balance the initiation of competitive procedures for the assignment of state maritime concessions subject to extensions ex lege with other relevant needs (guaranteeing continuity of services to users, confirmation of revenues for the State, Region, and Municipality, preservation of infrastructures - particularly with reference to port infrastructures - so that it is necessary to free the asset from the current concessionaire in proximity to the transition to the new) the deadline of December 31, 2024, consistent with that referred to in Article 3, paragraph 3 of Law No. 118/2022."</w:t>
      </w:r>
    </w:p>
    <w:p>
      <w:r>
        <w:t>In the resolution, the Municipality sees the need to defer the effectiveness of the existing state maritime concessions to December 31, 2024, availing itself of the original version of Article 3, paragraph 3, of Law No. 118/2022.</w:t>
      </w:r>
    </w:p>
    <w:p>
      <w:r>
        <w:t>The resolution therefore outlines the objective reasons that would justify such a deferral, namely: i) the objective difficulties related to the failure to adopt the legislative decrees for reorganization, as provided for by Article 4 of Law No. 118/2022; ii) the failure to approve the regional PUAD, which did not allow the sub-delegated territorial entities to initiate and define their state plans (PAD); iii) the impossibility of reaching the definition of the awarding procedures by the next summer period and the need to balance the initiation of procedures for state maritime concessions according to competitive procedures with the need to ensure continuity of services to users, revenues in favor of the State, Region, and Municipality, and the preservation of infrastructures.</w:t>
      </w:r>
    </w:p>
    <w:p>
      <w:r>
        <w:t>In this regard, the Authority intends to make the following considerations regarding various profiles of competitive criticality arising from the extension provided by Resolution No. 245/2023.</w:t>
      </w:r>
    </w:p>
    <w:p>
      <w:r>
        <w:t>Preliminarily, the Authority deems it necessary to recall its numerous interventions regarding state maritime concessions for tourist and recreational purposes aimed at censuring both the unjustified extensions of existing concessions and the provisions contained in the selective procedures initiated for the assignment of new concessions that could prejudice fair competition.</w:t>
      </w:r>
    </w:p>
    <w:p>
      <w:r>
        <w:t>With specific reference to the extensions, the Authority has repeatedly emphasized how the continued recourse to this instrument violates the principles of competition to the extent that it prevents competitive confrontation for the market, which should be guaranteed in the awarding of services affecting scarce state resources, and favors the distorting effects associated with unjustified position rents attributed to concessionaires. During the two-year period 2020-2021, in particular, the Authority invited multiple municipal administrations to disapply the national legislation underlying the determinations for the extension of state maritime concessions for tourist and recreational purposes due to their conflict with Articles 49 and 56 TFEU and with Article 12 of Directive 2006/123/EC (the so-called "Services Directive"). As is known, Member States are required to comply with the principles and provisions of EU law, and where domestic legislation conflicts with European Union law, its disapplication is imposed.</w:t>
      </w:r>
    </w:p>
    <w:p>
      <w:r>
        <w:t>Given the above, in the case at hand, the Authority believes that the extension in favor of the previous concessionaires arranged by the Municipality of Castellabate with Resolution No. 245/2023 violates the aforementioned regulations.</w:t>
      </w:r>
    </w:p>
    <w:p>
      <w:r>
        <w:t>In general, it is noted that, with reference to the extension of existing state concessions beyond December 31, 2023, as early as 2021, the Plenary Assembly of the Council of State stated that beyond December 31, 2023, state concessions "even in the absence of legislative regulation, will cease to produce effects, despite any further legislative extension that may occur in the meantime, which should be considered without effect because it conflicts with the rules of the EU legal system" and, therefore, is disapplicable by the administrative judge and any administrative body.</w:t>
      </w:r>
    </w:p>
    <w:p>
      <w:r>
        <w:t>More recently, the Council of State affirmed the "direct conflict" of the new provision contained in Article 10-quater, paragraph 3, of Decree-Law No. 198 of December 29, 2022, converted into Law No. 14 of February 24, 2023, with Article 12 of the Services Directive and clarified that the principles established by the judgment of the Plenary Assembly No. 17/2021 are fully applicable and binding, with the consequence that national rules that have provided or that may in the future provide for the automatic extension of state maritime concessions are in conflict with Article 49 TFEU and with Article 12 of the Services Directive and must not be applied by judges or public administration.</w:t>
      </w:r>
    </w:p>
    <w:p>
      <w:r>
        <w:t>Both the national and European judges have thus affirmed the obligation to proceed with public procedures for the granting of state maritime concessions for tourist and recreational purposes, in application of the general principles protecting competition expressed by Article 49 TFEU and by Article 12, paragraphs 1 and 2, of the so-called Services Directive.</w:t>
      </w:r>
    </w:p>
    <w:p>
      <w:r>
        <w:t>In light of what has been represented so far, therefore, the Municipality of Castellabate, rather than resorting to the extension of concessions, should have proceeded, in implementation of the aforementioned competitive principles, to disapply the national legislation in conflict with Union law and to initiate tender procedures aimed at new awards of expired concessions.</w:t>
      </w:r>
    </w:p>
    <w:p>
      <w:r>
        <w:rPr>
          <w:b/>
        </w:rPr>
        <w:t>[Pages 79–81]</w:t>
      </w:r>
    </w:p>
    <w:p>
      <w:r>
        <w:t>BULLETIN NO. 21 OF MAY 27, 2024</w:t>
      </w:r>
    </w:p>
    <w:p>
      <w:r>
        <w:t>81</w:t>
      </w:r>
    </w:p>
    <w:p>
      <w:r>
        <w:t>Furthermore, the arguments presented in Resolution No. 245/2023 in support of the deferral/extension of the concessions are unfounded. The Municipality claims to apply the original wording of Article 3, paragraph 3, of Law No. 118/2022. The reference to a norm that no longer exists in the legal system, and which for this reason cannot be the basis for an administrative decision, appears to be a ruse to evade the deadline of the transitional period indicated by the Plenary Assembly of the Council of State and thus prevent the application of EU law and the opening of the market for maritime state concessions, thereby hindering the benefits that would arise from awarding through public procurement procedures.</w:t>
      </w:r>
    </w:p>
    <w:p>
      <w:r>
        <w:t>That said, regarding the impossibility of applying a norm that is no longer in force in the legal system, it must be noted that the Municipality has incorrectly interpreted the provisions of Article 3, paragraph 3, of Law No. 118/2022. The norm in question, in fact, restricts the possibility of further deferring the duration of the concessions to entirely exceptional cases related to specific circumstances that prevent the conclusion of the selection procedure. Being a derogatory norm, paragraph 3 of Article 3 can only be interpreted restrictively. For the norm to be applicable, it seems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may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 nature of the reasons presented in the resolution in support of the extension/deferral.</w:t>
      </w:r>
    </w:p>
    <w:p>
      <w:r>
        <w:t>First of all, the interpretation according to which the application of Article 12 of the Services Directive must be considered conditional on the fulfillment entrusted to the Member States to ascertain the scarcity of the natural resource cannot be deemed acceptable.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referenced by the Plenary Assembly – attest to the existence of a very high occupancy rate of the coasts, considering the areas of free beach that are not usable and the maximum quantitative limits of the coast that can be subject to concession provided in many Regions.</w:t>
      </w:r>
    </w:p>
    <w:p>
      <w:r>
        <w:t>In this context, it is believed that the conclusions reached by the national administrative judge and the European Commission can be shared, according to which the current situation of significant scarcity (in some cases non-existence) characterizing the state-owned areas available to new operators is evident; a situation that is even more pronounced when considering municipal territorial areas or when taking as reference reduced portions of coast.</w:t>
      </w:r>
    </w:p>
    <w:p>
      <w:r>
        <w:t>In any case, assuming hypothetically the absence of the requirement of resource scarcity,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also recalled by the Council of State, the national coastal heritage is certainly of cross-border interest (due to its configuration, geographical location, climatic conditions, and tourist vocation), thus exercising an undeniable attraction towards businesses from other Member States.</w:t>
      </w:r>
    </w:p>
    <w:p>
      <w:r>
        <w:t>Secondly, the Authority believes that, even in the absence of internal legislation reorganizing the matter, the principles that must inspire the conduct of the tenders and the criteria to be used in the preparation of the tender notices have been precisely indicated by the Council of State in 2021, deriving them from Article 12 of the Services Directive. The absence of a comprehensive national legislative framework cannot, therefore, translate into a legitimate reason in support of the extension of the duration of the concessions, also considering the circumstance that the legislative delegation provided for in Article 4 of Law No. 118/2022 has expired without being exercised.</w:t>
      </w:r>
    </w:p>
    <w:p>
      <w:r>
        <w:t>Thirdly, while maintaining the above regarding the impossibility of invoking the aforementioned paragraph 3 to justify a generalized extension of all existing concessions in a specific Municipality – considering, moreover, that the Municipality has not even initiated the selection procedures – the necessity to wait for the approval by the Campania Region of the PUAD and the adoption of the municipal PAD cannot constitute an objective and exceptional reason related to the specificity of the individual tender procedure. This argument, in fact, cannot justify the temporal deferral of the existing concessions in the Municipality, given that, as also indicated in the same Resolution under examination, there is an existing Plan for the Utilization of State Maritime Areas adopted with the junta resolution No. 712 of December 20, 2022. Article 10 of the Campania regional law No. 16/2004 merely establishes that, following the approval of territorial and urban planning instruments by the Region, the approval of subordinate planning instruments incompatible with the plans and amendments adopted by the region is suspended.</w:t>
      </w:r>
    </w:p>
    <w:p>
      <w:r>
        <w:t>It follows that after the adoption of the aforementioned PUAD by the Campania Region, the Municipality could have at least initiated the procedures for the adoption of the PAD. Therefore, the failure to adopt the PAD by the Municipality cannot justify the extension of the concessions, considering that the Municipality could have nonetheless called for tenders pending the adoption of the aforementioned Plan, also taking into account the timing of its approval.</w:t>
      </w:r>
    </w:p>
    <w:p>
      <w:r>
        <w:t>In light of the above considerations, the Authority believes that the Municipality of Castellabate should have disapplied the national legislation underlying the Resolution of the Municipal Council of December 19, 2023, No. 245 for its conflict with the principles and with the EU regulations mentioned above and proceeded with the conduct of tender procedures that respect the principles of fairness, transparency, and non-discrimination. The provisions relating to the deferral of the deadline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so-called Services Directive.</w:t>
      </w:r>
    </w:p>
    <w:p>
      <w:r>
        <w:t>Pursuant to Article 21-bis, paragraph 2, of Law No. 287/1990, the Municipality of Castellabate must communicate to the Authority within sixty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w:t>
      </w:r>
    </w:p>
    <w:p>
      <w:r>
        <w:t>THE PRESIDENT</w:t>
      </w:r>
    </w:p>
    <w:p>
      <w:r>
        <w:t>Roberto Rustichelli</w:t>
      </w:r>
    </w:p>
    <w:p>
      <w:r>
        <w:t>_______________________________________________________________________</w:t>
      </w:r>
    </w:p>
    <w:p>
      <w:r>
        <w:t>Press release regarding the Authority's decision not to appeal under Article 21-bis of Law No. 287/1990 against the Resolution of the Municipal Council of Castellabate of December 19, 2023, No. 245, concerning "Provisions on the effectiveness of maritime state concessions for tourism and recreational and sports purposes in application of Law No. 118 of August 5, 2022, and subsequent amendments, and of the Judgment of the Supreme Court of Cassation, United Civil Sections No. R.G. 32559 of November 23, 2023."</w:t>
      </w:r>
    </w:p>
    <w:p>
      <w:r>
        <w:t>On February 27, 2024, the Authority resolved to issue a reasoned opinion to the Municipality of Castellabate, pursuant to Article 21-bis of Law No. 287/1990, regarding the Resolution of the Municipality's Council of December 19, 2023, No. 245, concerning "Provisions on the effectiveness of maritime state concessions for tourism and recreational and sports purposes in application of Law No. 118 of August 5, 2022, and subsequent amendments, and of the Judgment of the Supreme Court of Cassation, United Civil Sections No. R.G. 32559 of November 23, 2023," transmitted with a report received on January 5, 2024.</w:t>
      </w:r>
    </w:p>
    <w:p>
      <w:r>
        <w:t>In its opinion, the Authority believed that the Municipality of Castellabate should have disapplied the national legislation underlying the Resolution of the Municipal Council of December 19, 2023, No. 245, for its conflict with the principles and with the EU regulations referred to in Article 49 TFEU and Article 12 of Directive 2006/123/EC (the so-called Services Directive) and proceeded with the conduct of tender procedures that respect the principles of fairness, transparency, and non-discrimination. The provisions relating to the deferral of the deadline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state resources.</w:t>
      </w:r>
    </w:p>
    <w:p>
      <w:r>
        <w:rPr>
          <w:b/>
        </w:rPr>
        <w:t>[Pages 82–84]</w:t>
      </w:r>
    </w:p>
    <w:p>
      <w:r>
        <w:t>84 BULLETIN NO. 21 OF MAY 27, 2024</w:t>
      </w:r>
    </w:p>
    <w:p>
      <w:r>
        <w:t>state concessions of a limited nature, in a market context where competitive dynamics are already particularly weakened due to the long duration of the currently existing concessions. On April 29, 2024, the Municipality of Castellabate responded to the reasoned opinion by sending Resolution No. 62 of the Municipal Council dated April 26, 2024, in which it highlights the need to adopt a valid and effective Plan for the State Areas according to a timeline consistent with the deadlines for concluding the public procurement procedures for the assignment of concessions, which must necessarily conclude no later than December 31, 2024. With the same Resolution No. 62/2024, the Municipality of Castellabate defines a detailed schedule for the conduct of public procurement procedures for the assignment of maritime state concessions for tourism and recreational purposes. Therefore, having taken note of the initiatives undertaken by the Municipality of Castellabate and the indicated schedule for the conduct of the public procurement procedure, in the meeting of May 7, 2024, the Authority decided not to appeal to the TAR for Tuscany against the Resolution in question.</w:t>
      </w:r>
    </w:p>
    <w:p>
      <w:r>
        <w:t>BULLETIN NO. 21 OF MAY 27, 2024</w:t>
      </w:r>
    </w:p>
    <w:p>
      <w:r>
        <w:t>AS1969 – CHAMBER OF COMMERCE OF ROMAGNA – FORLI’, CESENA AND RIMINI – ANNUAL PLAN FOR RATIONALIZATION OF PARTICIPATIONS FOR THE YEAR 2023</w:t>
      </w:r>
    </w:p>
    <w:p>
      <w:r>
        <w:t>Rome, March 7, 2024</w:t>
      </w:r>
    </w:p>
    <w:p>
      <w:r>
        <w:t>Chamber of Commerce of Romagna – Forlì, Cesena and Rimini</w:t>
      </w:r>
    </w:p>
    <w:p>
      <w:r>
        <w:t>The Antitrust Authority, in its meeting on March 5, 2024, decided to express its opinion pursuant to Article 21-bis of Law No. 287/1990, regarding the content of the resolutions of the Council No. 132 of December 21, 2023, and No. 133 of December 29, 2023, of the Chamber of Commerce of Romagna, Forlì, Cesena and Rimini (hereinafter also "CCIAA of Romagna"), received by the Authority on January 10, 2024, concerning the annual plan for the rationalization of participations for the year 2023. From the aforementioned resolutions, it appears that the CCIAA of Romagna has decided to maintain its direct participation (currently equal to 29.52%) in the majority public company Rimini Congressi S.r.l., which in turn controls, pursuant to Article 2359 of the Civil Code, the company Italian Exhibition Group S.p.A. (hereinafter "IEG"), active both in the management of exhibition spaces and in the sector of setting up exhibition stands (through the company Prostand S.r.l., wholly owned by IEG). According to what is reported by the CCIAA of Romagna in the cited resolutions (and in the related attachments), the participation in Rimini Congressi "appears absolutely strategic for the Romagna territory" and consistent with the "institutional purposes of the entity." Furthermore, "the issue of joint control is sub iudice" and "at the moment, also considering the recent legislative interventions (draft law on competition 2023), it can be said that there are no objective and regulatory conditions that make rationalization measures mandatory." In this regard, the Authority intends to first recall what has already been expressed in three reasoned opinions adopted pursuant to Article 21-bis of Law No. 287/1990, on February 4, 2020 (AS1668), on March 16, 2021 (AS1756), and on March 1, 2022 (AS1839) – concerning, respectively, the rationalization plans for 2019, 2020, and 2021 of this Chamber of Commerce – regarding the fact that Rimini Congressi (active in the management of fairs) is subject to the joint public control of the CCIAA of Romagna, the Municipality of Rimini, and the Province of Rimini and that, by virtue of such control, the company IEG (also active in the sector of setting up exhibition stands) must be considered indirectly participated by the aforementioned public entities, pursuant to Article 2, letter g), of Legislative Decree No. 175/2016 (containing the Consolidated Law on public participation companies, hereinafter also "TUSPP"). In light of this corporate structure, the Authority intends to reiterate that the activity of setting up exhibition stands, carried out through the company IEG, cannot be considered included in the exemption referred to in Article 4, paragraph 7, of the TUSPP – which admits "participations in companies whose predominant corporate purpose is the management of exhibition spaces and the organization of exhibition events" – and that the possession of participations in companies that carry out the aforementioned activity is not strictly necessary for the pursuit of the institutional purposes of the CCIAA of Romagna, as it encompasses different services offered in competition in the market. The Authority therefore believes that such participations should be subject to divestment and that it is also necessary to rationalize the corporate purpose of IEG. It should be noted that the Council of State, with judgment No. 3880 of April 18, 2023, clearly stated: i) that there is joint control of the three public entities over Rimini Congressi (and therefore indirectly over IEG); ii) that the service of setting up exhibition stands cannot be considered included in the notion of "management of exhibition spaces and organization of exhibition events," pursuant to Article 4, paragraph 7, TUSPP; iii) that the reference to the use, in Article 4, paragraph 7, of the word "predominant" (for which IEG would carry out "predominant" activities in the management of fairs) is irrelevant; iv) that the reference to Article 1, paragraph 5, of the TUSPP, according to which the same Consolidated Law would not apply to IEG, which was listed on the stock exchange in June 2019, is unfounded.</w:t>
      </w:r>
    </w:p>
    <w:p>
      <w:r>
        <w:rPr>
          <w:b/>
        </w:rPr>
        <w:t>[Pages 85–87]</w:t>
      </w:r>
    </w:p>
    <w:p>
      <w:r>
        <w:t>BULLETIN NO. 21 OF MAY 27, 2024</w:t>
      </w:r>
    </w:p>
    <w:p>
      <w:r>
        <w:t>87</w:t>
        <w:br/>
        <w:t>Therefore, in execution of the aforementioned judgment No. 3880/2023 of the Council of State, the CCIAA of Romagna should have proceeded, within thirty days from the notification of the decision, to re-adopt the annulled acts, in the relevant parts, in light of the opinion of the Authority dated February 4, 2020, providing to communicate the conclusive determinations. This circumstance has not occurred, as the chamber entity, with the rationalization plan subject to this motivated opinion, has maintained the criticized participation.</w:t>
      </w:r>
    </w:p>
    <w:p>
      <w:r>
        <w:t>In support of this maintenance, the CCIAA of Romagna stated: i) that the issue of joint public control over Rimini Congressi - and, therefore, the indirect control of IEG - would be sub iudice (reserving the right to await the definitive outcome of the ongoing judgments, in order to make any appropriate and necessary decision); ii) that the issue of the divestment of the shares held by IEG in companies active in the sector of the construction and setup of exhibition stands (and the rationalization of its corporate purpose) would have been overcome by the amendment of Article 4, paragraph 7, of the TUSPP, by Article 19 of Law No. 214/2023 (containing the Annual Law for the Market and Competition 2022), “while awaiting the guidelines provided for in paragraph 2 of the reported article”; iii) that the judgment No. 3880/2023 of the Council of State can be disregarded, both because “it has not become final, as it has been appealed to the Court of Cassation” and because “it has been contradicted by the judgment of the Tar Emilia-Romagna, seat of Bologna, No. 434 of July 2023 (issued precisely in a proceeding in which the Chamber is a party)”.</w:t>
      </w:r>
    </w:p>
    <w:p>
      <w:r>
        <w:t>Now, the Authority believes that these arguments are legally incorrect. Firstly, the assumption that the divestment of the shares held by IEG in companies active in the sector of the construction and setup of exhibition stands (and the rationalization of its corporate purpose) would have been overcome by the amendment of Article 4, paragraph 7, of the TUSPP, made by Article 19, paragraph 1, of Law No. 214/2023, according to which: “Direct and indirect participations in companies whose corporate purpose is predominantly the management of exhibition spaces and the organization of exhibition events are also permitted, and, in compliance with the principles of competition and market openness, the activities, supplies, and services directly connected and functional to visitors and exhibitors, the construction and management of cable transport systems for tourist-sport mobility operated in mountainous areas, as well as the production of energy from renewable sources” cannot be shared.</w:t>
      </w:r>
    </w:p>
    <w:p>
      <w:r>
        <w:t>It should be noted that, by express legislative provision, the aforementioned provision is not yet effective. According to paragraph 2 of the same Article 19 of Law No. 214/2023, in fact, “the effectiveness of the provisions of paragraph 1 begins from the publication of the notice of the adoption of the guidelines in the Official Gazette,” which the Ministry of Enterprises and Made in Italy must adopt “within one hundred and twenty days from the date of entry into force of this law” (which occurred on December 31, 2023). Currently, it appears that the aforementioned guidelines have not yet been adopted. The CCIAA of Romagna is aware of this circumstance, as it states that the issue of the divestment of the shares in Article 26 of the TUSPP (according to which public administrations can still maintain shares in listed companies held as of December 31, 2015) would have been “legislatively overcome” (with the aforementioned Article 19, precisely) and that, in any case, it remains “awaiting the guidelines provided for in paragraph 2 of the reported article”.</w:t>
      </w:r>
    </w:p>
    <w:p>
      <w:r>
        <w:t>Regarding the statements of the CCIAA of Romagna about the possibility of disregarding judgment No. 3880/2023 of the Council of State, it is recalled, in general terms, that the conforming effect of judgments – which, as is known, is an intrinsic part of the review by the administrative judge – consists in the obligation for the losing administration to take into account in its actions the indications and limits derived from the judicial ascertainment, as stated in the reasoning of the judicial provision in question.</w:t>
      </w:r>
    </w:p>
    <w:p>
      <w:r>
        <w:t>Regardless of the enforceability of the provisions of the judgment, in fact, the conforming effect entails the duty of the administration not to adopt acts that conflict with the judicial ascertainment and the consequent conforming effect.</w:t>
      </w:r>
    </w:p>
    <w:p>
      <w:r>
        <w:t>With respect to the issue of joint public control over Rimini Congressi (and, therefore, the indirect control of IEG) – the existence of which has been denied, most recently, in judgment No. 434/2023 of the Tar for Emilia Romagna (from which the non-applicability of Article 20 of the TUSPP would derive) – the CCIAA of Romagna, as seen, has reserved the right to await the outcomes of the pending judgments. On this point, it is noted that, contrary to what was asserted by the Tar – according to which “to configure a joint public control, it would be necessary to prove the existence of a written agreement concluded by the three public entities” – both the Council of State and the Court of Auditors have clearly recognized the existence of joint public control in cases, such as the one under discussion, of majority or total public capital, regardless of the existence of a written document.</w:t>
      </w:r>
    </w:p>
    <w:p>
      <w:r>
        <w:t>In any case, it is recalled that Article 4 of the TUSPP, in prohibiting public administrations from holding, directly or indirectly, corporate participations and in identifying the corporate participations exceptionally permitted, makes no reference to the situation of public control in which the company participated by the public entity finds itself.</w:t>
      </w:r>
    </w:p>
    <w:p>
      <w:r>
        <w:t>In conclusion, the situation referred to by the CCIAA of Romagna in the 2023 Plan remains, in substance, the same as previously noted by the Authority in the previous opinions pursuant to Article 21-bis of Law No. 287/1990, whose observations have been fully accepted by the Council of State, with the repeatedly cited judgment No. 3880/2023. The hypothesis regulated by Article 4, paragraph 7, of the TUSPP, in fact, must be interpreted strictly, in order to avoid that what represents a special prerogative granted by the legislator extends beyond the intentions of the norm, to include within it different services offered in competition in the market.</w:t>
      </w:r>
    </w:p>
    <w:p>
      <w:r>
        <w:t>Taking into account the above, the resolutions of the Junta No. 132 of December 21, 2023, and No. 133 of December 29, 2023, concerning the “Annual Rationalization Plan for Participations for the Year 2023” (and the related attachments) appear to be in contrast with Article 4, paragraph 7, of the TUSPP. In particular, it is believed that the maintenance, through the company IEG S.p.A., of participations in the sector of the setup of exhibition stands and the organization of events in general, is not consistent with what is established by the aforementioned Article 4, paragraph 7, and with the competitive principles that it intends to express, and that therefore such participations must be subject to divestment. In this perspective, it is deemed appropriate that the corporate purpose of IEG S.p.A. is also rationalized, making it compliant with what is provided by the norm.</w:t>
      </w:r>
    </w:p>
    <w:p>
      <w:r>
        <w:t>Pursuant to Article 21-bis, paragraph 2, of Law No. 287/1990, the CCIAA of Romagna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following thirty days.</w:t>
      </w:r>
    </w:p>
    <w:p>
      <w:r>
        <w:t>This opinion will be published in the Bulletin of the Antitrust Authority.</w:t>
      </w:r>
    </w:p>
    <w:p>
      <w:r>
        <w:t>THE PRESIDENT</w:t>
        <w:br/>
        <w:t>Roberto Rustichelli</w:t>
      </w:r>
    </w:p>
    <w:p>
      <w:r>
        <w:t>_______________________________________________________________________</w:t>
      </w:r>
    </w:p>
    <w:p>
      <w:r>
        <w:t>Press release regarding the Authority's decision not to appeal pursuant to Article 21-bis of Law No. 287/1990 against the resolutions of the Junta No. 132 of December 21, 2023 “Annual Rationalization Plan for Participations for the Year 2023 (Article 20 of Legislative Decree No. 175/2016) – Determinations” and No. 133 of December 29, 2023 “Annual Rationalization Plan for Participations for the Year 2023 (Article 20 of Legislative Decree No. 175/2016) – Integration” and related attachments.</w:t>
      </w:r>
    </w:p>
    <w:p>
      <w:r>
        <w:t>In its meeting of March 5, 2024, the Authority decided to send to the Chamber of Commerce of Romagna – Forlì, Cesena, and Rimini a motivated opinion pursuant to Article 21-bis of Law No. 287/1990, regarding the resolutions of the Chamber Junta No. 132 of December 21, 2023, containing “Annual Rationalization Plan for Participations for the Year 2023 (Article 20 of Legislative Decree No. 175/2016) – Determinations” and No. 133 of December 29, 2023, containing “Annual Rationalization Plan for Participations for the Year 2023 (Article 20 of Legislative Decree No. 175/2016) – Integration” and related attachments, adopted by virtue of the provisions of Article 20 of Legislative Decree No. 175/2016, containing the Consolidated Law on Public Participation Companies (“TUSPP”).</w:t>
      </w:r>
    </w:p>
    <w:p>
      <w:r>
        <w:rPr>
          <w:b/>
        </w:rPr>
        <w:t>[Pages 88–90]</w:t>
      </w:r>
    </w:p>
    <w:p>
      <w:r>
        <w:t>90 BULLETIN NO. 21 OF MAY 27, 2024</w:t>
      </w:r>
    </w:p>
    <w:p>
      <w:r>
        <w:t>In particular, the Authority prescribed the divestment of the stake held in the company Rimini Congressi S.r.l. (equal to 29.52%) – a public capital company, participated in, besides the same Chamber of Commerce, by the Municipality of Rimini (for 31.56%, through the wholly-owned company Rimini Holding S.p.A.) and by the Province of Rimini (for 28.63%) – which in turn controls, pursuant to Article 2359 of the Civil Code, the company Italian Exhibition Group S.p.A. (“IEG”), active both in the management of exhibition spaces in Rimini and Vicenza, and in the sector of the construction and setup of exhibition stands (through the company Prostand S.r.l., wholly owned by IEG itself).</w:t>
      </w:r>
    </w:p>
    <w:p>
      <w:r>
        <w:t>The Authority indeed considered that the activity of setting up exhibition stands, carried out through IEG, could not be deemed included in the exemption referred to in Article 4, paragraph 7, of the TUSPP – which admits “participations in companies whose predominant corporate purpose is the management of exhibition spaces and the organization of exhibition events” – and that the ownership of stakes in companies performing the aforementioned activity was not strictly necessary for the pursuit of the institutional objectives of the Chamber of Commerce of Romagna, as it encompassed within itself different services offered in competition in the market, as clarified also by the Council of State in judgment No. 3880/2023.</w:t>
      </w:r>
    </w:p>
    <w:p>
      <w:r>
        <w:t>In the cited opinion, the Authority also considered that the amendment of Article 4, paragraph 7, of the TUSPP, carried out by Article 19 of Law No. 214/2023, while now admitting participations in companies whose purpose includes activities, supplies, and services directly connected and functional to visitors and exhibitors, was not yet effective, according to what is expressly established by paragraph 2 of the same Article 19.</w:t>
      </w:r>
    </w:p>
    <w:p>
      <w:r>
        <w:t>Following the notification, which took place on March 7, 2024, of the reasoned opinion pursuant to Article 21-bis, the Chamber of Commerce of Romagna provided feedback on May 16, 2024, reaffirming the legitimacy of its actions, also based on the aforementioned legislative amendment and the recent judgment of the Council of State No. 4030 of May 3, 2024, which deemed the Authority's perspective no longer current.</w:t>
      </w:r>
    </w:p>
    <w:p>
      <w:r>
        <w:t>Therefore, the Authority, in its meeting on May 21, 2024, took note of the aforementioned judgment of the Council of State No. 4030/2024 and appropriately resolved not to appeal to the TAR for Emilia Romagna against the resolutions in question.</w:t>
      </w:r>
    </w:p>
    <w:p>
      <w:r>
        <w:t>BULLETIN NO. 21 OF MAY 27, 2024 91</w:t>
      </w:r>
    </w:p>
    <w:p>
      <w:r>
        <w:t>AS1970 – MUNICIPALITY OF CROTONE – URBAN HYGIENE SERVICE</w:t>
      </w:r>
    </w:p>
    <w:p>
      <w:r>
        <w:t>Rome, March 7, 2024</w:t>
      </w:r>
    </w:p>
    <w:p>
      <w:r>
        <w:t>Municipality of Crotone</w:t>
      </w:r>
    </w:p>
    <w:p>
      <w:r>
        <w:t>The Antitrust Authority, in its meeting on March 5, 2024, resolved to express an opinion pursuant to Article 21-bis of Law No. 287 of October 10, 1990, regarding the resolution of the City Council No. 222 of December 29, 2023, concerning “Choice of the management method for the collection and transport of municipal solid waste, urban hygiene service, and separate collection and assignment to Akrea SpA - Approval of the report prepared pursuant to Article 14, paragraph 3 of Legislative Decree No. 201 of December 23, 2022, as well as the Service Contract and the Regulations.” This resolution and the related attachments were published on January 8, 2024, on the official website of the National Anti-Corruption Authority in the specific section “Transparency SPL.”</w:t>
      </w:r>
    </w:p>
    <w:p>
      <w:r>
        <w:t>The resolution concerns the renewal of the in-house assignment of the integrated waste management service in favor of the company Azienda Krotonese per l’Energia e l’Ambiente S.p.A. (“AKREA”), wholly owned by the Municipality of Crotone, for a duration of 3 years, with an option for an extension for an additional year, unless immediate termination of the contract occurs following the identification of the managing entity by the Calabria Waste and Water Resources Authority (“ARRICAL”).</w:t>
      </w:r>
    </w:p>
    <w:p>
      <w:r>
        <w:t>The Authority intends to make some considerations regarding certain competitive critical aspects of the operation, related to the qualified motivation regarding the chosen form of assignment and the reasons for not resorting to the market.</w:t>
      </w:r>
    </w:p>
    <w:p>
      <w:r>
        <w:t>For assignments to in-house companies of local public services of economic relevance, Legislative Decree No. 201/2022 provides that, prior to the assignment procedure, the entity must account, in a specific report, for the outcomes of the evaluation on the choice of management method (Article 14, paragraphs 2 and 3). In the case of in-house assignments exceeding the thresholds of European relevance, moreover, local authorities adopt the resolution for the assignment of the service based on a qualified motivation that expressly accounts for the reasons for not resorting to the market for the efficient management of the service (Article 17, paragraph 2)1.</w:t>
      </w:r>
    </w:p>
    <w:p>
      <w:r>
        <w:t>1 In particular, pursuant to Article 17, paragraph 2, the resolution for the assignment of the service must be based on a qualified motivation that expressly accounts for the reasons for not resorting to the market for the efficient management of the service, illustrating, also based on the documents and indicators referred to in Articles 7, 8, and 9 of the decree, the benefits for the community of the chosen management form with regard to investments, service quality, service costs for users, impact on public finance,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Furthermore, based on paragraph 4 of the same Article 17, for local public services with networks, an economic-financial plan is attached to the resolution which, without prejudice to sector regulations, also contains the projection, on a three-year basis and for the entire duration of the assignment, of costs and revenues, investments and related financing, as well as the specification of the economic and asset structure of the company, the invested equity capital, and the amount of indebtedness, to be updated every three years.</w:t>
      </w:r>
    </w:p>
    <w:p>
      <w:r>
        <w:t>92 BULLETIN NO. 21 OF MAY 27, 2024</w:t>
      </w:r>
    </w:p>
    <w:p>
      <w:r>
        <w:t>In the report prepared pursuant to Article 17, paragraph 2, of Legislative Decree No. 201/2022, attached to the resolution of the City Council No. 222 of December 29, 2023 (also “Report”), along with the draft Service Contract between the parties (also “CdS”), the Municipality of Crotone offers various arguments in support of the choice not to resort to the market.</w:t>
      </w:r>
    </w:p>
    <w:p>
      <w:r>
        <w:t>Firstly, a Strengths, Weaknesses, Opportunities, Threats (“S.W.O.T.”) analysis is presented, from which a higher total score for the assignment to third parties (9 points) emerges, compared to the in-house assignment (8 points) and the assignment to a mixed company (-6 points). In any case, this analysis can at most assume an indicative value for the purpose of satisfying the obligation to provide a qualified motivation in support of the choice of in-house and the non-recourse to the market, as it is a generic and unsubstantiated description of the characteristics of each of the three alternative assignment methods, without concrete reference to the operation in question2.</w:t>
      </w:r>
    </w:p>
    <w:p>
      <w:r>
        <w:t>Regarding the qualitative performance of the in-house contractor, the Report states the percentage of separate collection achieved in the Municipality, showing the data from the last three years, which, although with an increasing trend, recorded a total of 19.11% in 2021, 22.81% in 2022, and 27.81% in 2023, in violation of the contractual objectives that required the company to reach 65% by the end of the previous assignment, that is, by the end of 2022 (the assignment was then extended with validity extended to all of 2023).</w:t>
      </w:r>
    </w:p>
    <w:p>
      <w:r>
        <w:t>This data constitutes a strongly significant indicator of the poor quality of the service, from the perspective of the broader benefits for users – including environmental and circular economy development – and the good use of public resources. It is therefore believed, given the clear insufficiency of the separate collection percentages, that this data constitutes a sufficient basis to express opinions on the quality levels of the service, even in the absence of further data on the achievement of other contractual objectives (e.g., quality provided, service levels) and/or on user satisfaction (perceived quality).</w:t>
      </w:r>
    </w:p>
    <w:p>
      <w:r>
        <w:t>Regarding this evidence, the Report, first of all, justifies the unsatisfactory result of the company by citing macroeconomic reasons (COVID-19 and the war in Ukraine) that would have caused “problems in the procurement of materials and in the proper functioning of the service,” without further elaboration. However, this justification cannot be considered exhaustive or sufficient to explain the enormous gap between the contractual objectives and the results achieved, also considering that the period the company had to achieve the contractual objective extends until the end of 2023 (2022 and 2023 are not, moreover, considered years directly affected by the COVID-19 emergency) and that, if macroeconomic reasons were indeed the main culprits, identical problems of separate collection would have emerged throughout the national territory3.</w:t>
      </w:r>
    </w:p>
    <w:p>
      <w:r>
        <w:t>2 The S.W.O.T. analysis contained in the Report also seems to contain some inaccuracies, which render the final result unreliable. By way of example and without pretensions of exhaustiveness, some are cited: in two cases, a score of 4 was assigned to the assignment to third parties, when the maximum allowed is 3; in the strengths, 3 points are recognized for the assignment to third parties in connection with the element “Long-standing experience gained by the in-house company in the reality and territory of the Municipality of Crotone,” 2 points for the mixed company, and only 1 point for the in-house; again in the strengths, regarding the element “Greater flexibility in adapting to changes in service execution needs compared to contractual forecasts,” 3 points are assigned to the assignment to third parties while 2 points are assigned to the in-house and 0 to the mixed company.</w:t>
      </w:r>
    </w:p>
    <w:p>
      <w:r>
        <w:t>3 Among other possible reasons, for example, in the Management Report attached to the 2022 Budget, the company reports objective difficulties in meeting the contractual objectives of separate collection due to a lack of means and equipment, a need that would however be ignored in the contractual agreements.</w:t>
      </w:r>
    </w:p>
    <w:p>
      <w:r>
        <w:rPr>
          <w:b/>
        </w:rPr>
        <w:t>[Pages 91–93]</w:t>
      </w:r>
    </w:p>
    <w:p>
      <w:r>
        <w:t>BULLETIN NO. 21 OF MAY 27, 2024</w:t>
      </w:r>
    </w:p>
    <w:p>
      <w:r>
        <w:t>93</w:t>
        <w:br/>
        <w:t>Secondly, the Municipality intervened by inserting an express resolutory clause in the new draft Service Contract, which is activated automatically in the event that the company fails to meet the established recycling targets due to causes solely attributable to itself. This solution, if not accompanied by the necessary investment and economic-financial forecasts suitable to ensure that the objectives are concrete and achievable, cannot be considered sufficient to remove the highlighted critical issues. It is not possible, in this regard, to assess whether the acquisition of means and equipment in the first quarter of 2023, thanks to the POR CALABRIA FESR-FSE 2014-20 funds, which "has allowed the implementation of recycling to begin, which is expected to achieve the objectives set by current regulations," will be sufficient for this purpose, especially given the absence of an industrial plan among the attachments.</w:t>
      </w:r>
    </w:p>
    <w:p>
      <w:r>
        <w:t>It is also noted that, in the survey pursuant to Article 30 of Legislative Decree No. 201/2022 on the performance of local public services as of December 31, 2023, adopted by the Municipality of Crotone4, the latter, after illustrating the critical issues characterizing the management by AKREA (particularly in achieving recycling targets), concludes by stating: "Based on the checks carried out on the management situation of the local public service of 'collection and transport of Urban Solid Waste - Urban Hygiene Service and Recycling Service' under 'house providing', from the above, the lack of recourse to the market is not justified" (emphasis added). It is also reported that, after the acquisition of means and equipment in 2023, the company has never responded to the request for a timeline on the increase in recycling performance from the client.</w:t>
      </w:r>
    </w:p>
    <w:p>
      <w:r>
        <w:t>Furthermore, although the Report includes a benchmark analysis showing that AKREA's offer is in line with the regional average per capita costs, it must be highlighted that the last three financial statements filed by the company indicate an operational management in distress, with revenues from core operations never able to cover the service management costs and consistently negative EBIT, generating a negative net result of €738 thousand in 2022 and net results close to zero in 2021 and 2020 (respectively, €7 thousand in 2021 and €1.1 thousand in 2020).</w:t>
      </w:r>
    </w:p>
    <w:p>
      <w:r>
        <w:t>In light of the observations made, the lack of a certified Economic-Financial Plan (also "PEF") attached to the awarding resolution – in addition to violating what is required by Article 17, paragraph 4, of Legislative Decree No. 201/2022 – constitutes a serious limitation, as it does not allow for verification of whether the economic-financial forecasts underlying the offer proposed by AKREA for the new assignment ensure the existence of economic-financial balance, in addition to the realization of the necessary structural interventions, also to meet the contractual objectives, and are formulated taking into account the regulatory framework established by ARERA.</w:t>
      </w:r>
    </w:p>
    <w:p>
      <w:r>
        <w:t>It is therefore noted that there is a lack or inadequacy in the description of the qualitative and economic-financial elements provided by Legislative Decree No. 201/2022 to support the potential convenience of the operation compared to recourse to the market, particularly referring to: the assessment of the results expected in relation to the various alternatives, as required by Article 14, paragraph 2; the justification for the choice to entrust to an in-house company, also considering the "results of any previous management of the same service in terms of effects on public finance, the quality of the service offered, costs for the local authority and for users, and investments made," as provided by the same Article 14, paragraph 2; similarly, pursuant to Article 17, paragraph 2, the request to also consider the results achieved in any previous in-house management, taking into account the data and information resulting from the periodic checks referred to in Article 30; references to indicators and acts prescribed by ARERA, such as, among others, PEF schemes, the tariff method, the value of fair remuneration of capital, minimum quality levels, pursuant to Article 17, paragraph 2; finally, the necessity to attach a certified PEF, as required by Article 17, paragraph 4.</w:t>
      </w:r>
    </w:p>
    <w:p>
      <w:r>
        <w:t>Lastly, the awarding resolution asserts the greater convenience of in-house providing, citing, among other reasons, the possibility of establishing synergistic relationships between the partner, who has a more penetrating influence on the service than would be the case with a third party, and the entity called to operationally implement them, and the greater flexibility of service adjustment, which can be adapted to changing contextual needs without the need to modify the contractual relationship.</w:t>
      </w:r>
    </w:p>
    <w:p>
      <w:r>
        <w:t>The Authority believes that these arguments are fallacious and inadequate to justify the form of assignment chosen by the entity, as they fail to consider that the invoked synergy between the awarding entity and the service manager is a typical and inherent consequence of any in-house assignment and, if the parameter for evaluating its legitimacy were this, the use of such a form of assignment would be the general rule. Moreover, even assuming that negotiations to differently modulate the contractual elements in the event of changing service needs may be facilitated by the in-house nature of the manager, it cannot certainly be claimed that the transaction costs incurred to reach a shared solution are, by virtue of the same, nonexistent or eliminated5.</w:t>
      </w:r>
    </w:p>
    <w:p>
      <w:r>
        <w:t>The entity should rather demonstrate that the choice of in-house assignment is justified by taking into account all the technical, economic-financial, and qualitative parameters identified by Article 14 of Legislative Decree No. 201/2022 in the phase of choosing the method of assignment of the local public service, as well as those subsequently required at the time of adopting the in-house assignment resolution by Article 17 of the same decree.</w:t>
      </w:r>
    </w:p>
    <w:p>
      <w:r>
        <w:t>In conclusion, the resolution of the Municipality of Crotone indicated in the preamble, concerning the assignment to the in-house company AKREA S.p.A. of the integrated management service of urban waste in the reference territory, is deemed illegitimate due to the significant lack of qualified motivation regarding the form of assignment chosen and the reasons for the lack of recourse to the market, in violation of Articles 14 and 17 of Legislative Decree No. 201/2022.</w:t>
      </w:r>
    </w:p>
    <w:p>
      <w:r>
        <w:t>The Authority believes that the described violations have a clear anti-competitive impact, as they are capable of unjustifiably limiting the possibility for efficient operators active in the integrated urban waste management service to manage the service following a competitive public evidence procedure or through an assignment with alternative methods compliant with current regulations. Moreover, the recent regulations introduced by Legislative Decree No. 201/2022 aim, among other things, to protect and promote competition (see Article 1, paragraph 3).</w:t>
      </w:r>
    </w:p>
    <w:p>
      <w:r>
        <w:t>Pursuant to Article 21-bis, paragraph 2, of Law No. 287/1990, the Municipality of Crotone must communicate to the Authority, within sixty days of receiving this opinion, the initiatives taken to remove the aforementioned competition violations.</w:t>
      </w:r>
    </w:p>
    <w:p>
      <w:r>
        <w:t>5 See AS1936 (S4772), Rome Capital - In-house assignment of the local public transport service not peripheral for the years 2024 to 2027, in Bulletin No. 4/2024.</w:t>
      </w:r>
    </w:p>
    <w:p>
      <w:r>
        <w:t>BULLETIN NO. 21 OF MAY 27, 2024</w:t>
      </w:r>
    </w:p>
    <w:p>
      <w:r>
        <w:t>95</w:t>
        <w:br/>
        <w:t>If within the aforementioned term such initiatives do not prove to be compliant with the competitive principles underlying the violated regulations, the Authority may file an appeal within the following thirty days.</w:t>
      </w:r>
    </w:p>
    <w:p>
      <w:r>
        <w:t>THE PRESIDENT</w:t>
        <w:br/>
        <w:t>Roberto Rustichelli</w:t>
      </w:r>
    </w:p>
    <w:p>
      <w:r>
        <w:t>_______________________________________________________________________</w:t>
      </w:r>
    </w:p>
    <w:p>
      <w:r>
        <w:t>Announcement regarding the Municipality of Crotone's compliance with the motivated opinion expressed by the Authority pursuant to Article 21-bis of Law No. 287/1990, concerning the resolution of the City Council No. 222 of December 29, 2023.</w:t>
      </w:r>
    </w:p>
    <w:p>
      <w:r>
        <w:t>The Authority, on March 5, 2024, resolved to issue a motivated opinion, pursuant to Article 21-bis of Law No. 287/1990, on the resolution of the City Council No. 222 of December 29, 2023, concerning the in-house assignment to the company AKREA S.p.A. of the urban waste management service for three years, extendable for an additional year, unless immediate termination of the contract occurs following the identification of the managing entity by the Authority for Waste and Water Resources Calabria.</w:t>
      </w:r>
    </w:p>
    <w:p>
      <w:r>
        <w:t>The Authority indeed deemed this resolution illegitimate as it is in contrast with Articles 14 and 17 of Legislative Decree No. 201/2022, particularly due to the significant lack of qualified motivation regarding the form of assignment chosen and the reasons for the lack of recourse to the market and for not attaching the Economic-Financial Plan ("PEF") to the awarding resolution.</w:t>
      </w:r>
    </w:p>
    <w:p>
      <w:r>
        <w:t>On May 6 and May 17, 2024, the Municipality of Crotone responded to the motivated opinion, sending the resolution of City Council No. 47 of May 16, 2024, and related attachments, which, while confirming the in-house assignment to the company AKREA S.p.A. of the waste management service for three years, extendable for one year, modified and supplemented the previous awarding resolution, which was subject to criticism, by attaching new documents, such as the Economic-Financial Plan 2024-2027 and the Industrial Plan 2024-2026, and revising the previous attachments, such as the report pursuant to Article 17 of Legislative Decree No. 201/2022, the contract, and the service specifications, thus fulfilling the obligation to provide qualified motivation regarding the form of assignment chosen and the reasons for the lack of recourse to the market pursuant to Articles 14 and 17 of Legislative Decree No. 201/2022.</w:t>
      </w:r>
    </w:p>
    <w:p>
      <w:r>
        <w:t>Therefore, having noted the Municipality of Crotone's compliance with the motivated opinion of March 5, 2024, transmitted on March 7, 2024, the Authority resolved, in the meeting of May 21, 2024, not to appeal to the TAR Calabria against the determination in question.</w:t>
      </w:r>
    </w:p>
    <w:p>
      <w:r>
        <w:rPr>
          <w:b/>
        </w:rPr>
        <w:t>[Pages 94–96]</w:t>
      </w:r>
    </w:p>
    <w:p>
      <w:r>
        <w:t>96 BULLETIN NO. 21 OF MAY 27, 2024</w:t>
      </w:r>
    </w:p>
    <w:p>
      <w:r>
        <w:t>AS1971 – PORT SYSTEM AUTHORITY OF THE TYRRHENIAN SEA – STATE MARITIME CONCESSIONS</w:t>
      </w:r>
    </w:p>
    <w:p>
      <w:r>
        <w:t>Rome, March 14, 2024</w:t>
      </w:r>
    </w:p>
    <w:p>
      <w:r>
        <w:t>Port System Authority of the Tyrrhenian Sea Central</w:t>
      </w:r>
    </w:p>
    <w:p>
      <w:r>
        <w:t>The Antitrust Authority, in its meeting on March 12, 2024, resolved to express its opinion, pursuant to Article 21-bis of Law No. 287 of October 10, 1990, regarding the following acts of the Port System Authority of the Central Tyrrhenian Sea (hereinafter "AdSP MTC"), known to the Authority following a report received on January 15, 2024:</w:t>
      </w:r>
    </w:p>
    <w:p>
      <w:r>
        <w:t>- Resolution of the President of AdSP MTC No. 52 of March 20, 2023, concerning "Application of Law No. 118 of August 5, 2022 'Annual Law for the Market and Competition 2021', for the concessions provided therein in force within the territorial jurisdiction of the Port System Authority of the Central Tyrrhenian Sea – application methods and operational scope";</w:t>
        <w:br/>
        <w:t>- "Notice of publication to be posted on the bulletin board of AdSP MTC, the Municipality, and the Port Authority of Naples (Article 18 r.c.n. and Article 8 and following of Law No. 241/90)" protocol No. May 24, 2023, No. 14645.</w:t>
      </w:r>
    </w:p>
    <w:p>
      <w:r>
        <w:t>With the aforementioned Resolution No. 52/2023, the President of AdSP ordered that, pursuant to the original wording of Article 3, paragraph 3, of Law No. 118/2022, "a specific act of certification of acknowledgment of the validity and continuation of the existing concession relationships be issued," as well as the initiation of preliminary analysis activities of the selective procedures to be carried out by the final deadline "of the duration of the existing concessions, [which] cannot extend beyond that referred to in paragraph 3 of Law No. 118/2022 in its original wording, namely December 31, 2024."</w:t>
      </w:r>
    </w:p>
    <w:p>
      <w:r>
        <w:t>In Resolution No. 52/2023, the reasons justifying such deferral are therefore reported, namely: i) the objective difficulties related to the failure to adopt the legislative decrees for reorganization; ii) the issues concerning the free acquisition of the works carried out by the outgoing concessionaires to the state property as per Article 49 of Royal Decree No. 327/1942 (Navigation Code); iii) the ongoing procedure regarding the redefinition of the areas of competence and the updating of the SID Portale mare for the transfer from AdSP MTC to the Municipality of Naples of the management of the coastal state property included between La Pietra and Pietrarsa; iv) the forecast of infrastructural interventions in the port area synergistic and complementary to the PNRR; the realization of port infrastructures for which design is underway and which will impact the validity of the concessions for docks and water mirrors.</w:t>
      </w:r>
    </w:p>
    <w:p>
      <w:r>
        <w:t>Following this resolution, the Notice was published pursuant to Article 18 of the Implementation Regulation of the Navigation Code, indicating the sixty-seven holders of maritime state concessions who formalized their intention to confirm the ongoing validity of the concession in application of Article 3, paragraph 1, of Law No. 118/2022.</w:t>
      </w:r>
    </w:p>
    <w:p>
      <w:r>
        <w:t>In this regard, the Authority intends to make the following considerations regarding various competitive critical issues arising from the extension provided by Resolution No. 52/2023 and subsequent related acts, taking into account the response to the request for information received on February 15, 2024 (hereinafter, "the note of February 15, 2024").</w:t>
      </w:r>
    </w:p>
    <w:p>
      <w:r>
        <w:t>Preliminarily, the Authority deems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fair competitive comparison.</w:t>
      </w:r>
    </w:p>
    <w:p>
      <w:r>
        <w:t>With specific reference to extensions, the Authority has repeatedly emphasized that the continued recourse to this instrument violates the principles of competition to the extent that it prevents competitive confrontation for the market, which should be guaranteed in the awarding of services affecting scarce state resources, and favors the distorting effects associated with unjustified rents of position attributed to concessionaires. During the two-year period 2020-2021, in particular, the Authority invited multiple municipal administrations to disapply the national legislation underlying the determinations for the extension of maritime state concessions for tourism and recreational purposes due to conflict with Articles 49 and 56 TFEU and with Article 12 of Directive 2006/123/EC (the so-called "Services Directive"). As is known, in fact, Member States are required to comply with the principles and provisions of EU law, and where domestic legislation conflicts with European Union law, its disapplication is imposed.</w:t>
      </w:r>
    </w:p>
    <w:p>
      <w:r>
        <w:t>The Authority also points out since 2018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adequate remuneration of the asset, allowing for the transfer of a greater part of the rent to the community.</w:t>
      </w:r>
    </w:p>
    <w:p>
      <w:r>
        <w:t>The Authority, moreover, has highlighted that the incompatibility with EU law of the extension without competitive confrontation of maritime state concessions for tourism and recreational purposes has been addressed by the Plenary Assembly of the Council of State with the noted judgments No. 17 and No. 18 of November 9, 2021. With judgment No. 32559 of November 23, 2023,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in which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t>The Joint Sections declared all other grounds of appeal absorbed (including those alleging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after the contested judgment, their legislative powers."</w:t>
      </w:r>
    </w:p>
    <w:p>
      <w:r>
        <w:t>Lastly, specifically regarding the extensions of maritime state concessions, the Court of Justice of the EU, with judgment of April 20, 2023, AGCM (Municipality of Ginosa), C-348/2022, ECLI:EU:C:2023:301, stated: (i) the immediately enforceable nature of Article 12 of the Services Directive, as both the obligation for Member States to apply an impartial and transparent selection procedure among potential candidates and the prohibition of automatically renewing an authorization granted for a specific activity are stated in an unconditional and sufficiently precise manner; (ii) the obligation not only for the judge but also for state administrations, including municipal ones, to disapply national legislation that conflicts with that of the Union.</w:t>
      </w:r>
    </w:p>
    <w:p>
      <w:r>
        <w:t>Given the above, in the case at hand, the Authority believes that the extension in favor of the previous concessionaires arranged by AdSP MTC with Resolution No. 52/2023 and the Notice of May 24, 2023, violates the referenced regulations.</w:t>
      </w:r>
    </w:p>
    <w:p>
      <w:r>
        <w:t>In general, it is noted that, with reference to the extension of existing state concessions beyond December 31, 2023, as early as 2021, the Plenary Assembly of the Council of State stated that beyond December 31, 2023, state concessions "even in the absence of legislative regulation, will cease to produce effects, despite any further legislative extension that may occur in the meantime, which should be considered without effect because it conflicts with the rules of the EU legal system" and, therefore, is disappliable by the administrative judge and any administrative body.</w:t>
      </w:r>
    </w:p>
    <w:p>
      <w:r>
        <w:t>More recently, the Council of State affirmed the "direct conflict" of the new provision contained in Article 10-quater, paragraph 3, of Decree-Law No. 198 of December 29, 2022, converted into Law No. 14 of February 24, 2023, with Article 12 of the Services Directive and clarified that the principles established by the judgment of the Plenary Assembly No. 17/2021 are fully applicable and binding, with the consequence that national rules that have provided or that may provide in the future for the automatic extension of maritime state concessions are in conflict with Article 49 TFEU and with Article 12 of the Services Directive and must not be applied by judges or by public administration.</w:t>
      </w:r>
    </w:p>
    <w:p>
      <w:r>
        <w:rPr>
          <w:b/>
        </w:rPr>
        <w:t>[Pages 97–99]</w:t>
      </w:r>
    </w:p>
    <w:p>
      <w:r>
        <w:t>BULLETIN NO. 21 OF MAY 27, 2024</w:t>
      </w:r>
    </w:p>
    <w:p>
      <w:r>
        <w:t>99</w:t>
        <w:br/>
        <w:t>Both the national judge and the European judge10 have thus affirmed the obligation to proceed with public procurement procedures for the granting of state maritime concessions for tourism and recreational purposes, in application of the general principles for the protection of competition expressed by Article 49 TFEU and Article 12, paragraphs 1 and 2, of the Services Directive.</w:t>
      </w:r>
    </w:p>
    <w:p>
      <w:r>
        <w:t>In light of the above, therefore, AdSP MTC, rather than resorting to the extension of the concessions, should have proceeded, in implementation of competitive principles, to disapply the national legislation that conflicts with EU law and to initiate tender procedures aimed at new grants for expired concessions.</w:t>
      </w:r>
    </w:p>
    <w:p>
      <w:r>
        <w:t>Additionally, the illegitimacy of the legal basis used in Resolution No. 52/2023 and referenced in subsequent acts must be noted, as well as the unfoundedness of the arguments presented in support of the deferral/extension of the concessions.</w:t>
      </w:r>
    </w:p>
    <w:p>
      <w:r>
        <w:t>Firstly, AdSP MTC claims to apply the original wording of Article 3, paragraph 3, of Law No. 118/2022. The reference to a norm that no longer exists in the legal system, and which for this reason cannot be the basis for an administrative decision, appears to be a ploy to evade the expiration of the transitional period indicated by the Plenary Assembly of the Council of State and, therefore, to prevent the application of EU legislation and the opening of the market for state maritime concessions to competition, thus preventing the benefits that would arise from awarding through public procurement procedures.</w:t>
      </w:r>
    </w:p>
    <w:p>
      <w:r>
        <w:t>That said regarding the impossibility of applying a norm that is no longer in force in the legal system, it must be noted that AdSP MTC has incorrectly interpreted what is provided by Article 3, paragraph 3, of Law No. 118/2022. The norm in question, in fact, restricts the possibility of further deferring the duration of the concessions to entirely exceptional cases related to specific circumstances that prevent the conclusion of the selection procedure. Being a derogatory norm, paragraph 3 of Article 3 of the aforementioned Law No. 118/2022 can only be interpreted restrictively. Therefore, for the norm to be applicable, it seems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can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AdSP MTC and taking into account the unfoundedness of the reasons presented in the resolution in support of the extension/deferral.</w:t>
      </w:r>
    </w:p>
    <w:p>
      <w:r>
        <w:t>In this case, in fact, although the note of February 15, 2024, and the documentation attached to it indicate that AdSP MTC has indeed carried out some preparatory activities for the conduct of the tenders (such as the preparation of a study group11 and the convening of a conference of services with the entities involved on the coast of Naples12), AdSP MTC has not initiated the selection procedures for the assignment of new concessions, nonetheless claiming that it must wait for the adoption of the reorganization decrees of the regulation. Furthermore, Resolution No. 52/2023, as confirmed in the note of February 15, 2024, and by the further documentation sent, attests to a generic, future, and uncertain intent to call for tenders for the assignment of concessions, without specifying which concessions it actually intends to proceed with public procurement and the concrete modalities for carrying them out. In particular, it does not appear that the tender notices have yet been prepared, nor the specifications, and no timeline is provided regarding the conduct of the tender procedures.</w:t>
      </w:r>
    </w:p>
    <w:p>
      <w:r>
        <w:t>In this regard, the Authority believes that, even in the absence of internal legislation reorganizing the matter, the principles that must inspire the conduct of the tenders and the criteria to be used in the preparation of the tender notices have been precisely indicated by the Council of State in 2021, deriving them from Article 12 of the Services Directive. The absence of a comprehensive national legislative framework cannot, therefore, translate into a legitimate reason to support the extension of the duration of the concessions, also considering that the legislative delegation provided for in Article 4 of Law No. 118/2022 has expired without being exercised.</w:t>
      </w:r>
    </w:p>
    <w:p>
      <w:r>
        <w:t>Secondly, while maintaining what has been stated regarding the impossibility of invoking the aforementioned paragraph 3 of Article 3 of the cited Law No. 118/2022 to justify a generalized extension of all existing concessions under the jurisdiction of AdSP MTC - considering, moreover, that AdSP MTC has not even initiated the selection procedures - the issues related to Article 49 of the Navigation Code, the ongoing procedures for redefining the areas of competence, and the infrastructural interventions within the port area do not constitute objective and exceptional reasons related to the specificity of the individual tender procedures.</w:t>
      </w:r>
    </w:p>
    <w:p>
      <w:r>
        <w:t>Firstly, the necessity to resolve interpretative issues related to Article 49 of the Navigation Code, which governs the situations in which, once the concession has lapsed, the State acts to acquire non-removable works built on state property, cannot be considered a valid argument in support of the extension. This is because the value of any investments made by the outgoing operator and not yet amortized by the end of the concession, for which sale on a secondary market is not possible, can be put as a basis for the auction in the subsequent selection procedure. In this way, the need to reimburse the unrecovered costs incurred by the outgoing concessionaire would be compatible with awarding procedures consistent with both competition principles and incentives to make investments.</w:t>
      </w:r>
    </w:p>
    <w:p>
      <w:r>
        <w:t>Secondly, the ongoing procedure for redefining the areas of competence between AdSP MTC and the Municipality of Naples cannot be considered a decisive argument to justify the extensions of the concessions, given the indeterminate timing for the complete definition of the procedure and thus the circumstance that in the meantime the currently competent entity, namely AdSP MTC, could have carried out the tender procedures for the assignment of new concessions.</w:t>
      </w:r>
    </w:p>
    <w:p>
      <w:r>
        <w:t>Finally, the realization of new port infrastructures cannot be considered an obstacle to the conduct of tenders, considering that this circumstance only concerns a limited number of areas under concession and that, moreover, according to what was stated in the note of February 15, 2024, such interventions are still in the design and approval phase.</w:t>
      </w:r>
    </w:p>
    <w:p>
      <w:r>
        <w:t>In light of the considerations made, the Authority believes that AdSP MTC should have disapplied the national legislation underlying the Resolution of the President of the Port System Authority of the Central Tyrrhenian Sea of March 20, 2023, No. 52, and the "Notice of publication to be posted on the bulletin board of AdSP MTC, the Municipality, and the Port Authority of Naples (Article 18 r.c.n. and Article 8 and following of Law 241/90)" protocol No. May 24, 2023, No. 14645, as well as the consequent acts, for conflict with the principles and with the EU legislation referenced and proceed with the conduct of tender procedures that respect the principles of fairness, transparency, and non-discrimination. The provisions relating to the deferral of the deadline for state maritime concessions for tourism and recreational purposes contained in such measures and in the related acts constitute, in fact, specific violations of competition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resolution of AdSP MTC in question, the Notice of May 24, 2023, and subsequent related acts are in conflict with Article 49 TFEU, as they unjustifiably limit the freedom of establishment and the free movement of services in the internal market, as well as with the EU regulatory provisions regarding public procurement, with particular reference to Article 12 of the so-called Services Directive.</w:t>
      </w:r>
    </w:p>
    <w:p>
      <w:r>
        <w:t>Pursuant to Article 21-bis, paragraph 2, of Law No. 287/1990, AdSP MTC must communicate to the Authority within sixty days from the receipt of this opinion, the initiatives taken to remove the violations of competition exposed. If within the aforementioned term such initiatives do not prove to be compliant with the competition principles expressed above, the Authority may file an appeal within the following thirty days.</w:t>
      </w:r>
    </w:p>
    <w:p>
      <w:r>
        <w:t>THE PRESIDENT</w:t>
        <w:br/>
        <w:t>Roberto Rustichelli</w:t>
      </w:r>
    </w:p>
    <w:p>
      <w:r>
        <w:t>_____________________________________________________________________________</w:t>
      </w:r>
    </w:p>
    <w:p>
      <w:r>
        <w:t>Communication regarding the Authority's decision not to appeal pursuant to Article 21-bis of Law No. 287/1990 against the Resolution of the President of the Port System Authority of the Central Tyrrhenian Sea of March 20, 2023, No. 52, concerning "Application of Law No. 118 of August 5, 2022, 'Annual Law for the Market and Competition 2021', for the concessions provided therein in force within the territorial jurisdiction of the Port System Authority of the Central Tyrrhenian Sea – application modalities and operational scope" and the "Notice of publication to be posted on the bulletin board of AdSP MTC, the Municipality, and the Port Authority of Naples (Article 18 r.c.n. and Article 8 and following of Law 241/90)"</w:t>
      </w:r>
    </w:p>
    <w:p>
      <w:r>
        <w:t>The Authority, on March 12, 2024, resolved to issue a reasoned opinion to the Port System Authority of the Central Tyrrhenian Sea pursuant to Article 21-bis of Law No. 287/1990, regarding the Resolution of the President of the Port Authority of the Central Tyrrhenian Sea ("AdSP MTC") of March 20, 2023, No. 52, concerning "Application of Law No. 118 of August 5, 2022, 'Annual Law for the Market and Competition 2021', for the concessions provided therein in force within the territorial jurisdiction of the Port System Authority of the Central Tyrrhenian Sea – application modalities and operational scope" and the "Notice of publication to be posted on the bulletin board of AdSP MTC, the Municipality, and the Port Authority of Naples (Article 18 r.c.n. and Article 8 and following...</w:t>
      </w:r>
    </w:p>
    <w:p>
      <w:r>
        <w:rPr>
          <w:b/>
        </w:rPr>
        <w:t>[Pages 100–102]</w:t>
      </w:r>
    </w:p>
    <w:p>
      <w:r>
        <w:t>102 BULLETIN NO. 21 OF MAY 27, 2024</w:t>
      </w:r>
    </w:p>
    <w:p>
      <w:r>
        <w:t>of Law 241/90)”, known to the Authority following a report received on January 15, 2024. In its opinion, the Authority considered that the Port System Authority of the Central Tyrrhenian Sea should have disapplied the national legislation underlying the Resolution of the President of AdSP MTC of March 20, 2023, No. 52, and the Notice of publication of May 24, 2023, due to its conflict with the principles and the EU regulations referred to in Article 49 TFEU and Article 12 of Directive 2006/123/EC (the so-called Services Directive) and should proceed with the conduct of tender procedures that respect the principles of fairness, transparency, and non-discrimination. The provisions regarding the deferral of the term of maritime state concessions for tourism and recreational purposes contained in these acts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 On May 9, 2024, AdSP MTC responded to the motivated opinion by sending the Resolution of the President of AdSP MTC No. 132/2024, concerning “Application of Law August 5, 2022, No. 118 'Annual Law for the Market and Competition 2021', for the concessions provided therein in the territory of the Port System Authority of the Central Tyrrhenian Sea – Start of public evidence procedures.” With this Resolution, the annulment of Resolution No. 52/2023, which was the subject of the motivated opinion, was ordered, and the start of public evidence procedures aimed at the assignment of maritime state concessions under Law 118/2022 was initiated, in order to conclude them within the current year. In Resolution No. 132/2024, in particular, AdSP MTC orders the activation of public evidence procedures in accordance with the principles of the Navigation Code and with the cross-cutting principles of transparency, impartiality, and non-discrimination, specifying that such procedures or the notices of publication must indicate the maritime state areas under concession, the maximum duration, and the concession fee. In the motivational part of the same resolution, AdSP-MTC states that it intends to carry out procedures for the assignment of state concessions in line with the indications from EU regulations and the jurisprudence in the matter, as well as the principles and directive criteria established by Article 4 of Law No. 118/2022. Therefore, having noted the initiatives taken by the Port System Authority of the Central Tyrrhenian Sea and the deadline for the public evidence procedures subject to the resolution of the President of AdSP-MTC, in the meeting of May 21, 2024, the Authority decided not to appeal to the TAR for Campania against the measures in question.</w:t>
      </w:r>
    </w:p>
    <w:p>
      <w:r>
        <w:t>BULLETIN NO. 21 OF MAY 27, 2024 103</w:t>
      </w:r>
    </w:p>
    <w:p>
      <w:r>
        <w:t>AS1972 – MUNICIPALITY OF BELLARIA IGEA MARINA (RN) – MARITIME STATE CONCESSIONS</w:t>
      </w:r>
    </w:p>
    <w:p>
      <w:r>
        <w:t>Rome, March 14, 2024</w:t>
      </w:r>
    </w:p>
    <w:p>
      <w:r>
        <w:t>Municipality of Bellaria Igea Marina</w:t>
      </w:r>
    </w:p>
    <w:p>
      <w:r>
        <w:t>The Antitrust Authority, in its meeting of March 12, 2024, decided to express its opinion, pursuant to Article 21-bis of Law October 10, 1990, No. 287, regarding the Resolution of the City Council of Bellaria Igea Marina of December 28, 2023, No. 218, concerning “Guidelines regarding the exercise of administrative functions in the matter of maritime state property and for the application of what is provided for by Law August 5, 2022, No. 118 and by decisions No. 17/2021 and No. 18/2021 taken by the Plenary Assembly of the Council of State and by the judgment of April 20, 2023, of the Court of Justice C-348/2022,” transmitted with a report received on January 15, 2024. With the aforementioned measure, the Municipality decided to identify “by December 31, 2024, the deadline for the concessions previously subject to legal extensions due to the need for continuity of service and the other interests listed in the premises of this act,” mandating the Heads of the competent offices to organize the offices and to proceed with the prompt initiation of reassignment procedures, “recognizing the strategic nature of any requests made by parties pursuant to the combined provisions of Articles 36 and 37 of the Navigation Code and Article 18 of the Regulation for the execution of the Navigation Code” and to define a “standard specification for the tender procedures.” In this regard, the Authority intends to make the following considerations regarding various profiles of competitive criticality arising from the extension provided by Resolution No. 218/2023, taking into account the response to the request for information received on February 16, 2024 (hereinafter, “the note of February 16, 2024”). Preliminary, the Authority deems it necessary to recall its numerous interventions regarding maritime state concessions for tourism and recreational purposes aimed at censuring both the unjustified extensions of existing concessions and the provisions contained in the selective procedures initiated for the assignment of new concessions that could prejudice the correct competitive comparison. With specific reference to the extensions, the Authority has repeatedly emphasized that the continuous recourse to this instrument violates the principles of competition to the extent that it prevents the competitive comparison for the market, which should be guaranteed in the awarding of services affecting scarce state resources, and favors the distorting effects associated with unjustified rents of position attributed to concessionaires. During the two-year period 2020-2021, in particular, the Authority invited multiple municipal administrations to disapply the national legislation underlying the determinations for the extension of maritime state concessions for tourism and recreational purposes due to their conflict with Articles 49 and 56 TFEU and with Article 12 of Directive 2006/123/EC (the so-called “Services Directive”). As is known, in fact, Member States are required to comply with the principles and provisions of EU law, and where domestic legislation conflicts with European Union law, its disapplication is imposed. Given the above, in the case at hand, the Authority believes that the extension in favor of the previous concessionaires arranged by the Municipality of Bellaria Igea Marina with Resolution No. 218/2023 violates the referenced regulations, as it evades the deadline of December 31, 2023, of the transitional period indicated by the Plenary Assembly of the Council of State and thus aims to prevent, or in any case delay, the application of EU law and the opening to competition of the market for maritime state concessions, thus preventing the benefits that would arise from awarding through public evidence procedures. It is worth noting that, in the twin judgments of 2021, the Plenary Assembly of the Council of State stated that, beyond December 31, 2023, existing state concessions “even in the absence of a legislative framework, will cease to produce effects, despite any further legislative extension that may occur in the meantime, which should be considered without effect because it conflicts with the rules of the EU legal system.”</w:t>
      </w:r>
    </w:p>
    <w:p>
      <w:r>
        <w:rPr>
          <w:b/>
        </w:rPr>
        <w:t>[Pages 103–105]</w:t>
      </w:r>
    </w:p>
    <w:p>
      <w:r>
        <w:t>BULLETIN NO. 21 OF MAY 27, 2024</w:t>
      </w:r>
    </w:p>
    <w:p>
      <w:r>
        <w:t>absence of a legislative regulation, […] will cease to produce effects, despite any further legislative extension that may occur in the meantime, which should be considered without effect because it conflicts with the rules of the EU legal system.” Therefore, it is disapplied by the administrative judge and any administrative body.</w:t>
      </w:r>
    </w:p>
    <w:p>
      <w:r>
        <w:t>More recently, the Council of State has affirmed the "direct conflict" of the new provision contained in Article 10-quater, paragraph 3, of Decree-Law No. 198 of December 29, 2022, converted into Law No. 14 of February 24, 2023, with Article 12 of the Services Directive8 and clarified that the principles established by the ruling of the Plenary Assembly No. 17/2021 are fully applicable and binding, with the consequence that national rules that have provided or will provide in the future for the automatic extension of maritime state concessions are in conflict with Article 49 TFEU and Article 12 of the Services Directive and must not be applied by judges or public administration9.</w:t>
      </w:r>
    </w:p>
    <w:p>
      <w:r>
        <w:t>It is emphasized, therefore, that both the national and European judges have affirmed the obligation to proceed with public procurement procedures for the granting of maritime state concessions for tourism and recreational purposes, in application of the general principles protecting competition expressed by Article 49 TFEU and Article 12, paragraphs 1 and 2, of the Services Directive.</w:t>
      </w:r>
    </w:p>
    <w:p>
      <w:r>
        <w:t>In light of the above, therefore, the Municipality of Bellaria Igea Marina, rather than resorting to the deferral of concessions, should have proceeded, in implementation of the aforementioned competitive principles, to disapply the national legislation in conflict with EU law and to announce tender procedures aimed at new grants for expired concessions.</w:t>
      </w:r>
    </w:p>
    <w:p>
      <w:r>
        <w:t>Conversely, in the case at hand, not only did the Municipality not initiate the selective procedures for the assignment of new concessions, but the Resolution in question, as confirmed in the note of February 16, 2024, attests to a generic, future, and uncertain intent to announce tenders for the assignment of concessions, without specifying for which concessions the Municipality actually intends to proceed with public procurement and the concrete modalities for carrying them out. In particular, no tender notices and standard specifications appear to have been prepared yet, nor is any timeline provided regarding the conduct of the tender procedures. On the contrary, in the note, the Supreme Sections declared all other grounds for appeal absorbed (including those complaining of violations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having Parliament and the Government exercised the legislative powers that belong to them after the contested ruling."</w:t>
      </w:r>
    </w:p>
    <w:p>
      <w:r>
        <w:t>8 See Council of State, March 1, 2023, No. 2192, according to which "based on what was stated by the Plenary Assembly, with the aforementioned rulings Nos. 17 and 18 of 2021, not only paragraphs 682 and 683 of Article 1 of Law No. 145/2018, but also the new provision contained in Article 10-quater, paragraph 3, of Decree-Law No. 198 of December 29, 2022, converted into Law No. 14 of February 24, 2023, which provides for the automatic extension of existing maritime state concessions, is in direct conflict with the aforementioned regulation of Article 12 of Directive No. 2006/123/EC, and must consequently be disapplied by any state body."</w:t>
      </w:r>
    </w:p>
    <w:p>
      <w:r>
        <w:t>9 See Council of State, December 27, 2023, No. 11200. According to what is stated in the ruling "although extension acts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by law, which has essentially legalized the extension measures by extending their duration; the non-application of the law implies, therefore, that the effects produced by it on already granted concessions must also be considered tamquam non esset, regardless of the presence or absence of a declaratory act of the legal effect of extension adopted by the public administration or the existence of a final judgment."</w:t>
      </w:r>
    </w:p>
    <w:p>
      <w:r>
        <w:t>106 BULLETIN NO. 21 OF MAY 27, 2024</w:t>
      </w:r>
    </w:p>
    <w:p>
      <w:r>
        <w:t>of February 16, 2024, the Municipality states that the announcement of all tender procedures is subject to the evaluation of a public-private partnership proposal for the realization and management of works and services on the beach of Bellaria and Igea Marina, which at this stage is only a proposal and whose subject is nonetheless limited to certain stretches of the seafront.</w:t>
      </w:r>
    </w:p>
    <w:p>
      <w:r>
        <w:t>Additionally, the arguments indicated in Resolution No. 134/2023 in support of the deferral/extension of the concessions, concerning the absence of internal legislation reorganizing the matter, are unfounded. This circumstance, in fact, does not impact the public procurement procedures that the Municipality is required to carry out or the modalities for preparing the tender notices. This is because the principles that must inspire the conduct of the tenders and the criteria to be used in preparing the tender notices have been specifically indicated by the Council of State in 2021, derived from Article 12 of the Services Directive. The absence of a comprehensive national legislative framework cannot, therefore, translate into a legitimate reason supporting the extension of the duration of the concessions.</w:t>
      </w:r>
    </w:p>
    <w:p>
      <w:r>
        <w:t>Furthermore, the value of any investments made by the outgoing operator and not yet amortized at the end of the concession, for which secondary market sale is not possible, can be used as a basis for the auction in the subsequent selective procedure. In this way, the need to reimburse the unrecovered costs incurred by the outgoing concessionaire would be compatible with awarding procedures consistent with both competition principles and incentives to make investments.</w:t>
      </w:r>
    </w:p>
    <w:p>
      <w:r>
        <w:t>In light of the above, the Authority believes that the Municipality of Bellaria Igea Marina should have disapplied the national legislation underlying the Resolution of the Municipal Council of December 28, 2023, No. 218, for its conflict with the principles and EU regulations mentioned and proceeded to conduct tender procedures that respect the principles of fairness, transparency, and non-discrimination. The provisions regarding the deferral of the deadline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EU regulatory provisions regarding public procurement, particularly with reference to Article 12 of the Services Directive.</w:t>
      </w:r>
    </w:p>
    <w:p>
      <w:r>
        <w:t>Pursuant to Article 21-bis, paragraph 2, of Law No. 287/1990, the Municipality of Bellaria Igea Marina must communicate to the Authority, within sixty days from the receipt of this opinion, the initiatives taken to remove the competition violations outlined. If within the aforementioned period such initiatives do not prove to be compliant with the aforementioned competition principles, the Authority may file an appeal within the following thirty days.</w:t>
      </w:r>
    </w:p>
    <w:p>
      <w:r>
        <w:t>THE PRESIDENT</w:t>
        <w:br/>
        <w:t>Roberto Rustichelli</w:t>
      </w:r>
    </w:p>
    <w:p>
      <w:r>
        <w:t>___________________________________________________________________</w:t>
      </w:r>
    </w:p>
    <w:p>
      <w:r>
        <w:t>BULLETIN NO. 21 OF MAY 27, 2024</w:t>
      </w:r>
    </w:p>
    <w:p>
      <w:r>
        <w:t>Announcement regarding the Authority's decision not to file an appeal pursuant to Article 21-bis of Law No. 287/1990 against the Resolution of the Municipal Council of Bellaria Igea Marina of December 28, 2023, No. 218, concerning "Guidelines regarding the exercise of administrative functions in the matter of maritime state property and for the application of what is provided for by Law No. 118 of August 5, 2022 and by decisions No. 17/2021 and No. 18/2021 taken by the Plenary Assembly of the Council of State and by the ruling of April 20, 2023 of the Court of Justice C-348/2022."</w:t>
      </w:r>
    </w:p>
    <w:p>
      <w:r>
        <w:t>The Authority, on March 12, 2024, resolved to issue a reasoned opinion to the Municipality of Bellaria Igea Marina pursuant to Article 21-bis of Law No. 287/1990, regarding the Resolution of the Municipal Council of December 28, 2023, No. 218, concerning "Guidelines regarding the exercise of administrative functions in the matter of maritime state property and for the application of what is provided for by Law No. 118 of August 5, 2022 and by decisions No. 17/2021 and No. 18/2021 taken by the Plenary Assembly of the Council of State and by the ruling of April 20, 2023 of the Court of Justice C-348/2022," transmitted to the Authority with a report dated January 15, 2024.</w:t>
      </w:r>
    </w:p>
    <w:p>
      <w:r>
        <w:t>In its opinion, the Authority believed that the Municipality of Bellaria Igea Marina should have disapplied the national legislation underlying the Resolution of the Municipal Council No. 218/2023 for its conflict with the principles and EU regulations referred to in Article 49 TFEU and Article 12 of Directive 2006/123/EC (the so-called Services Directive) and proceeded to carry out tender procedures that respect the principles of fairness, transparency, and non-discrimination. The provisions regarding the deferral of the deadline for maritime state concessions for tourism and recreational purposes contained in this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On May 13, 2024, the Municipality of Bellaria Igea Marina responded to the reasoned opinion, sending the Resolution of the Municipal Council of May 8, 2024, No. 68, titled "Further Guidelines for the reassignment of concessions of areas belonging to the maritime state property of the municipal beach." With this Resolution, the Municipality, while maintaining the ongoing evaluations regarding the received public-private partnership proposal, provides guidance to initiate public procurement procedures aimed at the assignment of maritime state concessions in line with the indications from EU regulations and jurisprudence in the matter, as well as the principles and directives established by Article 4 of Law No. 118/2022 and the Navigation Code.</w:t>
      </w:r>
    </w:p>
    <w:p>
      <w:r>
        <w:t>The Municipality also specifies the maritime state areas under concession, the maximum duration of the grants, the requirements, and the criteria that will be used in preparing the tender notices and for the evaluation of offers. Finally, the resolution provides a precise timeline for the conduct of the selective procedures.</w:t>
      </w:r>
    </w:p>
    <w:p>
      <w:r>
        <w:rPr>
          <w:b/>
        </w:rPr>
        <w:t>[Pages 106–108]</w:t>
      </w:r>
    </w:p>
    <w:p>
      <w:r>
        <w:t>108 BULLETIN NO. 21 OF MAY 27, 2024</w:t>
      </w:r>
    </w:p>
    <w:p>
      <w:r>
        <w:t>Therefore, having taken note of the initiatives undertaken by the Municipality of Bellaria Igea Marina, in the meeting of May 21, 2024, the Authority resolved not to appeal to the TAR for Emilia Romagna against the measure in question.</w:t>
      </w:r>
    </w:p>
    <w:p>
      <w:r>
        <w:t>BULLETIN NO. 21 OF MAY 27, 2024 109</w:t>
      </w:r>
    </w:p>
    <w:p>
      <w:r>
        <w:t>UNFAIR TRADE PRACTICES</w:t>
      </w:r>
    </w:p>
    <w:p>
      <w:r>
        <w:t>PS11563 - POSTE ITALIANE - FAILURE TO DELIVER REGISTERED MAIL</w:t>
      </w:r>
    </w:p>
    <w:p>
      <w:r>
        <w:t>Measure No. 31195</w:t>
      </w:r>
    </w:p>
    <w:p>
      <w:r>
        <w:t>THE ANTITRUST AUTHORITY</w:t>
      </w:r>
    </w:p>
    <w:p>
      <w:r>
        <w:t>IN ITS MEETING of May 7, 2024;</w:t>
      </w:r>
    </w:p>
    <w:p>
      <w:r>
        <w:t>HEARD the Rapporteur Professor Elisabetta Iossa;</w:t>
      </w:r>
    </w:p>
    <w:p>
      <w:r>
        <w:t>HAVING REGARD to Part II, Title III, of Legislative Decree No. 206 of September 6, 2005, and subsequent amendments (hereinafter, "Consumer Code");</w:t>
      </w:r>
    </w:p>
    <w:p>
      <w:r>
        <w:t>HAVING REGARD to its measure No. 28340 of September 8, 2020, adopted at the conclusion of the investigation procedure PS11563 - Poste Italiane - Failure to deliver registered mail, with which it was resolved, among other things: (1) that Poste Italiane S.p.A. engaged in an unfair commercial practice pursuant to Articles 20, 21, and 22 of the Consumer Code, consisting of promoting characteristics of the registered mail delivery service that do not correspond to the service actually provided and advertising the Digital Pickup service for registered mail while failing to indicate in the messages the existence of limitations for the usability of the Digital Pickup service; (2) the imposition, on Poste Italiane S.p.A., of an administrative pecuniary sanction of €5,000,000 (five million euros);</w:t>
      </w:r>
    </w:p>
    <w:p>
      <w:r>
        <w:t>HAVING REGARD to the ruling of the Council of State, Section VI, No. 3175/2024, published on April 5, 2024, which accepted the appeal of Poste Italiane S.p.A. limited to the determination of the amount of the sanction;</w:t>
      </w:r>
    </w:p>
    <w:p>
      <w:r>
        <w:t>HAVING REGARD to all the acts of the procedure;</w:t>
      </w:r>
    </w:p>
    <w:p>
      <w:r>
        <w:t>CONSIDERING that the Council of State noted that "if in terms of whether the practice occurred, the small number of cases does not assume the relevance alleged, as clarified above, on the other hand, this element must be evaluated for the purpose of quantifying the sanction, also in terms of compliance with the principle of proportionality of the sanction" and that, in relation to the reference to the dysfunctions of the justice service, this element is "not directly attributable to the contested conduct and therefore extraneous even in terms of the consequent sanction" and, therefore, ordered "the reduction of the imposed sanction by 50%", ordering "that this ruling be executed by the administrative authority";</w:t>
      </w:r>
    </w:p>
    <w:p>
      <w:r>
        <w:t>CONSIDERING that the Council of State identified a specific, objective criterion for automatic application, which leaves no room for discretion in the implementation of the conforming obligation arising from the ruling to be executed;</w:t>
      </w:r>
    </w:p>
    <w:p>
      <w:r>
        <w:t>THEREFORE, CONSIDERING it necessary to redetermine, in compliance with the aforementioned ruling No. 3175/2024, the amount of the sanction imposed for the unfair commercial practice, established by measure No. 28340 of September 8, 2020, against Poste Italiane S.p.A., in the amount of €2,500,000 (two million five hundred thousand euros);</w:t>
      </w:r>
    </w:p>
    <w:p>
      <w:r>
        <w:t>110 BULLETIN NO. 21 OF MAY 27, 2024</w:t>
      </w:r>
    </w:p>
    <w:p>
      <w:r>
        <w:t>All of the above having been stated and considered;</w:t>
      </w:r>
    </w:p>
    <w:p>
      <w:r>
        <w:t>RESOLVES</w:t>
      </w:r>
    </w:p>
    <w:p>
      <w:r>
        <w:t>that the administrative pecuniary sanction imposed on Poste Italiane S.p.A., for the behaviors attributed to it in the Authority's measure No. 28340 of September 8, 2020, is redetermined in the amount of €2,500,000 (two million five hundred thousand euros).</w:t>
      </w:r>
    </w:p>
    <w:p>
      <w:r>
        <w:t>This measure will be notified to the interested parties and published in the Bulletin of the Antitrust Authority.</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measure itself.</w:t>
      </w:r>
    </w:p>
    <w:p>
      <w:r>
        <w:t>THE SECRETARY GENERAL THE PRESIDENT</w:t>
      </w:r>
    </w:p>
    <w:p>
      <w:r>
        <w:t>Guido Stazi Roberto Rustichelli</w:t>
      </w:r>
    </w:p>
    <w:p>
      <w:r>
        <w:rPr>
          <w:b/>
        </w:rPr>
        <w:t>[Pages 109–111]</w:t>
      </w:r>
    </w:p>
    <w:p>
      <w:r>
        <w:t>BULLETIN NO. 21 OF MAY 27, 2024</w:t>
      </w:r>
    </w:p>
    <w:p>
      <w:r>
        <w:t>PS12580 - INTESA SANPAOLO RBM SALUTE/PREVIMEDICAL</w:t>
      </w:r>
    </w:p>
    <w:p>
      <w:r>
        <w:t>Resolution No. 31196</w:t>
      </w:r>
    </w:p>
    <w:p>
      <w:r>
        <w:t>THE ANTITRUST AUTHORITY</w:t>
      </w:r>
    </w:p>
    <w:p>
      <w:r>
        <w:t>IN ITS MEETING of May 7, 2024;</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resolutions of October 10, 2023, December 5, 2023, January 30, 2024, and April 3, 2024, with which, pursuant to Article 7, paragraph 3, of the Regulation, extensions of the deadline for concluding the procedure were ordered, overall until May 9, 2024;</w:t>
      </w:r>
    </w:p>
    <w:p>
      <w:r>
        <w:t>VIEWED the acts of the procedure;</w:t>
      </w:r>
    </w:p>
    <w:p>
      <w:r>
        <w:t>I. THE PARTIES</w:t>
      </w:r>
    </w:p>
    <w:p>
      <w:r>
        <w:t>1. Intesa Sanpaolo RBM Salute S.p.A. (hereinafter also "ISP RBM"), in its capacity as a professional, pursuant to Article 18, paragraph 1, letter b), of the Consumer Code. ISP RBM is an insurance company specialized in health insurance with a significant market position in this sector in terms of premium collection and number of insured individuals, largely attributable to insurance agreements entered into with companies and health funds/casses, aimed at offering forms of supplementary health assistance to the National Health Service (hereinafter, "SSN") for its personnel and members. The professional, according to the financial statements as of December 31, 2023, has collected gross premiums of approximately 523 million euros.</w:t>
      </w:r>
    </w:p>
    <w:p>
      <w:r>
        <w:t>2. Previmedical Servizi per Sanità Integrativa S.p.A. (hereinafter also "Previmedical"), in its capacity as a professional, pursuant to Article 18, paragraph 1, letter b), of the Consumer Code. Previmedical is the service provider to which ISP RBM has outsourced claims management, operating as a Third Party Administrator (hereinafter, "TPA"), providing management of administrative, settlement, IT, and consulting services for funds, health casses, and insurance companies operating in the sectors of supplementary health, assistance, accidents, disability, and non-self-sufficiency. It coordinates the network of healthcare facilities and manages claims for ISP RBM based on an outsourcing contract. The professional, according to the financial statements as of December 31, 2022, achieved a turnover of approximately 29 million euros.</w:t>
      </w:r>
    </w:p>
    <w:p>
      <w:r>
        <w:t>3. Altroconsumo, in its capacity as a consumer association intervening.</w:t>
      </w:r>
    </w:p>
    <w:p>
      <w:r>
        <w:t>II. THE COMMERCIAL PRACTICE</w:t>
      </w:r>
    </w:p>
    <w:p>
      <w:r>
        <w:t>4. The commercial practice subject to the procedure consists of the behaviors carried out by ISP RBM and Previmedical aimed at hindering and/or delaying the exercise of rights arising from the contractual relationship of consumers/insured individuals to the supplementary health assistance services they offer.</w:t>
      </w:r>
    </w:p>
    <w:p>
      <w:r>
        <w:t>5. The conduct in question, carried out by the professionals since January 2023, even in combination with each other, appears contrary to professional diligence and characterized by aggressive profiles in relation to the issues encountered related to delays in processing reimbursement requests and authorizations, unjustified refusals of reimbursements and authorizations for direct services, as well as issues related to inadequate customer assistance, in violation of Articles 20, paragraph 2, 24, and 25, paragraph 1, letter d), of the Consumer Code.</w:t>
      </w:r>
    </w:p>
    <w:p>
      <w:r>
        <w:t>III. THE FINDINGS OF THE PROCEDURE</w:t>
      </w:r>
    </w:p>
    <w:p>
      <w:r>
        <w:t>i) The procedure process</w:t>
      </w:r>
    </w:p>
    <w:p>
      <w:r>
        <w:t>6. In relation to the described conduct and based on reports received by the Authority since January 2023 and preliminary investigations, on May 16, 2023, the investigative procedure PS12580 was initiated against the companies Intesa Sanpaolo RBM Salute S.p.A. and Previmedical Servizi per Sanità Integrativa S.p.A. aimed at ascertaining the contested conduct in violation of Articles 20, paragraph 2, 24, and 25, paragraph 1, letter d), of the Consumer Code.</w:t>
      </w:r>
    </w:p>
    <w:p>
      <w:r>
        <w:t>7. In order to acquire useful elements for assessing possible violations of the Consumer Code, on May 23, 2023, inspection checks were conducted against the aforementioned companies.</w:t>
      </w:r>
    </w:p>
    <w:p>
      <w:r>
        <w:t>8. On June 12 and 13, 2023, the companies ISP RBM and Previmedical responded to the information requested in the communication initiating the procedure.</w:t>
      </w:r>
    </w:p>
    <w:p>
      <w:r>
        <w:t>9. On July 7, 2023, pursuant to Article 27, paragraph 7, of the Consumer Code, the companies ISP RBM and Previmedical submitted a proposal for commitments aimed at removing the profiles of unfairness of the contested conduct. These commitments were rejected by the Authority in its meeting of October 10, 2023, with a decision communicated to the professionals on October 11, 2023, based on the interest in ascertaining any infringement by the Authority and the inadequacy of the commitments to remedy all profiles of unfairness contested in the communication initiating the procedure.</w:t>
      </w:r>
    </w:p>
    <w:p>
      <w:r>
        <w:t>10. Following the submission of the aforementioned commitments, by resolution of October 10, 2023, the Authority, pursuant to Article 7, paragraph 3, of the Regulation, ordered an extension of the deadline for concluding the procedure by sixty days to December 12, 2023.</w:t>
      </w:r>
    </w:p>
    <w:p>
      <w:r>
        <w:t>11. The company ISP RBM exercised the right of access to the documents in the file on June 19, 2023, August 18, 2023, November 23, 2023, and February 16, 2024; furthermore, the company was heard in a hearing on September 19, 2023. The company also sent information on September 28, 2023.</w:t>
      </w:r>
    </w:p>
    <w:p>
      <w:r>
        <w:t>12. The company Previmedical exercised the right of access to the documents in the file on June 27, 2023, December 27, 2023, and February 16, 2024; furthermore, the company, at its request, was heard in a hearing on September 13, 2023. The company sent information and memoranda on July 17 and September 27, 2023.</w:t>
      </w:r>
    </w:p>
    <w:p>
      <w:r>
        <w:t>13. On December 5, 2023, January 30, 2024, and April 3, 2024, further extensions of the deadline for concluding the procedure were ordered, overall until May 9, 2024.</w:t>
      </w:r>
    </w:p>
    <w:p>
      <w:r>
        <w:t>14. On February 15, 2024, the date of conclusion of the investigative phase was communicated to the Parties of the procedure pursuant to Article 16, paragraph 1, of the Regulation. This date was extended by five days to accommodate a concern raised by ISP RBM, which complained of having received the documentation of the inspection conducted against Previmedical the day after the communication of the closure of the investigative phase.</w:t>
      </w:r>
    </w:p>
    <w:p>
      <w:r>
        <w:t>15. The Parties of the procedure submitted final memoranda of the procedure and documentation: ISP RBM on March 6, 2024, and Previmedical on March 7, 2024.</w:t>
      </w:r>
    </w:p>
    <w:p>
      <w:r>
        <w:t>16. On March 12, 2023, a request for an opinion was made to the Institute for the Supervision of Insurance (hereinafter, "IVASS"), pursuant to Article 27, paragraph 1-bis, of the Consumer Code.</w:t>
      </w:r>
    </w:p>
    <w:p>
      <w:r>
        <w:t>17. On April 11, 2022, the opinion of IVASS was received.</w:t>
      </w:r>
    </w:p>
    <w:p>
      <w:r>
        <w:t>ii) The activity of the professionals</w:t>
      </w:r>
    </w:p>
    <w:p>
      <w:r>
        <w:t>18. ISP RBM is an insurance company specialized in health insurance (accident and illness branches) and offers its insurance products to large Italian companies, supplementary health funds of contractual and/or corporate origin, welfare funds, non-economic public entities, privatized public entities, and/or pension funds (so-called "collective" insurance), or to individual consumers/families (so-called "individual" policies). Previmedical is a company that operates in outsourcing services, particularly in the management of health insurance policies/supplementary health services, with a specialization in managing claims in the "Illness" branch. It acts as a TPA and has developed over the years a wide network of affiliated healthcare facilities, through which insured individuals can directly access the requested health services without incurring the cost.</w:t>
      </w:r>
    </w:p>
    <w:p>
      <w:r>
        <w:t>19. ISP RBM has used Previmedical as a TPA since its establishment, outsourcing a series of operational activities, such as: 1) management of claims in the accident and illness branches; 2) portfolio management; 3) personnel administration; and 4) software development, maintenance, and management.</w:t>
      </w:r>
    </w:p>
    <w:p>
      <w:r>
        <w:t>20. ISP RBM is responsible for the development and sale of insurance products related to the "Accidents" and "Illness" branches, while Previmedical manages, on behalf of the Company, certain operational activities regulated by a specific service supply contract, such as authorization for payment of claims, management and settlement of practices, and investigative support in the event of written complaints. These activities are carried out based on the guidelines and directions defined by ISP RBM.</w:t>
      </w:r>
    </w:p>
    <w:p>
      <w:r>
        <w:t>21. The insured individuals are contractually bound to ISP RBM. The worker/consumer's membership in supplementary health insurance can occur in two ways: 1) through a voluntary decision by the consumer who joins Mutual Aid Societies. In this case, the consumer bears the entire cost of the membership contribution; 2) indirectly, through the company where the worker is employed or the reference fund, as occurs in cases where supplementary health coverage is provided: a) by the relevant National Collective Labor Agreement (for example, in the case of MetaSalute); b) by corporate supplementary agreements or internal company regulations.</w:t>
      </w:r>
    </w:p>
    <w:p>
      <w:r>
        <w:rPr>
          <w:b/>
        </w:rPr>
        <w:t>[Pages 112–114]</w:t>
      </w:r>
    </w:p>
    <w:p>
      <w:r>
        <w:t>114 BULLETIN NO. 21 OF MAY 27, 2024</w:t>
      </w:r>
    </w:p>
    <w:p>
      <w:r>
        <w:t>or from the regulations of the relevant professional register. In the case of indirect membership, coverage arises from belonging to a specific category and no express membership of the worker is required. The premium is borne by the company, as provided for by the relevant agreements/regulations.</w:t>
      </w:r>
    </w:p>
    <w:p>
      <w:r>
        <w:t>22. Upon membership, Previmedical receives from ISP RBM the list of names of the individuals who have joined the policy.</w:t>
      </w:r>
    </w:p>
    <w:p>
      <w:r>
        <w:t>iii) The evidence acquired</w:t>
      </w:r>
    </w:p>
    <w:p>
      <w:r>
        <w:t>23. The procedure originates from numerous consumer reports regarding the actions of professionals received since January 2023, further supported by the results of the supervisory activity carried out by IVASS, acquired by the Offices on April 12, 2023, following a request for collaboration. Additionally, during the procedure, evidence regarding reports received from Altroconsumo was added.</w:t>
      </w:r>
    </w:p>
    <w:p>
      <w:r>
        <w:t>24. In particular, in the complaints received, the consumers' grievances concern the rejection of reimbursement requests to which they would have been entitled, or the rejection of requests that had already been previously authorized, delays and/or errors in the management of reimbursement or authorization requests that, in many cases, remained pending for several months. Furthermore, the reasons for rejecting reimbursement requests were not consistent with the contractual provisions and the documentation provided by the insured, and the professionals generically claimed a lack of such consistency, thereby delaying and/or hindering the due reimbursements. Consumers also complained about the difficulty of contacting professionals to request information or assistance in resolving the issues encountered and in accessing the benefits provided in the policy conditions. In many cases, these difficulties were reported by members of the MetaSalute health fund, which is the supplementary health assistance fund for workers in the metalworking industry, collecting over a third of the total insured by ISP RBM and representing a considerable portion of the complaints received by the Company.</w:t>
      </w:r>
    </w:p>
    <w:p>
      <w:r>
        <w:t>25. As highlighted above, the association Altroconsumo also reported critical issues regarding the provision of insurance services by professionals, resulting from seventy-three consumer complaints received by the association from January 2 to June 16, 2023, described individually in a table attached to the request for participation in the procedure. The content of these complaints pertains to issues similar to those highlighted in the reports already received by the Authority, concerning: difficulties in accessing promised health services and reimbursements; difficulties/impossibility of contacting the professionals' toll-free number for information; difficulties in accessing the chosen contracted doctor and undue challenges to medical diagnoses by professionals.</w:t>
      </w:r>
    </w:p>
    <w:p>
      <w:r>
        <w:t>26. Within the framework of the protocols of understanding of August 2, 2013, and October 7, 2014, regarding cooperation between the Authority and IVASS, on April 12, 2023, and subsequently on November 16, 2023, the results of the supervisory activity carried out by the Institute regarding the complaints received against ISP RBM and Previmedical during 2023, the nature of the critical issues encountered, and the analyses conducted on the same complaints were acquired. These results describe the critical issues concerning the management of claims by professionals, resulting, among other things, from approximately five hundred and fifty complaints received by the Institute in the period from January 2023 to October 2023.</w:t>
      </w:r>
    </w:p>
    <w:p>
      <w:r>
        <w:t>27. From the data provided by IVASS, it emerges that the number of complaints received in the first quarter of 2023 is significantly higher than the average number of complaints for the period 2018-2021, although lower than in 2022, highlighting at the same time a trend of decreasing complaints in the other quarters of 2023. In total, in 2023, six hundred and sixty-six complaints were received by IVASS. The Institute highlights that, regarding what it defines as "encountered critical issues," the reasons for complaints differ in the reporting periods (January - March 2023 and April - October 2023). While in the first period the main reason for complaints was the delay in the resolution of cases, followed by issues concerning the incorrect application of the contract and repeated requests for additional documentation, in the period from April to October 2023, over 60% of complaints concern the incorrect application of the contract, followed by repeated requests for additional documentation, with a significant decrease in complaints regarding delays in the resolution of cases.</w:t>
      </w:r>
    </w:p>
    <w:p>
      <w:r>
        <w:t>28. In the response received in November 2023, IVASS also emphasized, regarding what was indicated in the response to the first request for information, the more specific issue concerning the reduction of complaints regarding contracting issues, that is, complaints that report errors by the company or the Provider regarding the contracting or not of health facilities, doctors, or health services.</w:t>
      </w:r>
    </w:p>
    <w:p>
      <w:r>
        <w:t>29. IVASS also communicated that in response to the complaints received, it initiated over four hundred in-depth initiatives through requests for information, concluding approximately three hundred and twenty during the considered period (i.e., January - October 2023). The outcome was totally or partially in favor of the complainants in about 65% of cases (specifically, 71% in the first quarter of 2023 and 58.5% in the period from April to October 2023). In the communication of April 2023, the Institute also emphasized that "the data, although positive for consumers who see the reported issue resolved, indicates that a more careful and rigorous handling of claims from the outset by the company and the Provider would have avoided the emergence of conflict with the customer and the sending of the complaint both to the company itself and subsequently to IVASS."</w:t>
      </w:r>
    </w:p>
    <w:p>
      <w:r>
        <w:t>30. Finally, on the occasion of the opinion rendered pursuant to Article 27, paragraph 1-bis, of the Consumer Code, IVASS provided an update of the data under examination, stating that in 2023, and particularly in the second half of the year, a reduction in the number of complaints against ISP RBM was recorded. The overall decrease in complaints received by IVASS in 2023 compared to 2022 was 30% (from 952 to 666). The Regulatory Authority also reports a significant decrease (-69%) in complaints received by IVASS in the first two months of 2024, compared to the same two months of 2023.</w:t>
      </w:r>
    </w:p>
    <w:p>
      <w:r>
        <w:t>31. The critical issues overall encountered, as of January 1, 2023, have been found, in light of the investigative evidence reported above and that emerged from the inspection findings and the information provided by the parties during the investigation (see below), mainly attributable to: a) delays in the management and resolution of reimbursement requests (especially in the first part of 2023) and deficiencies in customer assistance; b) numerous rejections that appear unjustified and/or inadequately motivated for requests for reimbursement and authorizations for health services in direct form. Both types of critical issues appear to have involved both ISP RBM and Previmedical.</w:t>
      </w:r>
    </w:p>
    <w:p>
      <w:r>
        <w:t>a) Delays in the management of cases and deficiencies in assistance to the insured</w:t>
      </w:r>
    </w:p>
    <w:p>
      <w:r>
        <w:t>32. During the investigation, documents and internal emails were acquired that attest to the existence of numerous delays and service disruptions in the management of reimbursement requests and complaints regarding the inadequate assistance provided by professionals.</w:t>
      </w:r>
    </w:p>
    <w:p>
      <w:r>
        <w:t>33. From doc. n. 5 of the inspection file of Previmedical, for example, it appears that in the first week of February, a significant number of reimbursement requests (approximately [10,000 - 500,000]*) were delayed in payments and in any case exceeded the parameters set by the relevant service level (hereinafter, "SLA") established contractually. Still, on March 2, 2023 (see doc. n. 4 of the same inspection file), over [10,000 - 500,000] reimbursement requests were reported as delayed in payment - exceeding the contractual SLA of twenty days provided in the contract with MetaSalute. Of these, approximately [0 - 100,000] requests (identified as "Priority 1") relate to requests dating back to before November 2022. In light of this situation, internal emails were acquired that demonstrate Previmedical's full awareness that the service disruptions caused to the insured were attributable to the scarcity and inadequacy of the resources that the Provider had dedicated to carrying out such activities.</w:t>
      </w:r>
    </w:p>
    <w:p>
      <w:r>
        <w:t>34. In an email dated March 16, 2023, directed from Previmedical management to ISP RBM, it reads: “[...] I highlight that compared to last week, the overall stock of cases to be processed has decreased by [0 - 100,000] pieces, and that the stock over 20 days consists of over [0 - 100,000] dental cases, which we are addressing but which require slightly longer processing times than usual due to their complexity,” indicating a stock of nearly [0 - 100,000].</w:t>
      </w:r>
    </w:p>
    <w:p>
      <w:r>
        <w:rPr>
          <w:b/>
        </w:rPr>
        <w:t>[Pages 115–117]</w:t>
      </w:r>
    </w:p>
    <w:p>
      <w:r>
        <w:t>BULLETIN NO. 21 OF MAY 27, 2024</w:t>
      </w:r>
    </w:p>
    <w:p>
      <w:r>
        <w:t>practices delayed beyond twenty days. In the same email thread, on April 5, 2023, it is stated: “In addition to the numerous resubmissions (claims that become workable following integration), the hard core remains to be recovered, consisting of claims that are more complex to manage or for which we have less widespread training on the Liquidators,” indicating a stock of still [0 - 100,000] practices delayed beyond twenty days.</w:t>
      </w:r>
    </w:p>
    <w:p>
      <w:r>
        <w:t>35. Document No. 17 of the ISP RBM inspection file, among others, contains a message dated March 16, 2023, from a representative of [omissis], regarding the dissatisfaction of the insured parties with the entity for the “difficulties both in requests for authorizations for services and in requests for reimbursement,” and it is highlighted that “the staff at the operations center do not always have adequate training regarding the information to be transmitted for the support that is requested and unfortunately, sometimes, if in difficulty, they even interrupt communications.” Similarly, the construction sector fund [omissis] reported, on January 10, 2023, a critical situation because: “the reimbursement requests sent to [omissis] are not being uploaded and processed, there is a significant delay in processing the practices, we have also noticed more rejections and suspensions than usual with reasons that are not always justified or understandable, we have requests for sending passwords to the reserved area pending for over two months.”</w:t>
      </w:r>
    </w:p>
    <w:p>
      <w:r>
        <w:t>36. Regarding the critical issues related to the assistance service, in Document No. 16 of the ISP RBM inspection file, an agent of the company points out that the situation of service disruptions does not seem to have improved, as: “Calling the toll-free number makes it impossible to speak with an operator. There continues to be the message to leave a number to be called back (which then does not happen). From the dedicated mailbox [omissis], the response, to us and to the assisted parties, is always the same: ‘We have received your report. We confirm that it is being processed and you will receive feedback as soon as possible,’ only to then provide no further feedback.” In Document No. 34 of the same inspection file, in a certified email dated February 8, 2023, addressed to ISP RBM, the representatives of the fund [omissis] report: “As you can see from the attached report summarizing the numerous communications received from users, since the start of activities, numerous inefficiencies have been contested to the Fund by the beneficiaries of the services both in terms of service and in terms of quality and the very presence of service. In this sense, despite the timely reports made to your managers, the service disruptions have continued and indeed their relevance has even worsened.” Documents No. 7, 19, and 20 of the ISP RBM inspection file also confirm what has been described and reported by numerous consumers. These documents contain drafts of reports prepared also during the bimonthly meetings with IVASS. These reports indicate how the deterioration of the service of the Operations Center, particularly for the difficulties faced by the insured in contacting the call center and for the lengthening of reimbursement times, has been determined by the “internal reorganization of the Provider that was neither requested nor shared by the Company.”</w:t>
      </w:r>
    </w:p>
    <w:p>
      <w:r>
        <w:t>37. From this perspective, Document No. 38 of the ISP RBM inspection file highlights how one of the major reasons for complaints from insured parties during the period from January 1 to May 23, 2023, concerns the failure to comply with contractual timing (242 complaints out of 852 accepted during the period).</w:t>
      </w:r>
    </w:p>
    <w:p>
      <w:r>
        <w:t>38. ISP RBM itself, moreover, during the hearing and in its own submissions, confirmed that the checks carried out during the first quarter of 2023 highlighted critical issues in the management of the service. In particular:</w:t>
        <w:br/>
        <w:t>- for some Funds/Companies, the presence of a stock of claims in reimbursement form (indirect assistance) related to the last months of 2022 was found to be managed outside the contractually stipulated SLAs;</w:t>
        <w:br/>
        <w:t>- in the context of qualitative sampling checks on the correct management of claims, some operational liquidation errors by the Provider Previmedical were identified.</w:t>
      </w:r>
    </w:p>
    <w:p>
      <w:r>
        <w:t>39. In this regard, it should be emphasized that according to the data sent by ISP RBM relating to the entire year 2023, the company received 3,204 complaints, 678 of which were related to the period October - December 2023.</w:t>
      </w:r>
    </w:p>
    <w:p>
      <w:r>
        <w:t>b) Complaints regarding reimbursements or the lack of authorizations for health services in direct form</w:t>
      </w:r>
    </w:p>
    <w:p>
      <w:r>
        <w:t>40. The evidence on record also accounts for significant critical issues that would have concerned unjustified rejections of reimbursement requests or authorizations for services in direct agreement.</w:t>
      </w:r>
    </w:p>
    <w:p>
      <w:r>
        <w:t>41. In particular, Document No. 38 of the ISP RBM inspection file reports the list of complaints received by ISP RBM from January 1 to May 23, 2023. From this document, it emerges that over 40% of the complaints received and processed (in total, about [1,000 - 5,000] during the period in question) were accepted with a subsequent re-determination of the reimbursement or granting of authorization for direct service. This percentage appears to be higher, approaching or exceeding 50%, in the first three months of the year. The same file reveals that the main reasons for the acceptance of complaints relate to late reimbursements/authorizations, situations of incorrect cancellation or rejection, and situations arising from liquidation errors due to incorrect application of policy conditions and incorrect evaluation of medical documentation. ISP RBM itself, in its defense submission, provided data on the complaints accepted in individual months of 2023. It appears that as much as 51% of the complaints in January 2023 were accepted, 48% for complaints in February, and 46% for those in March, before settling on lower values in the subsequent months of 2023.</w:t>
      </w:r>
    </w:p>
    <w:p>
      <w:r>
        <w:t>42. Document No. 41 of the ISP RBM inspection file highlights similar data: about half of the complaints received during the period January 1 - March 31, 2023, were accepted. Of these accepted complaints, about 70% concern incorrect rejections of reimbursements, about 25% concern the lack of authorization for services in direct assistance, and about 5% concern complaints related to inadequate customer assistance. Finally, Document No. 64 of the Previmedical inspection file, which concerns complaints received by the Provider during the period January 1 - May 23, 2023, highlights the same data: almost 40% of them were accepted, again mostly due to incorrect application of policy conditions.</w:t>
      </w:r>
    </w:p>
    <w:p>
      <w:r>
        <w:t>43. Other documents and internal emails also attest that about half of the complaints received by the companies on originally rejected practices led to the subsequent acceptance of requests and that the data on incorrectly rejected requests appears to be significantly worsening compared to 2022, rising from about 30% in 2022 to over 50% in the first two months of 2023.</w:t>
      </w:r>
    </w:p>
    <w:p>
      <w:r>
        <w:t>44. According to a document from ISP RBM acquired during the inspection, over 80% of the complaints subsequently accepted following complaints received by ISP RBM from insured parties during the period January 1/May 23, 2023, concerning practices managed by Previmedical, would derive from the responsibility of the call center, the Operations Center, and/or the Liquidation Office of the Provider Previmedical.</w:t>
      </w:r>
    </w:p>
    <w:p>
      <w:r>
        <w:t>45. From the documentation on record, it emerges that another cause of the incorrect failure to provide certain services requested by the insured parties would be attributed to the lack of clarity in the application of certain provisions of the internal liquidation practices (with reference, for example, to certain dental treatments, the exclusion from reimbursement of services performed by a non-contracted doctor at a contracted facility, the management of physiotherapy requests, the lack of indication of the specialization of the doctor providing the service, the necessity to present the booking form in case of reimbursements for services included in the SSN, etc.).</w:t>
      </w:r>
    </w:p>
    <w:p>
      <w:r>
        <w:rPr>
          <w:b/>
        </w:rPr>
        <w:t>[Pages 118–120]</w:t>
      </w:r>
    </w:p>
    <w:p>
      <w:r>
        <w:t>BULLETIN NO. 21 OF MAY 27, 2024</w:t>
      </w:r>
    </w:p>
    <w:p>
      <w:r>
        <w:t>46. In this regard, it is relevant what Previmedical39 has asserted, according to which ISP RBM would have modified non-negligible aspects of the application practices, without fully clarifying to the Provider the scope of such modifications, thus generating interpretative doubts that, according to the Provider, would have led to situations of unclear communication with the insured and numerous complaints from them40. The interpretative difficulties encountered by Previmedical, even regarding non-negligible aspects, appear to be confirmed by the documentation on file41.</w:t>
      </w:r>
    </w:p>
    <w:p>
      <w:r>
        <w:t>47. For example, with reference to policy 26 of the general application practices, in an email dated April 14, 2023, approximately one month after the new application practices came into effect, directed from Previmedical to ISP RBM, it states: “we kindly ask for clarifications on the applicability of this new general practice [26 …]. Does it apply to policies that have the obligation of direct assistance if the insured turns to a contracted structure? Is the reimbursement made under the conditions of direct or indirect assistance? How do we account for the period between sending and the validity of the withdrawal?”42. Also, with reference to non-contracted services or those provided by non-contracted doctors in contracted structures, in an email dated April 19, 2023, directed from Previmedical to ISP RBM, it states: “can you please respond to us regarding the correct interpretation of this practice? We have pending cases to address with the insured”43.</w:t>
      </w:r>
    </w:p>
    <w:p>
      <w:r>
        <w:t>48. Similarly, with reference to the fund [omissis] whose application practices were sent by ISP RBM to Previmedical on December 15, 2022, in an email dated April 20, 2023, directed from Previmedical to ISP RBM, it states: “the appendices for the adoption of the liquidation practices [omissis] were drafted following a joint effort, but they do not seem to have incorporated in various points the observations made by PMED, which is why we kindly ask you to review the document addressing our comments and requests for clarification included within it.” Following a negative response on this point from the offices of ISP RBM, Previmedical sends a new email now directed to the top management of ISP RBM in which it states: “Given that we are talking about [omissis], and we know the current situation and the desire to reduce complaints/disputes, we would kindly need a series of clarifications on the Appendices. Issued some time ago but regarding which there remain unresolved doubts. I am not asking for them to be rewritten, I am only asking to receive confirmation of the correct interpretations so that we can act accordingly. Unfortunately, from the exchanges below, it is not clear to me which office will be able to assist us in providing the necessary indications”44. In the same sense, see doc. 138 of the investigation file, memorandum sent by Previmedical on September 27, 2023, p. 7.</w:t>
      </w:r>
    </w:p>
    <w:p>
      <w:r>
        <w:t>39 See doc. 90 of the investigation file, memorandum sent by Previmedical on June 12, 2023, p. 19, minutes of the hearing of Previmedical doc. n. 136 of the investigation file, as well as doc. 138 of the investigation file, memorandum sent by Previmedical on September 27, 2023, cited pp. 2-12.</w:t>
      </w:r>
    </w:p>
    <w:p>
      <w:r>
        <w:t>40 See docs. nn. 136 and 138 of the investigation file, cited.</w:t>
      </w:r>
    </w:p>
    <w:p>
      <w:r>
        <w:t>41 See documents from folder 1.modifiche.zip attached to doc. 138 of the investigation file, as well as docs. n. 141 and 142 of the inspection file of Previmedical, from which the reported interpretative difficulties can be inferred.</w:t>
      </w:r>
    </w:p>
    <w:p>
      <w:r>
        <w:t>42 See email from folder 1.modifiche.zip attached to doc. 138 cited, bearing “policy 26 general.”</w:t>
      </w:r>
    </w:p>
    <w:p>
      <w:r>
        <w:t>43 See email from folder 1.modifiche.zip attached to doc. 138 cited, bearing “R: clarification OBBLIGO DIRETTA.”</w:t>
      </w:r>
    </w:p>
    <w:p>
      <w:r>
        <w:t>44 See email from folder 1.modifiche.zip attached to doc. 138 cited, bearing “I: Visit ISPRBM at PMED - 29.03.2023 - practices and liquidation lines open points - UNICARBM,” as well as doc. n. 141 of the inspection file of Previmedical.</w:t>
      </w:r>
    </w:p>
    <w:p>
      <w:r>
        <w:t>BULLETIN NO. 21 OF MAY 27, 2024</w:t>
      </w:r>
    </w:p>
    <w:p>
      <w:r>
        <w:t>49. Previmedical has also described situations that would have generated application problems and complaints from consumers, allegedly due to the lack of clarity in the liquidation practices and the information provided in this regard by ISP RBM45.</w:t>
      </w:r>
    </w:p>
    <w:p>
      <w:r>
        <w:t>50. This was the case, for example, regarding the changes made during the validity of the Customer Insurance Conditions [omissis], effective from January 1, 2023. Initially, a joint effort was made between Previmedical, ISP RBM, and the customer [omissis], aimed at drafting a document of Specific Practices that would serve as a clarification note for the new Insurance Conditions, in order to overcome any interpretative difficulties, which, however, would have extended beyond the entry into force of the new contractual conditions, resulting in Previmedical, at least in an initial phase, in a lack of standardized management of reimbursement practices.</w:t>
      </w:r>
    </w:p>
    <w:p>
      <w:r>
        <w:t>51. Another example highlighted by Previmedical concerns the policy [omissis], for reimbursements of services included in the SSN, where the insured, based on the liquidation practices, had to also submit the booking form. In many cases, however, the insured no longer had the booking form available, and this led to the rejection of the application. In this regard, Previmedical reported that in order to reduce complaints related to this interpretative discrepancy, the parties agreed to adopt a new specific policy on the matter issued by ISP RBM on July 24, 202346.</w:t>
      </w:r>
    </w:p>
    <w:p>
      <w:r>
        <w:t>52. More generally, in the memorandum of September 2023, Previmedical reported having asked ISP RBM, in order to prevent and overcome application issues, to extend the aforementioned policy to all customers of the company47.</w:t>
      </w:r>
    </w:p>
    <w:p>
      <w:r>
        <w:t>53. Finally, in the concluding memorandum of the proceedings of March 2024, Previmedical, highlighting that the critical issues subject to investigation would have significantly reduced starting from April 2023, emphasizes that the errors in the liquidation phase: “are also justified by a not always clear indication from the contract with an interpretation that ends up being different between Provider and company regarding the application of the clauses, or also due to a ‘mid-course’ change in the contractual conditions that are not always immediately understandable and applicable for the operator (resulting in difficulties in liquidations)”48.</w:t>
      </w:r>
    </w:p>
    <w:p>
      <w:r>
        <w:t>c) The new contractual conditions stipulated between ISP RBM and Previmedical</w:t>
      </w:r>
    </w:p>
    <w:p>
      <w:r>
        <w:t>54. Both ISP RBM and Previmedical have emphasized that, in order to mitigate the risk that the identified issues could occur again, they have entered into a new contract effective March 1, 2023, which introduced significant changes compared to the previous contract (in force from May 2020 to February 28, 2023), which provides for a transitional period to come into effect.</w:t>
      </w:r>
    </w:p>
    <w:p>
      <w:r>
        <w:t>55. The agreement, valid for the three-year period 2023-2025, with automatic renewal for an additional three years, is based on a fixed fee and a variable fee linked to the achievement of objectives based on the distribution of the managed portfolio in clusters: partly related to the achievement of defined thresholds for Key Performance Indicators (hereinafter, “KPI”) termed “strategic” and partly related to the trend of complaints compared to previous periods and the reference market. The repeated failure to achieve the “strategic” KPIs for a client allows ISP RBM to internalize the management now entrusted to Previmedical.</w:t>
      </w:r>
    </w:p>
    <w:p>
      <w:r>
        <w:t>56. The new contract has more stringently redefined the management indicators of KPIs and SLAs related to maintaining an adequate level of service to customers to which strict mechanisms of enhancement/penalization are linked. Compared to what was previously provided, achieving these indicators results in Previmedical being recognized incentives for over-performance. The penalties for failure to achieve them have been intensified. The KPI indices are now stricter and have been structured, for example, to concern the calls that were actually answered by an operator without including, as before, the automatic calls, that is, those resolved through the automatic answering machine, which account for about [omissis] of the total calls received. Furthermore, the indices are now calculated not on the total number of calls or claims received and managed, but calculated for different clusters (aggregations of ISP RBM clients) distinct according to the amount of premiums collected. [omissis]. The new contract provided for, for the months of March and April 2023, intermediate KPIs that allow for the transition to the definitive ones scheduled for May 202349.</w:t>
      </w:r>
    </w:p>
    <w:p>
      <w:r>
        <w:t>57. Regarding the controls by ISP RBM Health on compliance with the performance parameters and KPIs established in the new contract, monthly checks are now provided at the Previmedical headquarters by representatives of the company, in order to verify the methods by which the data related to performance have been processed.</w:t>
      </w:r>
    </w:p>
    <w:p>
      <w:r>
        <w:t>58. In summary, the new contract provides for:</w:t>
        <w:br/>
        <w:t>- the restructuring of the KPI systems, SLAs, and the related penalties for Previmedical. For each type of service, one or more KPIs have been defined. These are very analytical KPIs, as some of them refer not to the entirety of the funds, but to specific clusters of policies present in the portfolio. Furthermore, in case of non-compliance with the contractual KPIs, significant penalties will be applied, which have been defined based on a formula that increases their deterrent effect against Previmedical, [omissis];</w:t>
        <w:br/>
        <w:t>- the revision of the fees in favor of Previmedical, with the introduction of a variable and incentivizing component, parameterized based on the achievement of the contracted service targets and a target for reducing complaints, thus increasing the incentive for Previmedical to operate in accordance with the interests of consumers;</w:t>
        <w:br/>
        <w:t>- the introduction of a more incisive monitoring model on Previmedical's activities, carrying out: (i) control activities on service levels (for example, through checks on KPI flows and on-site visits); (ii) first-level checks on outsourced activities, as well as (iii) specific training activities;</w:t>
        <w:br/>
        <w:t>- and finally, the elimination of the concept of preferred partnership in favor of Previmedical, present in the previous agreement, and the provision for a gradual reduction over time of the portfolio of policies entrusted to Previmedical, based on a specific décalage of the...</w:t>
      </w:r>
    </w:p>
    <w:p>
      <w:r>
        <w:rPr>
          <w:b/>
        </w:rPr>
        <w:t>[Pages 121–123]</w:t>
      </w:r>
    </w:p>
    <w:p>
      <w:r>
        <w:t>BULLETIN NO. 21 OF MAY 27, 2024</w:t>
      </w:r>
    </w:p>
    <w:p>
      <w:r>
        <w:t>123 volumes. The Company's objective is [omitted] in order to diversify and minimize the risks of service disruptions such as the one that occurred at the end of 202250.</w:t>
      </w:r>
    </w:p>
    <w:p>
      <w:r>
        <w:t>59. Previmedical emphasized51 that the objective of the new agreement is, among others, to reduce by [omitted] each year the number of complaints. To this end, Previmedical, in agreement with Intesa SanPaolo RBM Salute, has selected two new Contact center operators who, unlike the previous call center operator, operate [omitted].</w:t>
      </w:r>
    </w:p>
    <w:p>
      <w:r>
        <w:t>60. According to what was indicated by the professionals52, since the entry into force of the agreement, all KPIs and SLAs contractually provided have been respected by the Provider.</w:t>
      </w:r>
    </w:p>
    <w:p>
      <w:r>
        <w:t>iv) The defensive arguments of the professionals</w:t>
      </w:r>
    </w:p>
    <w:p>
      <w:r>
        <w:t>61. ISP RBM and Previmedical responded to the requests for information contained in the communication initiating the procedure and presented their defensive arguments with memoranda submitted during the procedure. ISP RBM presented its defenses during the hearing held on September 19, 2023, and in the final memorandum of the procedure dated March 6, 2024. Previmedical presented its defensive arguments during the hearing held on September 13, 2023, and with the memoranda sent on June 12, 2023, July 17, 2023, September 27, 2023, as well as with the final memorandum of the procedure dated March 7, 202453.</w:t>
      </w:r>
    </w:p>
    <w:p>
      <w:r>
        <w:t>A) Intesa Sanpaolo RBM Salute</w:t>
      </w:r>
    </w:p>
    <w:p>
      <w:r>
        <w:t>62. As a preliminary matter, ISP RBM complained of an alleged violation of the Company's defense rights, as the latter was only able to examine the inspection documentation of Previmedical the day after receiving the Communication of the Conclusion Deadline of the Investigation, resulting in a substantial impossibility to defend itself during the Procedure and undue compression of the time assigned to prepare the defensive memorandum. Regarding the merits of the procedure, ISP RBM presented the following defensive arguments.</w:t>
      </w:r>
    </w:p>
    <w:p>
      <w:r>
        <w:t>a) the unfounded nature of the complaint regarding the alleged delays in managing the practices and the lack of assistance to the insured</w:t>
      </w:r>
    </w:p>
    <w:p>
      <w:r>
        <w:t>63. According to ISP RBM, the issues encountered in the first months of 2023 stemmed from a temporary and unexpected malfunction of the Operations Center managed by Previmedical54, which is not attributable to the Company's actions, nor could it have been foreseen. Furthermore, ISP RBM acted promptly and effectively towards Previmedical, managing to restore adequate service levels. The Company, therefore, cannot be considered jointly responsible for the practice in question, lacking any causal contribution facilitating the collective realization of the alleged wrongdoing.</w:t>
      </w:r>
    </w:p>
    <w:p>
      <w:r>
        <w:t>64. ISP RBM has repeatedly emphasized during the procedure that, starting from October 2022, there has been a deterioration in the service levels of the Operations Center managed by Previmedical, which has led to malfunctions in the claims settlement process, as well as difficulties for the insured to contact the call center55. This resulted, in the early months of 2023, in an increase in complaints against the Company. According to ISP RBM, this was a completely unexpected and unpredictable event, to which the Company would have promptly remedied by making every reasonable effort.</w:t>
      </w:r>
    </w:p>
    <w:p>
      <w:r>
        <w:t>65. In fact, as a result of the control activities carried out in accordance with the service agreement in force at the time (i.e., the agreement signed on May 11, 2020 - "Agreement 2020"), ISP RBM was able to promptly detect the deterioration of service levels of the Operations Center and consequently contest the aforementioned conduct, by sending a formal communication to Previmedical on November 5, 2022, demanding the restoration of service levels through appropriate interventions and applying a contractual penalty to the Provider. The IVASS was also informed of this contingent criticality, to which the initiatives taken to remedy it were reported. The Company, in fact, requested and obtained the support of new subcontractors (one of which was identified and proposed by the Company itself), thus avoiding further delays in new claims settlement requests. In particular, regarding the management of claims in reimbursement form accumulated in the last quarter of 2022, the Company defined a plan56, which, by the end of the first quarter of 2023, would allow for the clearance of the backlog through the payment of reimbursements due to the insured, without generating further delays in new claims settlement requests. This clearance plan was implemented through: (i) the establishment of a dedicated task force for processing the backlog composed of adjusters from ISP RBM and Previmedical, subject to the coordination of the Company; (ii) a temporary internalization by ISP RBM of certain claims management activities that had accumulated; and (iii) the assignment of a priority index to different requests based on delay and the type of service requested57.</w:t>
      </w:r>
    </w:p>
    <w:p>
      <w:r>
        <w:t>66. In conclusion, the control system implemented by the Company would have functioned accurately and effectively. Thus, while it is clear that ISP RBM was required to maintain diligent and timely oversight of the Provider, it is equally clear that the Company did not engage in any omissive behavior that would violate this duty. On the contrary, the control activities carried out, as well as the measures and interventions concretely implemented, would demonstrate a diligent effort to remedy the unexpected and unpredictable management issues of Previmedical.</w:t>
      </w:r>
    </w:p>
    <w:p>
      <w:r>
        <w:t>67. During the hearing with the Offices and in its memoranda, ISP RBM also emphasized, in order to mitigate the risk that the identified issues could occur again, that it had entered into the new contract with Previmedical described above, which introduced significant changes compared to the previous contract (in force from May 2020 to February 28, 2023) to increase control safeguards and improve the quality of service provided by Previmedical.</w:t>
      </w:r>
    </w:p>
    <w:p>
      <w:r>
        <w:t>68. According to ISP RBM, the challenge to the communication of the conclusion deadline of the investigation phase, stating that the signing of the New Agreement, which occurred "only in March 2023," would be "late" and, as such, contrary to the duty of professional diligence, is therefore without merit. The conclusion of the New Agreement does not constitute a late response to the issue of the malfunctioning of the Operations Center, which was already being addressed and resolved thanks to the controls and safeguards provided by the Agreement 2020, but would represent further evidence of the diligence shown by the Company in this case, aimed at minimizing the risk that similar issues may recur.</w:t>
      </w:r>
    </w:p>
    <w:p>
      <w:r>
        <w:t>b) the unfounded nature of the complaints related to the alleged inconsistencies in the application of policy conditions</w:t>
      </w:r>
    </w:p>
    <w:p>
      <w:r>
        <w:t>69. According to ISP RBM, the alleged inconsistencies in the application of policy conditions are essentially based on certain statements by Previmedical regarding an alleged lack of clarity in the settlement practices and their failure to be previously shared with the Provider. These statements, according to ISP RBM, find no support in the reality of the facts.</w:t>
      </w:r>
    </w:p>
    <w:p>
      <w:r>
        <w:t>70. ISP RBM states that, in the guidance activity in the settlement area towards Previmedical concerning the insurance contracts that implement the various health plans, the primary source is represented by the Insurance Conditions. It is only based on these that the benefits for the insured included in the relevant policy and the operational procedures that the insured must follow to access the benefits are defined, as well as the system rules that Previmedical must follow and the operational modalities of the Operations Center.</w:t>
      </w:r>
    </w:p>
    <w:p>
      <w:r>
        <w:t>71. The settlement practices (specific and general) concern elements functional to the settlement and process elements and constitute, in fact, guidelines issued by the Company to support customer management. They aim to clarify technical and operational areas in order to correctly apply what is provided within the Insurance Conditions, thereby supporting the adjusters in evaluating the settlement of benefits. In no case do the settlement practices derogate from the Insurance Conditions.</w:t>
      </w:r>
    </w:p>
    <w:p>
      <w:r>
        <w:t>72. The adoption of the settlement practices is subject to a specific internal authorization process that also includes the supervision of the Compliance Function for appropriate checks of consistency with the Insurance Conditions, as well as the direct involvement of the Provider. Only once this process is completed, if there are no significant changes compared to what has already been shared with the Provider and/or with the Client/Fund, does the Company send the final version to Previmedical, which, in turn, shares it with the work team and publishes it in the system file/office bulletin board, so that it is readily available for consultation during the claims management phases. Moreover, ISP RBM emphasizes that the training activity for each operator of the Operations Center is entrusted to Previmedical.</w:t>
      </w:r>
    </w:p>
    <w:p>
      <w:r>
        <w:t>73. Specifically regarding the general practices adopted by the Company since the signing of the New Agreement, ISP RBM emphasizes that Annex 11 of the New Agreement does not contain new settlement practices, but only a summary of the practices in force as of February 6, 2023, which was prepared precisely to facilitate the Provider's activity in carrying out its tasks. Furthermore, during the renewal of the service agreement, Annex 11 was shared several times with Previmedical before being finalized, precisely to incorporate certain minor comments from the Provider. Additionally, during the periods prior to the signing of the new agreement, technical meetings were held with personnel from the Company and the Provider, which have...</w:t>
      </w:r>
    </w:p>
    <w:p>
      <w:r>
        <w:rPr>
          <w:b/>
        </w:rPr>
        <w:t>[Pages 124–126]</w:t>
      </w:r>
    </w:p>
    <w:p>
      <w:r>
        <w:t>126 BULLETIN NO. 21 OF MAY 27, 2024</w:t>
      </w:r>
    </w:p>
    <w:p>
      <w:r>
        <w:t>collaborated in the definition. To this end, ISP RBM attaches some emails addressed to Previmedical that would attest to the above-mentioned.</w:t>
      </w:r>
    </w:p>
    <w:p>
      <w:r>
        <w:t>74. With particular reference to the settlement practices related to Fisdaf and Fasif clients, ISP RBM emphasizes that it is not true that the Provider was unaware of their contents prior to the renewal of the policy effective January 1, 2023. To this end, ISP RBM has produced a copy of an email that would attest that the specific settlement practices for the Fisdaf Fund were communicated to the Provider on December 29, 2022, that is, before the renewal of the Fisdaf contract. Regarding the settlement practices related to the Fasif policy, in agreement with the Fund and the Provider, the Company adopted, in July 2023, a specific settlement practice that, in a perspective of greater favor for the insured, overcomes the need to request the reservation form, in derogation of the Insurance Conditions and in a logic of simplification of the process. ISP RBM asserts that the aforementioned changes, which pertain to the correct management of claims, have been shared with both the Fund and Previmedical.</w:t>
      </w:r>
    </w:p>
    <w:p>
      <w:r>
        <w:t>c) the inadequacy of the reports in the case file to constitute evidence of an unfair commercial practice</w:t>
      </w:r>
    </w:p>
    <w:p>
      <w:r>
        <w:t>75. ISP RBM emphasizes the inadequacy of the reports in the case file to constitute evidence of an unfair commercial practice. The number of reports in the file appears to lack the necessary "indicative consistency," being modest in quantitative terms and could, at most, denote episodic and physiological errors for a company the size of ISP RBM. The lack of seriality of the contested behaviors would therefore exclude the existence of an unfair commercial practice.</w:t>
      </w:r>
    </w:p>
    <w:p>
      <w:r>
        <w:t>76. Firstly, according to ISP RBM, of the 135 reports received by the Authority and acquired in the investigation file, only 91 of these could (abstractly) be relevant, as the remaining 44 either constitute mere "reminders" related to reports already in the case file or do not fall within the scope of the Authority's investigation. Of the 91 potentially relevant reports, only 37 were found to be valid, while 54 reports were found to be unfounded even after a second evaluation, which confirmed the correctness of the Company's actions.</w:t>
      </w:r>
    </w:p>
    <w:p>
      <w:r>
        <w:t>77. The reports in the case file therefore do not suggest the existence of conduct contrary to the Consumer Code by the Company, as they are clearly attributable to physiological errors in managing relationships with certain insured parties, considering that: (i) the total of valid reports addressed to the Authority is equal to 0.002% of the number of claims managed by ISP RBM over the 13 months in question and (ii) the number of consumers who made the reports in the file is negligible compared to the total number of insured parties of ISP RBM.</w:t>
      </w:r>
    </w:p>
    <w:p>
      <w:r>
        <w:t>78. According to ISP RBM, the reports in the case file would therefore be inadequate to prove the Company's alleged habitual recourse to "unfair and aggressive behavioral models" contrary to the interests of the generality of consumers.</w:t>
      </w:r>
    </w:p>
    <w:p>
      <w:r>
        <w:t>BULLETIN NO. 21 OF MAY 27, 2024 127</w:t>
      </w:r>
    </w:p>
    <w:p>
      <w:r>
        <w:t>d) the failure to appreciate the investigative findings regarding the improvements achieved by the Company in 2023 and the considerations of IVASS regarding the improvements in the Company's operations</w:t>
      </w:r>
    </w:p>
    <w:p>
      <w:r>
        <w:t>79. ISP RBM complains that the Communication of the Conclusion of the Investigation would have ignored the evidence produced by the Company during the Procedure, which would instead attest, at least since April 2023, to a drastic decrease in complaints. In particular, the accusatory reconstruction outlines a picture (i.e., that of a company that, despite some improvements, has been suffering from the same operational problem for years) that would be clearly unreasonable and contrary to the objective findings acquired during the investigation. This is also considering that the significant improvement in the Company's operations would have been confirmed by evaluations made by IVASS, which, however, would not have been considered by the Offices.</w:t>
      </w:r>
    </w:p>
    <w:p>
      <w:r>
        <w:t>80. In this regard, ISP RBM highlights that between 2022 and 2023, there was a significant decrease in complaints received by the Company, with the number decreasing from 4,087 in 2022 to 3,204 in 2023, and the decrease would be even more pronounced regarding the last two quarters of 2023. Furthermore, since the entry into force of the New Agreement, all "strategic KPIs" related to service levels with Previmedical have been met. Additionally, ISP RBM emphasizes that the overall rating of the Company on the TrustPilot platform has increased (from 1.1 in March 2022 to 3.9 in December 2023, which is equal to the rating of the main competitor, UniSalute), which represents for ISP RBM an important benchmark for monitoring the satisfaction of its insured parties with the services provided.</w:t>
      </w:r>
    </w:p>
    <w:p>
      <w:r>
        <w:t>81. ISP RBM also emphasizes that IVASS, in its communication of November 15, 2023, highlighted how, in 2023, the number of complaints on a quarterly basis for the Company was decreasing, with a reduction of 13% in the first quarter of 2023 (compared to the first quarter of 2022), 38.2% in the second quarter, and 38.9% in the third quarter. A "marked reduction in complaints concerning contractual issues" was also highlighted, partly due to the modification of operational systems communicated by the Company, aimed at "preventing unjustified refusals of reimbursements for services provided in contracted facilities when the doctor and/or the service are not."</w:t>
      </w:r>
    </w:p>
    <w:p>
      <w:r>
        <w:t>82. Furthermore, according to ISP RBM, IVASS has provided additional informative elements, retracing the various initiatives of both strategic and operational nature adopted by the ISP Group to mark a discontinuity compared to the management prior to the Group's entry into RBM Salute and aimed at improving the services offered to the insured parties, as well as the effects produced by such initiatives, as represented by the company during the periodic meetings between IVASS and the ISP group, aimed precisely at following the evolution of the situation of ISP RBM, bringing to the Authority's attention the elements described above.</w:t>
      </w:r>
    </w:p>
    <w:p>
      <w:r>
        <w:t>83. IVASS then recalled the operational initiatives impacting the settlement processes, adopted with the Compliance Plan following the Provision of the same IVASS, including, for example:</w:t>
      </w:r>
    </w:p>
    <w:p>
      <w:r>
        <w:t>i. the implementation of a computer block to prevent the withdrawal of already authorized Health Vouchers, operational since the end of April 2022;</w:t>
      </w:r>
    </w:p>
    <w:p>
      <w:r>
        <w:t>128 BULLETIN NO. 21 OF MAY 27, 2024</w:t>
      </w:r>
    </w:p>
    <w:p>
      <w:r>
        <w:t>ii. the strengthening of monitoring the average settlement times of claims, resulting in a reduction of the average settlement times of reimbursement claims (from an average of twenty-one to eleven days and from twenty-four to twelve days for the MetaSalute Fund);</w:t>
      </w:r>
    </w:p>
    <w:p>
      <w:r>
        <w:t>iii. the implementation of a new process for suspending reimbursement practices, aimed at preventing automatic rejections in case of incomplete documentation submitted by the insured parties;</w:t>
      </w:r>
    </w:p>
    <w:p>
      <w:r>
        <w:t>iv. the revision of the internal procedure for authorizing multiple services "with the administrative burden related to practices following the first request placed on the contracted facilities and no longer on the insured party."</w:t>
      </w:r>
    </w:p>
    <w:p>
      <w:r>
        <w:t>B) Previmedical</w:t>
      </w:r>
    </w:p>
    <w:p>
      <w:r>
        <w:t>84. Previmedical emphasizes that no systematic service disruption has occurred for users, as isolated occurrences (which, moreover, can be attributed to a specific time frame and the contingencies that occurred therein) cannot be emblematic of any violation of the Consumer Code and of conduct detrimental to users benefiting from the service.</w:t>
      </w:r>
    </w:p>
    <w:p>
      <w:r>
        <w:t>85. According to Previmedical, the anomaly found by the Authority in the management of practices by the Provider would be concentrated in a very specific time frame, namely the first three months of 2023, since, after this quarter, complaints (which represent the expression of user discomfort) have significantly decreased, if not completely eliminated, even in relation to what was the major anomaly found at the beginning of the year, namely the delay in processing practices. However, Previmedical believes that the issues raised have found a definitive resolution, also thanks to the constant effort that Previmedical and ISP RBM have made to further improve the service offered.</w:t>
      </w:r>
    </w:p>
    <w:p>
      <w:r>
        <w:t>86. Previmedical therefore emphasizes that it would not be correct to consider that the issues persist to this day as indicated in the communication of the conclusion of the investigation phase, nor that IVASS has confirmed this: because while Previmedical acknowledges that, at least potentially, some anomaly occurred in the first quarter of 2023 (in which, in fact, complaints increased), it contests - based on IVASS's analysis - that a number of complaints recorded over seven months (259), which is itself lower than the number of complaints (287) recorded in the first quarter of the year, can be indicative of the continuation of illegalities and conduct to which, instead, the company would have definitively remedied. In this sense, according to Previmedical, it would be significant that - according to the data in the investigation file - between April 2023 and February 2024, only a few dozen complaints were recorded, spread over a long period.</w:t>
      </w:r>
    </w:p>
    <w:p>
      <w:r>
        <w:t>87. Previmedical does not find it reasonable that it (in its capacity as Provider), but also the reference Company, is imposed - because this would be the consequence that the considerations contained in the communication of the conclusion of the investigation phase lead to - that it can never make any mistakes, valuing a numerical data (the number of complaints) and a circumstance (the fact that there continue to be complaints) that are instead absolutely irrelevant when compared to the number of practices correctly processed and that are physiological not of a will to obstruct the enjoyment of services by the insured parties, but rather of mere errors, which are endemic to any activity.</w:t>
      </w:r>
    </w:p>
    <w:p>
      <w:r>
        <w:t>88. Firstly, Previmedical emphasizes the significant decrease in complaints and reports received since April 2023. The complaints related to the period under investigation...</w:t>
      </w:r>
    </w:p>
    <w:p>
      <w:r>
        <w:rPr>
          <w:b/>
        </w:rPr>
        <w:t>[Pages 127–129]</w:t>
      </w:r>
    </w:p>
    <w:p>
      <w:r>
        <w:t>BULLETIN NO. 21 OF MAY 27, 2024</w:t>
      </w:r>
    </w:p>
    <w:p>
      <w:r>
        <w:t>129. The complaints are mainly attributable to the issues arising from the previous management of the Contact Center service, which was replaced at the beginning of the year by two new operators, and from the fact that a large number of reimbursement requests generally concentrate in the last months of the year and are then processed in the first months of the following year. To address the complaints, the company has implemented a series of measures and an internal audit mechanism that have resulted in a constant decrease in reports in 2023, through: an improvement in the methods of verifying the overall quality of the service provided; the implementation of measures to ensure compliance with SLAs; the adoption of a new settlement policy to overcome any issues related to the updating of the network of facilities and professionals operating within them; the introduction of a series of improvement interventions in the management of practices to make its assistance service more effective and the responses to users clearer.</w:t>
      </w:r>
    </w:p>
    <w:p>
      <w:r>
        <w:t>89. According to Previmedical, the effectiveness of the measures taken would be evidenced by the reduction in complaints recorded during 2023, a reduction also noted by IVASS data, as well as by Previmedical's own "internal" findings, which continuously monitor the quality of the service offered.</w:t>
      </w:r>
    </w:p>
    <w:p>
      <w:r>
        <w:t>90. These data indicate that the period to be referenced is limited in time and cannot be considered that any potential issues continue to this day; and they also indicate the commitment made by Previmedical to further improve the service and address the issues that were identified and that led to the initiation of the procedure. Additionally, Previmedical believed in the immediate effectiveness of such measures, so much so that it signed a new contract with ISP RBM which, effective from March 1, 2023, regulates much more strictly the level of performances to be guaranteed, in every respect (from processing times to the quality of responses), with significant penalties in case of breach of contractual agreements (and with remuneration linked precisely to the maintenance of certain SLAs).</w:t>
      </w:r>
    </w:p>
    <w:p>
      <w:r>
        <w:t>91. Previmedical highlights that from the analysis of the documentation transmitted by the Authority following the requests for access to documents, no violation of Articles 20, 24, and 25 of the Consumer Code emerges, since the reports and complaints received by the Authority, as well as those received by IVASS, constitute nothing more than a physiological and unavoidable occurrence in Previmedical's activity and can only be categorized as trivial errors, the risk of occurrence of which is endemic and equally unavoidable in relation to the complaint. The absolute number of complaints, moreover, is not a significant figure in itself, as the possible disappointment of users is inherent to the management/liquidation of insurance practices.</w:t>
      </w:r>
    </w:p>
    <w:p>
      <w:r>
        <w:t>92. From this perspective, Previmedical also emphasizes that the analysis of the 136 complaints received by the Authority demonstrates that a significant portion of them cannot be attributed to Previmedical, reporting problems that (regardless of their validity) pertain to the relationship of the individual user with the reference Fund. Specifically, these are complaints that have been made against a subject other than Previmedical and that are, in any case, unrelated to the management of the relationship with the Client or related to policy conditions that were not even operational, as far as Previmedical is aware. Other complaints should objectively be directed exclusively to ISP RBM, highlighting hypothetical service disruptions to which Previmedical is unrelated, being able at most to urge the Company to act. Those notes and reports that do not have the connotation of a complaint, but are, in fact, mere requests for information, cannot be considered relevant for ascertaining any wrongdoing. Finally, other complaints are objectively unfounded and therefore cannot generate any grievance among the insured.</w:t>
      </w:r>
    </w:p>
    <w:p>
      <w:r>
        <w:t>93. In conclusion, during the period between the first and last report considered by the Authority and present in the investigation file (from January 16, 2023, to February 6, 2024), the complaints somehow attributable to potentially incorrect conduct are an absolutely insignificant number, 41 for a period relating to more than a year.</w:t>
      </w:r>
    </w:p>
    <w:p>
      <w:r>
        <w:t>94. According to Previmedical, the assessment of the potential harm of what is complained about in the received complaints, also in light of the jurisprudence on the offenses sanctioned by the Consumer Code as dangerous offenses, cannot be decontextualized and must consider the number of practices processed and, within them: a) the millions of practices correctly processed by the Provider, with consumer satisfaction and the creation of a positive and widespread sentiment among users; b) the ordinary possibility of incorrect management of some of them, because Previmedical's activity is one in which, just as in any other activity, errors can occur.</w:t>
      </w:r>
    </w:p>
    <w:p>
      <w:r>
        <w:t>95. Furthermore, it should be added that mere error cannot - by itself, without further indicators related, for example, to any intention to ostracize the user and reimburse the smallest number of practices possible - rise to a punishable offense, because otherwise, Previmedical, just like any other Provider, would be required to exercise a level of diligence that is actually unattainable, depriving it of any possibility of error, because, indeed, every error would potentially carry consequences under the Consumer Code.</w:t>
      </w:r>
    </w:p>
    <w:p>
      <w:r>
        <w:t>96. According to Previmedical, therefore, the distinction between error and unlawful conduct must be identified in the systematic nature of the conduct and the actual relevance of the same in relation to the practices correctly processed.</w:t>
      </w:r>
    </w:p>
    <w:p>
      <w:r>
        <w:t>97. Previmedical makes similar considerations regarding one of the Authority's observations about the delay in processing certain practices. The fact that some practices were processed late, in the face of millions of practices processed correctly, would not be significant of a danger to consumer interests, given that that conduct was not at all systematic and that it certainly did not discourage users from submitting new practices. Therefore, in general, where the commercial practice is not able to "disturb" consumers, the practice cannot be judged as incorrect.</w:t>
      </w:r>
    </w:p>
    <w:p>
      <w:r>
        <w:t>98. The data regarding the number of practices managed by Previmedical (about [5,000 - 50,000] practices every day, divided between direct practices, reimbursement practices, phone calls, payments to facilities for the services they charge on behalf of users, and emails) would demonstrate that the average consumer has not perceived any obstacle or the "decisiveness" of the errors made and that, conversely, has continued to submit practices to the Provider, seeing them managed correctly and promptly.</w:t>
      </w:r>
    </w:p>
    <w:p>
      <w:r>
        <w:t>99. Previmedical, while not denying that some practices were indeed processed late compared to the times provided for in the contract, notes that the service disruptions reported by consumers cannot be considered significant of any incorrect conduct, in light of the fact that statistical data would show that even during the examined period, the Provider overall respected the SLAs imposed on it and that those service disruptions were nothing more than mere errors and misunderstandings. Even with regard to the processing of reimbursement practices, the delays accumulated in their handling would be insignificant compared to the number of practices processed promptly and average times in line with the reference SLAs. In any case, Previmedical, upon noticing the delays, emphasizes that it has continuously worked to reduce the number of positions processed late and bring it back to an absolutely physiological level.</w:t>
      </w:r>
    </w:p>
    <w:p>
      <w:r>
        <w:t>100. Previmedical also contests that there are difficulties in contacting its operators and that they are not able to adequately interact with users. In fact, the quality of the service provided to users is an aspect particularly considered by the professional who, following the previous sanctioning measure of the Authority (and regardless of the outcomes of the then-pending judgment at the TAR Lazio), has adopted a series of measures that, according to him, would have resolved every critical aspect in this regard. This conclusion would be confirmed by the results of the post-call survey, which demonstrate that user satisfaction is virtually complete in terms of courtesy and comprehensiveness of the responses received.</w:t>
      </w:r>
    </w:p>
    <w:p>
      <w:r>
        <w:t>101. Regarding the erroneous rejections of reimbursement and authorization requests made by users, Previmedical, aside from possible occasional errors that are always possible, emphasizes that it is nothing more than a "mere executor," in a relationship of substantial subordination, of the instructions of ISP RBM and the contractual conditions established by others. From this perspective, the observations that consumers report regarding the circumstances legitimizing the withdrawal of the authorization already granted, or regarding the superfluity of the documents requested as integration (for example, [omitted]), could not be directed to Previmedical, but should be directed towards those contractual conditions that the relevant Fund has established with ISP RBM.</w:t>
      </w:r>
    </w:p>
    <w:p>
      <w:r>
        <w:t>102. Previmedical has also emphasized that it has adopted a series of measures aimed at implementing the customer experience and increasing the user satisfaction rate and, with it, also the level of service offered. Thus, the professional has committed to the constant training of its operators, the implementation of its systems, and the increase of audit activities to intercept any potential issues.</w:t>
      </w:r>
    </w:p>
    <w:p>
      <w:r>
        <w:t>103. Finally, as highlighted above, Previmedical has pointed out in the memoranda sent during the procedure that a series of interpretative errors in the management of practices are attributable to the lack of adequate sharing of changes related to application practices or the failure to receive the requested clarifications.</w:t>
      </w:r>
    </w:p>
    <w:p>
      <w:r>
        <w:t>IV. THE OPINION OF THE INSURANCE SUPERVISORY AUTHORITY</w:t>
      </w:r>
    </w:p>
    <w:p>
      <w:r>
        <w:t>104. Since the commercial practice subject to this measure concerns the insurance sector, on March 12, 2024, the opinion was requested from IVASS, pursuant to and for the effects of Article 27, paragraph 1-bis, of the Consumer Code. The opinion was received on April 11, 2024, and summarizes the observations and evaluations that follow.</w:t>
      </w:r>
    </w:p>
    <w:p>
      <w:r>
        <w:rPr>
          <w:b/>
        </w:rPr>
        <w:t>[Pages 130–132]</w:t>
      </w:r>
    </w:p>
    <w:p>
      <w:r>
        <w:t>132 BULLETIN NO. 21 OF MAY 27, 2024</w:t>
      </w:r>
    </w:p>
    <w:p>
      <w:r>
        <w:t>105. The Institute initially provides an update on the trend of complaints and some considerations in order to frame and evaluate the conduct of the companies in light of the overall context.</w:t>
      </w:r>
    </w:p>
    <w:p>
      <w:r>
        <w:t>106. It is reported that, in 2023, and particularly in the second half of the year, there was a significant reduction in the number of complaints against ISP RBM. The overall decrease in complaints received by IVASS in 2023 compared to 2022 was 30% (from 952 to 666) and is observable in all quarters of the year. The Institute reports that this trend is also confirmed by the data from the first two months of 2024, which show a marked decrease (-69%) in the number of complaints received by IVASS compared to the same two months of 2023. The reports received by IVASS are mostly attributable to informational deficiencies on the part of employers and/or funds, health funds, or mutual aid societies that contract insurance coverage for their members, related to the interpretation of contractual conditions and the actual amount of the insurance benefit under the policy; these informational deficiencies contribute to the increase in complaints against the company.</w:t>
      </w:r>
    </w:p>
    <w:p>
      <w:r>
        <w:t>107. Regarding the complaint data communicated to IVASS by ISP RBM, in the Audit function's report on complaints, IVASS highlights that these show a decrease of 22% in 2023 compared to 2022. The fund most affected by complaints was Metasalute (46% of the total complaints), with a number of complaints decreasing compared to 2022 (-35%) against the substantial stability of insured heads. IVASS reports that the trend of reducing complaints seems to continue in the first quarter of 2024 with a contraction of approximately 34% compared to the same period of the previous year.</w:t>
      </w:r>
    </w:p>
    <w:p>
      <w:r>
        <w:t>108. In relation to the malfunctioning of the Operational Center of the Provider Previmedical, the Institute observes that the prompt activation of ISP RBM towards the Provider led to the restoration of the expected service level of the Center as of March 31, 2023, which is also evident from the reduction of complaints received by the Institute during 2023.</w:t>
      </w:r>
    </w:p>
    <w:p>
      <w:r>
        <w:t>109. On a general level, IVASS observes that the reason for the positive trend in complaints can be considered a consequence of the various initiatives, both strategic and operational, adopted by the ISP RBM group over time, aimed at overcoming initial criticalities and improving the services offered to policyholders, already represented in the communication sent by IVASS to the Authority on November 15, as well as the actions taken by the Company to strengthen the monitoring of claims managed by the Provider.</w:t>
      </w:r>
    </w:p>
    <w:p>
      <w:r>
        <w:t>V. CONCLUDING EVALUATIONS</w:t>
      </w:r>
    </w:p>
    <w:p>
      <w:r>
        <w:t>(i) Premise</w:t>
      </w:r>
    </w:p>
    <w:p>
      <w:r>
        <w:t>110. The proceeding concerns the commercial practice carried out by the companies Intesa Sanpaolo RBM Salute S.p.A. and Previmedical Servizi per Sanità Integrativa S.p.A. in the offering of insurance services and consists of conduct overall aimed at hindering or delaying the exercise of rights arising from the contractual relationship of policyholders to the health care services offered by them.</w:t>
      </w:r>
    </w:p>
    <w:p>
      <w:r>
        <w:t>111. The conduct under examination has been carried out by professionals in the exercise of their entrepreneurial activity as providers of insurance services, of which consumers are the end users.</w:t>
      </w:r>
    </w:p>
    <w:p>
      <w:r>
        <w:t>BULLETIN NO. 21 OF MAY 27, 2024 133</w:t>
      </w:r>
    </w:p>
    <w:p>
      <w:r>
        <w:t>112. Both ISP RBM and Previmedical must be considered responsible for the contested conduct and, therefore, recipients of the measure. The former has entrusted Previmedical with the management and settlement of claims based on a specific service supply contract that grants it powers of direction, monitoring, general control, and approval of the Provider's activities. Previmedical carries out all operational activities following the sale of the insurance product by ISP RBM, aimed at managing and settling claims in favor of the insured, with whom it interacts directly.</w:t>
      </w:r>
    </w:p>
    <w:p>
      <w:r>
        <w:t>113. Both professionals have not adopted the necessary diligence and have hindered or delayed their clients' enjoyment of the services to which they were entitled in their respective areas of competence: Previmedical in the management of claims and relationships with policyholders and ISP RBM in its role as the entity called to oversee the actions of its Provider and to provide the latter with operational indications that would allow it to perform its tasks with certainty. This last criticality, in light of the latest memorandum transmitted by Previmedical, does not appear to have been overcome, given that the evidence provided by ISP RBM acknowledging the sharing with the Provider of the definition of certain application practices pertains to the first quarter of 2023, while the evidence in the records indicates that similar interpretative criticalities were also encountered in the subsequent months. In particular, regarding the noted absence of adequate channels for sharing and/or offering clarifications to the Provider concerning changes that have affected the application practices of the policy conditions, it does not appear that ISP RBM has introduced mechanisms aimed at preventing the recurrence of similar criticalities.</w:t>
      </w:r>
    </w:p>
    <w:p>
      <w:r>
        <w:t>114. As for the information provided by IVASS, it is noted that the Regulatory Authority, in the latest opinion received and in previous responses to requests for information, has provided data on the identified criticalities that it has not qualified as physiological, as the parties would argue, and that show, despite a trend towards improvement in the number of complaints directed to IVASS, that the trend of their decrease is not consolidated, considering that in the fourth quarter of 2023 complaints nearly doubled compared to the third quarter and are also higher than those related to the second quarter. As for the data from the first two months of 2024, they are, on a monthly basis, similar to those of the third quarter of 2023.</w:t>
      </w:r>
    </w:p>
    <w:p>
      <w:r>
        <w:t>115. Nor can it be underestimated that from the analysis of the "Report on the management of complaints 2023" of ISP RBM, they still amounted to 3,204, of which 90% related to the Liquidation Area, which is the one involved in the practices subject to the proceeding.</w:t>
      </w:r>
    </w:p>
    <w:p>
      <w:r>
        <w:t>116. Therefore, the conduct under examination, contrary to what the professionals claim (who would like to limit the conduct under examination to only the first quarter of 2023), has persisted throughout the entire year of 2023 and is still ongoing based on the evidence analyzed above.</w:t>
      </w:r>
    </w:p>
    <w:p>
      <w:r>
        <w:t>(ii) Procedural Issues</w:t>
      </w:r>
    </w:p>
    <w:p>
      <w:r>
        <w:t>117. As a preliminary matter, the Authority notes the unfoundedness of ISP RBM's argument that, due to the "late" access to the documentation acquired by the Authority during the inspection at Previmedical - which actually occurred only the day after the communication of the deadline for closing the investigative phase - the professional would have had a number of days, deemed insufficient by the party, to examine said documentation and prepare their defense.</w:t>
      </w:r>
    </w:p>
    <w:p>
      <w:r>
        <w:t>118. In this case, after the Offices lifted the deferral of access to the documentation acquired during the inspections and the proceeding, ISP RBM and Previmedical reiterated their confidentiality requests regarding the documentation in question. In particular, Previmedical sent a confidentiality request regarding the documentation acquired during the inspection concerning ISP RBM and third parties as early as February 9, 2024. Therefore, the identification of accessible documents occurred only at the conclusion of the discussion with the professionals, to which timely access to the records followed.</w:t>
      </w:r>
    </w:p>
    <w:p>
      <w:r>
        <w:t>119. Secondly, the exception in question had already been raised by ISP RBM after receiving the communication on the conclusion of the investigative phase. As a result of this exception, on March 7, 2024, the parties to the proceeding were informed of the extension of an additional five days, until March 12, 2024, of the deadline for concluding the investigative phase and the deadline for the submission of statements and documents. Moreover, it is worth highlighting that, following this extension, ISP RBM and Previmedical did not submit any further statements or documentation.</w:t>
      </w:r>
    </w:p>
    <w:p>
      <w:r>
        <w:t>(iii) Violations of the Consumer Code</w:t>
      </w:r>
    </w:p>
    <w:p>
      <w:r>
        <w:t>120. The investigative findings described above highlight that, starting from January 2023, ISP RBM's customers have suffered a series of inconveniences, service disruptions, and unjustified obstacles to the exercise of their contractual rights which, due to their extent and duration, constitute an unfair commercial practice that presents aggressive profiles in violation of Articles 20, 24, 25, paragraph 1, letter d), of the Consumer Code.</w:t>
      </w:r>
    </w:p>
    <w:p>
      <w:r>
        <w:t>121. In their concluding statements, both professionals attempt to downplay the significance of the investigative findings, to deny or significantly downsize the scope of the commercial practice under examination. To this end, the parties strive to fragment the entirety of the evidence in the records, thus, on one hand, downplaying the significance of the complaints received and, on the other, belittling the complexity and seriousness of the practice that can only be fully appreciated by considering the entirety of the evidence in the records.</w:t>
      </w:r>
    </w:p>
    <w:p>
      <w:r>
        <w:t>122. In this sense, it is necessary, preliminarily, to refute the professionals' attempt to confine the Authority's investigation to the sole content of consumer complaints. The investigation in question is, in fact, centered, as seen, on a series of evidences of which the complaints represent only one aspect.</w:t>
      </w:r>
    </w:p>
    <w:p>
      <w:r>
        <w:rPr>
          <w:b/>
        </w:rPr>
        <w:t>[Pages 133–135]</w:t>
      </w:r>
    </w:p>
    <w:p>
      <w:r>
        <w:t>BULLETIN NO. 21 OF MAY 27, 2024</w:t>
      </w:r>
    </w:p>
    <w:p>
      <w:r>
        <w:t>123. Firstly, as described in the factual section, a serious malfunction of the Previmedical Operations Center emerged at the end of 2022. This malfunction resulted in a very high backlog of 2022 cases awaiting resolution in the early months of 2023, significantly delayed compared to the settlement times provided for by the respective health policies (particularly regarding Metasalute). The accumulated delay also caused difficulties in the current management during the early months of 2023, with numerous cases from January, February, and March 2023 not resolved within the contractually stipulated SLAs and, in general, with significant delays compared to contractual forecasts. Furthermore, the malfunction of the operations center also led to the described difficulties in contacting customer service. These events caused significant distress to the affected consumers and a significant number of complaints in the early months of 2023, as evidenced by the documentation obtained and the reports received by the Authority and IVASS.</w:t>
      </w:r>
    </w:p>
    <w:p>
      <w:r>
        <w:t>124. The malfunction of the Previmedical operations center and the existence of consumer distress were acknowledged by the professionals involved in the proceedings, who also noted that the malfunctions in question led the parties to identify new call center managers and to modify the interaction methods between the call center and Previmedical. Contrary to what the parties claimed, this malfunction was not resolved promptly, as it persisted, by their own admission, from at least November 2022 until the early months of 2023.</w:t>
      </w:r>
    </w:p>
    <w:p>
      <w:r>
        <w:t>125. Secondly, the inspection findings revealed numerous inconsistencies in the concrete application of policy conditions, which resulted, also due to the difficulties in interpreting the settlement practices established by ISP RBM highlighted by Previmedical, in numerous cases of incorrect denial of authorizations or reimbursements to individuals entitled to them, or the unnecessary request for additional documentation, also causing numerous inconveniences that led to further complaints from the insured.</w:t>
      </w:r>
    </w:p>
    <w:p>
      <w:r>
        <w:t>126. In this regard, the observations made by ISP RBM in its concluding memorandum, which highlight some agreements reached regarding application practices with Previmedical, are not relevant. As described in the factual section, following the adoption of such application practices, regardless of whether they had been discussed with Previmedical, it is significant that the latter expressed interpretative doubts to which ISP RBM did not adequately respond, thus contributing to the cases of incorrect application of policy conditions by the Provider. The fact that Previmedical still emphasizes in its latest submitted memorandum that the remaining errors are partly attributable to interpretative issues of the settlement practices highlights that this criticality has not yet been fully remedied by implementing mechanisms that can ensure the timely resolution of such problems to avoid their impact on the proper management of cases.</w:t>
      </w:r>
    </w:p>
    <w:p>
      <w:r>
        <w:t>127. From this perspective, it should be emphasized that in the sector in question, that of health assistance, the standard of professional diligence required from economic operators must be considered particularly high due to the intrinsic psychological vulnerability of the assisted individuals, which relates to the specific health conditions concerning their own health or that of their loved ones that led to the request for assistance and makes them more susceptible to anti-consumer practices. Therefore, the attention of operators must be very high since any unjustified denial of authorizations or reimbursements for health services can result in the failure or delay in receiving the requested health assistance, with highly prejudicial effects on the health and psycho-physical well-being of the applicants.</w:t>
      </w:r>
    </w:p>
    <w:p>
      <w:r>
        <w:t>128. In any case, while the professionals have emphasized that the complaints made against them by the Authority would suggest that no errors can be made in the management of cases, it should be clarified that the identified criticalities cannot be considered, as the parties would like, numerically irrelevant, in light of the volume of claims they handled, given, among other things, that the same regulatory authority, specifically tasked with evaluating the actions of active subjects in the sector (and, therefore, well aware of the minimum standards of professionalism required), while having noted a gradual improvement in the performance of the respective activities by the involved parties, has never classified the facts under investigation as merely physiological, having instead highlighted, particularly regarding the percentages of complaints found to be well-founded, that greater diligence would have avoided inconveniences to a significant number of consumers.</w:t>
      </w:r>
    </w:p>
    <w:p>
      <w:r>
        <w:t>129. Regarding ISP RBM's argument that its score on the Trustpilot platform has improved to the point of being substantially comparable to that of its main competitor Unisalute, it is noted that as of the date of adoption of this provision, ISP RBM has a score of 3.8 out of five based on 3,827 reports, while Unisalute has a score of 4.1 out of five based on 9,115 reports. However, what is most significant is the high percentage of entirely negative reviews expressed against ISP RBM, amounting to about 47% of the total.</w:t>
      </w:r>
    </w:p>
    <w:p>
      <w:r>
        <w:t>130. The conduct of the two professionals, although closely intertwined to the point of giving rise to a single unfair commercial practice, will be analyzed separately below to accurately identify the responsibilities of each.</w:t>
      </w:r>
    </w:p>
    <w:p>
      <w:r>
        <w:t>The conduct of Intesa Sanpaolo RBM Salute</w:t>
      </w:r>
    </w:p>
    <w:p>
      <w:r>
        <w:t>131. Regarding ISP RBM, the elements that emerged during the investigation highlight and confirm the company's responsibility for failing to implement an effective control system over the claims management activities of the Provider Previmedical, as well as full awareness of the impact and relevance of the conduct subject to the proceedings. The investigation findings show that ISP RBM did not establish, at least until the full implementation of the new contractual provisions, a monitoring system over Previmedical capable of preventing and managing potential criticalities in the management of health policies, as well as ensuring its insured parties an adequate level of service.</w:t>
      </w:r>
    </w:p>
    <w:p>
      <w:r>
        <w:t>132. In this sense, ISP RBM's behavior cannot be considered compliant with the normal degree of professional diligence that would be reasonably expected from one of the main operators in the insurance market, in light of widely known criticalities.</w:t>
      </w:r>
    </w:p>
    <w:p>
      <w:r>
        <w:t>133. ISP RBM claims that no responsibility, nor any behavior contrary to professional diligence, can be attributed to it, as it would have implemented a control and monitoring system for its Provider that would have functioned accurately and effectively, particularly since the company would have noticed the malfunction of the Previmedical operations center by sending a warning letter in November 2022 and subsequently applying a penalty to the Provider.</w:t>
      </w:r>
    </w:p>
    <w:p>
      <w:r>
        <w:t>134. However, contrary to the professional's claims, the procedures established by the latter proved inadequate to prevent the improper conduct subject to the proceedings, as it did not adequately intervene, including through sufficient control initiatives, on the evaluation and settlement procedures of the cases managed by the Provider Previmedical, nor did it adequately direct and instruct its Provider on such operational activities, thus contributing to the evaluative errors and service disruptions subject to investigation.</w:t>
      </w:r>
    </w:p>
    <w:p>
      <w:r>
        <w:t>135. In reality, ISP RBM should have established suitable tools, according to an anticipatory and prospective assessment, to ensure effective and thorough control over the actions of its Provider, so as to prevent the occurrence of episodes like those that occurred between the end of 2022 and the beginning of 2023, such as by monitoring service levels and the methods by which performance-related data were processed through monthly checks at the Provider's premises. This is all the more relevant considering that possible criticalities in the Provider's activities had already emerged in the past. In this regard, it is irrelevant that the previous provision of the Authority, closed in July 2021 (which had contested such criticalities), was subsequently annulled - moreover for purely procedural reasons - by the administrative judge, as that investigation had nonetheless shed light on Previmedical's activities, which ISP RBM should have duly taken into account.</w:t>
      </w:r>
    </w:p>
    <w:p>
      <w:r>
        <w:t>136. Furthermore, the application of penalties in response to the malpractices that occurred cannot constitute a suitable element to exempt ISP RBM from its responsibilities as a subject that, in the first instance, must respond to the legitimate needs of its clientele. It should be added that in the previous contract there were levers, in addition to the mere application of penalties, that ISP RBM could have used to address more promptly and effectively the inconveniences suffered by its clients.</w:t>
      </w:r>
    </w:p>
    <w:p>
      <w:r>
        <w:t>137. On the other hand, that contract did not provide (as opposed to the contract currently in force) for rewarding mechanisms, linked to the achievement of performance and the reduction of complaints, that could effectively incentivize the gradual reduction of consumer complaints.</w:t>
      </w:r>
    </w:p>
    <w:p>
      <w:r>
        <w:t>138. In other words, ISP RBM, in addition to having maintained for a long time - despite repeated signals of inadequacy of the existing system - a contractual relationship that was not suitable to guarantee...</w:t>
      </w:r>
    </w:p>
    <w:p>
      <w:r>
        <w:rPr>
          <w:b/>
        </w:rPr>
        <w:t>[Pages 136–138]</w:t>
      </w:r>
    </w:p>
    <w:p>
      <w:r>
        <w:t>138 BULLETIN NO. 21 OF MAY 27, 2024</w:t>
      </w:r>
    </w:p>
    <w:p>
      <w:r>
        <w:t>the due satisfaction of its customers, moreover, has not activated all the levers provided therein to better control and redirect the actions of its service provider.</w:t>
      </w:r>
    </w:p>
    <w:p>
      <w:r>
        <w:t>139. It is noted, in this regard, that the activity of Previmedical, by virtue of the signed contract, is carried out in the immediate and direct interest of ISP RBM, since the management of the policies of which the latter is the holder constitutes the actual object of the obligation arising between ISP RBM and Previmedical. Therefore, in the case of the interposition of third parties in the professional's activity, the standard of diligence required of the latter imposes a constant and timely attention to the conduct of such third parties73; otherwise, the usability of the contractual module chosen by the professional would result in an exemption from liability aimed at placing him "safeguarded" from conduct that the latter assumes to be not attributable to his own actions74.</w:t>
      </w:r>
    </w:p>
    <w:p>
      <w:r>
        <w:t>140. According to established administrative jurisprudence75, the professional is responsible for the activities carried out by his agents, whether he can be attributed with culpa in eligendo, or whether he can be charged with culpa in vigilando, that is, if he does not demonstrate that he has implemented an effective monitoring system over the activities carried out by third parties, or has not equipped himself within his organization with a monitoring system suitable to ensure the timely fulfillment of obligations by the same subjects.</w:t>
      </w:r>
    </w:p>
    <w:p>
      <w:r>
        <w:t>141. The extension of the professional's liability that avails itself of a third party also to the defaults committed by that subject, according to jurisprudence, is an expression of the broader principle "cuius commoda, eius et incommoda" which also applies in the context of administrative offenses. This is not an objective liability but a subjective liability that finds its rationale in an organizational fault of the entrepreneur who could otherwise consider himself exempt from liability for the unlawful acts committed by his collaborators whom, however, he relies on in the performance of his entrepreneurial activity76.</w:t>
      </w:r>
    </w:p>
    <w:p>
      <w:r>
        <w:t>142. It should be added that, as described above, ISP RBM is also to be attributed its own liabilities, to the extent that part of the inconveniences suffered by customers have been found to be attributable to the inadequacy of the guidelines provided by it to its Provider.</w:t>
      </w:r>
    </w:p>
    <w:p>
      <w:r>
        <w:t>143. On the factual level, it is highlighted that in addition to the reports received by the Authority and those received directly from IVASS, ISP RBM received as many as 3,204 complaints in the period from January to December 202377.</w:t>
      </w:r>
    </w:p>
    <w:p>
      <w:r>
        <w:t>73 "the professional who avails himself of the work of third parties is required, in compliance with the standard of diligence required from operators in the sector, to exercise constant and timely attention to the conduct of such subjects, failing which the resort to third parties would become an exemption aimed at placing the professional safeguarded from conduct that the latter assumes not to be attributable to his own actions. [...]", see Tar Lazio, I, February 20, 2020, No. 2245, PS10825 - Green Solution photovoltaic system offered; Tar Lazio, September 24, 2020, No. 9763, PS9834 - Green Network - Unrequested activations; Tar Lazio, September 24, 2020, No. 9761, PS9815 - Acea - Unrequested activations; Tar Lazio, September 24, 2020, No. 9764, PS9999 - Hera - Unrequested activations; Tar Lazio, January 15, 2020, No. 929, PS10998 - Switch power - unrequested activations. Moreover, according to jurisprudence, where the benefits of the conduct are nonetheless attributable to the "professional" identified by the Authority, "[...] it does not matter that the sanctioned activity was materially carried out by third parties" (see TAR Lazio, Sez. I, 29.6.17, No. 9916 and 17.5.16, No. 5809).</w:t>
      </w:r>
    </w:p>
    <w:p>
      <w:r>
        <w:t>74 Tar Lazio, March 25, 2009, No. 3722, and Council of State August 2, 2018, No. 8699.</w:t>
      </w:r>
    </w:p>
    <w:p>
      <w:r>
        <w:t>75 Council of State, VI, Nos. 3896/2014, 3897/2014 and Tar Lazio September 24, 2020, No. 9763.</w:t>
      </w:r>
    </w:p>
    <w:p>
      <w:r>
        <w:t>76 See Tar Lazio, I, December 21, 2021, No. 13223, PS10949 - House To House - Untrue product characteristics.</w:t>
      </w:r>
    </w:p>
    <w:p>
      <w:r>
        <w:t>77 See doc. No. 233 of the investigative file, concluding memorandum sent by ISP RBM Salute on March 6, 2023, p. 28.</w:t>
      </w:r>
    </w:p>
    <w:p>
      <w:r>
        <w:t>BULLETIN NO. 21 OF MAY 27, 2024 139</w:t>
      </w:r>
    </w:p>
    <w:p>
      <w:r>
        <w:t>144. The objection raised by the professional that this would be a number of complaints entirely physiological in relation to the claims managed annually (over three million with an incidence of about 0.1%) and, therefore, inadequate to support the existence of a commercial practice attributable to him, appears irrelevant.</w:t>
      </w:r>
    </w:p>
    <w:p>
      <w:r>
        <w:t>145. In fact, the number of complaints related to the conduct of the professional cannot certainly be considered negligible, even when compared to the number of claims. In this regard, it is noted that in the IVASS statistics for the first half of 2023, ISP RBM ranks among the Italian companies with the worst result in the complaints ranking for the damage branch78.</w:t>
      </w:r>
    </w:p>
    <w:p>
      <w:r>
        <w:t>146. ISP RBM, moreover, fails to dwell on the fact that during 2023 the number of complaints directly addressed to it that were found to be well-founded, for which the Company acknowledged having erroneously handled its customers' requests, reached 50% in the first two months of 2023, recording a significant increase compared to the same period of the previous year (30%). This figure rises to 71% for the period January-March 2023 and to 58% for the period April - October 2023 when considering the complaints received by IVASS.</w:t>
      </w:r>
    </w:p>
    <w:p>
      <w:r>
        <w:t>147. More analytically, it is observed that:</w:t>
        <w:br/>
        <w:t>a) the data on complaints received by the professionals and acquired during the inspection described in paragraphs 41 - 43 of this provision highlight how, in the period from January 1 to May 23, 2023, over 40% of the complaints received and processed (almost a thousand) were accepted with a subsequent redefinition of the reimbursement payment or granting of authorization for direct provision. From the same file, it emerges that the main reasons that led to the acceptance of the complaints relate to late reimbursements/authorizations, situations of erroneous cancellation or rejection, and situations arising from liquidation errors due to incorrect application of policy conditions and incorrect evaluation of medical documentation. As highlighted above, other documents and internal emails also attest that about half of the complaints received during the period (January - May 2023) by the company on originally rejected practices led to the subsequent acceptance of the requests79 and that the data on erroneously rejected requests appears to be in significant deterioration compared to 202280;</w:t>
        <w:br/>
        <w:t>b) IVASS, with communication received on April 12, 2023, regarding the analysis of complaints received by it in the first quarter of 2023, noting the high percentage of complaints accepted following investigations against ISP RBM and Previmedical, emphasized that the data indicates that a more careful and rigorous handling of claims from the outset by the company and the Provider would have avoided the emergence of conflict with the customer and the sending of the complaint both to the company itself and, subsequently, to IVASS.</w:t>
      </w:r>
    </w:p>
    <w:p>
      <w:r>
        <w:t>148. From this point of view, moreover, the fact that in numerous cases the professional has reassessed the practice in favor of consumers does not diminish the incorrectness of the conduct. The insured, in fact, had to undertake a tiring activity to obtain recognition of a contractually provided right.</w:t>
      </w:r>
    </w:p>
    <w:p>
      <w:r>
        <w:t>149. Ultimately, ISP RBM is found responsible both directly and for culpa in eligendo and culpa in vigilando of its Provider in relation to the numerous inconsistencies that have emerged in the concrete application of policy conditions that have resulted in numerous cases of incorrect denial of authorizations or medical reimbursements to subjects who were entitled to them, or the unnecessary request for further documentation, causing numerous inconveniences to the insured.</w:t>
      </w:r>
    </w:p>
    <w:p>
      <w:r>
        <w:t>150. On this point, it must be reiterated that according to Previmedical, numerous cases of incorrect management of the requests of the insured are attributable to interpretative doubts about internal liquidation practices. In this regard, ISP RBM should have prepared suitable tools to ensure a communication system with its Provider, allowing for the timely resolution of any interpretative doubts regarding policy conditions and liquidation practices.</w:t>
      </w:r>
    </w:p>
    <w:p>
      <w:r>
        <w:t>151. The evidence on record shows that, following the entry into force in March 2023 of the new contract with Previmedical, measures aimed at ensuring an overall improvement of the safeguards for consumers have been introduced, which have gradually led to an improvement in the professional's performance. However, in light of the long-standing critical issues that have affected the management methods of health practices and relationships with the insured, it should be emphasized that the new contractual provisions now more stringent for the protection of consumers were adopted by the professionals late, moreover with the provision of a two-month transitional period to come into effect. The measures implemented by ISP RBM, therefore, although they have recorded improvements in critical issues (especially those related to delays in reimbursement payments) starting from April 2023, have not, however, led to the definitive cessation of the practice.</w:t>
      </w:r>
    </w:p>
    <w:p>
      <w:r>
        <w:t>The conduct of Previmedical</w:t>
      </w:r>
    </w:p>
    <w:p>
      <w:r>
        <w:t>152. The investigative findings have established that in the last months of 2022 there was a serious deterioration in the service levels of the Operations Center managed by Previmedical, due to internal organizational factors, which resulted in malfunctions in the claims liquidation process, as well as difficulties for the insured to contact the call center managed by the Provider.</w:t>
      </w:r>
    </w:p>
    <w:p>
      <w:r>
        <w:t>153. The malfunctioning of the operations center, for which Previmedical is primarily responsible, has resulted in the first part of 2023, profound service disruptions for the insured that have been described in paragraphs 33 - 53 of this provision, as well as extensively documented by the investigative findings.</w:t>
      </w:r>
    </w:p>
    <w:p>
      <w:r>
        <w:t>154. Firstly, there were significant delays in the payments of reimbursement requests, well beyond the parameters set by the related service level established contractually. As highlighted above, in the first week of February, about [10,000 - 500,000] reimbursement requests were reported as delayed in payments and in any case well beyond the parameters set by the related service level established contractually. Even as of March 2, 202381, there were over [10,000 - 500,000] reimbursement practices delayed in payment, beyond the contractual SLA of 20 days.</w:t>
      </w:r>
    </w:p>
    <w:p>
      <w:r>
        <w:rPr>
          <w:b/>
        </w:rPr>
        <w:t>[Pages 139–141]</w:t>
      </w:r>
    </w:p>
    <w:p>
      <w:r>
        <w:t>BULLETIN NO. 21 OF MAY 27, 2024</w:t>
      </w:r>
    </w:p>
    <w:p>
      <w:r>
        <w:t>141</w:t>
      </w:r>
    </w:p>
    <w:p>
      <w:r>
        <w:t>contractually established service. As of March 2, 2023, there were over [10,000 - 500,000] delayed reimbursement requests beyond the contractual SLA of 20 days81 provided in the contract with Metasalute. Of these, approximately [0 - 100,000] requests pertain to claims dating back to before November 2022.</w:t>
      </w:r>
    </w:p>
    <w:p>
      <w:r>
        <w:t>155. Previmedical was fully aware that the service disruptions experienced by the insured are attributable to the scarcity of resources made available in the various assistance services82.</w:t>
      </w:r>
    </w:p>
    <w:p>
      <w:r>
        <w:t>156. The deterioration of the service of the Operations Center has caused extreme difficulty for the insured in contacting the call center in order to obtain information and resolve issues related to assistance requests83.</w:t>
      </w:r>
    </w:p>
    <w:p>
      <w:r>
        <w:t>157. The evidence on record documents the significant critical issues concerning unjustified rejections of reimbursement requests or authorizations for direct services. In this regard, it is worth recalling the highlighted data that, during the period from January 1 to May 23, 2023, over 40% of the complaints received and processed (almost a thousand) were accepted with a subsequent redefinition of the reimbursement payment or granting of authorization for direct service. According to the documentation acquired during the inspection at ISP RBM, over 80% of the complaints subsequently accepted following complaints received by ISP RBM from the insured during the period January 1/May 23, 2023, concerning cases managed by Previmedical, would derive from the responsibility of the call center, the Operations Center, and/or the Claims Office of the Previmedical Provider84.</w:t>
      </w:r>
    </w:p>
    <w:p>
      <w:r>
        <w:t>158. The same data provided by ISP RBM, in addition to those provided by IVASS, show that the acceptance rate of complaints, although it has recorded some improvement over the year, still constitutes levels of assistance that are not fully satisfactory.</w:t>
      </w:r>
    </w:p>
    <w:p>
      <w:r>
        <w:t>159. In this sense, the attempt by the professional to limit the Authority's investigation to the content of complaints from the reporters is entirely misleading. The investigation in question is, in fact, centered as extensively described on a series of evidences of which the complaints represent only one aspect.</w:t>
      </w:r>
    </w:p>
    <w:p>
      <w:r>
        <w:t>160. Previmedical has, in particular, engaged in a meticulous analysis of the individual complaints on record in the proceedings to demonstrate their irrelevance and/or unfoundedness or the attribution of the fact to the other party, in an attempt to significantly reduce the number of complaints that contain valid grievances and thus deserving of attention from the Authority.</w:t>
      </w:r>
    </w:p>
    <w:p>
      <w:r>
        <w:t>161. Even disregarding the circumstance that the professional's analysis is conducted solely on the complaints received by the Authority, this approach does not appear correct insofar as it fails to duly consider the complaints received directly by the parties, those received by IVASS, and those received by the association Altroconsumo, operating under the assumption that all claims not subject to complaint have been managed correctly, whereas, as is known, not all consumers are prompt in expressly manifesting the discomforts and service disruptions experienced.</w:t>
      </w:r>
    </w:p>
    <w:p>
      <w:r>
        <w:t>162. But what is most relevant is that the assessment regarding the number or validity of the complaints has instead been carried out by the Authority together with the examination of the other evidences on record that have been detailed in this provision.</w:t>
      </w:r>
    </w:p>
    <w:p>
      <w:r>
        <w:t>82 See doc. n. 2 of the Previmedical inspection file, internal email from the Head of the Operations Office to the CEO, dated January 25, 2023, which states: “[omissis]”.</w:t>
      </w:r>
    </w:p>
    <w:p>
      <w:r>
        <w:t>83 See docs. n. 7, 19, and 20 of the ISP RBM inspection file.</w:t>
      </w:r>
    </w:p>
    <w:p>
      <w:r>
        <w:t>84 Data processed from doc. n. 38 of the ISP RBM inspection file, cited. See also doc. n. 114 of the Previmedical inspection file, bearing “R: update on complaint data - urgent for the President”.</w:t>
      </w:r>
    </w:p>
    <w:p>
      <w:r>
        <w:t>142</w:t>
      </w:r>
    </w:p>
    <w:p>
      <w:r>
        <w:t>BULLETIN NO. 21 OF MAY 27, 2024</w:t>
      </w:r>
    </w:p>
    <w:p>
      <w:r>
        <w:t>163. As noted for ISP RBM, the evidence on record shows that, starting from the entry into force in March 2023 of the new contract with Previmedical, measures have been introduced aimed at ensuring an overall improvement of the safeguards for consumer protection. The measures implemented by the professionals appear to have improved the critical issues encountered (particularly those related to delays in the payment of reimbursements) starting from April 2023; however, they have not led to the definitive cessation of the practice.</w:t>
      </w:r>
    </w:p>
    <w:p>
      <w:r>
        <w:t>164. In conclusion, in light of the above, it appears that the professionals have obstructed the exercise of the contractual rights of consumers, making the enjoyment of insurance services burdensome and exhausting. This constitutes an unfair commercial practice, in violation of Articles 20, paragraph 2, 24, and 25, paragraph 1, letter d), of the Consumer Code.</w:t>
      </w:r>
    </w:p>
    <w:p>
      <w:r>
        <w:t>VI. QUANTIFICATION OF SANCTIONS</w:t>
      </w:r>
    </w:p>
    <w:p>
      <w:r>
        <w:t>165.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166.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(a) Intesa Sanpaolo RBM Salute</w:t>
      </w:r>
    </w:p>
    <w:p>
      <w:r>
        <w:t>167. ISP RBM is a company of significant economic size, belonging to the largest banking group in Italy, and is one of the leaders in Italy in its reference sector.</w:t>
      </w:r>
    </w:p>
    <w:p>
      <w:r>
        <w:t>168. Regarding the economic size. In 2023, ISP RBM collected gross premiums of approximately €523 million. The technical management produced a technical account result of approximately €15 million, an increase compared to 2022. The operating profit was €50.5 million, a decrease compared to 2022 (€81.5 million).</w:t>
      </w:r>
    </w:p>
    <w:p>
      <w:r>
        <w:t>169. Regarding the severity of the violation, it is noted that ISP RBM failed to exercise due professional diligence in overseeing the activities of its Provider, as well as the inadequacy of the instructions and guidelines addressed to it. This is characterized by extreme severity for consumers, as the practice was carried out in a sector, that of healthcare assistance, of particular relevance and delicacy for consumers where any unjustified denial of authorizations or reimbursements for healthcare services can result in the failure or delay in receiving the requested healthcare assistance, with prejudicial effects on the health and psycho-physical well-being of the applicants. The commercial practice also involved a large number of consumers, as evidenced by the number of complaints collected and the numerous reports received during the proceedings.</w:t>
      </w:r>
    </w:p>
    <w:p>
      <w:r>
        <w:t>170. Regarding the efforts made by the agent, it is noteworthy that with the new contract concluded with Previmedical, ISP RBM has provided for stricter service levels and control tools thus directing the supplier's activity towards the improvements that have been recorded during this investigation, as noted by the Regulatory Authority.</w:t>
      </w:r>
    </w:p>
    <w:p>
      <w:r>
        <w:t>BULLETIN NO. 21 OF MAY 27, 2024</w:t>
      </w:r>
    </w:p>
    <w:p>
      <w:r>
        <w:t>143</w:t>
      </w:r>
    </w:p>
    <w:p>
      <w:r>
        <w:t>171. As for the duration of the violation, from the elements available on record, the commercial practice described in point II appears to have been carried out by ISP RBM since January 2023 and is still ongoing.</w:t>
      </w:r>
    </w:p>
    <w:p>
      <w:r>
        <w:t>172. Based on these elements, it is deemed appropriate to determine the amount of the applicable administrative pecuniary sanction for Intesa Sanpaolo RBM Salute S.p.A. in the amount of €2,500,000 (two million five hundred thousand euros).</w:t>
      </w:r>
    </w:p>
    <w:p>
      <w:r>
        <w:t>(b) Previmedical</w:t>
      </w:r>
    </w:p>
    <w:p>
      <w:r>
        <w:t>173. In 2023, Previmedical85 achieved a turnover of approximately €30.7 million, an increase compared to the previous year (approximately €29.1 million). In 2023, the operating margin of the professional was approximately €8.9 million, an increase compared to 2022.</w:t>
      </w:r>
    </w:p>
    <w:p>
      <w:r>
        <w:t>174. Regarding the severity of the violation, it is noted that the practice concerns the methods of providing insurance services to the consumer beneficiaries of the insurance and the assistance in providing information and clarifications to the consumers themselves. It is characterized by extreme severity for consumers, as the practice was carried out in a sector, that of healthcare assistance, of particular relevance and delicacy for consumers where any unjustified denial of authorizations or reimbursements for healthcare services can result in the failure or delay in receiving the requested healthcare assistance, with prejudicial effects on the health and psycho-physical well-being of the applicants. The commercial practice has also involved a large number of consumers, as evidenced by the number of complaints collected and the numerous reports received during the proceedings.</w:t>
      </w:r>
    </w:p>
    <w:p>
      <w:r>
        <w:t>175. Regarding the efforts made by the agent, it is noteworthy that Previmedical has entered into the new contract with ISP RBM accepting stricter contractual provisions regarding service levels and control tools thus contributing to the improvements that have been recorded during this investigation.</w:t>
      </w:r>
    </w:p>
    <w:p>
      <w:r>
        <w:t>176. As for the duration of the violation, from the elements available on record, the commercial practice described in point II appears to have been carried out by Previmedical since January 2023 and is still ongoing.</w:t>
      </w:r>
    </w:p>
    <w:p>
      <w:r>
        <w:t>177. Based on these elements, it is deemed appropriate to determine the amount of the applicable administrative pecuniary sanction for Previmedical Servizi per Sanità Integrativa S.p.A. in the amount of €1,000,000 (one million euros).</w:t>
      </w:r>
    </w:p>
    <w:p>
      <w:r>
        <w:t>CONSIDERED, therefore, taking into account the opinion of IVASS, based on the aforementioned considerations, that the commercial practice in question, carried out by the companies Intesa Sanpaolo RBM Salute S.p.A. and Previmedical Servizi per Sanità Integrativa S.p.A., is deemed unfair pursuant to Articles 20, 24, and 25 of the Consumer Code as it is contrary to professional diligence and capable of appreciably distorting the economic behavior of the average consumer in relation to their consumption choices in the insurance sector;</w:t>
      </w:r>
    </w:p>
    <w:p>
      <w:r>
        <w:t>85 All data cited in this paragraph comes from the 2023 Financial Statements.</w:t>
      </w:r>
    </w:p>
    <w:p>
      <w:r>
        <w:rPr>
          <w:b/>
        </w:rPr>
        <w:t>[Pages 142–144]</w:t>
      </w:r>
    </w:p>
    <w:p>
      <w:r>
        <w:t>144 BULLETIN NO. 21 OF MAY 27, 2024</w:t>
      </w:r>
    </w:p>
    <w:p>
      <w:r>
        <w:t>RESOLUTION</w:t>
      </w:r>
    </w:p>
    <w:p>
      <w:r>
        <w:t>a) that the commercial practice described in point II of this provision, carried out by the companies Intesa Sanpaolo RBM Salute S.p.A. and Previmedical Servizi per Sanità Integrativa S.p.A., constitutes, for the reasons and within the limits set out in the motivation, an unfair commercial practice pursuant to Articles 20, paragraph 2, 24 and 25, paragraph 1, letter d), of the Consumer Code, and prohibits its dissemination or continuation;</w:t>
      </w:r>
    </w:p>
    <w:p>
      <w:r>
        <w:t>b) to impose an administrative monetary fine of €2,500,000 (two million five hundred thousand euros) on the company Intesa Sanpaolo RBM Salute S.p.A.;</w:t>
      </w:r>
    </w:p>
    <w:p>
      <w:r>
        <w:t>c) to impose an administrative monetary fine of €1,000,000 (one million euros) on the company Previmedical Servizi per Sanità Integrativa S.p.A.;</w:t>
      </w:r>
    </w:p>
    <w:p>
      <w:r>
        <w:t>d) that the professionals communicate to the Authority, within ninety days from the notification of this provision, the initiatives taken in compliance with the injunction referred to in point a).</w:t>
      </w:r>
    </w:p>
    <w:p>
      <w:r>
        <w:t>The imposed administrative fines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fine is increased by one-tenth for each semester starting from the day following the payment deadline until the role is transmitted to the collector for collection; in this case, the increase absorbs the late payment interest accrued during the same period.</w:t>
      </w:r>
    </w:p>
    <w:p>
      <w:r>
        <w:t>Immediate communication of the payment must be given to the Authority by sending documentation certifying the payment made. This provision will be notified to the interested parties and published in the Bulletin of the Antitrust Authority.</w:t>
      </w:r>
    </w:p>
    <w:p>
      <w:r>
        <w:t>Pursuant to Article 27, paragraph 12, of the Consumer Code, in case of non-compliance with the provision, the Authority applies an administrative monetary fine from €10,000 to €5,000,000. In cases of repeated non-compliance, the Authority may order the suspension of business activity for a period not exceeding thirty days.</w:t>
      </w:r>
    </w:p>
    <w:p>
      <w:r>
        <w:t>145 BULLETIN NO. 21 OF MAY 27, 2024</w:t>
      </w:r>
    </w:p>
    <w:p>
      <w: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146 BULLETIN NO. 21 OF MAY 27, 2024</w:t>
      </w:r>
    </w:p>
    <w:p>
      <w:r>
        <w:t>PS12650 - VUELING - HAND LUGGAGE PURCHASE PRICES</w:t>
      </w:r>
    </w:p>
    <w:p>
      <w:r>
        <w:t>Provision No. 31197</w:t>
      </w:r>
    </w:p>
    <w:p>
      <w:r>
        <w:t>THE ANTITRUST AUTHORITY</w:t>
      </w:r>
    </w:p>
    <w:p>
      <w:r>
        <w:t>IN ITS MEETING of May 7, 2024;</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decision of November 21, 2023, with which, pursuant to Article 9 of the Regulation, the deadline for the submission of commitments was extended to December 1, 2023, following the request submitted by the Professional on November 8, 2023;</w:t>
      </w:r>
    </w:p>
    <w:p>
      <w:r>
        <w:t>VIEWED the communication received on December 1, 2023, and definitively integrated on March 4, 2024, whereby the company Vueling SA submitted commitments pursuant to Article 27, paragraph 7, of the Consumer Code and Article 9 of the Regulation;</w:t>
      </w:r>
    </w:p>
    <w:p>
      <w:r>
        <w:t>VIEWED its decision of February 27, 2024, with which, pursuant to Article 7, paragraph 3, of the Regulation, a 60 (sixty) day extension of the conclusion deadline of the procedure was ordered, for investigative needs;</w:t>
      </w:r>
    </w:p>
    <w:p>
      <w:r>
        <w:t>VIEWED the acts of the procedure;</w:t>
      </w:r>
    </w:p>
    <w:p>
      <w:r>
        <w:t>I. THE PARTIES</w:t>
      </w:r>
    </w:p>
    <w:p>
      <w:r>
        <w:t>1. Vueling Airlines SA (hereinafter, Vueling), as a professional, pursuant to Article 18, letter b), of the Consumer Code, with its registered office in Spain, is a low-cost airline whose main object is the operation of air connections for the transport of people and goods in Italy, between Italy and foreign countries and in foreign countries.</w:t>
      </w:r>
    </w:p>
    <w:p>
      <w:r>
        <w:t>2. CONSUMER ASSOCIATION CODICI, registered in the register referred to in Article 137 of the Consumer Code, a member of BEUC (Bureau Européen des Unions de Consommateurs) – European Consumers Association.</w:t>
      </w:r>
    </w:p>
    <w:p>
      <w:r>
        <w:t>3. UDICON – Union for the Defense of Consumers, registered in the list of Consumer and User Associations representative at the national level referred to in Article 137 of the Consumer Code and a member of the National Council of Consumers and Users (CNCU).</w:t>
      </w:r>
    </w:p>
    <w:p>
      <w:r>
        <w:t>II. THE CONDUCT SUBJECT TO THE PROCEDURE</w:t>
      </w:r>
    </w:p>
    <w:p>
      <w:r>
        <w:t>4. Based on the information acquired for the application of the Consumer Code, as well as following a complaint received on February 17, 2023, and subject to subsequent requests for...</w:t>
      </w:r>
    </w:p>
    <w:p>
      <w:r>
        <w:rPr>
          <w:b/>
        </w:rPr>
        <w:t>[Pages 145–147]</w:t>
      </w:r>
    </w:p>
    <w:p>
      <w:r>
        <w:t>BULLETIN NO. 21 OF MAY 27, 2024</w:t>
      </w:r>
    </w:p>
    <w:p>
      <w:r>
        <w:t>147</w:t>
      </w:r>
    </w:p>
    <w:p>
      <w:r>
        <w:t>Based on the information acquired for the application of the Consumer Code, as well as following a complaint received on February 17, 2023, and subsequent requests for information to the same Company1, it emerged that the Professional did not provide adequate information to consumers regarding the application of differentiated prices for the sale of the additional hand luggage service between the two online purchase channels offered (website and app) and between the devices used by the customer.</w:t>
      </w:r>
    </w:p>
    <w:p>
      <w:r>
        <w:t>5. With reference to hand luggage, the policy adopted by Vueling allows for the boarding of luggage in the cabin in three different ways: the first, free of charge, by requesting assistance at the airport or in the case of traveling with an infant; the second, through the purchase of the special Timeflex fare (which includes all services) or by purchasing the seats called Space One and Space Plus among the additional services; the third, through the purchase of hand luggage as an additional service, after selecting the base fare, at the same time as purchasing the ticket or even later (so-called "à la carte" hand luggage).</w:t>
      </w:r>
    </w:p>
    <w:p>
      <w:r>
        <w:t>6. Based on the information acquired during the preliminary investigation, it emerged that differentiated prices were applied for the sale of the so-called "à la carte" hand luggage service between the two purchase channels, web and app2, for which Vueling did not provide any clear information to consumers, neither on the webpage dedicated to additional services nor on the webpage dedicated to the hand luggage service.</w:t>
      </w:r>
    </w:p>
    <w:p>
      <w:r>
        <w:t>7. Similarly, according to the evidence provided by the complainant and verified ex officio3, the device used by the customer also seemed to be a parameter for differentiating the selling price of the hand luggage service.</w:t>
      </w:r>
    </w:p>
    <w:p>
      <w:r>
        <w:t>III. THE OUTCOMES OF THE PROCEDURE: THE PRESENTATION OF COMMITMENTS</w:t>
      </w:r>
    </w:p>
    <w:p>
      <w:r>
        <w:t>1) The procedure process</w:t>
      </w:r>
    </w:p>
    <w:p>
      <w:r>
        <w:t>8. Based on the elements in the records, on October 11, 2023, Vueling was notified of the initiation of investigation procedure No. PS126504 in relation to the commercial practice described above, in possible violation of Articles 20, 21, and 22 of the Consumer Code, as it was characterized by aspects of misleadingness and omission, as well as being abstractly contrary to professional diligence, being likely to appreciably distort the economic behavior of the average consumer it reaches, in relation to the product offered (hand luggage service).</w:t>
      </w:r>
    </w:p>
    <w:p>
      <w:r>
        <w:t>9. In particular, the absence of information regarding the price differentiation between the different online purchase channels and between the devices used appeared likely to lead the consumer to make uninformed choices regarding the application of differentiated prices for the service in question, impacting precisely the initial choice between online purchase paths and between devices.</w:t>
      </w:r>
    </w:p>
    <w:p>
      <w:r>
        <w:t>10. On October 18, the Association CODICI was admitted to participate in the procedure5.</w:t>
      </w:r>
    </w:p>
    <w:p>
      <w:r>
        <w:t>11. Vueling had access to the case file on October 23, 2023, and January 12, 20246.</w:t>
      </w:r>
    </w:p>
    <w:p>
      <w:r>
        <w:t>1 See documents no. 1, 4, 10, and 17 in the index of the file.</w:t>
        <w:br/>
        <w:t>2 See document no. 17 in the index of the file.</w:t>
        <w:br/>
        <w:t>3 See documents no. 1 and 17 in the index of the file.</w:t>
        <w:br/>
        <w:t>4 See document no. 16 in the index of the file.</w:t>
        <w:br/>
        <w:t>5 See document no. 23 in the index of the file.</w:t>
        <w:br/>
        <w:t>6 See documents no. 27 and 53 in the index of the file.</w:t>
      </w:r>
    </w:p>
    <w:p>
      <w:r>
        <w:t>148</w:t>
      </w:r>
    </w:p>
    <w:p>
      <w:r>
        <w:t>12. On October 30, 2023, Vueling submitted its response to the request for information made during the communication of the initiation of the investigation procedure7.</w:t>
      </w:r>
    </w:p>
    <w:p>
      <w:r>
        <w:t>13. On November 14, 2023, the Association U.Di.Con. was admitted to participate in the procedure8.</w:t>
      </w:r>
    </w:p>
    <w:p>
      <w:r>
        <w:t>14. On November 16, 2023, Vueling was heard in a hearing, during which a request for information was made to which the Professional responded on December 6, 20239.</w:t>
      </w:r>
    </w:p>
    <w:p>
      <w:r>
        <w:t>15. On November 21, 2023, the Authority ordered, pursuant to Article 9 of the Regulation, the extension of the deadline for the submission of commitments to December 1, 2023, following the request made by the Professional on November 8, 202310.</w:t>
      </w:r>
    </w:p>
    <w:p>
      <w:r>
        <w:t>16. On December 1, 2023, Vueling submitted an initial proposal for commitments, subsequently supplemented on January 23 and March 4, 202411.</w:t>
      </w:r>
    </w:p>
    <w:p>
      <w:r>
        <w:t>17. The Association U.Di.Con had access to the case file on December 7, 2023, and March 8, 202412.</w:t>
      </w:r>
    </w:p>
    <w:p>
      <w:r>
        <w:t>18. On December 15, 2023, Vueling was heard in a hearing, during which a request for information regarding the commitments was made13. On January 23, 2024, Vueling responded to the request for information and supplemented the commitments submitted on December 1, 2023. On March 4, 2024, Vueling submitted the consolidated version of the commitments.</w:t>
      </w:r>
    </w:p>
    <w:p>
      <w:r>
        <w:t>19. On February 29 and March 3, 2024, the Authority communicated to the Parties the extension of 60 days of the deadline for concluding the procedure, decided in the meeting of February 27, 202414.</w:t>
      </w:r>
    </w:p>
    <w:p>
      <w:r>
        <w:t>20. On March 5, 2024, the Parties were informed of the conclusion date of the investigative phase, pursuant to Article 16, paragraph 1, of the Regulation15.</w:t>
      </w:r>
    </w:p>
    <w:p>
      <w:r>
        <w:t>21. On April 8, 2024, the opinion of the Authority for Communications Guarantees was received, requested on March 18, 2024, pursuant to Article 27, paragraph 6, of the Consumer Code16.</w:t>
      </w:r>
    </w:p>
    <w:p>
      <w:r>
        <w:t>2) The acquired elements</w:t>
      </w:r>
    </w:p>
    <w:p>
      <w:r>
        <w:t>22. In the response to the request for information made during the communication of the initiation of the procedure17, Vueling stated that its pricing system for the hand luggage service is based on a dynamic price determination mechanism, that is, not established in advance, but variable based on different factors that do not include either the online purchase channel chosen by consumers (web or app) or the type of device used.</w:t>
      </w:r>
    </w:p>
    <w:p>
      <w:r>
        <w:t>7 See document no. 45 in the index of the file.</w:t>
        <w:br/>
        <w:t>8 See document no. 34 in the index of the file.</w:t>
        <w:br/>
        <w:t>9 See documents no. 42 and 51 in the index of the file.</w:t>
        <w:br/>
        <w:t>10 See documents no. 40 and 45 in the index of the file.</w:t>
        <w:br/>
        <w:t>11 See document no. 63 in the index of the file.</w:t>
        <w:br/>
        <w:t>12 See documents no. 46 and 70 in the index of the file.</w:t>
        <w:br/>
        <w:t>13 See document no. 51 in the index of the file.</w:t>
        <w:br/>
        <w:t>14 See documents no. 58, 64, and 65 in the index of the file.</w:t>
        <w:br/>
        <w:t>15 See documents no. 66, 67, and 68 in the index of the file.</w:t>
        <w:br/>
        <w:t>16 See document no. 73 in the index of the file.</w:t>
        <w:br/>
        <w:t>17 See document no. 45 in the index of the file.</w:t>
      </w:r>
    </w:p>
    <w:p>
      <w:r>
        <w:t>BULLETIN NO. 21 OF MAY 27, 2024</w:t>
      </w:r>
    </w:p>
    <w:p>
      <w:r>
        <w:t>149</w:t>
      </w:r>
    </w:p>
    <w:p>
      <w:r>
        <w:t>23. The Professional stated, as confirmed also in the hearing of November 16 and in the response to the request for information made in that context18, that the dynamic pricing system for the hand luggage service – starting from December 15, 2022 – included experimental price sessions (so-called A/B tests), aimed at assessing consumers' willingness to pay through the application of multiple price variations – both positive and negative – relative to an initial base value, towards randomly identified subgroups of consumers, without using discriminatory criteria or deriving from user profiling. Furthermore, the Professional stated that the experimental pricing sessions concerned exclusively the sale of the hand luggage service.</w:t>
      </w:r>
    </w:p>
    <w:p>
      <w:r>
        <w:t>24. Vueling argued that the price variations referred to in the initiation communication were determined exclusively by the implementation of such experimental pricing sessions, which can lead to the simultaneous application of different prices for the same hand luggage service for different customers, so that consumers may have viewed/purchased the same service at different prices using different devices or online channels.</w:t>
      </w:r>
    </w:p>
    <w:p>
      <w:r>
        <w:t>3) The commitments</w:t>
      </w:r>
    </w:p>
    <w:p>
      <w:r>
        <w:t>25. The commitments presented by the Company – which in their final version are attached to this provision and constitute an integral part thereof19 – provide for:</w:t>
        <w:br/>
        <w:t>1) the modification of the webpage dedicated to additional services so that consumers are clearly informed of the possibility of using either of the two online purchase channels of the Professional, web and app;</w:t>
        <w:br/>
        <w:t>2) the cessation of the pricing technique called "price experiment" regarding the online sale of the hand luggage service;</w:t>
        <w:br/>
        <w:t>3) the offering of vouchers/refunds to Italian customers who purchased the "à la carte" hand luggage between December 15, 2022, and December 2023 (the period of the pricing experiment in question) at a price above the average, calculated per route and departure date, with reference to the day of purchase.</w:t>
      </w:r>
    </w:p>
    <w:p>
      <w:r>
        <w:t>26. The company has already implemented commitment no. 1 on October 31, 2023, and commitment no. 2 during December 2023, while commitment no. 3 has been implemented starting from March 5, 2024.</w:t>
      </w:r>
    </w:p>
    <w:p>
      <w:r>
        <w:t>IV. OPINION OF THE AUTHORITY FOR COMMUNICATIONS GUARANTEES</w:t>
      </w:r>
    </w:p>
    <w:p>
      <w:r>
        <w:t>27. Since the commercial practice subject to this provision has been disseminated via the internet, on March 18, 2024, the opinion of the Authority for Communications Guarantees was requested20, pursuant to Article 27, paragraph 6, of the Consumer Code.</w:t>
      </w:r>
    </w:p>
    <w:p>
      <w:r>
        <w:t>28. In the opinion received on April 8, 202421, the aforementioned Authority considered that Vueling's use of the internet is likely to have a significant impact on consumers who, based on the information read on the professionals' site/app, could be induced to...</w:t>
      </w:r>
    </w:p>
    <w:p>
      <w:r>
        <w:t>18 See documents no. 42 and 51 in the index of the file.</w:t>
        <w:br/>
        <w:t>19 See document no. 63 in the index of the file.</w:t>
        <w:br/>
        <w:t>20 See document no. 71 in the index of the file.</w:t>
        <w:br/>
        <w:t>21 See document no. 73 in the index of the file.</w:t>
      </w:r>
    </w:p>
    <w:p>
      <w:r>
        <w:rPr>
          <w:b/>
        </w:rPr>
        <w:t>[Pages 148–150]</w:t>
      </w:r>
    </w:p>
    <w:p>
      <w:r>
        <w:t>150 BULLETIN NO. 21 OF MAY 27, 2024</w:t>
      </w:r>
    </w:p>
    <w:p>
      <w:r>
        <w:t>assume a commercial decision that they would not have otherwise made, thus concretely developing the full potential of the promotional and sales methods used.</w:t>
      </w:r>
    </w:p>
    <w:p>
      <w:r>
        <w:t>V. EVALUATION OF THE COMMITMENTS</w:t>
      </w:r>
    </w:p>
    <w:p>
      <w:r>
        <w:t>29. The Authority believes that the commitments proposed by the professional, consisting of a series of measures and interventions, already implemented by Vueling, easily monitorable and verifiable by the Authority, are suitable to remedy the possible profiles of illegitimacy contested in the initiation communication of October 11, 2023.</w:t>
      </w:r>
    </w:p>
    <w:p>
      <w:r>
        <w:t>30. The proposed commitments, in addition to offering a restorative/compensatory remedy, eliminate at the root both the profile concerning the simultaneous application of different prices for the purchase of the same hand luggage service depending on the online channel and the device used by consumers, and the informational profile regarding the possibility of using both web and app interchangeably for the purchase of the hand luggage service.</w:t>
      </w:r>
    </w:p>
    <w:p>
      <w:r>
        <w:t>31. Specifically, with reference to commitment no. 1), the modification of the webpage dedicated to additional services has introduced clear information to consumers regarding the equivalence between web and app for the pricing of the hand luggage service, so that there can be no doubt that both modes belong to the "online" channel.</w:t>
      </w:r>
    </w:p>
    <w:p>
      <w:r>
        <w:t>32. As for commitment no. 2), the cessation of the pricing technique called "price experiments" for the sale of the hand luggage service entails the application of a single price to all customers for the same hand luggage service at a given point in time and in reference to a specific flight. Consequently, consumers will no longer be simultaneously exposed to different prices for the purchase of the same hand luggage service22.</w:t>
      </w:r>
    </w:p>
    <w:p>
      <w:r>
        <w:t>33. Finally, regarding commitment no. 3), consumers who paid a price for the hand luggage service higher than the average reference price per route, date of purchase of the service, and departure date of the flight, during the period from December 15, 2022, to December 2023, corresponding to the period of the A/B experimental tests, will be reimbursed. This reimbursement has been determined to be 5 Euros. Additionally, this amount is doubled (10 Euros) if the consumer chooses to accept the compensation in the form of a voucher to be spent on the Vueling website.</w:t>
      </w:r>
    </w:p>
    <w:p>
      <w:r>
        <w:t>34. In conclusion, from the perspective of full consumer protection, the described remedial measures address at the root the misleading profiles highlighted in the initiation act (Commitment 1 and 2), and provide for compensation for consumers affected by the pricing policy adopted by Vueling (Commitment 3).</w:t>
      </w:r>
    </w:p>
    <w:p>
      <w:r>
        <w:t>35. Finally, the timing for the implementation of the commitments is fully appropriate, considering that the proposed initiatives have already been implemented by the Professional.</w:t>
      </w:r>
    </w:p>
    <w:p>
      <w:r>
        <w:t>36. In light of the above considerations, it is believed that the commitments presented meet the requirements set forth in Article 27, paragraph 7, of the Consumer Code.</w:t>
      </w:r>
    </w:p>
    <w:p>
      <w:r>
        <w:t>22 The price of the hand luggage service remains subject to variations due to the factors underlying the dynamic pricing implemented by the Company; however, none of these factors give rise to the offering of simultaneously different prices for the same product.</w:t>
      </w:r>
    </w:p>
    <w:p>
      <w:r>
        <w:t>BULLETIN NO. 21 OF MAY 27, 2024 151</w:t>
      </w:r>
    </w:p>
    <w:p>
      <w:r>
        <w:t>CONSIDERING, therefore, that the commitments presented by Vueling SA, in the terms outlined above, are suitable to eliminate the possible profiles of unlawfulness of the conduct subject to investigation;</w:t>
      </w:r>
    </w:p>
    <w:p>
      <w:r>
        <w:t>CONSIDERING, to make the aforementioned commitments mandatory for Vueling SA;</w:t>
      </w:r>
    </w:p>
    <w:p>
      <w:r>
        <w:t>CONSIDERING, therefore, to be able to close the procedure without establishing the infringement;</w:t>
      </w:r>
    </w:p>
    <w:p>
      <w:r>
        <w:t>RESOLVES</w:t>
      </w:r>
    </w:p>
    <w:p>
      <w:r>
        <w:t>a) to make mandatory, for Vueling SA, pursuant to Article 27, paragraph 7, of the Consumer Code and Article 9, paragraph 2, letter a), of the Regulation, the commitments proposed on December 1, 2023, subsequently supplemented on January 23, 2024, and presented in consolidated form on March 4, 2024, as described in the Form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Vueling SA,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t>This provision will be notified to the interested parties and published in the Bulletin of the Antitrust Authority.</w:t>
      </w:r>
    </w:p>
    <w:p>
      <w:r>
        <w:t>THE SECRETARY GENERAL THE PRESIDENT</w:t>
      </w:r>
    </w:p>
    <w:p>
      <w:r>
        <w:t>Guido Stazi Roberto Rustichelli</w:t>
      </w:r>
    </w:p>
    <w:p>
      <w:r>
        <w:t>152 BULLETIN NO. 21 OF MAY 27, 2024</w:t>
      </w:r>
    </w:p>
    <w:p>
      <w:r>
        <w:t>IP367 - MULPOR-INTERNATIONAL FAIRS DIRECTORY</w:t>
      </w:r>
    </w:p>
    <w:p>
      <w:r>
        <w:t>Notice of extension of the deadline for the conclusion of the procedure</w:t>
      </w:r>
    </w:p>
    <w:p>
      <w:r>
        <w:t>ANTITRUST AUTHORITY</w:t>
      </w:r>
    </w:p>
    <w:p>
      <w:r>
        <w:t>Notice of extension of the deadline for the conclusion of the procedure, pursuant to Article 19, paragraphs 2 and 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IP367 - MULPOR-INTERNATIONAL FAIRS DIRECTORY.</w:t>
      </w:r>
    </w:p>
    <w:p>
      <w:r>
        <w:t>The publication of this communication in the weekly Bulletin of the Antitrust Authority is made pursuant to and for the effects of Article 19, paragraphs 2 and 3, of the Regulation, given the unsuccessful outcome of the attempt to transmit to IBCM International Business Convention Management Ltd the initiation provision of the procedure, carried out on December 14, 2023, by requesting collaboration from the Embassy of Italy in Nicosia (Cyprus). The Embassy has represented, in fact, that it was not possible to notify the act at the company's registered office.</w:t>
      </w:r>
    </w:p>
    <w:p>
      <w:r>
        <w:t>For any communication addressed to the Authority regarding the case in question, please refer to the Directorate for credit, insurance, postal services, tourism, and sports of the Consumer Protection Department – 2 and the reference IP367.</w:t>
      </w:r>
    </w:p>
    <w:p>
      <w:r>
        <w:t>---</w:t>
      </w:r>
    </w:p>
    <w:p>
      <w:r>
        <w:t>IP367 - MULPOR-INTERNATIONAL FAIRS DIRECTORY</w:t>
      </w:r>
    </w:p>
    <w:p>
      <w:r>
        <w:t>Communication of extension of the deadline for the conclusion of the procedure</w:t>
      </w:r>
    </w:p>
    <w:p>
      <w:r>
        <w:t>SUBJECT: extension of the deadline for the conclusion of procedure IP/367, pursuant to Article 7, paragraph 3,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With reference to the procedure in question, initiated on November 28, 2023, against Mulpor Company s.r.l. and IBCM International Business Convention Management Ltd., it is communicated that the Authority, in its meeting of May 21, 2024, has resolved to extend the deadline for the conclusion of the procedure by 60 days, considering the newly arisen investigative needs.</w:t>
      </w:r>
    </w:p>
    <w:p>
      <w:r>
        <w:t>Therefore, the deadline for the conclusion of the procedure is extended to July 23, 2024.</w:t>
      </w:r>
    </w:p>
    <w:p>
      <w:r>
        <w:rPr>
          <w:b/>
        </w:rPr>
        <w:t>[Pages 151–153]</w:t>
      </w:r>
    </w:p>
    <w:p>
      <w:r>
        <w:t>BULLETIN NO. 21 OF MAY 27, 2024 153</w:t>
      </w:r>
    </w:p>
    <w:p>
      <w:r>
        <w:t>PS12666 - BCUBE AGENCY - SALE OF APPRECIATIONS</w:t>
      </w:r>
    </w:p>
    <w:p>
      <w:r>
        <w:t>Notice of communication of the burden of proof assignment</w:t>
      </w:r>
    </w:p>
    <w:p>
      <w:r>
        <w:t>ANTITRUST AUTHORITY</w:t>
      </w:r>
    </w:p>
    <w:p>
      <w:r>
        <w:t>Information regarding the assignment of the burden of proof, pursuant to Article 19, paragraph 2, of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no. 25411 of April 1, 2015, in relation to procedure PS12666.</w:t>
      </w:r>
    </w:p>
    <w:p>
      <w:r>
        <w:t>The publication of this notice, followed by the communication of the assignment of the burden of proof, in the Authority's weekly Bulletin, is made pursuant to and for the effects of Article 19, paragraph 2, of the Regulation, given the lack of receipt of responses to the attempt to transmit the same communication of the assignment of the burden of proof (prot. 0045281 of May 3, 2024), carried out on May 3, 2024, by postal system and specifically by international courier. In this case, in fact, BCUBE Agency S.A.R.L. was found to be untraceable at the physical address (40 Bd Jean Moulin, 83700 Saint-Raphael, France) still indicated on its website (https://www.bcubeagency.com/it/) as well as in the Registre National Des Entreprises (https://data.inpi.fr/), although the Communication of the initiation of the procedure (prot. 0100990 of December 5, 2023) and the request for information (prot. 0022893 of February 16, 2024), also sent by international courier to the same physical address, were correctly delivered.</w:t>
      </w:r>
    </w:p>
    <w:p>
      <w:r>
        <w:t>For any communication addressed to the Authority regarding the case in question, please refer to the Digital Platforms and Communications Directorate of the Consumer Protection Department - 1 and the reference PS12666.</w:t>
      </w:r>
    </w:p>
    <w:p>
      <w:r>
        <w:t>_______________________________________________________________________________</w:t>
      </w:r>
    </w:p>
    <w:p>
      <w:r>
        <w:t>PS12666 - BCUBE AGENCY - SALE OF APPRECIATIONS</w:t>
      </w:r>
    </w:p>
    <w:p>
      <w:r>
        <w:t>Communication of the assignment of the burden of proof</w:t>
      </w:r>
    </w:p>
    <w:p>
      <w:r>
        <w:t>Subject: Communication of the assignment of the burden of proof, pursuant to Article 27, paragraph 5, of Legislative Decree No. 206 of September 6, 2005 and subsequent amendments (hereinafter, Consumer Code), as well as pursuant to Article 15 of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154 BULLETIN NO. 21 OF MAY 27, 2024</w:t>
      </w:r>
    </w:p>
    <w:p>
      <w:r>
        <w:t>I. The initiation of the procedure</w:t>
      </w:r>
    </w:p>
    <w:p>
      <w:r>
        <w:t>1. On December 5, 2023, the initiation of an investigative procedure1 was ordered, pursuant to Article 27, paragraph 3, of the Consumer Code, as well as Article 6 of the Regulation, against BCUBE Agency S.A.R.L. (hereinafter, BCUBE or Professional), concerning the commercial practice consisting of offering for sale, through the website https://www.bcubeagency.com/it/ (hereinafter, Site), various packages of different sizes, containing different types of "interactions" (fans/likes, likes, followers, video/reels/stories views, friends, etc.) and "comments" among users, intended for most existing social media platforms.</w:t>
      </w:r>
    </w:p>
    <w:p>
      <w:r>
        <w:t>2. The site specifies that the interactions offered by BCUBE would come from real profiles and would be able to achieve an increase in real and unique fans thanks to a combined marketing service, unlike how many other websites operate that use Bots or fake profiles. In this regard, the Professional states that its "viral marketing" techniques comply with the policies of Facebook, Twitter, YouTube, and Instagram2, highlighting how the interactions offered for sale (fans, followers, views) are executed by users with real and active profiles on the various social networks; rapid delivery times and "Immediate Results" are also proposed.</w:t>
      </w:r>
    </w:p>
    <w:p>
      <w:r>
        <w:t>3. The investigative procedure aims to verify the existence of violations of Articles 20 and 23, letter bb-quater of the Consumer Code.</w:t>
      </w:r>
    </w:p>
    <w:p>
      <w:r>
        <w:t>II. Investigative activities</w:t>
      </w:r>
    </w:p>
    <w:p>
      <w:r>
        <w:t>4. Following the initiation of the investigative procedure, which was notified by international courier on December 21, 20233, a communication was received from a Law Firm4, in which the existence of the prerequisites for the application of the sanction related to the violation of the indicated rules was excluded, stating that BCUBE would not promote any product of third-party companies, and it was summarized as follows:</w:t>
        <w:br/>
        <w:t>- BCUBE offers a service aimed at increasing the number of "followers" present on the selected platforms and consequently the number of "likes" on the stories or posts of the buyers;</w:t>
        <w:br/>
        <w:t>- the service sold by BCUBE would be identical to that provided by ADS FACEBOOK, namely increasing the visibility of the customer; in particular, "the service aims to increase the popularity of one's (private) profile which is a measure of the 'reputation' of one's profile not through false product reviews but through likes or positive comments";</w:t>
        <w:br/>
        <w:t>- the comments, directed at people and not products, are usually self-referential, related to the image of the person depicted to increase the "celebrity" of the subject who pays for the service;</w:t>
        <w:br/>
        <w:t>- the company has been operational since April 1, 2018, and the site has been active since May 2017 in Italian, Spanish, German, and English language versions;</w:t>
        <w:br/>
        <w:t>1 See Communication of initiation of the procedure, prot. 0100990 of December 5, 2023.</w:t>
        <w:br/>
        <w:t>2 See https://www.bcubeagency.com/it/condizioni-di-vendita/ (Limitation of liability).</w:t>
        <w:br/>
        <w:t>3 Specifically, the Communication of initiation was sent to the Company on December 5, 2023, by international courier, and was received by it on December 21, 2023 (see Minutes of acquisition of the shipping documents of December 21, 2023, and Minutes of acquisition of the delivery notice of February 5, 2024).</w:t>
        <w:br/>
        <w:t>4 Communication prot. 0014149 of January 18, 2024.</w:t>
      </w:r>
    </w:p>
    <w:p>
      <w:r>
        <w:t>BULLETIN NO. 21 OF MAY 27, 2024 155</w:t>
      </w:r>
    </w:p>
    <w:p>
      <w:r>
        <w:t>- regarding the type of subjects who purchased the services offered on the Site, about 70% are individuals and 30% are companies;</w:t>
        <w:br/>
        <w:t>- BCUBE collaborates with third-party companies (not identified) that professionally provide this service and therefore "exclusively ensures the regularity of the provision of the contractual service with its clients, monitoring compliance with the regularity of the service provided";</w:t>
        <w:br/>
        <w:t>- based on a "certificate" drawn up by an external company, in the year 2023 the company would have achieved a turnover of almost €653,000 (excluding VAT);</w:t>
        <w:br/>
        <w:t>- the provision of services is not immediate: it begins within 24 hours and concludes within 3 days following activation, therefore within 72 hours.</w:t>
      </w:r>
    </w:p>
    <w:p>
      <w:r>
        <w:t>5. On January 30, 2024, the Italian lawyer in charge of the aforementioned Law Firm, following a specific request, transmitted a "Special Power of Attorney - Mandate for litigation"5 conferred to represent and defend the legal representative pro tempore of BCUBE regarding the "dispute to be initiated against" the Authority, which, however, (i) was found to be lacking the indication of the name of the grantor and their specific function/position and (ii) bore an illegible signature of the grantor of the power of attorney for litigation.</w:t>
      </w:r>
    </w:p>
    <w:p>
      <w:r>
        <w:t>6. As a result, a letter6 was sent to the lawyer stating that the power of attorney could not be considered valid, inviting him to produce a special power of attorney for litigation containing the following elements: the name and position of the legal representative of BCUBE Agency Sarl, resulting from documentation capable of demonstrating the relevant representative powers; the legible signature of the grantor; the delegation to represent and defend, rather than the individual, the company BCUBE Agency Sarl in the investigative procedure no. PS12666 already initiated against the same company (rather than in the "dispute to be initiated"). It was finally specified that, in case of failure to integrate within 10 days, every act related to the procedure would be directed directly against the Company BCUBE Agency Sarl, at the headquarters in BD Jean Moulin n. 40, St Raphael (France).</w:t>
      </w:r>
    </w:p>
    <w:p>
      <w:r>
        <w:t>7. Following this communication, as no integration or other "power of attorney" in replacement of the previous one was received, on February 16, 2024, a communication7 was sent directly to the French headquarters of BCUBE in which (i) the invalidity of the power of attorney on file was represented, highlighting that if this company intended to confer a mandate for litigation and elect domicile with a defender, it would have to produce a special power of attorney containing the missing elements mentioned above (in point 6); (ii) a detailed request for information and documentation was formulated, aimed at acquiring both some of the elements already requested in point 21 of the Communication of initiation of the procedure (and not yet produced) and further information concerning: the description of the services performed; the indication of the "external companies" that BCUBE claims to rely on, producing the relevant contracts and accounting documents; the role played by BCUBE in the provision of social interactions and the reasons for the alleged identity with the service provided by ADS Facebook; the meaning of "real followers and likes" allegedly sold, indicating the checks...</w:t>
      </w:r>
    </w:p>
    <w:p>
      <w:r>
        <w:rPr>
          <w:b/>
        </w:rPr>
        <w:t>[Pages 154–156]</w:t>
      </w:r>
    </w:p>
    <w:p>
      <w:r>
        <w:t>156 BULLETIN NO. 21 OF MAY 27, 2024</w:t>
      </w:r>
    </w:p>
    <w:p>
      <w:r>
        <w:t>carried out by the company and/or by third-party suppliers regarding the spontaneous or algorithmic nature of the online interactions offered and regarding the authenticity of the originating accounts of the same.</w:t>
      </w:r>
    </w:p>
    <w:p>
      <w:r>
        <w:t>8. As of the current state of affairs, the reasonable term of 30 days assigned in the communication of February 16, 20248 having widely elapsed and in the absence of responses to the requests for information, there are no evidentiary elements that allow for a comprehensive assessment of the unfairness of the commercial practice subject to this proceeding, consisting of the online sale of various types of interactions that appear false, inauthentic and/or not corresponding to real user interaction experiences, intended to be used by buyers on digital social media platforms.</w:t>
      </w:r>
    </w:p>
    <w:p>
      <w:r>
        <w:t>9. Since such elements are to be considered in the possession of the Professional, it is necessary to assign to the latter the burden of proof, pursuant to Article 15 of the Regulation, regarding the commercial practice in question.</w:t>
      </w:r>
    </w:p>
    <w:p>
      <w:r>
        <w:t>III. Communication of the assignment of the burden of proof</w:t>
      </w:r>
    </w:p>
    <w:p>
      <w:r>
        <w:t>10. Based on the above, this is to inform, pursuant to Article 15 of the Regulation, the assignment of the burden of proof on the accuracy of the factual data related to the commercial practice described in point I.</w:t>
      </w:r>
    </w:p>
    <w:p>
      <w:r>
        <w:t>11. To this end, the Professional is invited to produce suitable documentation aimed at demonstrating the veracity of the following statements present in the advertising messages disseminated via the internet on the Site, regarding the authentic and "real" nature of the various social interactions sold (followers, fans, likes, views, "customized" comments, etc.) and the originating accounts of the same:</w:t>
        <w:br/>
        <w:t>- “Our viral marketing techniques comply with the current policies of Facebook, Twitter, Youtube, Instagram. The fans, followers, views are executed by users with real and active profiles on various social media”9;</w:t>
        <w:br/>
        <w:t>- “All the traffic for the different profiles obtained is completely legitimate. We do not use spamming or other deceptive activities to obtain traffic. What you will get are only real visitors, targeted to the content of your website selected at the time of the order”10;</w:t>
        <w:br/>
        <w:t>- “Real Profiles - All interactions we provide with our packages come from real profiles, equipped with photos and descriptions”11, “All the services we offer, through our packages come from real profiles”12, “Quality Social - All interactions we offer and provide (fans, likes, comments, views, etc.) come from profiles of real users”13 and “Bcube provides only real and high-quality followers and likes”14;</w:t>
      </w:r>
    </w:p>
    <w:p>
      <w:r>
        <w:t>8 This term, starting from the notification of the request for information, expired on March 28, 2024.</w:t>
        <w:br/>
        <w:t>9 See https://www.bcubeagency.com/it/condizioni-di-vendita/ (Limitation of liability).</w:t>
        <w:br/>
        <w:t>10 See https://www.bcubeagency.com/it/faq-2/#1488794644977-b23d01d9-c7df (FAQ: “Does the traffic you offer come from spam or other illegal methods?”).</w:t>
        <w:br/>
        <w:t>11 This statement is repeated on every web page dedicated to the individual social networks for which various services/packages are offered; see, for example, the web page https://www.bcubeagency.com/it/comprare-follower-like-instagram/, under the heading “WHY CHOOSE BCUBE”.</w:t>
        <w:br/>
        <w:t>12 See https://www.bcubeagency.com/it/condizioni-di-vendita/ (Real profiles).</w:t>
        <w:br/>
        <w:t>13 See https://www.bcubeagency.com/it/.</w:t>
        <w:br/>
        <w:t>14 See https://www.bcubeagency.com/it/faq-2/#1488828598972-dae555b4-dabf (FAQ: “Are all followers/likes the same?”).</w:t>
      </w:r>
    </w:p>
    <w:p>
      <w:r>
        <w:t>BULLETIN NO. 21 OF MAY 27, 2024 157</w:t>
      </w:r>
    </w:p>
    <w:p>
      <w:r>
        <w:t>- “Many websites that offer services similar to ours attract customers with rock-bottom prices, guaranteeing thousands of fans for a few euros. In reality, what they really do is use a BOT that increases the number of visible likes but not real fans, or use fake profiles devoid of any value. Bcube achieves an increase in real and unique fans thanks to a combined marketing service…”15;</w:t>
        <w:br/>
        <w:t>- “REAL FOLLOWERS AND LIKES” and “QUALITY OVER QUANTITY - Followers and likes coming from real profiles… BCUBE Agency advises you to avoid companies that sell fake or low-quality followers… Associating your social profile with real or fake followers significantly affects the perception of your image, seriousness, and above all your reputation”16;</w:t>
        <w:br/>
        <w:t>- “BUY REAL ITALIAN INSTAGRAM FOLLOWERS AND LIKES” and “BUY REAL ITALIAN INSTAGRAM FOLLOWERS - EXCLUSIVE PRODUCT - The only Italian agency to make this service available. We offer an exclusive service that allows you to buy real Italian Instagram followers, active people who will choose to follow you of their own free will”17;</w:t>
        <w:br/>
        <w:t>- “BUY REAL ITALIAN TIKTOK FOLLOWERS” and “Get real Italian TikTok followers for your profile and increase your notoriety. The only European agency to offer this service”18;</w:t>
        <w:br/>
        <w:t>- “BUY REAL ITALIAN X FOLLOWERS (FORMERLY TWITTER)” and “Buy Italian and foreign followers for your X profile”19;</w:t>
        <w:br/>
        <w:t>- “BUY REAL YOUTUBE VIEWS AND SUBSCRIBERS” and “Buy Real Italian YouTube Views: select the number of views you want to receive from real people living in Italy and increase the visibility of your videos”20;</w:t>
        <w:br/>
        <w:t>- “BUY REAL TWITCH LIVE FOLLOWERS AND VIEWERS”21.</w:t>
      </w:r>
    </w:p>
    <w:p>
      <w:r>
        <w:t>12. BCUBE is also invited to produce suitable documentation aimed at demonstrating:</w:t>
        <w:br/>
        <w:t>a) the methods of procurement, by BCUBE and/or its third-party suppliers, of the interactions and comments sold, with specific indication of the nature of the accounts from which they originate and the relationship that the holders of such accounts have with BCUBE or its third-party suppliers, on one side, and with the buyer of the interactions/comments, on the other;</w:t>
        <w:br/>
        <w:t>b) the existence of agreements with third-party suppliers under which BCUBE would be able to sell various packages of social interactions (fans/likes, likes, followers, video/reels/stories views, friends, comments, etc.);</w:t>
      </w:r>
    </w:p>
    <w:p>
      <w:r>
        <w:t>15 See https://www.bcubeagency.com/it/faq-2/#1476957411926-e1068783-1222. (FAQ “How is the increase in Fans/Followers achieved?”).</w:t>
        <w:br/>
        <w:t>16 See https://www.bcubeagency.com/it/follower-like-reali/.</w:t>
        <w:br/>
        <w:t>17 See https://www.bcubeagency.com/it/comprare-follower-like-instagram/.</w:t>
        <w:br/>
        <w:t>18 See https://www.bcubeagency.com/it/comprare-follower-like-tiktok/.</w:t>
        <w:br/>
        <w:t>19 See https://www.bcubeagency.com/it/comprare-follower-twitter/.</w:t>
        <w:br/>
        <w:t>20 See https://www.bcubeagency.com/it/comprare-visualizzazioni-iscritti-youtube/.</w:t>
        <w:br/>
        <w:t>21 See https://www.bcubeagency.com/it/comprare-follower-visualizzazioni-twitch/.</w:t>
      </w:r>
    </w:p>
    <w:p>
      <w:r>
        <w:t>158 BULLETIN NO. 21 OF MAY 27, 2024</w:t>
      </w:r>
    </w:p>
    <w:p>
      <w:r>
        <w:t>c) the verification activity carried out by BCUBE and/or by third-party suppliers regarding the spontaneous/authentic nature of all social interactions sold (including the “likes comments”22) and regarding the authenticity of the originating accounts of the same.</w:t>
      </w:r>
    </w:p>
    <w:p>
      <w:r>
        <w:t>13. The aforementioned documentation is to be considered already in the possession of the Professional and is necessary for the instructive purposes as it pertains to aspects closely related to the contested conduct, likely to significantly influence the commercial decisions of the average consumer.</w:t>
      </w:r>
    </w:p>
    <w:p>
      <w:r>
        <w:t>14. The aforementioned evidentiary elements must be provided to the Authority within 20 days from the date of receipt of this communication. The documentation may also be transmitted on suitable electronic media and/or via certified email to the address protocollo.agcm@pec.it.</w:t>
      </w:r>
    </w:p>
    <w:p>
      <w:r>
        <w:t>15. Pursuant to Article 11, paragraph 7, of the Regulation, it is possible to indicate specific information and parts of the provided documents for which confidentiality or secrecy is requested, indicating the reasons justifying such request. To this end, it is kindly requested to also transmit a non-confidential version of the documents containing confidential information.</w:t>
      </w:r>
    </w:p>
    <w:p>
      <w:r>
        <w:t>16. For the purposes of quantifying any monetary sanction referred to in Article 27, paragraph 9, of the Consumer Code, the addressed company is requested to provide a copy of the last approved financial statement or suitable tax documentation showing the economic results related to the year 2023, with particular reference to revenues, gross operating margin, and profit before taxes.</w:t>
      </w:r>
    </w:p>
    <w:p>
      <w:r>
        <w:t>For any communication addressed to the Authority regarding the case in question, please refer to the Digital Platforms and Communications Directorate of the Consumer Protection Department - 1 and the reference PS12666.</w:t>
      </w:r>
    </w:p>
    <w:p>
      <w:r>
        <w:t>22 With specific reference to the possibility of purchasing “comments,” the Site indicates that the user can select the number of comments they wish to receive on Facebook for their post (photo, video, status update, etc.) and can “also decide what type of comments to receive. You just need to tell us ‘the phrase/text’ you want to obtain” (https://www.bcubeagency.com/it/comprare-like-facebook/); similarly, regarding Instagram, it is indicated that the user can “purchase customized comments” or can “decide what type of comments to receive for a specific photo. You just need to choose the quantity and tell us ‘the phrase/text’ you want to receive in the comments” (https://www.bcubeagency.com/it/comprare-ollower-like-instagram/).</w:t>
      </w:r>
    </w:p>
    <w:p>
      <w:r>
        <w:rPr>
          <w:b/>
        </w:rPr>
        <w:t>[Pages 157–157]</w:t>
      </w:r>
    </w:p>
    <w:p>
      <w:r>
        <w:t xml:space="preserve">Antitrust Authority Weekly Bulletin  </w:t>
        <w:br/>
        <w:t xml:space="preserve">of Competition and the Market Year XXXIV - No. 21 - 2024  </w:t>
        <w:br/>
        <w:t xml:space="preserve">Editorial Coordination Giulia Antenucci  </w:t>
        <w:br/>
        <w:t xml:space="preserve">Editorial Staff Angela D’Auria, Valerio Ruocco, Manuela Villani  </w:t>
        <w:br/>
        <w:t xml:space="preserve">Antitrust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