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https://www.agcm.it/dotcmsdoc/bollettini/2021/22-21.pdf</w:t>
      </w:r>
    </w:p>
    <w:p>
      <w:r>
        <w:t>Pages translated : 48</w:t>
      </w:r>
    </w:p>
    <w:p/>
    <w:p>
      <w:r>
        <w:rPr>
          <w:b/>
        </w:rPr>
        <w:t>[Pages 1–3]</w:t>
      </w:r>
    </w:p>
    <w:p>
      <w:r>
        <w:t>Bulletin</w:t>
        <w:br/>
        <w:t>Weekly</w:t>
        <w:br/>
        <w:t>Year XXXI - No. 22</w:t>
        <w:br/>
        <w:t>Published on the website www.agcm.it</w:t>
        <w:br/>
        <w:t>May 31, 2021</w:t>
      </w:r>
    </w:p>
    <w:p>
      <w:r>
        <w:t>SUMMARY</w:t>
        <w:br/>
        <w:t>AGREEMENTS AND ABUSE OF DOMINANT POSITION 5</w:t>
        <w:br/>
        <w:t>A487B - ITALIAN NAVIGATION COMPANY - MARITIME TRANSPORT OF GOODS TO/FROM SARDINIA - REDETERMINATION OF SANCTION</w:t>
        <w:br/>
        <w:t>Decision No. 29666 5</w:t>
        <w:br/>
        <w:t>A544 - ERION WEEE/ANTICOMPETITIVE CONDUCT</w:t>
        <w:br/>
        <w:t>Decision No. 29670 7</w:t>
        <w:br/>
        <w:t>REPORTING AND CONSULTATIVE ACTIVITIES 24</w:t>
        <w:br/>
        <w:t>AS1750 - SICILY REGION - CONTRIBUTIONS FOR ORGANIZATIONS OPERATING IN THE CINEMA AND AUDIOVISUAL SECTORS 24</w:t>
        <w:br/>
        <w:t>AS1751 - MUNICIPALITY OF SARZANA (SP) - EXTENSION OF MARITIME STATE CONCESSIONS FOR TOURIST AND RECREATIONAL PURPOSES 28</w:t>
        <w:br/>
        <w:t>AS1752 - MUNICIPALITY OF NETTUNO (RM) - EXTENSION OF MARITIME STATE CONCESSIONS FOR TOURIST AND RECREATIONAL PURPOSES 32</w:t>
        <w:br/>
        <w:t>AS1753 - MUNICIPALITY OF LIVORNO - EXTENSION OF MARITIME STATE CONCESSIONS FOR TOURIST AND RECREATIONAL PURPOSES 36</w:t>
        <w:br/>
        <w:t>UNFAIR COMMERCIAL PRACTICES 40</w:t>
        <w:br/>
        <w:t>IP337 - DEBT SOLUTION - VARIOUS CONDUCTS</w:t>
        <w:br/>
        <w:t>Decision No. 29668 40</w:t>
        <w:br/>
        <w:t>PS11872 - STUDSLAB/FAILURE TO DELIVER</w:t>
        <w:br/>
        <w:t>Decision No. 29669 47</w:t>
      </w:r>
    </w:p>
    <w:p>
      <w:r>
        <w:t>BULLETIN NO. 22 OF MAY 31, 2021 5</w:t>
        <w:br/>
        <w:t>AGREEMENTS AND ABUSE OF DOMINANT POSITION</w:t>
        <w:br/>
        <w:t>A487B - ITALIAN NAVIGATION COMPANY - MARITIME TRANSPORT OF GOODS TO/FROM SARDINIA - REDETERMINATION OF SANCTION</w:t>
        <w:br/>
        <w:t>Decision No. 29666</w:t>
        <w:br/>
        <w:t>THE COMPETITION AND MARKET AUTHORITY</w:t>
        <w:br/>
        <w:t>IN ITS MEETING of May 11, 2021;</w:t>
        <w:br/>
        <w:t>HEARD the Rapporteur Dr. Gabriella Muscolo;</w:t>
        <w:br/>
        <w:t>HAVING REGARD to Law No. 287 of October 10, 1990;</w:t>
        <w:br/>
        <w:t>HAVING REGARD to the decree of the President of the Republic No. 217 of June 30, 1998;</w:t>
        <w:br/>
        <w:t>HAVING REGARD to its resolution of October 22, 2014, by which the Guidelines on the methods of application of the criteria for quantifying administrative pecuniary sanctions imposed by the Authority in application of Article 15, paragraph 1, of Law No. 287/90 (hereinafter, briefly, "Guidelines") were adopted;</w:t>
        <w:br/>
        <w:t>HAVING REGARD to its decision No. 27053 of February 28, 2018, adopted at the conclusion of procedure No. A487 – Italian Navigation Company – Maritime Transport of Goods to/from Sardinia, with which the Authority found that the companies Moby S.p.A. and Italian Navigation Company S.p.A. had engaged in an abuse of dominant position in violation of Article 102(b) TFEU, consisting of a single and articulated strategy aimed at excluding competitors, both current and potential, in the relevant markets, intentionally carried out through a direct and indirect boycott action against logistics companies that had turned to competitors, to discourage them from using their maritime transport services;</w:t>
        <w:br/>
        <w:t>HAVING REGARD that for the established violation, due to the seriousness and duration of the infringement, a joint administrative pecuniary sanction of 29,202,673.73 euros was imposed on the companies Moby S.p.A. and Italian Navigation Company S.p.A.;</w:t>
        <w:br/>
        <w:t>HAVING REGARD to the judgment of the Regional Administrative Court for Lazio (hereinafter "Tar Lazio") of May 22, 2019, No. 7175, with which the appeal filed by the companies Moby S.p.A. and Italian Navigation Company S.p.A. was partially upheld and, as a result, decision No. 27053 of February 28, 2018, was partially annulled, also ordering the redetermination of the sanction;</w:t>
        <w:br/>
        <w:t>HAVING REGARD, in particular, to the reasoning of the aforementioned judgment, with which Tar Lazio, in partial acceptance of the appeal filed, set the parameters for determining the sanction to be imposed on the appellant, referring the documents to the Authority so that it may quantify, with justification, and in concrete terms, the amount of the same in accordance with the indications provided in the referenced judgment;</w:t>
        <w:br/>
        <w:t>HAVING REGARD to its decision No. 27844 of July 17, 2019, with which the initiation of procedure A487B – Italian Navigation Company – Maritime Transport of Goods to/from Sardinia – redetermination of the sanction was ordered, concerning the redetermination of the</w:t>
      </w:r>
    </w:p>
    <w:p>
      <w:r>
        <w:rPr>
          <w:b/>
        </w:rPr>
        <w:t>[Pages 4–6]</w:t>
      </w:r>
    </w:p>
    <w:p>
      <w:r>
        <w:t>6 BULLETIN NO. 22 OF MAY 31, 2021</w:t>
        <w:br/>
        <w:t>sanction against Moby S.p.A. and Compagnia Italiana di Navigazione S.p.A., in compliance with the aforementioned ruling of the Lazio Administrative Court of May 22, 2019, No. 7175;</w:t>
      </w:r>
    </w:p>
    <w:p>
      <w:r>
        <w:t>HAVING REGARD to its provision No. 27985 of November 5, 2019, which extended the deadline for concluding the procedure to December 31, 2019, to ensure the Parties the broadest exercise of their rights of defense and contradiction;</w:t>
      </w:r>
    </w:p>
    <w:p>
      <w:r>
        <w:t>HAVING REGARD to its provision No. 28040 of December 20, 2019, which further extended the deadline for concluding the procedure to sixty days from the publication of the ruling of the Council of State which would decide the appeal of the Authority against the ruling of the Lazio Administrative Court of May 22, 2019, No. 7175, also considering the relevance and solidity, in fact and in law, of the reasons presented;</w:t>
      </w:r>
    </w:p>
    <w:p>
      <w:r>
        <w:t>HAVING REGARD to the ruling of the Council of State of April 1, 2021, No. 2727, which rejected all appeals presented and confirmed the ruling of the Lazio Administrative Court which had partially upheld the first-instance appeal filed by Moby S.p.A. and Compagnia Italiana di Navigazione S.p.A.;</w:t>
      </w:r>
    </w:p>
    <w:p>
      <w:r>
        <w:t>HAVING REGARD to the documents of the procedure;</w:t>
      </w:r>
    </w:p>
    <w:p>
      <w:r>
        <w:t>CONSIDERING the necessity to guarantee the Parties the broadest exercise of their rights of defense and contradiction;</w:t>
      </w:r>
    </w:p>
    <w:p>
      <w:r>
        <w:t>THEREFORE CONSIDERED necessary to extend the deadline for concluding the procedure, currently set for May 31, 2021;</w:t>
      </w:r>
    </w:p>
    <w:p>
      <w:r>
        <w:t>RESOLVES</w:t>
        <w:br/>
        <w:t>to extend the deadline for concluding the procedure to July 31, 2021.</w:t>
      </w:r>
    </w:p>
    <w:p>
      <w:r>
        <w:t>This provision will be notified to the interested party and published in the Bulletin of the Competition and Market Authority.</w:t>
      </w:r>
    </w:p>
    <w:p>
      <w:r>
        <w:t>THE SECRETARY GENERAL THE PRESIDENT</w:t>
        <w:br/>
        <w:t>Filippo Arena Roberto Rustichelli</w:t>
      </w:r>
    </w:p>
    <w:p>
      <w:r>
        <w:t>BULLETIN NO. 22 OF MAY 31, 2021 7</w:t>
        <w:br/>
        <w:t>A544 - ERION WEEE/ANTICOMPETITIVE CONDUCT</w:t>
        <w:br/>
        <w:t>Provision No. 29670</w:t>
        <w:br/>
        <w:t>THE COMPETITION AND MARKET AUTHORITY</w:t>
        <w:br/>
        <w:t>IN ITS MEETING of May 18, 2021;</w:t>
      </w:r>
    </w:p>
    <w:p>
      <w:r>
        <w:t>HEARD the Rapporteur President Roberto Rustichelli;</w:t>
      </w:r>
    </w:p>
    <w:p>
      <w:r>
        <w:t>HAVING REGARD to Article 102 of the Treaty on the Functioning of the European Union (“TFEU”);</w:t>
      </w:r>
    </w:p>
    <w:p>
      <w:r>
        <w:t>HAVING REGARD to Regulation No. 1/2003 of the European Council of December 16, 2002, concerning the application of the competition rules laid down in Articles 81 and 82 of the Treaty establishing the European Community (now Articles 101 and 102 TFEU);</w:t>
      </w:r>
    </w:p>
    <w:p>
      <w:r>
        <w:t>HAVING REGARD to Law No. 287 of October 10, 1990, and subsequent amendments;</w:t>
      </w:r>
    </w:p>
    <w:p>
      <w:r>
        <w:t>HAVING REGARD to the report received [omitted]* on October 21, 2020, supplemented on January 29, 2021, and April 8, 2021, and the report [omitted], received on February 26, 2021;</w:t>
      </w:r>
    </w:p>
    <w:p>
      <w:r>
        <w:t>HAVING REGARD to the documentation on file;</w:t>
      </w:r>
    </w:p>
    <w:p>
      <w:r>
        <w:t>CONSIDERING as follows:</w:t>
      </w:r>
    </w:p>
    <w:p>
      <w:r>
        <w:t>I. THE PARTIES</w:t>
        <w:br/>
        <w:t>1. The consortium ERION WEEE (“Erion”) is a collective waste management system for electrical and electronic equipment (“WEEE”), established effective October 1, 2020, following the merger of the consortia Ecodom and Remedia, both already active in the same sector. In addition to the WEEE sector, the Erion system operates, through the other sector consortia Erion Professional, Erion Energy, and Erion Packaging, also as a collection system for exhausted lead batteries and packaging waste. In 2020, Erion generated revenue of approximately 87 million euros.</w:t>
      </w:r>
    </w:p>
    <w:p>
      <w:r>
        <w:t>2. Erion Compliance Organization S.c.a.r.l. (“ECO”) is a consortium company established on July 22, 2020, in view of the merger between Ecodom and Remedia, to which the operational functions of the Erion system have been entrusted, namely coordination and organizational/administrative support to the various sector consortia1. Having not yet closed its first financial year, no financial statements of ECO are currently available.</w:t>
      </w:r>
    </w:p>
    <w:p>
      <w:r>
        <w:t>3. Remedia Tecnologie e Servizi per il Riciclo S.r.l. (“Remedia TSR”) is a service company to which Erion has entrusted the management of the WEEE under its responsibility, with reference to the execution phase of the collection, transport, and treatment processes. Remedia TSR was founded in 2012 by Remedia, and then merged into Erion effective October 1, 2020, as part of the aforementioned merger process with Ecodom2. In 2019, Remedia TSR generated revenue of approximately 39 million euros.</w:t>
      </w:r>
    </w:p>
    <w:p>
      <w:r>
        <w:t>4. [Omitted] is a collective management system for WEEE [omitted]. In 2020, [omitted] generated revenue of approximately [omitted] euros.</w:t>
      </w:r>
    </w:p>
    <w:p>
      <w:r>
        <w:t>5. [Omitted] is a company for [omitted] management of WEEE under its responsibility3. In 2020, [omitted] generated revenue of approximately [omitted] euros.</w:t>
      </w:r>
    </w:p>
    <w:p>
      <w:r>
        <w:t>II. The complaint of [omitted] and [omitted]</w:t>
        <w:br/>
        <w:t>6. With a report received on October 21, 2020, supplemented on January 29, 2021, and April 8, 2021, [omitted] reported a series of conduct carried out by Ecodom and Remedia initially, and then by Erion, aimed at marginalizing and ultimately excluding the complainant from the market, in violation of Article 102 TFEU. Firstly, [omitted] reported the use, initially by Ecodom and then by Erion, of a contractual clause for the best price, under which treatment plants are required to guarantee Ecodom/Erion the best transport and treatment rate. Secondly, the report of [omitted] accounts for an additional allegedly exclusionary conduct consisting of the use, first by Ecodom and Remedia and then, following the merger, by Erion, of reserves generated from profits of previous financial years to cover the losses of current core management, in order to offer to the producers adhering to them, and to potential new producers, environmental contributions unmatchable by competing systems.</w:t>
      </w:r>
    </w:p>
    <w:p>
      <w:r>
        <w:t>7. The report of [omitted] was joined by that of [omitted] on February 26, 2021, which focuses on the use by Erion of the aforementioned best price clause and the possible exclusionary effects generated by it, both for competing systems and, subsequently, for the logistics operators working for them ([omitted]).</w:t>
      </w:r>
    </w:p>
    <w:p>
      <w:r>
        <w:t>III. THE FACTUAL CONTEXT</w:t>
        <w:br/>
        <w:t>III.1. The regulatory and economic context</w:t>
        <w:br/>
        <w:t>8. The sector involved in this procedure is that of WEEE management, namely the collection, transport, treatment, recovery, and environmentally compatible disposal of waste from electrical and electronic equipment (“EEE”). The sector is currently governed by Legislative Decree No. 49 of March 14, 2014 (“WEEE Decree”), which came into force on April 12, 2014, which transposed into our legal system the second WEEE Directive 2012/19/EU, which includes the regime of extended producer responsibility in implementation of the European principle “the polluter pays.”</w:t>
      </w:r>
    </w:p>
    <w:p>
      <w:r>
        <w:t>9. WEEE can be distinguished into two macro-categories: household WEEE and professional WEEE. All waste from EEE that cannot be considered as resulting from domestic use due to quantity is considered professional WEEE (which falls under the category of household WEEE).</w:t>
      </w:r>
    </w:p>
    <w:p>
      <w:r>
        <w:rPr>
          <w:b/>
        </w:rPr>
        <w:t>[Pages 7–9]</w:t>
      </w:r>
    </w:p>
    <w:p>
      <w:r>
        <w:t>BULLETIN NO. 22 OF MAY 31, 2021 9</w:t>
      </w:r>
    </w:p>
    <w:p>
      <w:r>
        <w:t>category of so-called household WEEE), or derived from equipment specifically designed for professional use; the sector of professional WEEE, which is profoundly different in characteristics and management dynamics, falls outside the scope of this proceeding4.</w:t>
      </w:r>
    </w:p>
    <w:p>
      <w:r>
        <w:t>10. Pursuant to Annex 1 to the Regulation of September 25, 2007, No. 185, of the Ministry of the Environment, household WEEE is divided into the following five categories: (i) refrigerating appliances such as refrigerators, freezers, air conditioning units (“R1”); (ii) other large white goods such as washing machines, dishwashers, microwave ovens (“R2”); (iii) TVs and monitors (“R3”); (iv) small appliances, consumer electronics, information and communication technologies, lighting equipment (excluding light sources) and similar (“R4”); as well as (v) light sources such as neon and light bulbs (“R5”).</w:t>
      </w:r>
    </w:p>
    <w:p>
      <w:r>
        <w:t>Figure 1: Groupings of household WEEE and collection quantities in 2020. Source: WEEE Coordination Center – Annual Reports 2019-2020.</w:t>
      </w:r>
    </w:p>
    <w:p>
      <w:r>
        <w:t>11. Producers of EEE can fulfill their obligations through individual or collective WEEE management systems; currently, only collective systems are present in Italy5.</w:t>
      </w:r>
    </w:p>
    <w:p>
      <w:r>
        <w:t>4 The producer of professional EEE fulfills its legal obligations primarily by collecting professional WEEE from its direct customers on the basis of the so-called "1 for 1" principle, offering, in exchange for the purchase of a new appliance, the free collection of an equivalent appliance; the relationship is therefore predominantly between the producer and the user of professional equipment, with the consequence that, compared to the household WEEE sector, professional WEEE follows different collection dynamics, starting from the collection points (usually users and not municipal centers), although they are often treated at the same facilities used for household WEEE. Any collective systems that collect professional WEEE are not necessarily required to register with the WEEE Coordination Center, to which, as we will see, only the collective management systems of household WEEE are legally required to adhere (Article 33, paragraph 1, of the WEEE Decree).</w:t>
      </w:r>
    </w:p>
    <w:p>
      <w:r>
        <w:t>5 Producers opting for an individual system are required to organize "a self-sufficient system operating uniformly throughout the national territory for the management of WEEE resulting from the consumption of their own EEE and request recognition from the Ministry of the Environment" (Article 9, paragraph 1, of the WEEE Decree). Producers who do not fulfill their obligations through an individual system "must adhere to a collective system" (Article 10, paragraph 1). Currently, all producers/importers placing WEEE on the Italian market have opted to join one of the various collective systems, which thus manage the entirety of household WEEE (hearing minutes of [omitted] of February 26, 2021, Doc. 7). In order to operate, pursuant to Article 10, paragraph 10-bis, of the WEEE Decree, each collective system must represent a market share of EEE, placed on the market in the previous calendar year by the producers constituting it, of at least more than 3 percent, in at least one grouping.</w:t>
      </w:r>
    </w:p>
    <w:p>
      <w:r>
        <w:t>6 The standard statute of the WEEE consortia was approved by decree of the Ministry of the Environment on December 13, 2017, No. 235, "Regulation approving the standard statute of consortia for the management of waste from electrical and electronic equipment (WEEE), pursuant to Article 10, paragraph 3, of Legislative Decree No. 49 of March 14, 2014."</w:t>
      </w:r>
    </w:p>
    <w:p>
      <w:r>
        <w:t>7 Article 10, paragraphs 8 and 8-bis, of the WEEE Decree provides that the Statute thus transmitted is approved within the subsequent 90 days from transmission, by decree of the Minister of the Environment in agreement with the Minister of Economic Development, unless there are motivated observations to which the consortium is required to comply within the following 60 days. Pending the approval of the Statute, newly established collective systems may commence activities, in accordance with the standard statute, after ninety days from the transmission of the Statute to the Minister of the Environment, for the purpose of approval. The competent Ministries may verify the conformity of the Statute to the standard statute and the consistency of the activities initiated within the subsequent 180 days, and in case of discrepancies, formulate motivated observations, with which the consortium, within the following 60 days, adjusts the Statute for approval, always by decree of the aforementioned competent Ministers. Failure to comply within the stipulated timeframes results in removal from the national register and cessation of activity.</w:t>
      </w:r>
    </w:p>
    <w:p>
      <w:r>
        <w:t>8 During the hearing, the complainant [omitted] explained that the WEEE Coordination Center assigns to each collective system certain collection centers based on a series of rules aimed at optimizing collection; the WEEE Coordination Center also takes into account logistical hardship situations, and therefore tends to allocate disadvantaged areas (mountain areas, islands, and some areas of the South) equitably among the various operators. The management of logistics is very different depending on the area in which the assigned collection center is located, being easier in the North and progressively more complex as one moves down the Italian peninsula, particularly due to the presence of a progressively lower number of facilities. The assignment of collection centers is carried out annually by the WEEE Coordination Center, which, however, reviews it quarterly based on the data collected on the quantities moved by such centers, in order to ensure that each system is guaranteed a volume of waste equal to that placed on the market by its producers in the previous year (hearing minutes of [omitted] of February 26, 2021, Doc. 7).</w:t>
      </w:r>
    </w:p>
    <w:p>
      <w:r>
        <w:t>9 The criterion for distributing the management costs of household WEEE incurred by the collective system among the various producers, and therefore for determining the total amount owed by each of them, is that of the "market share [held by each producer], calculated based on the weight of the EEE placed on the market for each type of equipment or for each grouping, in the reference calendar year" (Article 23, paragraph 2, letter b), of the WEEE Decree).</w:t>
      </w:r>
    </w:p>
    <w:p>
      <w:r>
        <w:t>BULLETIN NO. 22 OF MAY 31, 2021 11</w:t>
      </w:r>
    </w:p>
    <w:p>
      <w:r>
        <w:t>of the Ministry of the Environment approving the standard statute of the consortia for the management of WEEE (D.M. 13.12.2017, No. 235), further specifies that “[e]very management surplus constitutes an advance for the subsequent exercise and, if derived from the environmental contribution, is intended for the reduction of the amount of the contribution itself in the first subsequent financial year. In any case, management surpluses cannot be used to reduce the environmental contribution owed by producers who have not contributed to their formation, or who have not participated in the consortium system in the two previous financial years”10.</w:t>
      </w:r>
    </w:p>
    <w:p>
      <w:r>
        <w:t>15. The legislation in question therefore imposes on collective systems the obligation to make an estimate of their management costs for WEEE as accurate as possible, given that an overestimate would result in an undue burden on the purchase price borne by the final customer (on whom, ultimately, the environmental contribution falls), while an underestimate risks jeopardizing the economic-financial balance of the consortia and therefore adequate treatment of WEEE.</w:t>
      </w:r>
    </w:p>
    <w:p>
      <w:r>
        <w:t>16. It is evident that a producer chooses the collective system to which to adhere primarily with regard to the amount of the eco-contribution requested by it, and that therefore the competition among systems to secure the adherence of producers (which allows the consortia to increase the pool of waste assigned to them) is primarily expressed in terms of the amount of the eco-contribution. This explains why the work carried out by each collective system is primarily aimed at making its activities more efficient, precisely with the aim of reducing its costs and lowering the environmental contribution required from its producers11.</w:t>
      </w:r>
    </w:p>
    <w:p>
      <w:r>
        <w:t>17. More specifically, the task of a collective system is to take care, directly or through third-party operators12, of organizing the transfer of WEEE for which it is responsible, that is, deposited by citizens and distributors at approximately 5,000 municipal collection centers distributed throughout the national territory and assigned to it by the WEEE Coordination Center, to one or more treatment plants authorized under Article 20 of the WEEE Decree for recovery and recycling operations, for the relevant WEEE grouping.</w:t>
      </w:r>
    </w:p>
    <w:p>
      <w:r>
        <w:t>18. Based on the data compiled by the WEEE Coordination Center, transmitted by [omitted], there are currently 57 accredited plants for the treatment of household WEEE in Italy, of which 34 are authorized to treat WEEE belonging to two or more groupings, while the remaining 23 treat waste from a single WEEE grouping. The active plants in the R1 and R3 groupings, which are of greater technical complexity, are significantly fewer in number (about 15), although they are very important groupings in terms of volumes (as seen above in Figure 1, the R1 and R3 groupings account for approximately 44% of the total household WEEE); on the other hand, there are more active plants in the R2 (44 plants) and R4 (36 plants) groupings, which often transition to the WEEE sector from that of scrap. The R5 grouping (with...</w:t>
      </w:r>
    </w:p>
    <w:p>
      <w:r>
        <w:rPr>
          <w:b/>
        </w:rPr>
        <w:t>[Pages 10–12]</w:t>
      </w:r>
    </w:p>
    <w:p>
      <w:r>
        <w:t>12 BULLETIN NO. 22 OF MAY 31, 2021</w:t>
      </w:r>
    </w:p>
    <w:p>
      <w:r>
        <w:t>10 treatment plants) is a so-called "niche" area, characterized by small quantities and specific issues of collection and treatment, and therefore often the plants are dedicated solely to this category.</w:t>
      </w:r>
    </w:p>
    <w:p>
      <w:r>
        <w:t>19. Treatment plants typically handle, at the request of the various collective systems, the recovery of WEEE at ecological islands and transport them to their facilities for treatment, in order to recover recyclable materials and transform them into secondary raw materials, ensuring the proper disposal of the others. Since these are two distinct activities (transport and treatment), the plants apply two distinct rates to the collective systems, namely a rate for the transport service and a rate for the treatment service. Transport rates are expressed in price per ton (euro/ton) or per load (euro/pickup), while treatment rates are always expressed in price per ton (euro/ton); treatment rates vary widely for the various WEEE groupings, due to the fact that treatment costs and the type and quantities of secondary raw materials obtained from recovery and recycling operations vary significantly from one grouping to another. Collective systems and plants can negotiate variable rates, linked to the official prices of raw materials, or fixed rates, according to their economic assessments. For a collective system, it is particularly important to select a rate in line with its business model, allowing it to internalize any efficiencies generated through more effective management of logistics activities, which can then translate into lower environmental eco-contributions for the producers adhering to it.</w:t>
      </w:r>
    </w:p>
    <w:p>
      <w:r>
        <w:t>III.2. The contested conduct</w:t>
      </w:r>
    </w:p>
    <w:p>
      <w:r>
        <w:t>III.2.1. The best price clause included in contracts with treatment plants, first by Ecodom and then by Erion</w:t>
      </w:r>
    </w:p>
    <w:p>
      <w:r>
        <w:t>20. From the information on record, it seems to emerge primarily that Ecodom included a best price clause in the contracts signed with treatment plants, under which the plants were required to guarantee Ecodom the best transport and treatment rates. This same clause was then employed by Erion/ECO, and still seems to be present in the contracts signed on its behalf by Remedia TSR, in force until September 2021.</w:t>
      </w:r>
    </w:p>
    <w:p>
      <w:r>
        <w:t>21. As well illustrated by the explanatory note sent by Remedia TSR to the treatment plants to explain the content and scope of the clause, the latter provides for the obligation for the plants not to offer competing collective systems "more favorable economic terms and conditions" than those offered to Erion to the extent that, in a given WEEE grouping, Erion represents the collective system that delivers to the plant in question the largest volumes of household WEEE.</w:t>
      </w:r>
    </w:p>
    <w:p>
      <w:r>
        <w:t>22. The explanatory note illustrates that the best price must be respected both with regard to the transport and treatment rates considered separately, as well as the overall rate; and that, from a temporal perspective, the best price must be ensured to Erion on a monthly basis, that is, in each month of the contractual period, and also with regard to contracts already signed with competing collective systems.</w:t>
      </w:r>
    </w:p>
    <w:p>
      <w:r>
        <w:t>23. As for the geographical scope of the clause, the rates with respect to which the best price must be ensured to Erion are not only those applied by a given plant to other collective systems for pickups in the same province to which the pickups related to the WEEE managed by Erion refer, but, much more generally, those relating to "[a]reas considered analogous based, at a minimum, on ... distance, logistical difficulties (road connections, mountainous areas, ...), type of service (similar proportion between pickup points managed with loading units and items on the ground...)".</w:t>
      </w:r>
    </w:p>
    <w:p>
      <w:r>
        <w:t>24. Erion's contract includes periodic verification of the actual compliance with the best price clause, entrusted to a third party who has the authority to access the treatment plants' premises to all necessary documentation to carry out the verification in question, subject to a confidentiality obligation regarding the data acquired during the verifications. In the event of a violation of the best price clause by a plant, Erion has the right to withdraw from the contract and, in any case, the plant is required to retroactively apply to Erion the best price charged to the competing system in violation of the clause, thus paying an amount equal to the difference between the best unit price applied to the competing collective system and that applied to Erion, multiplied by the volumes of WEEE managed on behalf of Erion in violation of the best price obligation.</w:t>
      </w:r>
    </w:p>
    <w:p>
      <w:r>
        <w:t>III.2.2. The possible strategic use of reserves for exclusionary purposes by Ecodom and Remedia first, and by Erion later</w:t>
      </w:r>
    </w:p>
    <w:p>
      <w:r>
        <w:t>25. Secondly, from the information on record, it seems to emerge that the reported parties have offered their producers eco-contributions that are unmatchable by competing systems, using for this purpose management surpluses accumulated during previous years.</w:t>
      </w:r>
    </w:p>
    <w:p>
      <w:r>
        <w:t>26. On this point, it is necessary to preliminarily note that, according to what was stated by the complainant, Ecodom and Remedia would have collected from their producers contributions based on the volumes of EEE placed on the market by them rather than on the volumes of WEEE collected. In the early years of the system's operation, when the volumes of WEEE collected and managed by the various collective systems were still quite small, the reported parties would have collected from producers amounts that far exceeded the actual costs incurred for the management of the WEEE for which they were responsible, thus accumulating significant management surpluses.</w:t>
      </w:r>
    </w:p>
    <w:p>
      <w:r>
        <w:t>27. In light of the progressive growth of the WEEE sector, Ecodom and Remedia would have implemented policies aimed at lowering the value of the eco-contributions proposed to their producers (both already consortia members and those from other systems) by setting them at a level independent of the management costs of the WEEE incurred in the year in question, given the possibility of using precisely the management surpluses from previous years. This circumstance seems compatible with what emerges from the financial statements of Remedia, Ecodom, and, lastly, Erion, where the flow derived from the revenues generated by the environmental contributions paid by producers ("sales and service revenues") does not appear sufficient to cover the production costs, or the costs incurred by the collective system for the management of the related WEEE; in those same financial statements, it is then stated, confirming the complainant's hypothesis, that "the result of the year is covered by drawing on the reserves from profits accumulated in previous years."</w:t>
      </w:r>
    </w:p>
    <w:p>
      <w:r>
        <w:t>28. The thesis proposed by the complainant seems to find support in the circumstance that the reported parties appear to request environmental contributions significantly lower than those requested by competing systems, including [omitted], thus inducing new producers to...</w:t>
      </w:r>
    </w:p>
    <w:p>
      <w:r>
        <w:rPr>
          <w:b/>
        </w:rPr>
        <w:t>[Pages 13–15]</w:t>
      </w:r>
    </w:p>
    <w:p>
      <w:r>
        <w:t>BULLETIN NO. 22 OF MAY 31, 2021 15</w:t>
      </w:r>
    </w:p>
    <w:p>
      <w:r>
        <w:t>abandon competing systems: for example, the prices offered for 2020 by Ecodom [omitted] were equal to [omitted] compared to the [omitted] applied by [omitted], and this led [omitted] to switch to Ecodom24.</w:t>
      </w:r>
    </w:p>
    <w:p>
      <w:r>
        <w:t>29. According to [omitted], it is also "known in the market" that Remedia also made targeted offers for new producers, to whom lower eco-contributions than those applied to producers already adhering to Remedia were requested in the event of adherence.</w:t>
      </w:r>
    </w:p>
    <w:p>
      <w:r>
        <w:t>III.2.3. The exclusivity clause in the Statute of Erion</w:t>
      </w:r>
    </w:p>
    <w:p>
      <w:r>
        <w:t>30. Articles 4, paragraph 1, and 6, paragraph 3, letter (i), of the Statute of Erion provide for an exclusivity obligation such that producers adhering to Erion cannot simultaneously adhere to other collective systems for the management of WEEE25. A similar provision is not included in the standard statute, which has thus been partially modified by Erion, nor do there appear to be regulatory constraints on the possible adherence of a producer/importer of EEE to multiple collective systems for the management of WEEE, for example for the different WEEE groupings to which the various products placed on the national market belong.</w:t>
      </w:r>
    </w:p>
    <w:p>
      <w:r>
        <w:t>IV. EVALUATIONS</w:t>
      </w:r>
    </w:p>
    <w:p>
      <w:r>
        <w:t>IV.1. The relevant markets</w:t>
      </w:r>
    </w:p>
    <w:p>
      <w:r>
        <w:t>31. In its "Paper Concerning issues of Competition in Waste Management Systems" of 2005, the European Commission considered that at least three different relevant product markets can be identified in the WEEE management sector, corresponding to three levels of the supply chain:</w:t>
        <w:br/>
        <w:t>(i) a market for the organization of systems for the fulfillment, by producers, of the obligations set forth by the WEEE Directive, a market in which the supply is represented by the various collective systems for the management of WEEE that compete with each other to attract EEE producers;</w:t>
        <w:br/>
        <w:t>(ii) a market for the treatment of WEEE in which the collective systems represent the demand while, on the supply side, there are entities operating treatment plants that handle the treatment, recovery, recycling, and disposal of WEEE, as well as typically also the transport; and finally,</w:t>
        <w:br/>
        <w:t>(iii) a market for the recovery and sale of secondary raw materials, in which the supply is represented by entities operating treatment plants and the demand by buyers of the secondary raw materials obtained from the recovery and recycling operations of WEEE26.</w:t>
      </w:r>
    </w:p>
    <w:p>
      <w:r>
        <w:t>32. In this case, the product markets under (i) and (ii) constitute those in which the reported conduct has taken place, which, in reality, represent the sides of a two-sided competitive platform, where collective systems compete with each other to acquire producers, on the supply side of environmental compliance services, and to obtain the services of the plants, on the demand side for transport and treatment services of WEEE.</w:t>
      </w:r>
    </w:p>
    <w:p>
      <w:r>
        <w:t>33. From a commodity perspective, the Authority believes that both of these markets should be defined at the level of the individual WEEE groupings (R1, R2, R3, R4, and R5). Regarding the market for the treatment of WEEE, the Authority believes that each of the five different groupings into which domestic WEEE has been legally divided constitutes a distinct relevant market, particularly based on the observation of the existence of different treatment fees for each category of waste treated and the presence of a clear differentiation between WEEE that require complex technical treatments (such as WEEE R1 and R3, but also R5, which require complex and further diversified operations) and WEEE that can be disposed of through relatively simpler processes (particularly in grouping R2, which indeed sees numerous plants from the scrapping world operating, which do not have the specific sectoral skills to operate in groupings R1 and R3, which are somewhat similar, or in R5).</w:t>
      </w:r>
    </w:p>
    <w:p>
      <w:r>
        <w:t>34. Similar conclusions are reached regarding the market for the supply of compliance services to EEE producers: while, on the one hand, there are no regulatory obstacles to a producer's adherence to multiple collective systems for the types of EEE corresponding to the different WEEE groupings, on the other hand, there is no substitutability between the services offered for the different groupings, which evidently depends on the type of EEE placed on the market.</w:t>
      </w:r>
    </w:p>
    <w:p>
      <w:r>
        <w:t>35. Regarding the geographical dimension of the market for the supply of environmental compliance services referred to in point (i), the information in the records shows that collective systems operate throughout the national territory, and all producers active in Italy adhere to them, thus granting the system the mandate to recover the share of waste for which they are responsible without any geographical constraints.</w:t>
      </w:r>
    </w:p>
    <w:p>
      <w:r>
        <w:t>36. The market for the treatment of WEEE, on the other hand, appears possibly to be of sub-national dimension, as also hypothesized by the Commission27, to the extent that the selection of the destination plant for waste by the collective system is made within a defined radius, beyond which the cost of transport becomes excessive compared to the value of the good and the overall recovery cost. However, the strong position that each collective system holds on these sub-national markets from the demand side is in any case substantially mirrored by the position it holds at the national level in its reference market, as the WEEE Coordination Center assigns collection points to the systems according to a geographical distribution criterion aimed at evenly distributing the different areas that make up the territory, and particularly those disadvantaged, without the collective systems being able to intervene in such distribution dynamics. In other words, since this is a market centrally administered by the WEEE Coordination Center, the position of a given system at the local level cannot differ from that which it holds at the national level, and thus the strength of each collective system can only be assessed with reference to the position held in the entire Italian market, by virtue of the number of producers adhering to it. The exact size of the geographical market for treatment activity can nonetheless be left open, as the relative position of each consortium, even at the local level, depends on the outcomes of competitive dynamics in the compliance services market, mediated by the decisions of the WEEE Coordination Center.</w:t>
      </w:r>
    </w:p>
    <w:p>
      <w:r>
        <w:t>IV.2. The dominance of Ecodom and Remedia, before the merger, and of Erion thereafter</w:t>
      </w:r>
    </w:p>
    <w:p>
      <w:r>
        <w:t>37. In Italy, in addition to Erion, there are currently 11 other collective systems for the management of domestic WEEE; these systems all have market shares of less than 1% ([omitted]), with the sole exception of [omitted]28.</w:t>
      </w:r>
    </w:p>
    <w:p>
      <w:r>
        <w:t>38. Table 1 illustrates the position of Ecodom and Remedia in 2019 in terms of overall demand for treatment services offered by the plants for each individual WEEE grouping and for the entire domestic WEEE sector. The aforementioned demand shares are calculated based on the volumes of WEEE managed by a given collective system compared to the national total, and they are evidently a reflection of the market share in terms of consumption placed by the producers adhering to each collective system (on the basis of which the WEEE Coordination Center assigns to the individual system certain quantities of waste to manage, which subsequently define its demand for treatment services offered by the plants).</w:t>
      </w:r>
    </w:p>
    <w:p>
      <w:r>
        <w:t>Table 1: Shares of Ecodom, Remedia, and Erion in 2019 on the overall demand for treatment services</w:t>
      </w:r>
    </w:p>
    <w:p>
      <w:r>
        <w:t>WEEE Groupings      Ecodom      Remedia      Erion (Ecodom + Remedia)</w:t>
        <w:br/>
        <w:t>R1                          41.6%         39.1%             80.7%</w:t>
        <w:br/>
        <w:t>R2                          67%            19.5%             86.5%</w:t>
        <w:br/>
        <w:t>R3                          5.5%          63.8%             69.3%</w:t>
        <w:br/>
        <w:t>R4                          6.3%          25.5%             31.8%</w:t>
        <w:br/>
        <w:t>R5                          0.3%           7.3%              7.6%</w:t>
        <w:br/>
        <w:t>Total Domestic WEEE  36.1%         33.8%             69.9%</w:t>
      </w:r>
    </w:p>
    <w:p>
      <w:r>
        <w:t>Source: elaborations of the complainant [omitted] based on data transmitted to all collective systems by the WEEE Coordination Center (see report of October 21, 2020, Doc. 1).</w:t>
      </w:r>
    </w:p>
    <w:p>
      <w:r>
        <w:t>39. From Table 1, it emerges that both Ecodom and Remedia individually held, even before the merger, a strong market power in various WEEE groupings (in particular, Ecodom was dominant in grouping R2, where it accounted for 67% of the requested services, and Remedia in grouping R3, where the requested services covered almost 64% of the market).</w:t>
      </w:r>
    </w:p>
    <w:p>
      <w:r>
        <w:t>40. The same Table 1 then shows the joint market share of the two operators, which, as a result of the merger between Ecodom and Remedia that gave rise to the new consortium Erion, became a quasi-monopsony in groupings R1, R2, and R3.</w:t>
      </w:r>
    </w:p>
    <w:p>
      <w:r>
        <w:t>41. It is worth reiterating that, considering the relationship between the quantity of waste managed attributable to each consortium and placed on the market by the entities in it, in reality, the dominant position of demand described above is merely a reflection of an equivalent dominance, this time from the supply side, of each system in its own market, that is to say...</w:t>
      </w:r>
    </w:p>
    <w:p>
      <w:r>
        <w:rPr>
          <w:b/>
        </w:rPr>
        <w:t>[Pages 16–18]</w:t>
      </w:r>
    </w:p>
    <w:p>
      <w:r>
        <w:t>18 BULLETIN NO. 22 OF MAY 31, 2021</w:t>
      </w:r>
    </w:p>
    <w:p>
      <w:r>
        <w:t>of the compliance service offerings to the producers of EEE of each grouping. Therefore, Ecodom, Remedia, and Erion are dominant in the provision of compliance services for the types of EEE corresponding to the different WEEE groupings R1, R2, and R3, as previously illustrated.</w:t>
      </w:r>
    </w:p>
    <w:p>
      <w:r>
        <w:t>IV.2. The abuse of individual dominant position of Ecodom and Remedia first, and then of Erion</w:t>
      </w:r>
    </w:p>
    <w:p>
      <w:r>
        <w:t>42. From the information on record, it appears that Erion has engaged in an abuse of its dominant position held, on the demand side, in the market for the treatment services of WEEE belonging to groupings R1, R2, and R3 and, on the supply side, in the market for compliance services offered to producers of EEE corresponding to groupings R1, R2, and R3 or, in any case, in the WEEE sector as a whole. Erion can also be held accountable for similar conduct carried out by Ecodom (dominant, on both the demand and supply sides, in grouping R2) and by Remedia (dominant, on both the demand and supply sides, in grouping R3), up to the aforementioned merger into Erion.</w:t>
      </w:r>
    </w:p>
    <w:p>
      <w:r>
        <w:t>43. The abusive strategy hypothesized against the parties consists of a complex strategy, articulated in three different conducts that ultimately appear functional to the exclusion of competing collective systems, which will be better illustrated in the following paragraphs. In implementing the conducts that make up this strategy, it seems that Erion has availed itself of an operational company (ECO) and a general contractor (Remedia TSR): in this scenario, and for the purposes of the present proceeding, Erion, ECO, and Remedia TSR thus appear to represent a single economic entity, by virtue of the contractual ties existing between them and the fact that Remedia TSR operates as a service provider that does not appear independent, also due to the participation held in its capital by Erion.</w:t>
      </w:r>
    </w:p>
    <w:p>
      <w:r>
        <w:t>IV.2.1. The inclusion, in contracts with treatment plants, of the best price clause</w:t>
      </w:r>
    </w:p>
    <w:p>
      <w:r>
        <w:t>44. Firstly, from the information on record, it appears that Erion, and previously Ecodom, have included in the contracts concluded with the treatment plants, by virtue of the market power they hold over these latter29, a best price clause likely to cause an artificial, permanent, and systematic increase in the costs incurred by competing collective systems. Ultimately, the clause was negotiated and included in the contracts with the treatment plants by Remedia TSR, as the general contractor of the Erion group, possibly by virtue of a service contract concluded with ECO, Erion's operational company.</w:t>
      </w:r>
    </w:p>
    <w:p>
      <w:r>
        <w:t>45. Referring to par. III.2.1 for the description of the characteristics of the clause, it is briefly recalled that it provides for the obligation for the plants not to offer the competing collective systems more favorable economic terms and conditions than those offered to Erion in all cases where, in a given WEEE grouping, Erion represents the collective system that delivers to the plant in question the largest volumes of household WEEE. The same clause had been included by Ecodom in the contracts signed with the plants as early as 2014, as evidenced by documentation on record30.</w:t>
      </w:r>
    </w:p>
    <w:p>
      <w:r>
        <w:t>46. Given the dominant position initially held by Ecodom in grouping R2, and the absolute dominance held by Erion downstream of the merger, with shares exceeding 70% in groupings R1, R2, and R3, it is evident that in the relevant groupings Ecodom/Erion will likely be, in almost all cases, the collective system that entrusts the various plants with the largest volumes of WEEE, resulting in the systematic application of the best price obligation in their favor.</w:t>
      </w:r>
    </w:p>
    <w:p>
      <w:r>
        <w:t>47. As seen previously, the clause is employed in a context of multiple and complex criteria for defining the price, often vague and with outcomes difficult to predict due to indexing formulas, parameters, and discounts. The clause itself is also characterized by the use of undefined concepts (such as that, from the perspective of the geographical scope of application, of "analogous areas"), and is therefore likely to generate a situation of uncertainty regarding the rates that may be applied by the plants to the competing collective systems of Erion without violating the best price clause. To the extent that it generates a situation such that the plant is not in a position to easily define ex ante the amount of Erion's rate, the effect of such uncertainty and opacity may be to effectively compel the treatment plants to systematically include a differential in the rates charged to competing collective systems, so as to ensure they do not violate the best price obligation31.</w:t>
      </w:r>
    </w:p>
    <w:p>
      <w:r>
        <w:t>48. Moreover, the best price clause seems to generate a true "freezing" of the market that hinders Erion's competitors from appropriating any efficiencies generated in the conduct of their activities32. In fact, such efficiencies would primarily be sought in better logistical organization, which would positively impact the costs of the activities carried out by the plant (transport and treatment). However, if the plant decided to grant a competitor of Erion a better rate (in light of significant logistical efficiencies achieved), by virtue of the clause it would then have to apply that better rate to Erion as well and on all quantities (likely substantial) supplied by the dominant operator. In this latter case, however, the reduction granted to Erion would not be accompanied by any increase in logistical efficiencies and thus would not be associated with a corresponding reduction in the costs of the treatment plant; therefore, it would result in a reduction of the plant's margins or even in a remuneration insufficient to cover its costs. For these reasons, the plant cannot effectively grant any rate reduction to Erion's competitor, and the latter will have no incentives to seek efficiencies that it could not appropriate.</w:t>
      </w:r>
    </w:p>
    <w:p>
      <w:r>
        <w:t>30 See annex 3 to the complaint of [omitted] of October 21, 2020, Doc. 1, from which the presence of the clause in Ecodom's contracts as early as 2014 is evident.</w:t>
      </w:r>
    </w:p>
    <w:p>
      <w:r>
        <w:t>31 The complainant [omitted] noted episodes in which the plants would have raised the economic conditions applied to them to comply with the parameters of Erion's best price clause even in relation to contracts previously signed (see complaint of [omitted] of February 26, 2021, Doc. 6).</w:t>
      </w:r>
    </w:p>
    <w:p>
      <w:r>
        <w:t>32 In similar terms, see the European Commission's decision of May 4, 2017, case AT.40153 – E-book MFNs and related matters (Amazon), available on the institutional website, in which the Commission contested the introduction of best price clauses in distribution agreements concluded by Amazon, which also provided that the contracting parties were required to inform Amazon of any improved conditions granted to competitors.</w:t>
      </w:r>
    </w:p>
    <w:p>
      <w:r>
        <w:t>49. In other words, even if the clause effectively functioned as a price parity, and it were thus possible for the plants to define and offer Erion's competitors price conditions identical to those offered to the dominant operator, the clause appears to have a restrictive nature as it would effectively seem to prevent the competing consortia of Erion from appropriating the efficiencies they might achieve in their activities and thus, potentially, from applying lower eco-contributions to their members, discouraging the search for such efficiencies (with possible negative effects also from the perspective of environmental protection) and protecting the position of the dominant operator.</w:t>
      </w:r>
    </w:p>
    <w:p>
      <w:r>
        <w:t>50. The undue competitive advantage that the reported parties seem to be pre-establishing in this way can then be used in the upstream market to attract new producers of EEE. Given that, as already noted, the main cost item incurred by collective systems for the management of WEEE is precisely the fees they pay to the plants, the significant competitive advantage pre-established by the reported parties in the downstream markets allows them to offer eco-contributions to producers of EEE in the upstream market that are lower than those of competing collective systems which, suffering from an artificial increase in costs incurred in the downstream market due to the clause, are correspondingly forced to apply higher eco-contributions, also to comply with the regulatory obligation to "ensure the balance of their financial management" (Article 10, paragraph 10, of the WEEE Decree). This possible exclusionary effect, likely to induce producers of EEE to withdraw from competing collective systems to join the reported parties, appears to be reinforced by further conducts carried out by the reported parties in the market for the provision of compliance services, as illustrated in the following paragraphs.</w:t>
      </w:r>
    </w:p>
    <w:p>
      <w:r>
        <w:t>IV.2.2. The possible strategic use of reserves for exclusionary purposes</w:t>
      </w:r>
    </w:p>
    <w:p>
      <w:r>
        <w:t>51. Secondly, in the market for the provision of compliance services to producers of EEE corresponding to the different WEEE groupings, Ecodom and Remedia first, and Erion later, appear to have engaged in another abusive conduct consisting of the use of reserves generated from excess profits in previous years to artificially lower the amount of the environmental contribution offered to producers, with a view to retaining existing producers and acquiring new producers, to the detriment of competing systems.</w:t>
      </w:r>
    </w:p>
    <w:p>
      <w:r>
        <w:t>52. On this point, par. III.2.2. has reported the existence of losses from ordinary management in the most recent financial statements of Remedia, Ecodom, and Erion, and the circumstance that such losses appear to have been covered by resorting to reserves accumulated in previous years, which would thus have been used for exclusionary purposes to artificially maintain a low level of the environmental contribution required from their members.</w:t>
      </w:r>
    </w:p>
    <w:p>
      <w:r>
        <w:t>53. The artificial reduction of the level of the environmental contribution to potential new clients (producers), through the possible improper use of reserves, assumes an abusive nature to the extent that it integrates the elements of a possible exclusionary practice carried out, also in violation of sector regulations33, by a dominant operator, which appears unreplicable by the competitors.</w:t>
      </w:r>
    </w:p>
    <w:p>
      <w:r>
        <w:t>33 Based on the principle "the polluter pays," each producer of EEE is required to finance the actual costs incurred for the management of its WEEE, which does not occur in the case of applying to the adhering producers eco-contributions that do not cover the actual management costs, using surpluses from previous years to fill the gap; in this sense, in fact, Article 8 of the WEEE Decree establishes that each collective system must calculate the environmental contribution based on the "best estimate of the actual costs incurred." The relevant regulations then provide that management surpluses may – if applicable, exclusively in the year following the one in which they were generated – be...</w:t>
      </w:r>
    </w:p>
    <w:p>
      <w:r>
        <w:rPr>
          <w:b/>
        </w:rPr>
        <w:t>[Pages 19–21]</w:t>
      </w:r>
    </w:p>
    <w:p>
      <w:r>
        <w:t>BULLETIN NO. 22 OF MAY 31, 2021 21</w:t>
      </w:r>
    </w:p>
    <w:p>
      <w:r>
        <w:t>competing systems regardless of their efficiency, and thus with possible exclusionary effects from the date of entry into force of the WEEE Decree, April 12, 201434. The example provided by the complainant [omitted] regarding the manufacturer [omitted] seems to confirm that the eco-contributions offered to the latter by Ecodom for the year 2020 were indeed unmatchable by [omitted], not only with regard to the level of contributions practiced by [omitted] (defined, in accordance with the legislation, as the best estimate to cover management costs35) but also considering that the cash flow generated by those contributions from Ecodom, set at the same level in 2019, resulted in an operating loss, recorded in Ecodom's financial statements of 2019, which seems to have been subsequently covered by using the reserves accumulated in previous years36.</w:t>
      </w:r>
    </w:p>
    <w:p>
      <w:r>
        <w:t>54. On the other hand, the practice of using reserves accumulated in past years to finance reductions in current contributions appears to raise competitive concerns even when such reductions are directed at producers already adhering to the dominant consortium (Ecodom, Remedia, or Erion), who have contributed with their past payments to the formation of the reserves (which could thus, in this scenario, represent a loyalty practice). The return of excess payments made through a discount on the contribution for subsequent periods, which in this case may be postponed for several years, is indeed likely to represent a binding loyalty constraint that obliges the producer to remain a customer of the consortium under penalty of losing what has already been unduly advanced, resulting in a reduction of the producer's contestability for competing systems37.</w:t>
      </w:r>
    </w:p>
    <w:p>
      <w:r>
        <w:t>IV.2.3. The exclusivity clause</w:t>
      </w:r>
    </w:p>
    <w:p>
      <w:r>
        <w:t>55. Thirdly, as illustrated in paragraph III.2.3., Erion has included in its Statute, partially derogating from the standard statute, a provision whereby producers adhering to Erion cannot simultaneously adhere to other collective systems for the management of WEEE. This provision appears likely to further exacerbate the possible exclusionary effects generated by the aforementioned behaviors to the extent that it binds a given producer to confer to Erion the mandate to recover all WEEE attributable to it, thus further extending Erion's potential dominance pool, to the detriment of competing systems. In this sense, for example, a given producer of EEE attributable to grouping R2 and R4, who decides to confer to Erion the mandate for grouping R2, will be bound to confer to the dominant operator the mandate for grouping R4, even in the face of any improved rates proposed by a competing operator for grouping R4. The clause, far from being aligned with competition on the merits and in line with the overall exclusionary strategy pursued by Erion, is therefore also likely to impact the incentives to invest of competing collective systems, as it prevents them from benefiting from any efficiencies generated in carrying out their activities, even when these translate into reductions in the environmental contributions offered to producers.</w:t>
      </w:r>
    </w:p>
    <w:p>
      <w:r>
        <w:t>V. HARM TO INTRA-EUROPEAN TRADE</w:t>
      </w:r>
    </w:p>
    <w:p>
      <w:r>
        <w:t>56. The behaviors examined, all attributable to Erion as the economic and legal successor of the ceased consortia Ecodom and Remedia, fall within the scope of Article 102 TFEU as they concern the national markets for WEEE treatment services and the provision of compliance services to producers of EEE, which constitute a significant part of the European market, and are capable of limiting trade between the Member States of the European Union.</w:t>
      </w:r>
    </w:p>
    <w:p>
      <w:r>
        <w:t>THEREFORE, CONSIDERING that the conduct of ERION WEEE, Erion Compliance Organization S.c.a.r.l. and Remedia Tecnologie e Servizi per il Riciclo S.r.l. is likely, for the reasons outlined above, to constitute one or more violations of Article 102 TFEU, and that ERION WEEE is also responsible for the conduct carried out by the ceased consortium Remedia and the ceased consortium Ecodom, which were merged into ERION WEEE, which has continued such conduct;</w:t>
      </w:r>
    </w:p>
    <w:p>
      <w:r>
        <w:t>RESOLVES</w:t>
      </w:r>
    </w:p>
    <w:p>
      <w:r>
        <w:t>a) to initiate the investigation, pursuant to Article 14 of Law No. 287/1990, against ERION WEEE, Erion Compliance Organization S.c.a.r.l. and Remedia Tecnologie e Servizi per il Riciclo S.r.l. to ascertain the existence of possible violations of Article 102 TFEU;</w:t>
      </w:r>
    </w:p>
    <w:p>
      <w:r>
        <w:t>b) to set a deadline of 45 days from the notification of this provision for the exercise by the legal representatives of the parties of the right to be heard, specifying that the request for a hearing must be received by the Energy and Basic Industry Directorate of this Authority at least 5 days before the expiration of the aforementioned deadline;</w:t>
      </w:r>
    </w:p>
    <w:p>
      <w:r>
        <w:t>c) that the person responsible for the procedure is Dr. Clara Beatrice Calini;</w:t>
      </w:r>
    </w:p>
    <w:p>
      <w:r>
        <w:t>d) that the documents of the procedure can be viewed at the Energy and Basic Industry Directorate of this Authority by the legal representatives of the parties, as well as by a person delegated by them;</w:t>
      </w:r>
    </w:p>
    <w:p>
      <w:r>
        <w:t>e) that the procedure must be concluded by November 30, 2022.</w:t>
      </w:r>
    </w:p>
    <w:p>
      <w:r>
        <w:t>BULLETIN NO. 22 OF MAY 31, 2021 23</w:t>
      </w:r>
    </w:p>
    <w:p>
      <w:r>
        <w:t>This provision will be notified to the interested parties and published in the Bulletin of the Competition and Market Authority.</w:t>
      </w:r>
    </w:p>
    <w:p>
      <w:r>
        <w:t>THE SECRETARY GENERAL THE PRESIDENT</w:t>
      </w:r>
    </w:p>
    <w:p>
      <w:r>
        <w:t>Filippo Arena Roberto Rustichelli</w:t>
      </w:r>
    </w:p>
    <w:p>
      <w:r>
        <w:rPr>
          <w:b/>
        </w:rPr>
        <w:t>[Pages 22–24]</w:t>
      </w:r>
    </w:p>
    <w:p>
      <w:r>
        <w:t>24 BULLETIN NO. 22 OF MAY 31, 2021</w:t>
        <w:br/>
        <w:t>ACTIVITY OF REPORTING AND CONSULTATION</w:t>
        <w:br/>
        <w:t>AS1750 - REGION OF SICILY - CONTRIBUTIONS FOR ORGANISMS OPERATING IN THE CINEMA AND AUDIOVISUAL SECTORS</w:t>
        <w:br/>
        <w:t>Rome, February 18, 2021</w:t>
        <w:br/>
        <w:t>Sicilian Region</w:t>
        <w:br/>
        <w:t>Department of Tourism, Sports, and Entertainment</w:t>
        <w:br/>
        <w:t>The Competition and Market Authority, in its meeting of February 9, 2021, resolved to express its opinion, pursuant to Article 21-bis of Law No. 287 of October 10, 1990, regarding the Decree of the Assessor of Tourism, Sports, and Entertainment No. 2824/S6 of November 24, 2020, titled "Notice for the submission of applications for interventions in favor of tourism and entertainment, year 2020 - Article 16, paragraphs 2 and 3, regional law No. 9 of May 12, 2020, as amended by Article 4, paragraph 3, regional law No. 18 of August 11, 2020 - Notice for the submission of applications," as well as any other act related and consequent to it.</w:t>
        <w:br/>
        <w:t>This decree regulates the methods of disbursement of the resources provided by the Fund established by Article 16, paragraphs 2 and 3, of regional law No. 9 of May 12, 2020, as amended by Article 4, paragraph 3, of regional law No. 18 of August 11, 2020, which provides, exceptionally for the financial year 2020, for the establishment of a fund for the loss of box office receipts or for the reduction of revenues net of contributions from public entities.</w:t>
        <w:br/>
        <w:t>The notice for the submission of applications for interventions in favor of tourism and entertainment, year 2020, approved with Decree No. 2824/S6, brought to the attention of the Authority by a report received on January 20, 2021, specifies that the subjects eligible to receive the disbursement "must have their legal and operational headquarters in the territory of the Sicilian Region."</w:t>
        <w:br/>
        <w:t>The Decree of the General Director of the Department of Tourism, Sports, and Entertainment No. 3332/S6 of December 22, 2020, approved the list of applications deemed admissible, which, subject to the positive outcome of legal checks, will obtain the disbursement of contributions.</w:t>
        <w:br/>
        <w:t>The Authority intends to make the following considerations on this point.</w:t>
        <w:br/>
        <w:t>The aforementioned Notice approved with D.A. No. 2824/S6 integrates a profile of restrictiveness that is clearly in contrast with the principles of competition and is also likely to prejudice the proper functioning of the internal market.</w:t>
        <w:br/>
        <w:t>In fact, limiting the granting of an economic benefit solely to enterprises that, cumulatively, have their legal and operational headquarters in a given territory causes discrimination among enterprises that are in competition in the same market – of local scope, in this case – due to the undue exclusion of those that have their legal headquarters outside the Region. In particular, exclusion from the benefit could compromise the market presence of cinema operators capable of "returning" to the regional economic fabric the fruits of the benefit received, which contribute to the breadth of choice opportunities for consumers in the relevant local area. Therefore, the prejudice caused by the competitive distortion in question would ultimately fall on these latter subjects.</w:t>
        <w:br/>
        <w:t>This is a profile that has been repeatedly criticized by the Authority in previous advocacy interventions, where it has been highlighted that territorial requirements such as the one in question constitute "an unjustified and artificial brake on the dimensional development of enterprises" and that the provision of a requirement linked to the legal headquarters appears likely to exclude operators with legal and/or other operational headquarters outside the interested Region, "producing a compartmentalization at the market level... limited to regional areas." The Authority has at the same time deemed justifiable, from an antitrust perspective, that, "in a perspective of respect for the limits of territorial competence, entities grant the use of their funds... exclusively in favor of enterprises operating in the territory (...), provided, of course, that this does not constitute a barrier to entry" for subjects operating in the regional area, even if they have their legal headquarters outside the Region.</w:t>
        <w:br/>
        <w:t>Similar measures also stand in evident contrast with European regulations on the establishment and proper functioning of the internal market as they are likely to preclude access to the subsidies in question for subjects who – while carrying out their economic activity stably and continuously in the same market as the beneficiaries of such subsidies – have established their main headquarters in another Member State of the European Union, exercising their freedom of establishment guaranteed by Articles 49 and following of the Treaty on the Functioning of the European Union (TFEU). In this regard, without prejudice to the assessment of the European Commission regarding the compatibility with Article 107 of the TFEU of the measure in question, it appears not to comply with European regulations on public subsidies according to which an alleged State aid cannot be considered compatible with the internal market where it violates other provisions of the Treaty.</w:t>
        <w:br/>
        <w:t>In particular, the Notice approved with D.A. No. 2824/S6, insofar as it recognizes public contributions solely to economic operators having cumulatively their legal and operational headquarters in the territory of the Region, appears likely to unduly limit the pool of subjects who can benefit from it, applying discriminatory criteria on a territorial basis, contrary to Articles 3, 41, and 117, paragraph 2, letter e), of the Constitution, and to Articles 49 and following of the TFEU regarding freedom of circulation and establishment, as well as to the liberalization rules introduced precisely to establish and protect the freedom of economic initiative, referable to Articles 10 and 12 of Legislative Decree No. 59 of March 26, 2010, which implements the so-called Services Directive, and to Article 34 of Decree-Law No. 201 of December 6, 2011 (so-called Save Italy Decree), under which "any measure adopted by public authorities that is likely to affect the free play of competition is justified only if it is demonstrated that it is necessary and appropriate in relation to the public interest objective pursued, in the sense that such objective cannot be achieved through less invasive alternative measures."</w:t>
        <w:br/>
        <w:t>Pursuant to Article 21-bis, paragraph 2, of Law No. 287/90, the Department of Tourism, Sports, and Entertainment of the Sicilian Region must communicate to the Authority, within sixty days from the receipt of this opinion, the initiatives taken to remove the violation of competition outlined above. If within the aforementioned term such initiatives do not prove to be compliant with the competitive principles expressed above, the Authority may file an appeal within the following thirty days.</w:t>
        <w:br/>
        <w:t>This opinion will be published in the Bulletin of the Competition and Market Authority.</w:t>
        <w:br/>
        <w:t>THE PRESIDENT</w:t>
        <w:br/>
        <w:t>Roberto Rustichelli</w:t>
        <w:br/>
        <w:t>___________________________________________________________________</w:t>
        <w:br/>
        <w:t>Communication regarding the failure of the Sicilian Region to comply with the motivated opinion expressed by the Authority, pursuant to Article 21-bis of Law No. 287 of October 10, 1990, against the Decree of the Assessor of Tourism, Sports, and Entertainment No. 2824/S6 of November 24, 2020, titled "Notice for the submission of applications for interventions in favor of tourism and entertainment, year 2020 – Article 16, paragraphs 2 and 3, regional law No. 9 of May 12, 2020, as amended by Article 4, paragraph 3, regional law No. 18 of August 11, 2020 – Notice for the submission of applications."</w:t>
        <w:br/>
        <w:t>In its meeting of February 9, 2021, the Competition and Market Authority resolved to send a motivated opinion pursuant to Article 21-bis of Law No. 287 of October 10, 1990, regarding certain provisions contained in the Decree of the Assessor of Tourism, Sports, and Entertainment No. 2824/S6 of November 24, 2020, titled "Notice for the submission of applications for interventions in favor of tourism and entertainment, year 2020 – Article 16, paragraphs 2 and 3, regional law No. 9 of May 12, 2020, as amended by Article 4, paragraph 3, regional law No. 18 of August 11, 2020 – Notice for the submission of applications." It regulates the methods of disbursement of the resources provided by the Fund established by Article 16, paragraphs 2 and 3, of regional law No. 9 of May 12, 2020, as amended by Article 4, paragraph 3 of regional law No. 18 of August 11, 2020, which provides, exceptionally for the financial year 2020, in light of the economic damages caused by Covid-19, for the establishment of a fund for the loss of box office receipts or for the reduction of revenues net of contributions from public entities.</w:t>
      </w:r>
    </w:p>
    <w:p>
      <w:r>
        <w:rPr>
          <w:b/>
        </w:rPr>
        <w:t>[Pages 25–27]</w:t>
      </w:r>
    </w:p>
    <w:p>
      <w:r>
        <w:t>BULLETIN NO. 22 OF MAY 31, 2021 27</w:t>
      </w:r>
    </w:p>
    <w:p>
      <w:r>
        <w:t>In particular, the Authority has identified critical issues regarding the provision of the Notice under examination to restrict the granting of contributions solely to cinema and audiovisual enterprises that, cumulatively, have their legal and operational headquarters in the territory of the Region. As a result of this provision, the act of the Sicilian Region entails discrimination among enterprises that are competing in the same market – of local scope, in this case – with the undue exclusion from contributions of those enterprises that, while having their operational headquarters within the region, have their legal headquarters outside the region. In particular, the exclusion from the benefit could jeopardize the market presence of cinema operators, capable of "returning" to the regional economic fabric the fruits of the economic benefit received, which contribute to the breadth of choice opportunities for consumers in the affected local area. Therefore, the prejudice caused by the competitive distortion associated with the Notice in question would ultimately fall on these latter parties.</w:t>
      </w:r>
    </w:p>
    <w:p>
      <w:r>
        <w:t>Following the receipt of this reasoned opinion, the Sicilian Region, with communication dated April 14, 2021, informed the Competition and Market Authority that it did not intend to proceed with the annulment of the tender in question since this – due to the accounting principles set forth in Legislative Decree No. 118/2021 – would result in the non-utilization of sums contemplated in the distribution and utilization plan approved by December 31, 2020, which would no longer be reproducible in subsequent years. According to the Region, this outcome would contradict the spirit that led to the formulation of the Notice criticized by the Authority, represented by the intention to offer the possibility of survival and to reactivate the regional economic circuit to those who have suffered the most devastating effects of the crisis.</w:t>
      </w:r>
    </w:p>
    <w:p>
      <w:r>
        <w:t>Therefore, having noted the failure of the Sicilian Region to comply with the aforementioned reasoned opinion, the Competition and Market Authority, in its meeting of April 27, 2021, decided to challenge before the Regional Administrative Court for Sicily the aforementioned Decree of the Assessor for Tourism, Sport, and Entertainment No. 2824/S6 of November 24, 2020.</w:t>
      </w:r>
    </w:p>
    <w:p>
      <w:r>
        <w:t>28 BULLETIN NO. 22 OF MAY 31, 2021</w:t>
      </w:r>
    </w:p>
    <w:p>
      <w:r>
        <w:t>AS1751 - MUNICIPALITY OF SARZANA (SP) - EXTENSION OF MARITIME STATE CONCESSIONS FOR TOURIST AND RECREATIONAL PURPOSES</w:t>
      </w:r>
    </w:p>
    <w:p>
      <w:r>
        <w:t>Rome, February 25, 2021</w:t>
      </w:r>
    </w:p>
    <w:p>
      <w:r>
        <w:t>Municipality of Sarzana</w:t>
      </w:r>
    </w:p>
    <w:p>
      <w:r>
        <w:t>The Competition and Market Authority, in its meeting of February 16, 2021, resolved to express its opinion, pursuant to Article 21-bis of Law No. 287 of October 10, 1990, with reference to the resolution of the Municipal Council of December 29, 2020, No. 93, concerning "State concessions – Directive act to the Council presented by the group leaders to the majority."</w:t>
      </w:r>
    </w:p>
    <w:p>
      <w:r>
        <w:t>In particular, through the aforementioned resolution, the Municipality of Sarzana has arranged for the initiation of the procedure for the extension of the duration of the concessions of maritime state assets for tourist-recreational purposes in favor of existing concessionaires, based on the provisions of Article 1, paragraphs 682, 683, and 684, of Law No. 145/2018 (which established a new expiration date for maritime state concessions for tourist-recreational purposes on December 31, 2033), as well as Article 182, paragraph 2, of Decree-Law No. 34 of May 19, 2020, as converted by Law No. 77 of July 17, 2020, and Article 100, paragraph 1, of Decree-Law No. 104 of August 14, 2020, as converted by Law No. 126 of October 13, 2020, in so far as these provisions refer, confirming it, to the mechanism of ex lege extension of maritime state concessions.</w:t>
      </w:r>
    </w:p>
    <w:p>
      <w:r>
        <w:t>In general, the Authority recalls that in matters concerning the assignment of the use of public assets (falling within the state property or the unavailable assets of the State or local authorities), the identification of the private contractor must occur through the conduct, by the Public Administration, of public evidence procedures.</w:t>
      </w:r>
    </w:p>
    <w:p>
      <w:r>
        <w:t>In this regard, it is highlighted that Articles 49 and 56 of the TFEU impose on Member States the abolition of unjustified restrictions on the freedom of establishment and the free provision of services, that is, all measures that prohibit, hinder, or are otherwise capable of compressing the exercise of such freedoms. According to the Court of Justice, national legislation that allows for the automatic extension of existing public state concessions for tourist-recreational activities must be considered in violation of these provisions.</w:t>
      </w:r>
    </w:p>
    <w:p>
      <w:r>
        <w:t>Furthermore, Directive 2006/123/EC (the so-called Services Directive) provides in Article 12 that "where the number of authorizations available for a particular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aforementioned directive, conflicting in turn with the principles of free movement and freedom of establishment, its relative disapplication is imposed.</w:t>
      </w:r>
    </w:p>
    <w:p>
      <w:r>
        <w:t>In this sense, the Authority, in previous advocacy interventions, has repeatedly expressed the need to proceed with the assignment of concessions – including those concerning maritime state assets for tourist-recreational purposes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tendering procedures, in order to mitigate the distorting effects of competition associated with the privileged position attributed to the concessionaire.</w:t>
      </w:r>
    </w:p>
    <w:p>
      <w:r>
        <w:t>With specific reference to the procedures and measures for the extension of existing concessions, the Authority has repeatedly emphasized that it is in the interest of the market to carry out a careful assessment of the situation.</w:t>
      </w:r>
    </w:p>
    <w:p>
      <w:r>
        <w:t>It is recalled, in fact, that, according to established European jurisprudence, all national administrations, in the exercise of their functions, are required to apply the provisions of European law, disapplying national rules that are not compliant, as seen in various judgments issued by the Court of Justice in case 103/88, Fratelli Costanzo v. Comune di Milano, as well as in case C-224/97, Ciola, and in case C-198/01, Consorzio Industrie Fiammiferi (CIF) v. Competition and Market Authority.</w:t>
      </w:r>
    </w:p>
    <w:p>
      <w:r>
        <w:t>In this regard, the Court of Justice has reiterated, most recently in the judgment of December 4, 2018, case C-378/17, that "the principle of the primacy of Union law imposes not only on judicial bodies but also on all institutions of the Member State to give full effect to Union rules" (par. 39) and noted that the obligation to disapply also concerns "all State bodies, including administrative authorities, tasked with applying, within their respective competences, Union law" (par. 38). In this regard, see also, among others, the judgments issued by the Court of Justice in case 106/77, Amministrazione delle finanze dello Stato v. Simmenthal SpA, in case C-119/05, Lucchini, in case C-614/14, Ognyanov, and in joined cases C-52/16 and C-113/16, "SEGRO" Kft.</w:t>
      </w:r>
    </w:p>
    <w:p>
      <w:r>
        <w:t>The Authority has also pointed out that there is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In this regard, among others, TAR Veneto, judgment No. 218/2020, TAR Puglia, judgment No. 36/2020, Council of State, Section VI, judgment No. 7874/2019.</w:t>
      </w:r>
    </w:p>
    <w:p>
      <w:r>
        <w:t>It is also noted that the Court of Justice of the European Union, in establishing that the assignment of maritime state concessions for tourist-recreational use, which concern scarce natural resources, must necessarily take place through a selection procedure among potential candidates in compliance with all guarantees of impartiality and transparency, as well as adequate publicity, has emphasized that national legislation that provides for an ex lege extension of the expiration date of such concessions amounts to automatic renewal in contrast to the provisions of Article 12, paragraph 2, of Directive 2006/123/EC.</w:t>
      </w:r>
    </w:p>
    <w:p>
      <w:r>
        <w:t>See also the report made by the Authority on July 1, 2020, pursuant to Article 21 of Law No. 287/1990, AS1684 – Observations regarding the provisions contained in the relaunch decree, in Bulletin AGCM No. 28/2020. Furthermore, see the reports AS135 – Extensions of highway concessions, in Bulletin No. 19/98; AS491 – Provisions on the granting of state property concessions and on the direct exercise of administrative functions in the field of maritime state property, in Bulletin No. 46/2008; AS1114 – Concession regime present in the port of Livorno, in Bulletin No. 12/2014; AS1137 –</w:t>
      </w:r>
    </w:p>
    <w:p>
      <w:r>
        <w:rPr>
          <w:b/>
        </w:rPr>
        <w:t>[Pages 28–30]</w:t>
      </w:r>
    </w:p>
    <w:p>
      <w:r>
        <w:t>30 BULLETIN NO. 22 OF MAY 31, 2021</w:t>
      </w:r>
    </w:p>
    <w:p>
      <w:r>
        <w:t>balancing between short-term benefits and the possible costs that may arise over a longer time horizon.</w:t>
      </w:r>
    </w:p>
    <w:p>
      <w:r>
        <w:t>The granting of extensions in favor of previous concessionaires, in fact, further postpones competitive comparison for the market, thus preventing the benefits that would arise from periodic competition for the awarding through public procedures. Therefore, any extensions of the concessions should not exceed the actual needs of the administrations, to allow for the efficient allocation of public resources as soon as possible through competitive procedures.</w:t>
      </w:r>
    </w:p>
    <w:p>
      <w:r>
        <w:t>Consequently, the Authority believes that, for the reasons outlined above, this Municipality should have disapplied the regulations underlying the resolution of the Municipal Council of December 29, 2020, No. 93, due to its conflict with the principles and the EU regulations mentioned above.</w:t>
      </w:r>
    </w:p>
    <w:p>
      <w:r>
        <w:t>The provisions regarding the extension of maritime state concessions for tourist and recreational purposes contained in the aforementioned resolution indeed constitute specific violations of competitive principles to the extent that they prevent the competitive comparison that should be guaranteed in the awarding of services affecting scarce state resources, in a market context where competitive dynamics are already particularly weakened due to the long duration of the existing concessions.</w:t>
      </w:r>
    </w:p>
    <w:p>
      <w:r>
        <w:t>In conclusion, the municipal resolution in question is in conflict with Articles 49 and 56 of the TFEU, as it unjustifiably limits the freedom of establishment and the free movement of services in the internal market, as well as with the EU regulatory provisions regarding public procurement, with particular reference to Article 12 of the so-called Services Directive.</w:t>
      </w:r>
    </w:p>
    <w:p>
      <w:r>
        <w:t>Pursuant to Article 21-bis, paragraph 2, of Law No. 287/1990, the Municipality of Sarzana must communicate to the Authority, within sixty days from the receipt of this opinion, the initiatives taken to remove the aforementioned competition violations. If within the aforementioned period such initiatives do not comply with the competitive principles expressed above, the Authority may file an appeal within the following thirty days.</w:t>
      </w:r>
    </w:p>
    <w:p>
      <w:r>
        <w:t xml:space="preserve">FOR THE PRESIDENT </w:t>
        <w:br/>
        <w:t xml:space="preserve">the Senior Member </w:t>
        <w:br/>
        <w:t>Gabriella Muscolo</w:t>
      </w:r>
    </w:p>
    <w:p>
      <w:r>
        <w:t>_____________________________________________________________________</w:t>
      </w:r>
    </w:p>
    <w:p>
      <w:r>
        <w:t>Communication regarding the failure of the Municipality of Sarzana to comply with the reasoned opinion expressed by the Authority, pursuant to Article 21-bis of Law No. 287/1990, against the resolution of December 29, 2020, No. 93 of the Municipal Council, concerning "State concessions – Directive act to the Council presented by the Group Leaders to the majority."</w:t>
      </w:r>
    </w:p>
    <w:p>
      <w:r>
        <w:t>In its meeting of February 16, 2021, the Competition and Market Authority resolved to send a reasoned opinion pursuant to Article 21-bis of Law No. 287 of October 10, 1990, regarding the content of the resolution of December 29, 2020, No. 93 of the Municipal Council, adopted by the Municipality of Sarzana, concerning "State concessions – Directive act to the Council presented by the Group Leaders to the majority."</w:t>
      </w:r>
    </w:p>
    <w:p>
      <w:r>
        <w:t>In particular, with the resolution of the Municipal Council subject to the reasoned opinion, the Municipality of Sarzana ordered the extension of all maritime state concessions for tourist and recreational purposes, applying a national regulation (Law No. 145 of December 30, 2018, Article 1, paragraphs 682, 683, 684, Decree-Law No. 34 of May 9, 2020, as converted by Law No. 77 of July 17, 2020, Article 182, paragraph 2, and Decree-Law No. 104 of August 14, 2020, as converted by Law No. 126 of October 13, 2020, Article 100, paragraph 1) which, being in conflict with EU law, particularly with Articles 49 and 56 of the TFEU and with the principles of competition and public transparency in awards, should have been disapplied.</w:t>
      </w:r>
    </w:p>
    <w:p>
      <w:r>
        <w:t>Noting the failure of the administration to comply with the aforementioned reasoned opinion, the Competition and Market Authority, in its meeting of May 4, 2021, resolved to challenge before the Regional Administrative Court for Liguria the resolution of December 29, 2020, No. 93 of the Municipal Council, adopted by the Municipality of Sarzana, concerning the automatic extension of maritime state concessions for tourist and recreational purposes.</w:t>
      </w:r>
    </w:p>
    <w:p>
      <w:r>
        <w:t xml:space="preserve">32 BULLETIN NO. 22 OF MAY 31, 2021 </w:t>
        <w:br/>
        <w:t xml:space="preserve">AS1752 - MUNICIPALITY OF NETTUNO (RM) - EXTENSION OF MARITIME STATE CONCESSIONS FOR TOURIST AND RECREATIONAL PURPOSES </w:t>
        <w:br/>
        <w:t xml:space="preserve">Rome, February 25, 2021 </w:t>
        <w:br/>
        <w:t xml:space="preserve">Municipality of Nettuno </w:t>
        <w:br/>
        <w:t>The Competition and Market Authority, in its meeting of February 23, 2021, resolved to express its opinion, pursuant to Article 21-bis of Law No. 287 of October 10, 1990, with reference to the Resolution of the Municipal Council of December 14, 2020, No. 196, concerning "Fulfillment of obligations following the entry into force of Law No. 145 of December 30, 2018 - Operational guidelines for the application of the regulations on maritime state concessions."</w:t>
      </w:r>
    </w:p>
    <w:p>
      <w:r>
        <w:t>In particular, through the aforementioned Resolution, the Municipality of Nettuno has arranged for the initiation of the administrative procedure for the extension of the duration of maritime state concessions for tourist-recreational purposes in favor of existing concessionaires, based on the provisions of Article 1, paragraphs 682, 683, and 684 of Law No. 145/2018, which established a new expiration date for maritime state concessions for tourist-recreational purposes on December 31, 2033.</w:t>
      </w:r>
    </w:p>
    <w:p>
      <w:r>
        <w:t>In general, the Authority reminds that, regarding awards concerning the use of public assets (falling within the state or local authorities' state property or unavailable assets), the identification of the private concessionaire must occur through the conduct, by the Public Administration, of public procedures.</w:t>
      </w:r>
    </w:p>
    <w:p>
      <w: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a national regulation that allows for the automatic extension of existing public state concessions for tourist-recreational activities must be considered in violation of these provisions.</w:t>
      </w:r>
    </w:p>
    <w:p>
      <w:r>
        <w:t>Furthermore, Directive 2006/123/EC (the so-called Services Directive) provides, in Article 12, that "where the number of available authorizations for a given activity is limited due to the scarcity of natural resources or usable technical capacities, Member States apply a selection procedure among potential candidates, which presents guarantees of impartiality and transparency and provides, in particular, adequate publicity for the initiation of the procedure and its...</w:t>
      </w:r>
    </w:p>
    <w:p>
      <w:r>
        <w:rPr>
          <w:b/>
        </w:rPr>
        <w:t>[Pages 31–33]</w:t>
      </w:r>
    </w:p>
    <w:p>
      <w:r>
        <w:t>BULLETIN NO. 22 OF MAY 31, 2021 33</w:t>
      </w:r>
    </w:p>
    <w:p>
      <w:r>
        <w:t>"execution and completion" (par. 1), and that, in such cases, "the authorization is granted for a limited duration appropriate and cannot foresee the automatic renewal procedure nor grant other advantages to the outgoing provider or to persons who have particular ties with that provider" (par. 2).</w:t>
      </w:r>
    </w:p>
    <w:p>
      <w:r>
        <w:t>As is known, Member States are required to comply with the aforementioned EU principles and, where domestic legislation does not respect the provisions of the cited Directive, conflicting in turn with the principles of free movement and freedom of establishment, its relative disapplication is imposed3. In this sense, the Authority, in previous advocacy interventions, has repeatedly expressed the need to proceed with the awarding of concessions – including those concerning maritime state assets for tourist-recreational purposes4 – through the conduct of public evidence procedures.</w:t>
      </w:r>
    </w:p>
    <w:p>
      <w:r>
        <w:t>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procedures, in order to mitigate the distortionary effects of competition related to the privileged position attributed to the concessionaire5.</w:t>
      </w:r>
    </w:p>
    <w:p>
      <w:r>
        <w:t>With specific reference to the procedures and measures for the extension of existing concessions6, the Authority has repeatedly emphasized7 that it is in the interest of the market to carry out a careful balancing between the short-term benefits and the possible costs that may manifest over a longer time horizon.</w:t>
      </w:r>
    </w:p>
    <w:p>
      <w:r>
        <w:t>The granting of extensions in favor of previous concessionaires, in fact, further postpones competitive comparison for the market, thus preventing the benefits that would arise from periodic competition for the awarding through public evidence procedures. Therefore, any extensions of the awards should not exceed the actual needs of the Administrations, to allow for the efficient allocation of public resources through competitive procedures as soon as possible.</w:t>
      </w:r>
    </w:p>
    <w:p>
      <w:r>
        <w:t>Consequently, the Authority believes that, for the reasons outlined above, this Municipality should have disapplied the national legislation underlying the Resolution of the Municipal Council No. 196/2020 due to its contradiction with the aforementioned EU principles and regulations. The provisions relating to the extension of maritime state concessions for tourist-recreational purposes contained in the administrative measure in question indeed constitute specific violations of competition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 aforementioned Resolution is in contrast with Articles 49 and 56 of the TFEU, as it is likely to unjustifiably limit the freedom of establishment and the free movement of services in the internal market, as well as with the EU regulatory provisions on public procurement, with particular reference to Article 12 of the so-called Services Directive.</w:t>
      </w:r>
    </w:p>
    <w:p>
      <w:r>
        <w:t>Pursuant to Article 21-bis, paragraph 2, of Law No. 287/1990, the Municipality of Nettuno must therefore communicate to the Authority, within sixty days from the receipt of this opinion, the initiatives taken to remove the aforementioned competition violations. If within the aforementioned term such initiatives do not prove to be compliant with the competition principles expressed above, the Authority may file an appeal within the subsequent thirty days.</w:t>
      </w:r>
    </w:p>
    <w:p>
      <w:r>
        <w:t>for THE PRESIDENT</w:t>
        <w:br/>
        <w:t>the Senior Member</w:t>
        <w:br/>
        <w:t>Gabriella Muscolo</w:t>
        <w:br/>
        <w:t>______________________________________________________________</w:t>
      </w:r>
    </w:p>
    <w:p>
      <w:r>
        <w:t>Communication regarding the failure of the Municipality of Nettuno to comply with the reasoned opinion expressed by the Authority, pursuant to Article 21-bis of Law No. 287/1990, against the Resolution of the Municipal Council of December 14, 2020, No. 196, concerning the automatic extension, without public tender, of the temporal validity of maritime state concessions for tourist-recreational purposes in force, particularly in execution of the legislative provisions for the extension of the deadline to December 31, 2033 (Law No. 145/2018, Article 1 paragraphs 682, 683, and 684).</w:t>
      </w:r>
    </w:p>
    <w:p>
      <w:r>
        <w:t>In its meeting of February 23, 2021, the Competition and Market Authority resolved to send a reasoned opinion pursuant to Article 21-bis of Law No. 287 of October 10, 1990, regarding the content of the Resolution of the Municipal Council of December 14, 2020, No. 196, adopted by the Municipality of Nettuno and concerning the automatic extension to December 31, 2033, of the temporal validity of maritime state concessions for tourist-recreational purposes located in the municipal territory.</w:t>
      </w:r>
    </w:p>
    <w:p>
      <w:r>
        <w:t>In particular, with the cited Resolution of the Council, the Municipality of Nettuno ordered the automatic extension, without tender, of the temporal deadline of the maritime state concessions for tourist-recreational purposes, applying the aforementioned national legislation which, however – being in contrast with EU law, and in particular with Articles 49 and 56 of the TFEU and with the principles of competition and public evidence in awards – should have been disapplied.</w:t>
      </w:r>
    </w:p>
    <w:p>
      <w:r>
        <w:t>Following the receipt of the aforementioned reasoned opinion, the Municipality of Nettuno did not provide the Authority, within the legal deadlines, with any feedback.</w:t>
      </w:r>
    </w:p>
    <w:p>
      <w:r>
        <w:t>Having noted the failure of the Administration to comply with the reasoned opinion, the Competition and Market Authority, in its meeting of May 4, 2021, resolved to challenge before the Regional Administrative Court for Lazio the Resolution of the Municipal Council of December 14, 2020, No. 196, adopted by the Municipality of Nettuno and concerning the automatic extension without tender of the maritime state concessions for tourist-recreational use.</w:t>
      </w:r>
    </w:p>
    <w:p>
      <w:r>
        <w:rPr>
          <w:b/>
        </w:rPr>
        <w:t>[Pages 34–36]</w:t>
      </w:r>
    </w:p>
    <w:p>
      <w:r>
        <w:t xml:space="preserve">36 BULLETIN NO. 22 OF MAY 31, 2021  </w:t>
        <w:br/>
        <w:t xml:space="preserve">AS1753 - MUNICIPALITY OF LIVORNO - EXTENSION OF MARITIME STATE CONCESSIONS FOR TOURIST AND RECREATIONAL PURPOSES  </w:t>
        <w:br/>
        <w:t xml:space="preserve">Rome, May 20, 2021  </w:t>
        <w:br/>
        <w:t xml:space="preserve">Municipality of Livorno  </w:t>
        <w:br/>
        <w:t xml:space="preserve">The Competition and Market Authority, in its meeting of May 11, 2021, intended to formulate some observations, pursuant to Article 21 of Law No. 287 of October 10, 1990, regarding the competitive criticalities arising from the administrative act of this Municipality (Directorate Determination No. 196 of January 11, 2019, concerning "Extension ex lege of maritime state concessions for tourist-recreational purposes. Acknowledgment") related to the extension of the temporal validity of maritime state concessions for tourist-recreational purposes in force.  </w:t>
        <w:br/>
        <w:t xml:space="preserve">In particular, through the aforementioned administrative act, the Municipality of Livorno extended the duration of the concessions of maritime state assets for tourist-recreational purposes (and the concessions "equated" to them) in favor of existing concessionaires, based on the provisions of Article 1, paragraphs 682, 683, and 684, of Law No. 145/2018 (which established a new expiration date for maritime state concessions for tourist-recreational purposes on December 31, 2033).  </w:t>
        <w:br/>
        <w:t xml:space="preserve">In general terms, the Authority recalls that, in matters concerning the assignment of the use of public assets (falling within the state or local authorities' unassignable assets), the identification of the private concessionaire must occur through the conduct, by the Public Administration, of public evidence procedures.  </w:t>
        <w:br/>
        <w:t xml:space="preserve">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European Court of Justice, national legislation that allows the automatic extension of existing public state concessions for tourist-recreational activities must be considered in violation of these provisions.  </w:t>
        <w:br/>
        <w:t xml:space="preserve">Furthermore, Directive 2006/123/EC (the so-called Services Directive) provides, in Article 12, that "where the number of authorizations available for a particular activity is limited due to the scarcity of natural resources or the technical capacities available, Member States apply a selection procedure among potential candidates, which presents guarantees of impartiality and transparency and provides, in particular, adequate publicity for the start of the procedure and its conduct and completion" (par. 1), and that, in such cases, "the authorization is granted for a limited duration and cannot provide for an automatic renewal procedure nor grant other advantages to the outgoing provider or to persons who have particular ties with that provider" (par. 2).  </w:t>
        <w:br/>
        <w:t xml:space="preserve">As is known, Member States are required to comply with the aforementioned EU principles and, where domestic legislation does not respect the provisions of the aforementioned Directive, conflicting with the principles of free movement and freedom of establishment, its relative disapplication is imposed.  </w:t>
        <w:br/>
        <w:t xml:space="preserve">In this sense, the Authority, in previous advocacy interventions, has repeatedly expressed the need to proceed with the assignment of concessions – including those concerning maritime state assets for tourist-recreational purposes – through the conduct of public evidence procedures.  </w:t>
        <w:br/>
        <w:t xml:space="preserve">In particular, it has been observed that in markets where, due to the specific objective characteristics of technical, economic, and financial activities, there is an exclusivity, or a limited number of subjects are allowed to operate, the assignment of concessions must still occur through transparent and competitive procedures, in order to mitigate the distortionary effects of competition associated with the privileged position attributed to the concessionaire.  </w:t>
        <w:br/>
        <w:t xml:space="preserve">4 See judgment of the Court of Justice of July 14, 2016, joined cases C-458/14 and C-67/15, Promoimpresa srl and others v. Consortium of the municipalities of the Brescia Shore of Lake Garda and Lake Idro and others.  </w:t>
        <w:br/>
        <w:t xml:space="preserve">5 It is recalled, in fact, that, according to established European jurisprudence, all national administrations, in the exercise of their functions, are required to apply the provisions of European law, disapplying national norms that are not compliant; see, among others, the judgments issued by the European Court of Justice in case 103/88, Fratelli Costanzo v. Municipality of Milan, as well as in case C-224/97, Ciola, and in case C-198/01, Consortium of Matchstick Industries (CIF) v. Competition and Market Authority.  </w:t>
        <w:br/>
        <w:t xml:space="preserve">In this sense, the European Court of Justice reiterated, most recently in the judgment of December 4, 2018, case C-378/17, that "the principle of the primacy of Union law imposes not only on judicial bodies but also on all institutions of the Member State to give full effect to the rules of the Union" (par. 39), and recalled that the obligation to disapply also concerns "all bodies of the State, including administrative authorities, tasked with applying, within their respective competences, Union law" (par. 38). In this regard, see also, among others, the judgments issued by the European Court of Justice in case 106/77, Administration of State Finances v. Simmenthal SpA, in case C-119/05, Lucchini, in case C-614/14, Ognyanov, and in joined cases C-52/16 and C-113/16, "SEGRO" Kft.  </w:t>
        <w:br/>
        <w:t xml:space="preserve">6 See the report made by the Authority on December 12, 2018, pursuant to Articles 21 and 22 of Law No. 287/1990 (AS1550 – Concessions and competitive criticalities, in Bulletin No. 48/2018).  </w:t>
        <w:br/>
        <w:t xml:space="preserve">7 Administrative jurisprudence has also noted a misalignment between national legislation that provides for the extension of concessions and EU legislation,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  </w:t>
        <w:br/>
        <w:t xml:space="preserve">In this regard, see, among others, TAR Veneto, judgment No. 218/2020, TAR Puglia, judgment No. 36/2020, and Council of State, Section VI, judgment No. 7874/2019, cited; as well as, most recently, precisely on the issue of the automatic extension of existing maritime state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on the calling for tenders (see Cons. Stato, Section VI, April 13, 2017, No. 1763), given...  </w:t>
        <w:br/>
        <w:t xml:space="preserve">38 BULLETIN NO. 22 OF MAY 31, 2021  </w:t>
        <w:br/>
        <w:t xml:space="preserve">With specific reference to the procedures and measures for the extension of existing concessions, the Authority has repeatedly emphasized that it is in the market's interest to carefully balance the short-term benefits and the possible costs that may manifest over a longer time horizon.  </w:t>
        <w:br/>
        <w:t xml:space="preserve">The granting of extensions in favor of existing concessionaires, in fact, further postpones the competitive comparison for the market, thus preventing the benefits that would arise from periodic competition for the assignment through public evidence procedures. Therefore, any extensions of assignments should not exceed the actual needs of the Administrations, to allow for the efficient allocation of public resources through competitive procedures as soon as possible.  </w:t>
        <w:br/>
        <w:t xml:space="preserve">Finally, in the recent report pursuant to Articles 21 and 22 of Law No. 287/90 regarding "Proposals for competitive reform for the Annual Law for the Market and Competition for the year 2021" dated March 22, 2021, sent to the President of the Council of Ministers, the Authority observed how the assignment of concessions through competitive procedures allows for the full enhancement of the state asset of the Italian coasts which, as recognized also in Article 1, paragraph 675, of the same Law No. 145/2018, represents a strategic element for the country's economic system.  </w:t>
        <w:br/>
        <w:t>These principles were recently confirmed by TAR Toscana, which fully accepted the appeal under Article 21-bis of Law No. 287/90 with which the undersigned Authority challenged...</w:t>
      </w:r>
    </w:p>
    <w:p>
      <w:r>
        <w:rPr>
          <w:b/>
        </w:rPr>
        <w:t>[Pages 37–39]</w:t>
      </w:r>
    </w:p>
    <w:p>
      <w:r>
        <w:t>BULLETIN NO. 22 OF MAY 31, 2021 39</w:t>
      </w:r>
    </w:p>
    <w:p>
      <w:r>
        <w:t>provision (issued by another municipal administration) of a similar nature to that under examination, thus recognizing the full legitimacy of the Authority's intervention, in the exercise of the powers conferred upon it by the aforementioned provision, regarding the automatic extension, without a tender, of maritime state concessions for tourist and recreational purposes11.</w:t>
      </w:r>
    </w:p>
    <w:p>
      <w:r>
        <w:t>In light of all that precedes, the Authority believes that, for the reasons outlined above, this Municipality should have disapplied the national legislation underlying the aforementioned administrative act due to its contradiction with the principles and the EU regulations mentioned above. The provisions regarding the extension of maritime state concessions for tourist and recreational purposes contained in the administrative provision in question indeed constitute specific violations of competitive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r>
    </w:p>
    <w:p>
      <w:r>
        <w:t>In conclusion, therefore, the municipal administrative act in question is in contrast with Articles 49 and 56 of the TFEU, as it is likely to unjustifiably limit the freedom of establishment and the free movement of services within the internal market, as well as with the EU regulatory provisions regarding public procurement, with particular reference to Article 12 of the so-called Services Directive.</w:t>
      </w:r>
    </w:p>
    <w:p>
      <w:r>
        <w:t>The Authority therefore hopes that this Municipality will amend the indicated provisions by eliminating the highlighted competitive distortions, as specified above.</w:t>
      </w:r>
    </w:p>
    <w:p>
      <w:r>
        <w:t>The Authority also invites this Municipality to communicate, within thirty days from the receipt of this report, the decisions taken regarding the competitive issues highlighted above.</w:t>
      </w:r>
    </w:p>
    <w:p>
      <w:r>
        <w:t>This report will be published in the Bulletin referred to in Article 26 of Law No. 287/90.</w:t>
      </w:r>
    </w:p>
    <w:p>
      <w:r>
        <w:t xml:space="preserve">THE PRESIDENT </w:t>
        <w:br/>
        <w:t>Roberto Rustichelli</w:t>
      </w:r>
    </w:p>
    <w:p>
      <w:r>
        <w:t>11 In particular, the TAR Tuscany annulled the Executive Determination No. 408 of May 21, 2020, of the Municipality of Piombino, subject to a reasoned opinion of the Authority pursuant to Article 21-bis of Law No. 287/90 (see AS1701 - Municipality of Piombino (LI): maritime state concessions for tourist and recreational purposes, in Bulletin No. 41/2020), with which the local authority in question had initiated the procedure for the extension of the temporal validity of the maritime state concessions existing in the municipal territory without proceeding with the comparative procedure provided for by Article 12 of Directive 2006/123/EC. In this ruling, the administrative judge expressly stated that the Municipality should have disapplied the national regulatory provisions that provide for automatic extension without a tender of the concessions, due to their contradiction with the EU regulations referred to in Article 12 of Directive 2006/123/EC, and carry out public evidence procedures for the identification of new concessionaires once the existing concessions have expired.</w:t>
      </w:r>
    </w:p>
    <w:p>
      <w:r>
        <w:t>40 BULLETIN NO. 22 OF MAY 31, 2021</w:t>
      </w:r>
    </w:p>
    <w:p>
      <w:r>
        <w:t xml:space="preserve">UNFAIR TRADE PRACTICES </w:t>
        <w:br/>
        <w:t xml:space="preserve">IP337 - DEBT SOLUTION - VARIOUS CONDUCTS </w:t>
        <w:br/>
        <w:t>Provision No. 29668</w:t>
      </w:r>
    </w:p>
    <w:p>
      <w:r>
        <w:t xml:space="preserve">THE COMPETITION AND MARKET AUTHORITY </w:t>
        <w:br/>
        <w:t xml:space="preserve">IN ITS MEETING of May 11, 2021; </w:t>
        <w:br/>
        <w:t xml:space="preserve">HEARD the Rapporteur Dr. Gabriella Muscolo; </w:t>
        <w:br/>
        <w:t xml:space="preserve">VIEWED Part II, Title III of Legislative Decree No. 206 of September 6, 2005, and subsequent amendments (hereinafter, Consumer Code); </w:t>
        <w:br/>
        <w:t xml:space="preserve">VIEWED, in particular, Article 27, paragraph 12, of the Consumer Code, according to which in case of non-compliance with urgent provisions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VIEWED Law No. 689 of November 24, 1981; </w:t>
        <w:br/>
        <w:t xml:space="preserve">VIEWED its resolution No. 28370 of September 30, 2020, with which the Authority ascertained the unfairness of the commercial practice carried out since July 2018 by Soluzionedebito S.r.l.s., consisting of the dissemination on the website www.zerodebitigroup.com of information that is not true and/or the omission of relevant information concerning the consultancy and intermediation activities offered by Soluzionedebito S.r.l.s. to debtor consumers to extinguish or restructure their debts, as well as to resolve other issues related to their debt situation; </w:t>
        <w:br/>
        <w:t xml:space="preserve">VIEWED its resolution No. 28527 of January 19, 2021, with which the Authority contested to Soluzionedebito S.r.l.s. the violation of Article 27, paragraph 12, of the Consumer Code, for failing to comply with the aforementioned resolution No. 28370 of September 30, 2020; </w:t>
        <w:br/>
        <w:t xml:space="preserve">VIEWED the documents of the proceeding; </w:t>
        <w:br/>
        <w:t>CONSIDERED the following:</w:t>
      </w:r>
    </w:p>
    <w:p>
      <w:r>
        <w:t xml:space="preserve">I. PREMISE </w:t>
        <w:br/>
        <w:t xml:space="preserve">1. With provision No. 28370 of September 30, 2020, notified on October 15, 2020, the Authority resolved that Soluzionedebito S.r.l.s. (hereinafter also "Soluzionedebito", "Company" or "Professional") has engaged in an unfair commercial practice, in violation of Articles 21, paragraph 1, letters b) and c) and 22, paragraph 1 of the Consumer Code, consisting of the misleading nature of the information and the omissions of relevant information related to the promotion of paid consultancy and intermediation services offered to consumers for resolving their debt situations. </w:t>
        <w:br/>
        <w:t xml:space="preserve">2. In the context of this promotional activity via the web, the Professional omitted and/or provided partial or untrue information suitable to induce the debtor consumer, who is also in a particular condition of economic difficulty and emotional fragility, to make a commercial decision that they otherwise would not have made. </w:t>
        <w:br/>
        <w:t xml:space="preserve">3. In particular, the emphasis placed on the effectiveness and guarantee regarding the outcome of the services offered led several debtor consumers to avail themselves of the consultancy and intermediation of Soluzionedebito, in order to resolve their particular debt situations and avoid the related consequences, and to pay the Company the amounts requested, which were not indicated on the site, for the provision of such services. </w:t>
        <w:br/>
        <w:t xml:space="preserve">4. Contrary to what was promoted by the Company, the aforementioned services could not, in reality, always be guaranteed with a positive outcome, given the uncertainty arising from the specific debt situation, the complexity of the procedures involved, and, in any case, the availability of the creditor. </w:t>
        <w:br/>
        <w:t xml:space="preserve">5. The aforementioned informational deficiencies were found with reference to the homepage and the pages "Reduce Debt", "Loans to Bad Payers" and "Cancellation of Protests" of the Professional's website. </w:t>
        <w:br/>
        <w:t xml:space="preserve">6. In general, the results emphatically promoted by the Professional were conditioned by various factors while, instead, the debtor consumer was led to believe that they were easily and immediately achievable. This promotional method was suitable to induce the debtor consumer to decide to be assisted by Soluzionedebito's consultants without providing other essential information to allow for the evaluation of the actual economic advantage for debtor consumers. </w:t>
        <w:br/>
        <w:t xml:space="preserve">7. In fact, the site lacked a detailed description of the activities that could be provided by the Professional regarding specific debt situations, the fee requested by the Company for the services offered, even in percentage form relative to the debt, and the additional expenses to be incurred (administrative and otherwise). </w:t>
        <w:br/>
        <w:t xml:space="preserve">8. In light of these considerations, the Authority prohibited the further dissemination of the commercial practice. </w:t>
        <w:br/>
        <w:t xml:space="preserve">9. The Company, on November 5, 2020, sent a communication in compliance with the aforementioned resolution of September 30, 2020, No. 28370, in which it stated that it had removed the page "Reduce Your Debt"1. </w:t>
        <w:br/>
        <w:t xml:space="preserve">10. Specifically, therefore, Soluzionedebito, having only eliminated the aforementioned page without changing the remaining pages subject to the Authority's proceeding, continued to provide the same information that had been the subject of provision No. 28370 of September 30, 2020. In fact, the Company kept unchanged on the site the other pages in which it falsely presents the certainty of a positive outcome of its intervention on behalf of the debtor with creditors and/or entities with which they must relate. </w:t>
        <w:br/>
        <w:t>11. By reason of the above, the Authority, with provision No. 28527 of January 19, 2021, resolved to initiate the IP337 investigative proceeding for the possible imposition of the pecuniary sanction referred to in Article 27, paragraph 12, of the Consumer Code, contesting to Soluzionedebito the failure to comply with the injunction referred to in letter a) of the device of resolution No. 28370 of September 30, 2020.</w:t>
      </w:r>
    </w:p>
    <w:p>
      <w:r>
        <w:t>1 See doc. No. 1 - Communication from Soluzionedebito S.r.l.s. of November 5, 2020, which states: "Dear Agcm, in compliance with your decision we have removed the page 'reduce your debt' which was the subject of contestation from our advertising campaigns and from our Soluzionedebito webpage."</w:t>
      </w:r>
    </w:p>
    <w:p>
      <w:r>
        <w:rPr>
          <w:b/>
        </w:rPr>
        <w:t>[Pages 40–42]</w:t>
      </w:r>
    </w:p>
    <w:p>
      <w:r>
        <w:t xml:space="preserve">42 BULLETIN NO. 22 OF MAY 31, 2021  </w:t>
        <w:br/>
        <w:t xml:space="preserve">II. THE PROCEDURAL PROCESS  </w:t>
        <w:br/>
        <w:t xml:space="preserve">12. The resolution to initiate the investigative procedure IP337 was notified on January 26, 20212.  </w:t>
        <w:br/>
        <w:t xml:space="preserve">13. The Company did not submit any defensive writings or documents to the Authority, nor did it request to be heard in a hearing.  </w:t>
        <w:br/>
        <w:t xml:space="preserve">14. On March 5, 2021, a request for information3 was sent, to which the Company did not respond.  </w:t>
        <w:br/>
        <w:t xml:space="preserve">15. On March 16, 2021, official inspections were carried out on the Professional's company website, and the relevant web pages were acquired for the proceedings4.  </w:t>
        <w:br/>
        <w:t xml:space="preserve">16. On March 18, 2021, the Party was informed of the conclusion date of the investigative phase pursuant to Article 16, paragraph 1, of the Regulation5.  </w:t>
        <w:br/>
        <w:t xml:space="preserve">III. EVIDENTIARY FINDINGS  </w:t>
        <w:br/>
        <w:t xml:space="preserve">17. Based on the evidentiary elements acquired, it appears that the Company Soluzionedebito continued, even after October 15, 2020, the date of notification of provision 28370 of September 30, 2020, to engage in the unfair practice established in the same provision related to misleading and omissive promotion on the Company's website of paid consulting and intermediation services offered to debtor consumers. In fact, from the documentation on file and the communication provided by the Company on November 5, 2020, it appears that the contested conduct has not been substantially modified and is still ongoing6.  </w:t>
        <w:br/>
        <w:t xml:space="preserve">18. As already highlighted, the Company has only removed the page "Reduce your debt"7, leaving the homepage and the pages "Loans to bad payers" and "Cancellation of protests" unchanged, which emphasize the results that the Company claims to be able to achieve, leading the consumer to believe in the easy and immediate attainment of the same, contrary to the truth. Furthermore, the information regarding the fees charged and the additional economic burdens necessary for any action by the Company is still absent.  </w:t>
        <w:br/>
        <w:t xml:space="preserve">19. Based on the information acquired officially, it was noted that the Company inserted a message that appears automatically and insistently in pop-up mode while navigating the site, through which the debtor consumer is invited to contact the Company, highlighting the professional capability of Soluzionedebito.  </w:t>
        <w:br/>
        <w:t xml:space="preserve">20. For this purpose, the extremely high success rates (loan disbursement 96% and cancellation of bad payers 99%) of the consulting activity carried out by the Company are indicated without providing evidence to support the reliability of such percentages, nor other necessary information for the debtor consumer to make an informed decision before contacting the Company.  </w:t>
        <w:br/>
        <w:t xml:space="preserve">21. Instead, only the possibility is given, by clicking on the expression "Click here" of the pop-up message, to access a page that reports some examples of letters from financial institutions stating that they have proceeded to remove the names of its clients from the databases of bad payers. No example is provided regarding the professional assistance activity carried out by the Company to enable bad payer consumers to actually obtain loans, even though the success rate is indicated in the aforementioned pop-up8. In response to the request to provide elements that prove the veracity of the percentages included in the pop-up, the Party did not provide any feedback.  </w:t>
        <w:br/>
        <w:t xml:space="preserve">IV. THE ARGUMENTS OF SOLUZIONEDEBITO  </w:t>
        <w:br/>
        <w:t xml:space="preserve">22. The Company did not submit any defensive writings or documents to the Authority, nor did it request to be heard in a hearing.  </w:t>
        <w:br/>
        <w:t xml:space="preserve">V. EVALUATIONS  </w:t>
        <w:br/>
        <w:t xml:space="preserve">23. The evidence described above demonstrates the continuation of the unfair commercial practice already established by provision No. 28370 of September 30, 2020, as Soluzionedebito has not adopted measures and behaviors suitable to eliminate the aforementioned practice.  </w:t>
        <w:br/>
        <w:t xml:space="preserve">24. In light of the evidentiary findings, it is therefore believed that the behavior carried out by the Professional constitutes a non-compliance with the aforementioned resolution No. 28370 of September 30, 2020.  </w:t>
        <w:br/>
        <w:t xml:space="preserve">25. It is noted that, within the scope of its promotional activity via the web, the Professional continues to omit and/or provide partial or untruthful information that induces or is likely to induce the debtor consumer, who is also in a particular condition of economic difficulty and emotional fragility, to make a commercial decision that they otherwise would not have made.  </w:t>
        <w:br/>
        <w:t xml:space="preserve">26. The Professional has adopted a single measure, consisting of the removal of the web page dedicated to the theme of debt reduction, which is inadequate as such to cease the conduct, as the content of the other pages of the site, subject to the finding of misleadingness in provision No. 28370, remains unchanged.  </w:t>
        <w:br/>
        <w:t xml:space="preserve">27. From the evidence on file, in fact, the particular emphasis placed by the Professional on the effectiveness of the services offered remains not only on the other web pages of the site but also through a new promotional mode represented by a message that appears while navigating the site in pop-up mode. Through this message, emphasis is placed on the extremely high success rates (close to 100%) that the Professional claims to have achieved for debtor consumers in its consulting and intermediation activities in debt disputes. However, no elements are provided to prove the reliability of the success rates reported in the pop-up.  </w:t>
        <w:br/>
        <w:t xml:space="preserve">28. Therefore, only the alleged capabilities and skills of the Company regarding the resolution of debt problems and the related consequences are highlighted, when the outcome of its action can only be uncertain; other important information is also omitted, such as a detailed description of the activities that can be provided regarding specific debt situations, the fees charged by the Company for the services offered, even in percentage form relative to the debt, and the additional expenses to be incurred (administrative and otherwise) for its action.  </w:t>
        <w:br/>
        <w:t xml:space="preserve">29. In conclusion, all the information presented on the site in the described modalities continues to generate in the debtor consumer the belief that relying on Soluzionedebito is advantageous and guarantees the expected result. Therefore, the practice censured by provision No. 28370 of September 30, 2020, has continued to be carried out by Soluzionedebito after it was notified of the aforementioned provision.  </w:t>
        <w:br/>
        <w:t xml:space="preserve">VI. QUANTIFICATION OF THE SANCTION  </w:t>
        <w:br/>
        <w:t xml:space="preserve">30. Pursuant to Article 27, paragraph 12, of the Consumer Code, the Authority orders the application of an administrative pecuniary sanction from €10,000 to €5,000,000, taking into account the severity and duration of the violation.  </w:t>
        <w:br/>
        <w:t xml:space="preserve">31.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as well as the economic conditions of the company itself.  </w:t>
        <w:br/>
        <w:t>32. With regard to the severity of the violation, consideration is given, in the case at hand, to the misleading profile that characterized the promotional phase of Soluzionedebito's activity, based on the omission of information concerning the services and the related costs requested for them and...</w:t>
      </w:r>
    </w:p>
    <w:p>
      <w:r>
        <w:rPr>
          <w:b/>
        </w:rPr>
        <w:t>[Pages 43–45]</w:t>
      </w:r>
    </w:p>
    <w:p>
      <w:r>
        <w:t>BULLETIN NO. 22 OF MAY 31, 2021 45</w:t>
      </w:r>
    </w:p>
    <w:p>
      <w:r>
        <w:t>also on the communication of untrue information regarding the certainly positive outcome of the actions taken by it. Furthermore, consideration is given to the economic dimension of the Professional, taking into account the turnover of Soluzionedebito for the year 2020, amounting to 40,624 euros9.</w:t>
      </w:r>
    </w:p>
    <w:p>
      <w:r>
        <w:t>33. Based on the evidence gathered, it appears that the practice subject to this measure has continued to be carried out by Soluzionedebito since October 15, 2020, the date of notification of measure No. 28370 of September 30, 2020, and is still ongoing.</w:t>
      </w:r>
    </w:p>
    <w:p>
      <w:r>
        <w:t>34. Considering these elements, it is deemed appropriate to impose an administrative monetary fine on Soluzionedebito in the amount of 15,000 euros (fifteen thousand euros).</w:t>
      </w:r>
    </w:p>
    <w:p>
      <w:r>
        <w:t>All of the above having been stated and considered;</w:t>
      </w:r>
    </w:p>
    <w:p>
      <w:r>
        <w:t>RESOLVES</w:t>
      </w:r>
    </w:p>
    <w:p>
      <w:r>
        <w:t>a) that the behavior of the company Soluzionedebito S.r.l.s., consisting of having violated the resolution of September 30, 2020, No. 28370, constitutes non-compliance with the latter;</w:t>
      </w:r>
    </w:p>
    <w:p>
      <w:r>
        <w:t>b) to impose on the company Soluzionedebito S.r.l.s. an administrative monetary fine of 15,000 € (fifteen thousand euros).</w:t>
      </w:r>
    </w:p>
    <w:p>
      <w:r>
        <w:t>The imposed administrative fine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Poste Italiane S.p.A., or by using the online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fine is increased by one-tenth for each semester starting from the day after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9 See Doc. No. 8.</w:t>
      </w:r>
    </w:p>
    <w:p>
      <w:r>
        <w:t>46 BULLETIN NO. 22 OF MAY 31, 2021</w:t>
      </w:r>
    </w:p>
    <w:p>
      <w:r>
        <w:t>Against this measure, an appeal may be submitted to the TAR of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br/>
        <w:t>Filippo Arena Roberto Rustichelli</w:t>
      </w:r>
    </w:p>
    <w:p>
      <w:r>
        <w:t>BULLETIN NO. 22 OF MAY 31, 2021 47</w:t>
      </w:r>
    </w:p>
    <w:p>
      <w:r>
        <w:t>PS11872 - STUDSLAB/FAILURE TO DELIVER</w:t>
        <w:br/>
        <w:t>Measure No. 29669</w:t>
        <w:br/>
        <w:t>THE COMPETITION AND MARKET AUTHORITY</w:t>
        <w:br/>
        <w:t>IN ITS MEETING of May 11, 2021;</w:t>
      </w:r>
    </w:p>
    <w:p>
      <w:r>
        <w:t>HEARD the Rapporteur Dr. Gabriella Muscolo;</w:t>
      </w:r>
    </w:p>
    <w:p>
      <w:r>
        <w:t>VIEWED Part II, Title III, and Part III, Title III, Chapter 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documents of the procedure;</w:t>
      </w:r>
    </w:p>
    <w:p>
      <w:r>
        <w:t>VIEWED the communication of the initiation of procedure PS11872 of April 9, 2021, aimed at verifying the existence of unlawful conduct in violation of Articles 20, 21, 22, 24, 25, 49, paragraph 1, letters b), c), h), n) and v), 52, 56 and 61 of the Consumer Code, carried out by the individual enterprise Studslab of Mirko Murru (hereinafter also "the Party" or "the professional");</w:t>
      </w:r>
    </w:p>
    <w:p>
      <w:r>
        <w:t>CONSIDERED the following:</w:t>
      </w:r>
    </w:p>
    <w:p>
      <w:r>
        <w:t>I. FACT</w:t>
      </w:r>
    </w:p>
    <w:p>
      <w:r>
        <w:t>1. According to reports received by the Authority since July 2020 and based on information acquired ex officio for the application of the Consumer Code, the Party would have engaged in conduct in the online offering of products through the website https://www.studslab.com, which could constitute both unfair commercial practices and violations of the regulations on consumer rights in distance contracts, which, more specifically, consist of:</w:t>
      </w:r>
    </w:p>
    <w:p>
      <w:r>
        <w:t>A) failure to deliver the products sold online and failure to refund the amount paid by the consumer following the cancellation of the order or the exercise of the right of withdrawal;</w:t>
      </w:r>
    </w:p>
    <w:p>
      <w:r>
        <w:t>B) absence of indications regarding: the identity of the professional; the geographical address where the professional is established; the conditions, terms, and procedures for exercising the right of withdrawal (including the standard withdrawal form); the existence of the legal guarantee of conformity; as well as a link to the ODR platform for the extrajudicial resolution of disputes.</w:t>
      </w:r>
    </w:p>
    <w:p>
      <w:r>
        <w:t>2. Based on the information acquired in the documents, on April 9, 2021, the investigative procedure PS11872 was initiated, pursuant to Article 27, paragraph 3, of the Consumer Code, as well as pursuant to Article 6 of the Regulation, in order to verify the existence of violations of Articles 20, 21, 22, 24, 25, 49, paragraph 1, letters b), c), h), n) and v), 52, 56 and 61 of the Consumer Code.</w:t>
      </w:r>
    </w:p>
    <w:p>
      <w:r>
        <w:t>3. The Party in the procedure, in the capacity of professional, is the individual enterprise Studslab of Mirko Murru.</w:t>
      </w:r>
    </w:p>
    <w:p>
      <w:r>
        <w:t>4. Concurrently with the communication of the initiation of the procedure, the Party was invited, pursuant to Article 8, paragraph 2, of the Regulation, to submit written statements and documents within ten days of receipt, for the evaluation of the prerequisites for the provisional suspension of the practices, pursuant to Article 27, paragraph 3, of the Consumer Code.</w:t>
      </w:r>
    </w:p>
    <w:p>
      <w:r>
        <w:rPr>
          <w:b/>
        </w:rPr>
        <w:t>[Pages 46–48]</w:t>
      </w:r>
    </w:p>
    <w:p>
      <w:r>
        <w:t>48 BULLETIN NO. 22 OF MAY 31, 2021</w:t>
      </w:r>
    </w:p>
    <w:p>
      <w:r>
        <w:t>5. The professional did not submit defensive writings within the term referred to in the previous point nor did he make himself known in any other way.</w:t>
      </w:r>
    </w:p>
    <w:p>
      <w:r>
        <w:t>II. EVALUATIONS</w:t>
      </w:r>
    </w:p>
    <w:p>
      <w:r>
        <w:t>6. From the perspective of fumus boni iuris, the elements described above lead to the conclusion that there is a prima facie violation of Articles 20, 21, 22, 24, 25, 49, paragraph 1, letters b), c), h), n) and v), 52, 54, and 61 of the Consumer Code, particularly with regard to the conduct that consists of the failure to deliver the products ordered online and paid for by consumers as well as the failure to refund them the purchase price when, following a series of reminders and complaints, they proceed to cancel the order. Indeed, these are incorrect and obstructive behaviors likely to significantly limit the exercise of contractual rights by consumers.</w:t>
      </w:r>
    </w:p>
    <w:p>
      <w:r>
        <w:t>7. Furthermore, based on what emerges from the reports, the behavior of the professional is characterized by particular seriousness and unfairness given that he immediately receives, at the moment the consumer places the order online, the amount corresponding to the purchase price of the good, even before shipping the product and, therefore, also in those cases where the product is subsequently unavailable or its availability requires a considerable amount of time. In such cases, therefore, the professional benefits from the immediate availability of the amount paid by the consumer, shifting the risk of the unavailability of the good onto the latter.</w:t>
      </w:r>
    </w:p>
    <w:p>
      <w:r>
        <w:t>8. From the perspective of periculum in mora, it is worth noting that the behaviors described above are characterized by a high degree of offensiveness as the website www.studslab.com is still active and as such capable, during the course of the proceedings, of reaching a large number of consumers who could purchase the products, pay the price, not receive the goods, and fail to obtain a refund of the amounts paid.</w:t>
      </w:r>
    </w:p>
    <w:p>
      <w:r>
        <w:t>9. In light of all the above, considering the current nature of the described behaviors, the website in question appears capable, during the course of the proceedings, of inducing its visitors to make a commercial decision that they would not otherwise take, such as making online purchases in the belief that they will receive the purchased products shortly, with the consequence of paying the purchase price for products that may not be delivered and for which the return of the amounts paid is particularly difficult and complex.</w:t>
      </w:r>
    </w:p>
    <w:p>
      <w:r>
        <w:t>CONSIDERING, therefore, that from the examination of the acts of the proceedings, elements emerge that support the need to act with particular urgency in order to prevent the commercial practices described above, consisting of the failure to deliver the products purchased online and the failure to refund consumers the amounts paid, from continuing to be carried out during the course of the substantive proceedings;</w:t>
      </w:r>
    </w:p>
    <w:p>
      <w:r>
        <w:t>ORDERS</w:t>
      </w:r>
    </w:p>
    <w:p>
      <w:r>
        <w:t>pursuant to Article 27, paragraph 3, of the Consumer Code and Article 8, paragraph 1, of the Regulation, that the sole proprietorship Studslab of Mirko Murru:</w:t>
      </w:r>
    </w:p>
    <w:p>
      <w:r>
        <w:t>49 BULLETIN NO. 22 OF MAY 31, 2021</w:t>
      </w:r>
    </w:p>
    <w:p>
      <w:r>
        <w:t>a) temporarily suspend any activity aimed at the marketing and sale of products that are unavailable or otherwise not actually ready for delivery;</w:t>
      </w:r>
    </w:p>
    <w:p>
      <w:r>
        <w:t>b) communicate to the Authority the execution of this suspension order and the related methods within 10 days of receiving this order, sending a detailed report illustrating the measures taken.</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order will be communicated to the interested parties and published in the Bulletin of the Competition and Market Authority.</w:t>
      </w:r>
    </w:p>
    <w:p>
      <w:r>
        <w:t>Against this order, an appeal may be filed with the TAR of Lazio, pursuant to Article 135, paragraph 1, letter b), of the Code of Administrative Procedure (Legislative Decree No. 104 of July 2, 2010), within sixty days from the date of communication of the order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communication of the order itself. It is reminded that, pursuant to Article 8, paragraph 4, of the Regulation, this suspension decision must be immediately executed by the professionals and that the appeal against the suspension order of the Authority does not suspend its execution.</w:t>
      </w:r>
    </w:p>
    <w:p>
      <w:r>
        <w:t>THE SECRETARY GENERAL THE PRESIDENT</w:t>
      </w:r>
    </w:p>
    <w:p>
      <w:r>
        <w:t>Filippo Arena Roberto Rustichelli</w:t>
      </w:r>
    </w:p>
    <w:p>
      <w:r>
        <w:t>Competition and Market Authority Weekly Bulletin Year XXXI - No. 22 - 2021</w:t>
      </w:r>
    </w:p>
    <w:p>
      <w:r>
        <w:t>Editorial Coordination Giulia Antenucci</w:t>
      </w:r>
    </w:p>
    <w:p>
      <w:r>
        <w:t>Editorial Staff Valerio Ruocco, Simonetta Schettini, Manuela Villani</w:t>
      </w:r>
    </w:p>
    <w:p>
      <w:r>
        <w:t>Competition and Market Authority</w:t>
      </w:r>
    </w:p>
    <w:p>
      <w:r>
        <w:t>Statistics and IT Applications Office</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