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https://www.agcm.it/dotcmsdoc/bollettini/2023/22-23.pdf</w:t>
      </w:r>
    </w:p>
    <w:p>
      <w:r>
        <w:t>Pages translated : 24</w:t>
      </w:r>
    </w:p>
    <w:p/>
    <w:p>
      <w:r>
        <w:rPr>
          <w:b/>
        </w:rPr>
        <w:t>[Pages 1–3]</w:t>
      </w:r>
    </w:p>
    <w:p>
      <w:r>
        <w:t>Bulletin</w:t>
        <w:br/>
        <w:t>Weekly</w:t>
        <w:br/>
        <w:t>Year XXXIII - No. 22</w:t>
        <w:br/>
        <w:t>Published on the website www.agcm.it</w:t>
        <w:br/>
        <w:t>June 12, 2023</w:t>
      </w:r>
    </w:p>
    <w:p>
      <w:r>
        <w:t>SUMMARY</w:t>
        <w:br/>
        <w:t>AGREEMENTS AND ABUSE OF DOMINANT POSITION 5</w:t>
        <w:br/>
        <w:t>I862 - AWARD OF MEAL AND EXTRA MEAL SERVICES FOR PENITENTIARY INSTITUTIONS</w:t>
        <w:br/>
        <w:t>Decision No. 30653 5</w:t>
        <w:br/>
        <w:t>CONCENTRATION OPERATIONS 9</w:t>
        <w:br/>
        <w:t>C12541 - SAN QUIRICO/MINERVAHUB</w:t>
        <w:br/>
        <w:t>Decision No. 30651 9</w:t>
        <w:br/>
        <w:t>REPORTING AND CONSULTATIVE ACTIVITIES 12</w:t>
        <w:br/>
        <w:t>AS1890 - DECREE OF THE MINISTRY OF ENVIRONMENT AND ENERGY SECURITY</w:t>
        <w:br/>
        <w:t>ON THE REGULATION OF THE INFORMED ENTRY OF DOMESTIC CUSTOMERS INTO THE FREE</w:t>
        <w:br/>
        <w:t>ELECTRICITY MARKET 12</w:t>
        <w:br/>
        <w:t>UNFAIR COMMERCIAL PRACTICES 18</w:t>
        <w:br/>
        <w:t>PS12418 – BP TESLA HELICOPTERS - LACK OF LICENSE</w:t>
        <w:br/>
        <w:t>Notice of adoption of closure of the proceeding 18</w:t>
        <w:br/>
        <w:t>PS12418 - BP TESLA HELICOPTERS - LACK OF LICENSE</w:t>
        <w:br/>
        <w:t>Decision No. 30556 19</w:t>
        <w:br/>
        <w:t>VARIOUS 24</w:t>
        <w:br/>
        <w:t>CONTRIBUTION TO THE BURDEN ARISING FROM THE OPERATION OF THE ANTITRUST AUTHORITY</w:t>
        <w:br/>
        <w:t>FOR THE YEAR 2023 – COMPANIES IN THE CONDITIONS</w:t>
        <w:br/>
        <w:t>PROVIDED BY DECREE LAW NO. 61 OF JUNE 1, 2023</w:t>
        <w:br/>
        <w:t>Decision No. 30654 24</w:t>
      </w:r>
    </w:p>
    <w:p>
      <w:r>
        <w:t>BULLETIN NO. 22 OF JUNE 12, 2023 5</w:t>
        <w:br/>
        <w:t>AGREEMENTS AND ABUSE OF DOMINANT POSITION</w:t>
        <w:br/>
        <w:t>I862 - AWARD OF MEAL AND EXTRA MEAL SERVICES FOR PENITENTIARY</w:t>
        <w:br/>
        <w:t>INSTITUTIONS</w:t>
        <w:br/>
        <w:t>Decision No. 30653</w:t>
        <w:br/>
        <w:t>THE ANTITRUST AUTHORITY</w:t>
        <w:br/>
        <w:t>IN ITS MEETING of May 23, 2023;</w:t>
        <w:br/>
        <w:t>HEARD the Rapporteur, Professor Elisabetta Iossa;</w:t>
        <w:br/>
        <w:t>HAVING REGARD to Article 101 of the Treaty on the Functioning of the European Union (TFEU);</w:t>
        <w:br/>
        <w:t>HAVING REGARD to Regulation No. 1/2003 of the Council of December 16, 2002;</w:t>
        <w:br/>
        <w:t>HAVING REGARD to Law No. 287 of October 10, 1990;</w:t>
        <w:br/>
        <w:t>HAVING REGARD to the decree of the President of the Republic No. 217 of April 30, 1998;</w:t>
        <w:br/>
        <w:t>HAVING REGARD to its resolution of November 2, 2022, which initiated an investigation pursuant to</w:t>
        <w:br/>
        <w:t>Article 14 of Law No. 287/90, against Ditta Domenico Ventura S.r.l. (Ventura),</w:t>
        <w:br/>
        <w:t>SAEP S.p.A. (SAEP), Rag. Pietro Guarnieri – figli – S.r.l. (Guarnieri), Pastore S.r.l. (Pastore) and</w:t>
        <w:br/>
        <w:t>impresa D’Agostino S.r.l. (D’Agostino), for alleged violation of Article 101 of the TFEU in</w:t>
        <w:br/>
        <w:t>relation to participation in public tender procedures for the award of meal and extra meal services</w:t>
        <w:br/>
        <w:t>to penitentiary institutions, announced by the Penitentiary Administration and held, at the local level, by</w:t>
        <w:br/>
        <w:t>the regional Superintendencies, limited to the territory of Central-Southern Italy;</w:t>
        <w:br/>
        <w:t>HAVING REGARD to the Communication of Investigative Results sent to the parties on May 9, 2023, pursuant to</w:t>
        <w:br/>
        <w:t>Article 14 of the Presidential Decree No. 217 of April 30, 1998;</w:t>
        <w:br/>
        <w:t>HAVING REGARD to the waivers received on May 11, 12, and 15, 2023, from all Parties of the right to submit</w:t>
        <w:br/>
        <w:t>written statements and documents, as well as to be heard in a hearing;</w:t>
        <w:br/>
        <w:t>HAVING REGARD to the acts of the proceeding and the documentation acquired during the investigation;</w:t>
        <w:br/>
        <w:t>CONSIDERING the following:</w:t>
        <w:br/>
        <w:t>I. INTRODUCTION</w:t>
        <w:br/>
        <w:t>1. On November 2, 2022, the Authority resolved to initiate an investigative proceeding against Ditta Domenico Ventura S.r.l. (Ventura), SAEP S.p.A. (SAEP), Rag. Pietro Guarnieri – figli – S.r.l. (Guarnieri), Pastore S.r.l. (Pastore) and impresa D’Agostino S.r.l. (D’Agostino), to ascertain whether these companies have engaged in one or more agreements, in violation of Article 101 of the TFEU, during certain public tender procedures for the award of meal and extra meal services to penitentiary institutions, announced by the Penitentiary Administration and held, at the local level, by the regional Superintendencies, limited to the territory of Central-Southern Italy.</w:t>
        <w:br/>
        <w:t>2. The investigation originated from a report by the regional Superintendency of the Penitentiary Administration of Campania, belonging to the Department</w:t>
      </w:r>
    </w:p>
    <w:p>
      <w:r>
        <w:rPr>
          <w:b/>
        </w:rPr>
        <w:t>[Pages 4–6]</w:t>
      </w:r>
    </w:p>
    <w:p>
      <w:r>
        <w:t>BULLETIN NO. 22 OF JUNE 12, 2023</w:t>
        <w:br/>
        <w:t>of the Penitentiary Administration of the Ministry of Justice, concerning anti-competitive behaviors adopted by some participants in a tender procedure aimed at concluding the awarding of the service for the meals of prisoners and internees held in adult penitentiary institutions in the Campania Region (Official Gazette, 5th Special Series - Public Contracts No. 130 of 11-10-2021).</w:t>
        <w:br/>
        <w:t>3. On May 9, 2022, a request for information was sent to the Ministry of Justice, asking for details of all procedures related to meal and extra meal services initiated by the eleven regional Superintendencies of the Penitentiary Administration (hereinafter "PRAP") from 2019 onwards, specifying the outcomes of the same and the indication of the scores attributed to all participants, as well as the discounts offered and the names of the participants and awardees. In turn, the Ministry forwarded the request to the eleven competent PRAPs. Already on May 23, the PRAP of Veneto, Trentino Alto-Adige, and Friuli Venezia-Giulia reported the difficulty of promptly obtaining the requested information, considering the volume of information to be collated. Only on June 8, 2022, did all the multiple involved PRAPs transmit what was requested and in their availability.</w:t>
        <w:br/>
        <w:t>4. In the initiation order, the Authority, in relation to a series of tenders issued in the Central-Southern regions of Italy, highlighted the circumstantial elements that, upon a preliminary analysis of the results of the procedures, could suggest the existence of collusion among the parties: "checkerboard" participation with the submission of extremely heterogeneous and seemingly convenient offers or non-participation. In particular, the discounts presented by the parties were considered particularly symptomatic, as they rarely overlapped competitively, with some lots having very high discounts and others close to zero.</w:t>
        <w:br/>
        <w:t>II. THE PARTIES TO THE PROCEEDING</w:t>
        <w:br/>
        <w:t>5. Ditta Domenico Ventura S.r.l. (hereinafter also "Ventura") is a company with its registered office in Naples (C.F. 07437540631) and is active in the sector of food supplies to public entities and, in particular, in the prison supply of raw meals. The turnover for the fiscal year 2020 is equal to 28,707,602 euros.</w:t>
        <w:br/>
        <w:t>6. SAEP S.p.A. (hereinafter also "SAEP") with a sole shareholder and with Direction and Coordination by TSG Holding S.r.l., with its registered office in Balvano (PZ) (C.F. 01497120764), is active in the sector of food and non-food supplies to penitentiary institutions, as well as administrative services related to the management and maintenance of detainees in penitentiary institutions. The turnover for 2021 is equal to 24,417,977 euros.</w:t>
        <w:br/>
        <w:t>7. Rag. Pietro Guarnieri-Figli S.r.l. (hereinafter also "Guarnieri"), with its registered office in Putignano (BA) (C.F. 03942490727), is a company active – inter alia – in the sectors of public catering of food and beverages, as well as in the management of canteens for communities (corporate, hospital, military, municipal, nursery schools, and similar) and centers for the production of meals and gastronomic products. The turnover for the fiscal year 2021 is equal to 18,353,492 euros.</w:t>
        <w:br/>
        <w:t>8. Pastore S.r.l. (hereinafter also "Pastore"), with its registered office in Casamassima (BA) (C.F. 04209100728), inter alia, deals with the preparation, production, and packaging of hot meals, precooked and ready meals for both public and private entities, as well as the management of canteens and the catering and cleaning service within public and private entities. The turnover for the fiscal year 2021 is equal to 31,753,407 euros.</w:t>
        <w:br/>
        <w:t>9. Impresa D’Agostino S.r.l. (hereinafter also "D’Agostino"), with its registered office in Lecce (C.F. 02589010756) is predominantly active in the provision of supplies and services for the preparation and distribution of meals. The turnover for the fiscal year 2021 is equal to 4,873,827 euros.</w:t>
        <w:br/>
        <w:t>III. THE INVESTIGATIVE ACTIVITY</w:t>
        <w:br/>
        <w:t>10. On November 9, 2022, inspections were carried out at the premises of the parties to the proceeding with the collaboration of the Special Antitrust Unit of the Guardia di Finanza.</w:t>
        <w:br/>
        <w:t>11. The inspection documents did not reveal elements capable of corroborating the investigative hypothesis advanced in the initiation order. The only multilateral contacts between the parties found concerned the examination of the legal profiles related to the complex judicial affair that involved the tenders for meals and extra meals in recent years, without it being possible to identify clues that would lead to the existence of a secret cartel aimed at the division of the procedures in question.</w:t>
        <w:br/>
        <w:t>12. As is known, the procedures issued by the regional superintendencies before 2021 were subject to various criticisms (also from the Authority) and were all annulled by the Council of State. More specifically, the Council of State annulled the procedures on the grounds that the possible inclusion of the extra meal service among those requested in the tender, without allowing participants to assess its actual value, created an insurmountable uncertainty regarding the subject of the award.</w:t>
        <w:br/>
        <w:t>13. The same observations were raised by the Court of Auditors in the resolutions rejecting the visa on the contracts concluded between the Penitentiary Administration of Lazio and the awarded companies.</w:t>
        <w:br/>
        <w:t>14. There are no elements to conclude that the bilateral contacts found during the investigation are suitable to substantiate a collusive landscape, as they are mostly attributable to legal discussions on the tenders and supply relationships between the parties.</w:t>
        <w:br/>
        <w:t>15. In the investigative proceeding, no elements emerged that could confirm the existence of an agreement among the parties, in the form of agreements or coordinated practices, aimed at and/or resulting in distorting competition in the tenders for the meal and extra meal service referred to in Table 1 of the initiation order.</w:t>
        <w:br/>
        <w:t>16. On May 9, 2023, the Investigative Results of the proceeding were sent to the Parties, in which no charges were formulated. Therefore, between May 11 and 15, 2023, waivers of further exercise of defense rights were received from all the Parties to the proceeding, both in written and oral form.</w:t>
        <w:br/>
        <w:t>17. For this reason, it is believed that there are insufficient elements to ascertain the violation of Article 101 TFEU hypothesized in the initiation resolution.</w:t>
        <w:br/>
        <w:t>Everything considered and stated</w:t>
        <w:br/>
        <w:t>RESOLVES</w:t>
        <w:br/>
        <w:t>that based on the available information, the reasons for intervention against Ditta Domenico Ventura S.r.l. (Ventura), SAEP S.p.A. (SAEP), Rag. Pietro Guarnieri – figli – S.r.l. (Guarnieri), Pastore S.r.l. (Pastore), and Impresa D’Agostino S.r.l. (D’Agostino), in relation to the violation of Article 101 TFEU hypothesized at the initiation of the proceeding, have ceased.</w:t>
        <w:br/>
        <w:t>This provision will be notified to the Parties and published in the Bulletin of the Antitrust Authority.</w:t>
        <w:br/>
        <w:t>Against this provision, an appeal may be submitted to the TAR of Lazio, pursuant to Article 135, paragraph 1, letter b), of the Code of Administrative Procedure (Legislative Decree July 2, 2010, No. 104), within sixty days from the date of notification of the provision itself, or an extraordinary appeal may be proposed to the President of the Republic, pursuant to Article 8, paragraph 2, of the Decree of the President of the Republic November 24, 1971, No. 1199, within one hundred and twenty days from the date of notification of the provision itself.</w:t>
        <w:br/>
        <w:t>THE SECRETARY GENERAL THE PRESIDENT</w:t>
        <w:br/>
        <w:t>Guido Stazi Roberto Rustichelli</w:t>
      </w:r>
    </w:p>
    <w:p>
      <w:r>
        <w:rPr>
          <w:b/>
        </w:rPr>
        <w:t>[Pages 7–9]</w:t>
      </w:r>
    </w:p>
    <w:p>
      <w:r>
        <w:t>BULLETIN NO. 22 OF JUNE 12, 2023</w:t>
      </w:r>
    </w:p>
    <w:p>
      <w:r>
        <w:t xml:space="preserve">CONCENTRATION OPERATIONS  </w:t>
        <w:br/>
        <w:t xml:space="preserve">C12541 - SAN QUIRICO/MINERVAHUB  </w:t>
        <w:br/>
        <w:t xml:space="preserve">Provision No. 30651  </w:t>
        <w:br/>
        <w:t>THE ANTITRUST AUTHORITY</w:t>
      </w:r>
    </w:p>
    <w:p>
      <w:r>
        <w:t xml:space="preserve">IN ITS MEETING of May 23, 2023;  </w:t>
        <w:br/>
        <w:t xml:space="preserve">HEARD the Rapporteur Professor Elisabetta Iossa;  </w:t>
        <w:br/>
        <w:t xml:space="preserve">HAVING REGARD to EC Regulation No. 139 of January 20, 2004;  </w:t>
        <w:br/>
        <w:t xml:space="preserve">HAVING REGARD to Law No. 287 of October 10, 1990;  </w:t>
        <w:br/>
        <w:t xml:space="preserve">HAVING REGARD to D.P.R. No. 217 of April 30, 1998;  </w:t>
        <w:br/>
        <w:t xml:space="preserve">HAVING REGARD to the communication made by San Quirico S.p.A. received on May 2, 2023;  </w:t>
        <w:br/>
        <w:t xml:space="preserve">HAVING REGARD to the documentation on file;  </w:t>
        <w:br/>
        <w:t>CONSIDERED the following:</w:t>
      </w:r>
    </w:p>
    <w:p>
      <w:r>
        <w:t xml:space="preserve">I. THE PARTIES  </w:t>
        <w:br/>
        <w:t xml:space="preserve">1. San Quirico S.p.A. (hereinafter, “SQ”) is a holding company of the SQ Group which, since September 2022, indirectly controls, through a specially established vehicle company, ERG S.p.A. (hereinafter, “ERG”) as well as other companies active in the real estate sector and in financial markets.  </w:t>
        <w:br/>
        <w:t xml:space="preserve">The consolidated revenue generated in Italy by the SQ Group in the financial year 2021 amounts to [1-2]* billion euros.  </w:t>
        <w:br/>
        <w:t xml:space="preserve">2. Minerva Hub (hereinafter, “MH” or “target company”) is the holding company of the MH Group consisting of sixteen companies primarily active in the production of clothing and the processing of fine leathers for luxury fashion houses and their suppliers.  </w:t>
        <w:br/>
        <w:t>The consolidated revenue generated in Italy by the MH Group in the financial year 2021 amounts to [100-532] million euros.</w:t>
      </w:r>
    </w:p>
    <w:p>
      <w:r>
        <w:t xml:space="preserve">II. DESCRIPTION OF THE OPERATION  </w:t>
        <w:br/>
        <w:t xml:space="preserve">3. The operation consists of the acquisition, by SQ, of exclusive control of MH and, consequently, of the companies of the MH Group.  </w:t>
        <w:br/>
        <w:t>* In this version, some data are omitted, as elements of confidentiality or secrecy of the information were deemed to exist.</w:t>
      </w:r>
    </w:p>
    <w:p>
      <w:r>
        <w:t xml:space="preserve">III. QUALIFICATION OF THE OPERATION  </w:t>
        <w:br/>
        <w:t>4. The notified operation, aimed at acquiring exclusive control of a company, constitutes a concentration pursuant to Article 5, paragraph 1, letter b), of Law No. 287/1990. It falls within the scope of application of Law No. 287/1990, as the conditions set out in Article 1 of EC Regulation 139/2004 do not apply, and it is subject to the obligation of prior notification provided for by Article 16, paragraph 1, of the same law, as the total revenue generated, in the last financial year at the national level, by the group of companies involved was over 532 million euros, and the total revenue generated, in the last financial year at the national level, by at least two of the companies involved was over 32 million euros.</w:t>
      </w:r>
    </w:p>
    <w:p>
      <w:r>
        <w:t xml:space="preserve">IV. EVALUATION OF THE OPERATION  </w:t>
        <w:br/>
        <w:t xml:space="preserve">The relevant markets  </w:t>
        <w:br/>
        <w:t xml:space="preserve">5. With regard to the activities of the target company, the operation concerns the following markets:  </w:t>
        <w:br/>
        <w:t xml:space="preserve">i) the market for the production and marketing of “galvanic” products, obtained through chemical mixing processes of raw materials (nickel, zinc, copper, chromium, and precious metals) or semi-finished products. The companies using galvanic products mainly belong to the automotive industry, the faucet sector, and the household goods sector in general (furniture, household items, appliances), as well as the clothing industry. Geographically, this market can be defined as national in size.  </w:t>
        <w:br/>
        <w:t xml:space="preserve">ii) the luxury goods market – design, production, and marketing of a wide range of goods – considered, according to the community and Authority's orientation, as a single commodity area, that of luxury1. Regarding the geographical relevance of this market, it can be considered of supranational size2.  </w:t>
        <w:br/>
        <w:t>iii) the market for tanning, processing, and resale of leathers. This particularly involves activities carried out on leather intended for various industrial sectors, including clothing and related accessories (bags, shoes, and belts), furniture, and general accessories. Geographically, this market can be considered national in size.</w:t>
      </w:r>
    </w:p>
    <w:p>
      <w:r>
        <w:t xml:space="preserve">The effects of the operation  </w:t>
        <w:br/>
        <w:t xml:space="preserve">6. The acquiring company is not active in any of the markets described above, nor in upstream, downstream, or conglomerate markets related to those in which the target company operates. The operation therefore involves the replacement of one operator with another and does not appear capable of altering the competitive dynamics in the markets in which it operates. It should be noted that, in each of the relevant markets, the target company holds very small shares, less than 1%. In each market, in fact, numerous and qualified competitors operate.  </w:t>
        <w:br/>
        <w:t xml:space="preserve">1 See AGCM provision No. 27973, C12263 – LVMH Moet Hennessy - Louis Vuitton-Stella McCartney/Anin Star Holding Limited.  </w:t>
        <w:br/>
        <w:t>2 See AGCM provision No. 21837, C10806 – L Capital Management-Florac/Sandro Andy-MajeStorenext-HF Biousse; AGCM provision No. 21060, C10547 – Phillips-Van Heusen/Tommy Hilfiger; AGCM provision No. 20901, C10495 – 3I SGR/Mosaicon; AGCM provision No. 20211, C10200 – S.L.D.J.- Cotec-Altea-Newco/Arcadia-Accademia-Atmosfera.</w:t>
      </w:r>
    </w:p>
    <w:p>
      <w:r>
        <w:t xml:space="preserve">7. In light of the considerations outlined above, the concentration under examination does not appear capable of significantly hindering competition in the relevant markets or leading to the creation or strengthening of a dominant position.  </w:t>
        <w:br/>
        <w:t xml:space="preserve">CONSIDERING, therefore, that the operation under examination does not significantly hinder effective competition in the relevant market, pursuant to Article 6, paragraph 1, of Law No. 287/1990, and does not result in the creation or strengthening of a dominant position;  </w:t>
        <w:br/>
        <w:t xml:space="preserve">RESOLVES  </w:t>
        <w:br/>
        <w:t xml:space="preserve">not to initiate the investigation referred to in Article 16, paragraph 4, of Law No. 287/1990.  </w:t>
        <w:br/>
        <w:t xml:space="preserve">The conclusions outlined above will be communicated, pursuant to Article 16, paragraph 4, of Law No. 287/1990, to the interested companies and the Minister of Enterprises and Made in Italy.  </w:t>
        <w:br/>
        <w:t>This provision will be published in the Bulletin of the Antitrust Authority.</w:t>
      </w:r>
    </w:p>
    <w:p>
      <w:r>
        <w:t xml:space="preserve">THE SECRETARY GENERAL THE PRESIDENT  </w:t>
        <w:br/>
        <w:t>Guido Stazi Roberto Rustichelli</w:t>
      </w:r>
    </w:p>
    <w:p>
      <w:r>
        <w:rPr>
          <w:b/>
        </w:rPr>
        <w:t>[Pages 10–12]</w:t>
      </w:r>
    </w:p>
    <w:p>
      <w:r>
        <w:t xml:space="preserve">12 BULLETIN NO. 22 OF JUNE 12, 2023  </w:t>
        <w:br/>
        <w:t xml:space="preserve">ACTIVITY OF REPORTING AND CONSULTATION  </w:t>
        <w:br/>
        <w:t xml:space="preserve">AS1890 - DECREE OF THE MINISTRY OF ENVIRONMENT AND ENERGY SECURITY ON THE REGULATION OF THE INFORMED ENTRY OF DOMESTIC CUSTOMERS INTO THE FREE ELECTRICITY MARKET  </w:t>
        <w:br/>
        <w:t xml:space="preserve">Rome, May 3, 2023  </w:t>
        <w:br/>
        <w:t xml:space="preserve">Ministry of Environment and Energy Security  </w:t>
        <w:br/>
        <w:t xml:space="preserve">The Antitrust Authority, in its meeting on May 2, 2023, resolved to express the following considerations, pursuant to Article 22 of Law No. 287 of October 10, 1990, regarding the draft decree transmitted to the Authority by this Ministry on April 19, in order to obtain the opinion required by Article 1, paragraph 60-bis of Law No. 124 of August 4, 2017 (“Competition Law”).  </w:t>
        <w:br/>
        <w:t xml:space="preserve">The draft decree (hereinafter also referred to as “Decree” or “DM”), which identifies the methods for the informed entry of domestic customers into the free electricity market, specifies, with explicit reference to non-vulnerable customers still supplied under the greater protection service referred to in Law No. 125 of August 3, 2007 (hereinafter “greater protection” or “MT”), specific criteria and methods for the gradual transition to the market (Art. 2) and provides provisions to transform the gradual protection service (“STG”) into a last resort service for all smaller electricity users (small businesses, micro-enterprises, and households) starting from a predefined date set for April 1, 2027 (Art. 3).  </w:t>
        <w:br/>
        <w:t xml:space="preserve">The Authority intends, preliminarily and generally, to express appreciation for the adoption of the aforementioned act, as a further and awaited step – after those already taken for small businesses and micro-enterprises – to achieve the definitive overcoming in Italy of the greater protection regime for various customer categories, after numerous delays that have extended the deadlines originally contained in the Competition Law.  </w:t>
        <w:br/>
        <w:t xml:space="preserve">Currently, as the Ministry itself recalls, the completion of the process of full liberalization in the electricity sector is among the reforms that the Government has committed to adopting within the National Recovery and Resilience Plan, approved by the execution decision of the European Council of July 13, 2021 (“PNRR”), and thus, its effective achievement represents not only an opportunity but also an obligation, linked to compliance with the relevant community regulations and, last but not least, to obtaining the overall funding provided.  </w:t>
        <w:br/>
        <w:t xml:space="preserve">From a competitive perspective, the importance of achieving effective liberalization of the retail segment of electricity and natural gas sales in Italy is fully understood by considering the negative effects on the market structure that have arisen, especially in the electricity sector, from the discriminatory choice made at the time to assign the exercise of greater protection exclusively to companies linked to the territorially competent distributor. As the Authority has emphasized several times over the years, these effects have been amplified by the opportunistic behaviors of some operators exercising the MT who have been able, often through incorrect means, to steer customers towards their own division or company active in the free market, also transferring high levels of concentration to this latter segment.  </w:t>
        <w:br/>
        <w:t xml:space="preserve">In this sense, the very adoption of the DM should certainly be appreciated, since, instead, in recent months – also given that the deadline of January 10, 2024, appeared imminent – part of the market and stakeholders involved in the process expressed their conviction (as emerged, for example, in some conferences on the subject) that there would be a new extension of the protected regime for the generality of domestic customers.  </w:t>
        <w:br/>
        <w:t xml:space="preserve">That said, with specific reference to what is provided for in Article 2 of the transmitted DM (“Criteria to ensure domestic customers the supply of electricity upon cessation of the greater protection service”), the Authority intends to express a decidedly positive judgment regarding the overall framework proposed, namely the general outline of the process for identifying the operators of the new STG at least for non-vulnerable domestic customers, who will continue – after the positive experience already occurred for small and micro-enterprises – to be selected through a tender procedure designed to ensure as competitive outcomes as possible. It should also be noted that previous experiences of tenders for small and micro-enterprises have allowed over time the introduction of improvements and corrections to avoid some negative aspects that characterized the initial procedures (for example, excessive reliance on the lottery mechanism), ensuring satisfactory outcomes in both cases from a competitive standpoint (for example, with a decent number of different awardees, in many cases companies previously active only in the free market and not also in the greater protection).  </w:t>
        <w:br/>
        <w:t xml:space="preserve">With more specific reference to the transition methods outlined for non-vulnerable domestic customers within Article 2 of the Decree (paragraph 1), the Authority shares the general criteria mentioned, which will then need to be detailed in the regulation by ARERA for the organization of the tender procedures, and in particular:  </w:t>
        <w:br/>
        <w:t xml:space="preserve">- the importance of the correct design of the tender lots (in the DM, “identification of territorial areas characterized by a dimensional arrangement in terms of withdrawal points and with a homogeneous level of risk related to the default of the final customers concerned”); on this point, the Authority intends to emphasize the necessity that they continue to aggregate even distant territorial areas, to neutralize as much as possible the competitive advantage of the outgoing MT operators, and that they be set in such a number as to allow adequate participation even from smaller operators (given the reference audience, this should involve at least 20/25 lots);  </w:t>
        <w:br/>
        <w:t xml:space="preserve">- the positive confirmation of an antitrust ceiling on the number of areas that can be awarded to a single operator (or corporate group) which should again be a maximum of 35%, in analogy to what has been established – at the Authority's urging – for small businesses and micro-enterprises, in order to ensure as competitive an outcome as possible for the procedures. On this point, however, the Authority hopes for a possible further lowering of this threshold to 30%, given the greater number of users involved;  </w:t>
        <w:br/>
        <w:t xml:space="preserve">- the identification of a reasonable duration for the STG (for a single period) of a maximum of four years, with confirmation of the residual opt-out mechanism already included – also in this case at the AGCM's urging – with reference to micro-enterprises, according to which the designated STG operator must inform the final customers well in advance of the expiration (on April 1, 2027) of the service provision period and of the right to choose at any time another supplier or another offer from the same operator in the free market and of the circumstance that, in the absence of an express choice, at the aforementioned deadline the customer will be supplied based on the most favorable free market offer from the same operator.  </w:t>
        <w:br/>
        <w:t xml:space="preserve">With reference to this last aspect, and to ensure a coherent overall design for the various customer categories, the provisions aimed at including the residual opt-out mechanism also for small businesses (Art. 3, “Provisions for the STG as a last resort service and to ensure the supply of electricity to small businesses,” paragraph 2) appear particularly commendable in the Decree, since, instead, in the first assignment of the STG for this category of users (dating back to 2021) this provision had not been included; this aspect is expected to characterize the subsequent assignment of the service that will be arranged for the period 2024-2027, an element that will also allow for the alignment of the STG deadlines, as a phase of accompaniment to the market for the various types of users.  </w:t>
        <w:br/>
        <w:t xml:space="preserve">Finally, consistently with this overall design also previously suggested by the Authority, particularly commendable in today's Decree is the explicit provision according to which, starting from April 1, 2027, the STG will exclusively fulfill the functions of a last resort service for all categories of users (small, micro-enterprises, and households) previously entitled to the greater protection service (Art. 3, paragraph 1).  </w:t>
        <w:br/>
        <w:t xml:space="preserve">Notwithstanding the appreciation of the overall set of these elements, the Authority intends, however, to express more critical considerations regarding the choice made by the Ministry through the commented DM to exclude from today's tender procedures the domestic customers falling under the notion of vulnerability, who will continue to be served under greater protection (“until the adoption of the measures provided for in Article 11, paragraph 2, of Legislative Decree No. 210 of November 8, 2021, and in any case no later than April 1, 2027 (…)” – see Art. 1, paragraph 3 -)  </w:t>
        <w:br/>
        <w:t>This choice appears particularly insidious, as, given the broad notion that the legislator has outlined of vulnerable electricity users (which seems to include not only conditions of</w:t>
      </w:r>
    </w:p>
    <w:p>
      <w:r>
        <w:rPr>
          <w:b/>
        </w:rPr>
        <w:t>[Pages 13–15]</w:t>
      </w:r>
    </w:p>
    <w:p>
      <w:r>
        <w:t>BULLETIN NO. 22 OF JUNE 12, 2023</w:t>
      </w:r>
    </w:p>
    <w:p>
      <w:r>
        <w:t>15</w:t>
        <w:br/>
        <w:t>actual energy poverty, but for example also includes all users over the age of 75 or those falling under the so-called Law 104), in this category it appears that, according to available estimates, about half of the domestic users still supplied under greater protection (that is, 4/5 million, out of a total of 9.5 million domestic customers still in MT today) fall, and therefore, the provision in question appears suitable to weaken today's transition as an effective and definitive act of liberalization of the retail electricity market in Italy.</w:t>
      </w:r>
    </w:p>
    <w:p>
      <w:r>
        <w:t>Indeed, although the existence of a notion of vulnerability and the possibility of maintaining regulated regimes or public service obligations for the benefit of certain categories of users is also provided for by the relevant community legislation, the same legislation constantly refers to a principle of non-discrimination among operators in the definition and maintenance of such regimes, in derogation of the general market principles, an element that – as is well known and has also been recalled in this opinion – greater protection does not guarantee, being instead exclusively offered by the sales companies connected to the territorially competent distributor (in 85% of the national territory, the ENEL group).</w:t>
      </w:r>
    </w:p>
    <w:p>
      <w:r>
        <w:t>This distortion is only mitigated by the provision in the Decree of a maximum term for the maintenance of greater protection for vulnerable customers (again until April 1, 2027, in analogy with the term set for the end of STG as a supply service and for its transformation into a last resort service, as already recalled), unless prior detailed regulation by ARERA intervenes, called to define a specific tariff regime for this category of users, following what is provided by the primary reference legislation (Legislative Decree 210/2021 and Law Decree 152/2021).</w:t>
      </w:r>
    </w:p>
    <w:p>
      <w:r>
        <w:t>The Authority intends to emphasize that a different and more protective choice of competitive play was certainly possible, namely to include vulnerable customers in the tender procedures to be announced for the transition to STG for the generality of domestic customers and then to indicate the same assigned operator as the subject called to also offer the specific tariff, which would have been defined for the vulnerable to those entitled.</w:t>
      </w:r>
    </w:p>
    <w:p>
      <w:r>
        <w:t>Although this different path now appears difficult to pursue (also given the tight deadlines available to actually reach the date of January 10, 2024), and it can be considered understandable a need to segment the pool of domestic customers still served in MT into subsequent tender procedures, the Authority intends to emphasize that the current DM should necessarily provide for subsequent competitive procedures for the assignment of electricity supply to vulnerable users to be announced promptly, to decree the definitive overcoming of the greater protection regime in Italy and the related distorting effects on the structure of the electricity market that unfortunately have already largely reflected in a highly concentrated structure of the same free market.</w:t>
      </w:r>
    </w:p>
    <w:p>
      <w:r>
        <w:t>Finally, still with reference to vulnerable customers, it would be appropriate for the Ministry to include in the text of the Decree the explicit clarification that vulnerable users have the right to request the tariff reserved for them, as there is an obligation to offer them by the sellers under those conditions, but not an obligation to supply (that is, as already emphasized by the Authority on previous occasions, to specify that users falling under the notion of vulnerability who have already switched to the free market and are satisfied with their offer cannot in any case be forcibly returned to an ad hoc regime, whether it be greater protection or a specifically regulated regime subsequently defined).</w:t>
      </w:r>
    </w:p>
    <w:p>
      <w:r>
        <w:t>The Authority finally intends to express some concluding considerations regarding the informational element, which is considered crucial, especially towards domestic customers, to effectively navigate the phases related to the definitive overcoming of the greater protection regime in the near future. On this aspect, the Decree under analysis does not introduce specific provisions, referring to what has already been provided in previous DMs.</w:t>
      </w:r>
    </w:p>
    <w:p>
      <w:r>
        <w:t>The Authority believes that the provision for even more massive informational campaigns could again be included in the Decree, reiterating, for example, the need to also use television channels and during peak viewing times and, even more importantly, decreeing the start of the same no later than summer 2023, and not only close to the transition of non-vulnerable domestic customers to the new operators, as correct information also appears crucial to ensure that users know how to "defend" themselves from any opportunistic behaviors of operators, aimed at exploiting uncertainty to their advantage (e.g., the end of greater protection as a means to make customers "stay" with the same operator), which, it can already be anticipated, will become even more insidious in the coming months, before the definitive transition of regime (at least, for non-vulnerable customers).</w:t>
      </w:r>
    </w:p>
    <w:p>
      <w:r>
        <w:t>The informational element appears even more necessary since the evolution of the energy sales market has led to the existence of a plethora of different supply types (STG, free market, greater protection only for vulnerable customers), in which even the most prudent consumer can understandably struggle to navigate.</w:t>
      </w:r>
    </w:p>
    <w:p>
      <w:r>
        <w:t>In this sense, in addition to making the ongoing phase and the transition mechanisms provided for the different customer categories as understandable as possible, the institutional informational campaign should also convey the message that the STG phase is characterized as a transitional period that accompanies users towards the market and not instead a final point of the process, explicitly inviting users to seek a free market supplier before the tenders or during the period of stay within the transitional regime of gradual protections, so as to also maintain the final opt-out mechanism as an effectively residual possibility.</w:t>
      </w:r>
    </w:p>
    <w:p>
      <w:r>
        <w:t>The ultimate goal of the market liberalization process must indeed also be to make the consumer as capable as possible of acting as a fully aware subject, able to navigate and freely choose their offer, whereas the regulated mechanisms of various titles increasingly transform, as provided for in the regime, into mere instruments, at the closure of the system, of last resort supply. In this regard, it is certainly necessary to avoid that the choice to use the STG (and even more so, the continued existence of the greater protection regime for the vulnerable) produces the undesirable effect of strengthening in the affected demand segments attitudes of inertia and resistance to actively seeking the best offer, with the risk that the transition to the market does not occur at all.</w:t>
      </w:r>
    </w:p>
    <w:p>
      <w:r>
        <w:t>The Authority reiterates that, in relation to these aspects, the importance of sending a strong, understandable, and also somewhat "reassuring" institutional message about the ongoing transition process (also to counter, it is reiterated, contrary messages that may be instrumentally conveyed to consumers by operators, in an opportunistic key) appears fundamental to ensure the overall success of the liberalization process (which must, it is reiterated, also be completed as soon as possible with subsequent tender procedures also concerning vulnerable users, in compliance with the principle of equal conditions among active operators in sales).</w:t>
      </w:r>
    </w:p>
    <w:p>
      <w:r>
        <w:t>The Authority hopes that the above considerations can be adequately taken into account for the definitive adoption of the Decree in question and the subsequent measures expected for the completion of the liberalization process of the retail electricity sales sector.</w:t>
      </w:r>
    </w:p>
    <w:p>
      <w:r>
        <w:t>This opinion will be published in the Bulletin of the Antitrust Authority. Any confidentiality needs must be communicated to the Authority within thirty days of receiving this opinion, specifying the reasons.</w:t>
      </w:r>
    </w:p>
    <w:p>
      <w:r>
        <w:t xml:space="preserve">THE PRESIDENT </w:t>
        <w:br/>
        <w:t>Roberto Rustichelli</w:t>
      </w:r>
    </w:p>
    <w:p>
      <w:r>
        <w:rPr>
          <w:b/>
        </w:rPr>
        <w:t>[Pages 16–18]</w:t>
      </w:r>
    </w:p>
    <w:p>
      <w:r>
        <w:t>18 BULLETIN NO. 22 OF JUNE 12, 2023</w:t>
        <w:br/>
        <w:t>UNFAIR COMMERCIAL PRACTICES</w:t>
        <w:br/>
        <w:t>PS12418 – BP TESLA HELICOPTERS - LACK OF LICENSE</w:t>
        <w:br/>
        <w:t>Notice of adoption of the closure of the proceeding</w:t>
        <w:br/>
        <w:t>ANTITRUST AUTHORITY</w:t>
        <w:br/>
        <w:t>Notice of adoption of the closure of the proceeding,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PS12418.</w:t>
        <w:br/>
        <w:t>The publication of this notice in the weekly Bulletin of the Antitrust Authority - followed by the closure of the proceeding whereby it was resolved to make mandatory, towards the company BP Tesla s.r.l., the commitments presented by it on January 19, 2023, and supplemented on February 13, 2023, as described in the form and declaration attached to the resolution - is carried out pursuant to and for the effects of Article 19, paragraph 2 of the Regulation, given the unsuccessful outcome of the attempt to transmit the same resolution, carried out on April 20, 2023, by requesting collaboration from the Embassy of Italy in Bucharest (Romania). The Embassy represented that the communication sent was returned to the sender by the Romanian postal authorities due to the lack of claim for the registered letter and the expiration of the period of storage.</w:t>
        <w:br/>
        <w:t>For any communication addressed to the Authority regarding the case in question, please refer to the Manufacturing, Agri-food, Pharmaceutical and Commercial Distribution Directorate of the Consumer Protection Department 2 and reference PS12418.</w:t>
      </w:r>
    </w:p>
    <w:p>
      <w:r>
        <w:t>BULLETIN NO. 22 OF JUNE 12, 2023</w:t>
        <w:br/>
        <w:t>PS12418 - BP TESLA HELICOPTERS - LACK OF LICENSE</w:t>
        <w:br/>
        <w:t>Resolution No. 30556</w:t>
        <w:br/>
        <w:t>THE ANTITRUST AUTHORITY</w:t>
        <w:br/>
        <w:t>IN ITS MEETING of March 21, 2023;</w:t>
        <w:br/>
        <w:t>HEARD the Rapporteur Professor Elisabetta Iossa;</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October 24, 2022, with which the proceeding PS12418 was initiated against the company BP Tesla s.r.l.;</w:t>
        <w:br/>
        <w:t>HAVING REGARD TO the communication received on January 19, 2023, with which the company BP Tesla s.r.l. submitted, pursuant to Article 27, paragraph 7, of the Consumer Code and Article 9 of the Regulation, a proposal for commitments, subsequently supplemented on February 13, 2023;</w:t>
        <w:br/>
        <w:t>HAVING REGARD TO the documents of the proceeding;</w:t>
        <w:br/>
        <w:t>I. THE PARTY</w:t>
        <w:br/>
        <w:t>1. BP Tesla S.r.l. (hereinafter "BP Tesla" or the "professional") as a professional, pursuant to Article 18, paragraph 1, letter b), of the Consumer Code.</w:t>
        <w:br/>
        <w:t>BP Tesla is a company operating in the aerial work sector, offering helicopter services for tourism and commercial purposes.</w:t>
        <w:br/>
        <w:t>II. THE CONDUCTS SUBJECT TO THE PROCEEDING</w:t>
        <w:br/>
        <w:t>2. The proceeding concerns the information disseminated through the website www.flytesla.it regarding the transport services offered to consumers with helicopters. In particular, the link "About Us" of the mentioned site leads to the page fly-tesla-helicopter-rental, where the professional stated "Fly-Tesla means choosing the leading helicopter company in Italy for executive passenger transport, better located throughout the national territory and with the most varied fleet." On the same page, the professional claimed to possess "COA certifications (Air Operator Certificate), CAMO (Continuing Airworthiness Management Organization Certificate), COLA (Air Work Operator Certificate), HOFO (Helicopter Off-Shore Operations [...])", which were not found with ENAC.</w:t>
        <w:br/>
        <w:t>The services offered were described in the dedicated section of the site, through a drop-down menu: helitransfer, scenic flights, private events, and wine tours.</w:t>
        <w:br/>
        <w:t>Finally, the professional displayed, in the "Partners" section of the home page, the logos of ENAC and EASA – European Aviation Safety Agency.</w:t>
      </w:r>
    </w:p>
    <w:p>
      <w:r>
        <w:t>20 BULLETIN NO. 22 OF JUNE 12, 2023</w:t>
        <w:br/>
        <w:t>The allegedly unfair practice would consist of advertising passenger transport services with helicopters, leading consumers to believe that the professional is directly authorized to carry them out, while in reality, the latter would not possess the required authorizations for the advertised activities.</w:t>
        <w:br/>
        <w:t>III. THE FINDINGS OF THE PROCEEDING</w:t>
        <w:br/>
        <w:t>III.1 The course of the proceeding</w:t>
        <w:br/>
        <w:t>3. Based on the information acquired for the application of the Consumer Code, on October 24, 2022, the investigative proceeding PS12418 was initiated against BP Tesla s.r.l., pursuant to Articles 20, 21 paragraph 1, letter f), and 23, paragraph 1 letter d), of the Consumer Code, regarding the possible misleading nature of the information disseminated on the professional's website as capable of inducing the consumer to make commercial decisions that they otherwise would not have made.</w:t>
        <w:br/>
        <w:t>In particular, from the feedback provided by ENAC following the request for information of June 14, 2022, it was found that the professional does not possess the required authorizations for the performance of the advertised activities.</w:t>
        <w:br/>
        <w:t>4. The communication initiating the proceeding was published in Bulletin No. 44 of December 12, 2022, pursuant to Articles 6, paragraph 2, and 19, paragraph 2, of the Regulation, given the unsuccessful outcome of the attempt to transmit the initiation communication, carried out on October 31, 2022, by requesting collaboration from the Embassy of Italy in Bucharest (Romania). The Embassy represented that the communication sent was returned to the sender by the Romanian postal authorities due to non-delivery.</w:t>
        <w:br/>
        <w:t>5. On January 19, 2023, the professional submitted a proposal for commitments, pursuant to Article 27, paragraph 7, of the Consumer Code and Article 9 of the Regulation, subsequently supplemented on February 13, 2023.</w:t>
        <w:br/>
        <w:t>6. On February 3, 2023, the Party was informed of the conclusion date of the investigative phase pursuant to Article 16, paragraph 1 of the Regulation.</w:t>
        <w:br/>
        <w:t>III.2 The elements acquired and the commitments of the professional</w:t>
        <w:br/>
        <w:t>7. As indicated above, the professional submitted a proposal for commitments on January 19, 2023, subsequently supplemented on February 13, 2023.</w:t>
        <w:br/>
        <w:t>8. In a communication dated January 17, 2023, the professional informed the Authority that it had included on every page of the website https://www.flytesla.it/ (both in the Italian and English versions) the information that it relies on the company Ariane s.r.l. for flight operations, authorized by ENAC.</w:t>
      </w:r>
    </w:p>
    <w:p>
      <w:r>
        <w:rPr>
          <w:b/>
        </w:rPr>
        <w:t>[Pages 19–21]</w:t>
      </w:r>
    </w:p>
    <w:p>
      <w:r>
        <w:t>BULLETIN NO. 22 OF JUNE 12, 2023</w:t>
      </w:r>
    </w:p>
    <w:p>
      <w:r>
        <w:t>From the surveys conducted on January 18, it appears that the home page and other pages of the professional's website contain the following wording: “Fly Tesla by Bp Tesla srl offers flights and services in the aeronautical sector in collaboration with the company Ariane srl, which is responsible for the availability of the H125, AS350, A109 aircraft and the training of the pilots in command. ARIANE srl is an operator holding the certifications required by ENAC aeronautical regulations and is therefore authorized for public passenger transport throughout the Italian territory.”</w:t>
      </w:r>
    </w:p>
    <w:p>
      <w:r>
        <w:t>Furthermore, in a communication dated January 19, 2023, the professional committed to (i) maintaining on the home page and on all pages of their website the indication that the flight services are materially operated by the authorized company Ariane s.r.l. and (ii) providing the consumer, in addition to the current communication via email and prior to the flight, with written information that the flight will be operated by Ariane s.r.l. The commitment under (ii) will be implemented within 15 days from the communication of the acceptance of the commitments.</w:t>
      </w:r>
    </w:p>
    <w:p>
      <w:r>
        <w:t>9. Finally, in a communication dated February 13, 2023, the professional, supplementing the proposed commitments, acknowledged the removal from the home page of references to ENAC and EASA and the modification of the “certifications” section of the page https://www.flytesla.it/index.php/fly-tesla-noleggio-elicottero, mentioning the carrier Ariane s.r.l. and the certifications held by it; these further modifications are confirmed by the surveys conducted on the same date on the professional's website.</w:t>
      </w:r>
    </w:p>
    <w:p>
      <w:r>
        <w:t>IV. OPINION OF THE AUTHORITY FOR GUARANTEES IN COMMUNICATIONS</w:t>
      </w:r>
    </w:p>
    <w:p>
      <w:r>
        <w:t>10. Since the commercial practice subject to this provision was disseminated through telecommunications means, on February 14, 2023, an opinion was requested from the Authority for Guarantees in Communications, pursuant to Article 27, paragraph 6, of the Consumer Code.</w:t>
      </w:r>
    </w:p>
    <w:p>
      <w:r>
        <w:t>11. In the opinion received on March 10, 2023, the aforementioned Authority expressed its evaluations regarding the suitability of the specific means of communication used to disseminate the commercial practices to affect and amplify any misleading and/or unfair nature of the same practice.</w:t>
      </w:r>
    </w:p>
    <w:p>
      <w:r>
        <w:t>12. In the opinion, the Authority for Guarantees in Communications considered that the Internet is a communication tool capable of significantly influencing consumers.</w:t>
      </w:r>
    </w:p>
    <w:p>
      <w:r>
        <w:t>V. EVALUATION OF THE COMMITMENTS</w:t>
      </w:r>
    </w:p>
    <w:p>
      <w:r>
        <w:t>13. The procedure under examination concerns the offer of tourism and transport services via helicopters with reference to the information provided to consumers regarding the qualifications of the entities that actually provide the offered flight services and the possession of the relevant licenses. These are helicopter flights subject to both the regulations on the issuance of the relevant licenses and those on safety, which are particularly stringent and require periodic checks by ENAC, the body responsible, among other things, for issuing Air Operator Certificates and related safety checks.</w:t>
      </w:r>
    </w:p>
    <w:p>
      <w:r>
        <w:t>14. That said, the commitments presented by the professional appear suitable to resolve the issues identified on the website with the initiation of the investigation procedure, in order to provide service recipients with correct information. Specifically, the commitments allow informing the consumer from the home page of the website about the qualifications of the operator - whose name is expressly mentioned and on the page https://www.flytesla.it/index.php/fly-tesla-noleggio-elicottero the certifications held are listed - who will actually perform the advertised flight services and also entail the removal of the ambiguous reference to the partnership with ENAC and EASA. Furthermore, the information about the authorized operator who will materially carry out the flight will be reiterated in the subsequent phase of the consumer relationship, being provided in writing to the consumer before the flight takes place.</w:t>
      </w:r>
    </w:p>
    <w:p>
      <w:r>
        <w:t>15. The commitments, therefore, appear suitable to clarify to the consumer, from the first contact with the professional, the qualifications of the entity that will actually perform the flight services and the absence of collaboration with ENAC and EASA; moreover, the information about the authorized third-party operator will also be reiterated in the subsequent phase of the consumer relationship.</w:t>
      </w:r>
    </w:p>
    <w:p>
      <w:r>
        <w:t>16. The commitments thus allow for a significant improvement in both the information regarding the commercial offer of tourist helicopter flights proposed on the professional's website and that provided before the performance of the advertised service.</w:t>
      </w:r>
    </w:p>
    <w:p>
      <w:r>
        <w:t>17. In light of the above considerations, it is believed that the commitments presented - which are attached to this provision and constitute an integral part thereof - meet the requirements set forth in Article 27, paragraph 7, of the Consumer Code.</w:t>
      </w:r>
    </w:p>
    <w:p>
      <w:r>
        <w:t>CONSIDERING, therefore, that the commitments presented by the company BP Tesla s.r.l. in the terms outlined above are suitable to eliminate the possible profiles of unfairness of the commercial practice subject to investigation;</w:t>
      </w:r>
    </w:p>
    <w:p>
      <w:r>
        <w:t>CONSIDERING to impose the obligation of the aforementioned commitments on the company BP Tesla s.r.l.;</w:t>
      </w:r>
    </w:p>
    <w:p>
      <w:r>
        <w:t>CONSIDERING, therefore, that it is possible to close the procedure without ascertaining the infringement;</w:t>
      </w:r>
    </w:p>
    <w:p>
      <w:r>
        <w:t>RESOLVES</w:t>
      </w:r>
    </w:p>
    <w:p>
      <w:r>
        <w:t>a) to make mandatory, pursuant to Article 27, paragraph 7, of the Consumer Code and Article 9, paragraph 2, letter a), of the Regulation, against the company BP Tesla s.r.l., the commitments presented by it on January 19, 2023, and supplemented on February 13, 2023, as described in the form and in the attached declaration, which constitute an integral part of the provision;</w:t>
      </w:r>
    </w:p>
    <w:p>
      <w:r>
        <w:t>b) to close the procedure without ascertaining the infringement, pursuant to Article 27, paragraph 7, of the Consumer Code and Article 9, paragraph 2, letter a) of the Regulation;</w:t>
      </w:r>
    </w:p>
    <w:p>
      <w:r>
        <w:t>c) that the company BP Tesla s.r.l.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22–24]</w:t>
      </w:r>
    </w:p>
    <w:p>
      <w:r>
        <w:t xml:space="preserve">24 BULLETIN NO. 22 OF JUNE 12, 2023  </w:t>
        <w:br/>
        <w:t xml:space="preserve">VARIOUS  </w:t>
        <w:br/>
        <w:t xml:space="preserve">CONTRIBUTION TO THE BURDEN DERIVING FROM THE OPERATION OF THE AUTHORITY FOR THE GUARANTEE OF COMPETITION AND THE MARKET FOR THE YEAR 2023 – COMPANIES IN THE CONDITIONS PROVIDED FOR BY DECREE LAW NO. 61 OF JUNE 1, 2023  </w:t>
        <w:br/>
        <w:t xml:space="preserve">Provision No. 30654  </w:t>
        <w:br/>
        <w:t xml:space="preserve">THE AUTHORITY FOR THE GUARANTEE OF COMPETITION AND THE MARKET  </w:t>
        <w:br/>
        <w:t xml:space="preserve">IN ITS MEETING of June 6, 2023;  </w:t>
        <w:br/>
        <w:t xml:space="preserve">HAVING REGARD to Law No. 287 of October 10, 1990;  </w:t>
        <w:br/>
        <w:t xml:space="preserve">HAVING REGARD to paragraph 7-ter of Article 10 of Law No. 287/1990, introduced by paragraph 1 of Article 5-bis, Decree Law No. 1 of January 24, 2012, as amended by the conversion law of March 24, 2012, No. 27, which establishes that the burden deriving from the operation of the Authority is covered by a contribution equal to 0.08 per thousand of the revenue resulting from the last approved financial statement of capital companies with total revenues exceeding 50 million euros, without prejudice to the criteria established by paragraph 2 of Article 16 of Law No. 287/1990 and that the maximum contribution burden on each company cannot exceed one hundred times the minimum amount;  </w:t>
        <w:br/>
        <w:t xml:space="preserve">HAVING REGARD to paragraph 7-quater of Article 10 of Law No. 287/1990, introduced by paragraph 1 of Article 5-bis, Decree Law No. 1 of January 24, 2012, as amended by the conversion law of March 24, 2012, No. 27, which establishes, among other things, that without prejudice to all current forms of financing for the year 2012, including the application of Article 2, paragraph 241, of Law No. 191 of December 23, 2009, in the first application, for the year 2013, the contribution referred to in paragraph 7-ter is paid directly to the Authority in the manner determined by the Authority itself by its own resolution, by October 30, 2012; and that, for the subsequent years, starting from 2014, the contribution is paid, by July 31 of each year, directly to the Authority in the manner determined by the Authority itself by its own resolution;  </w:t>
        <w:br/>
        <w:t xml:space="preserve">HAVING REGARD to its resolution of March 7, 2023, No. 30499, which set the contribution rate referred to in paragraph 7-ter for 2023 at 0.058 per thousand of the revenue resulting from the last approved financial statement as of that date;  </w:t>
        <w:br/>
        <w:t xml:space="preserve">HAVING REGARD to Decree Law No. 61 of June 1, 2023, published in the Official Gazette No. 127 of June 1, 2023, which provided for the suspension of the deadlines for tax payments due during the period from May 1, 2023, to August 31, 2023, for those subjects who, as of May 1, 2023, had "residence or legal headquarters or operational headquarters in the territory of the municipalities" affected by the flood, as indicated in the list attached to the decree law.  </w:t>
        <w:br/>
        <w:t xml:space="preserve">CONSIDERING it appropriate to adequately take into account the difficult situations in which companies residing in the areas affected by the flood find themselves, which are in the conditions referred to in the aforementioned Decree Law No. 61/2023;  </w:t>
        <w:br/>
        <w:t>CONSIDERING therefore to extend to November 20, 2023, as provided for by Article 1, paragraph 7, of Decree Law No. 61/2023, the deadline for the payment of the contribution due to the Authority for the year 2023 for companies that find themselves in the conditions provided for by the aforementioned decree;</w:t>
      </w:r>
    </w:p>
    <w:p>
      <w:r>
        <w:t xml:space="preserve">BULLETIN NO. 22 OF JUNE 12, 2023  </w:t>
        <w:br/>
        <w:t xml:space="preserve">RESOLVES  </w:t>
        <w:br/>
        <w:t xml:space="preserve">to extend to November 20, 2023, the deadline for the payment of the contribution due to the Authority for the year 2023 for companies that find themselves in the conditions provided for by Decree Law No. 61 of June 1, 2023.  </w:t>
        <w:br/>
        <w:t xml:space="preserve">This resolution will be published in the Bulletin and on the website of the Authority for the Guarantee of Competition and the Market.  </w:t>
        <w:br/>
        <w:t xml:space="preserve">THE SECRETARY GENERAL THE PRESIDENT  </w:t>
        <w:br/>
        <w:t>Guido Stazi Roberto Rustichelli</w:t>
      </w:r>
    </w:p>
    <w:p>
      <w:r>
        <w:t xml:space="preserve">Authority for the Guarantee of Competition and the Market Weekly Bulletin  </w:t>
        <w:br/>
        <w:t xml:space="preserve">Year XXXIII - No. 22 - 2023  </w:t>
        <w:br/>
        <w:t xml:space="preserve">Editorial Coordination Giulia Antenucci  </w:t>
        <w:br/>
        <w:t xml:space="preserve">Editorial Staff Valerio Ruocco, Manuela Villani  </w:t>
        <w:br/>
        <w:t xml:space="preserve">Authority for the Guarantee of Competition and the Market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