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https://agcm.it/dotcmsdoc/bollettini/2021/23-21.pdf</w:t>
      </w:r>
    </w:p>
    <w:p>
      <w:r>
        <w:t>Pages translated : 32</w:t>
      </w:r>
    </w:p>
    <w:p/>
    <w:p>
      <w:r>
        <w:rPr>
          <w:b/>
        </w:rPr>
        <w:t>[Pages 1–3]</w:t>
      </w:r>
    </w:p>
    <w:p>
      <w:r>
        <w:t xml:space="preserve">Bulletin  </w:t>
        <w:br/>
        <w:t xml:space="preserve">Weekly  </w:t>
        <w:br/>
        <w:t xml:space="preserve">Year XXXI - No. 23  </w:t>
        <w:br/>
        <w:t xml:space="preserve">Published on the website www.agcm.it  </w:t>
        <w:br/>
        <w:t>June 7, 2021</w:t>
      </w:r>
    </w:p>
    <w:p>
      <w:r>
        <w:t xml:space="preserve">SUMMARY  </w:t>
        <w:br/>
        <w:t xml:space="preserve">AGREEMENTS AND ABUSE OF DOMINANT POSITION 5  </w:t>
        <w:br/>
        <w:t xml:space="preserve">A528 - FBA AMAZON  </w:t>
        <w:br/>
        <w:t xml:space="preserve">Decision No. 29674 5  </w:t>
        <w:br/>
        <w:t xml:space="preserve">REPORTING AND ADVISORY ACTIVITIES 7  </w:t>
        <w:br/>
        <w:t xml:space="preserve">AS1754 - DRAFT DECREE OF THE PRESIDENT OF THE REPUBLIC CONCERNING THE REGULATION OF THE SINGLE TELEMATICS REGISTER AND SIMPLIFICATION PROVISIONS REGARDING THE END-OF-LIFE VEHICLES' CESSATION FROM CIRCULATION 7  </w:t>
        <w:br/>
        <w:t xml:space="preserve">AS1755 – ATO CATANIA 2 – MANAGEMENT OF THE INTEGRATED WATER SERVICE 9  </w:t>
        <w:br/>
        <w:t xml:space="preserve">UNFAIR COMMERCIAL PRACTICES 15  </w:t>
        <w:br/>
        <w:t xml:space="preserve">IP336 - ASUS ITALIA - FAILURE TO PROVIDE WARRANTY  </w:t>
        <w:br/>
        <w:t xml:space="preserve">Decision No. 29667 15  </w:t>
        <w:br/>
        <w:t xml:space="preserve">PS3764 - EDISON - UNREQUESTED ACTIVATIONS  </w:t>
        <w:br/>
        <w:t xml:space="preserve">Decision No. 29675 29  </w:t>
        <w:br/>
        <w:t xml:space="preserve">CONFLICT OF INTEREST 32  </w:t>
        <w:br/>
        <w:t>SI1105B - ALFONSO BONAFEDE - MINISTER OF JUSTICE - OPINION POST OFFICE</w:t>
      </w:r>
    </w:p>
    <w:p>
      <w:r>
        <w:t xml:space="preserve">BULLETIN NO. 23 OF JUNE 7, 2021 5  </w:t>
        <w:br/>
        <w:t xml:space="preserve">AGREEMENTS AND ABUSE OF DOMINANT POSITION  </w:t>
        <w:br/>
        <w:t xml:space="preserve">A528 - FBA AMAZON  </w:t>
        <w:br/>
        <w:t xml:space="preserve">Decision No. 29674  </w:t>
        <w:br/>
        <w:t xml:space="preserve">THE ANTITRUST AUTHORITY  </w:t>
        <w:br/>
        <w:t xml:space="preserve">IN ITS MEETING of May 18, 2021;  </w:t>
        <w:br/>
        <w:t xml:space="preserve">HEARD the Rapporteur President Roberto Rustichelli;  </w:t>
        <w:br/>
        <w:t xml:space="preserve">HAVING REGARD to Article 102 of the Treaty on the Functioning of the European Union (TFEU);  </w:t>
        <w:br/>
        <w:t xml:space="preserve">HAVING REGARD to Regulation No. 1/2003 of the Council of December 16, 2002, concerning the application of the competition rules laid down in Articles 81 and 82 of the EC Treaty (now Articles 101 and 102 TFEU);  </w:t>
        <w:br/>
        <w:t xml:space="preserve">HAVING REGARD to Law No. 287 of October 10, 1990;  </w:t>
        <w:br/>
        <w:t xml:space="preserve">HAVING REGARD to the Presidential Decree No. 217 of April 30, 1998;  </w:t>
        <w:br/>
        <w:t xml:space="preserve">HAVING REGARD to the Commission Communication on cooperation within the network of competition authorities, of April 27, 2004;  </w:t>
        <w:br/>
        <w:t xml:space="preserve">HAVING REGARD to its Decision No. 27623 of April 10, 2019, which initiated an investigation pursuant to Article 14 of Law No. 287/90, against the companies Amazon EU S.à r.l., Amazon Services Europe S.à r.l., Amazon Europe Core S.à r.l., Amazon Italia Services S.r.l. and Amazon Italia Logistica S.r.l.;  </w:t>
        <w:br/>
        <w:t xml:space="preserve">HAVING REGARD to its Decision No. 28190 of March 17-18, 2020, with which it was resolved to extend the deadline for closing the procedure to November 20, 2020;  </w:t>
        <w:br/>
        <w:t xml:space="preserve">HAVING REGARD to its Decision No. 28439 of November 10, 2020, with which it was resolved to extend the deadline for closing the procedure to April 30, 2021;  </w:t>
        <w:br/>
        <w:t xml:space="preserve">HAVING REGARD to the Communication of the Investigative Findings, sent to the Parties on December 28, 2020;  </w:t>
        <w:br/>
        <w:t xml:space="preserve">HAVING REGARD to its Decision No. 28586 of February 23, 2021, with which it was resolved to extend the deadline for closing the procedure to May 31, 2021;  </w:t>
        <w:br/>
        <w:t xml:space="preserve">HAVING REGARD to the defensive memorandum submitted by the Parties on April 14 and 15, 2021;  </w:t>
        <w:br/>
        <w:t xml:space="preserve">HAVING REGARD to the acts of the procedure and the documentation acquired during the investigation;  </w:t>
        <w:br/>
        <w:t xml:space="preserve">HAVING REGARD to the observations presented by the Parties in their defensive memorandum and in the final hearing of April 19, 2021;  </w:t>
        <w:br/>
        <w:t>CONSIDERING that, in light of the considerations and exceptions raised by the Parties in their defensive memorandum and during the final hearing, the Manufacturing and Services - Competition Directorate should acquire further essential informational elements to understand the functioning of the Seller Fulfilled Prime program and clarify its suitability to influence the existence of the contested behaviors, taking into account its current characteristics and the organizational structure of the Amazon Group related to the provision of logistics services in Italy;</w:t>
      </w:r>
    </w:p>
    <w:p>
      <w:r>
        <w:rPr>
          <w:b/>
        </w:rPr>
        <w:t>[Pages 4–6]</w:t>
      </w:r>
    </w:p>
    <w:p>
      <w:r>
        <w:t>6 BULLETIN NO. 23 OF JUNE 7, 2021</w:t>
      </w:r>
    </w:p>
    <w:p>
      <w:r>
        <w:t>CONSIDERED, therefore, necessary that the Manufacturing and Services Directorate - Competition transmits to the Parties of the proceeding an integration of the Communication of Investigative Findings in order to allow them the full exercise of the right of defense, with all consequent measures;</w:t>
      </w:r>
    </w:p>
    <w:p>
      <w:r>
        <w:t>CONSIDERED, therefore, necessary to extend the deadline for the conclusion of the proceeding, currently set for May 31, 2021;</w:t>
      </w:r>
    </w:p>
    <w:p>
      <w:r>
        <w:t>RESOLVES</w:t>
      </w:r>
    </w:p>
    <w:p>
      <w:r>
        <w:t>a) that the Manufacturing and Services Directorate - Competition proceed to carry out the appropriate investigative deepening within the terms indicated above, providing to transmit to the Parties an integration of the Communication of Investigative Findings in order to allow them the full exercise of the right of defense regarding the subject of the supplementary investigation;</w:t>
      </w:r>
    </w:p>
    <w:p>
      <w:r>
        <w:t>b) that the deadline for the conclusion of the proceeding is extended to November 19, 2021.</w:t>
      </w:r>
    </w:p>
    <w:p>
      <w:r>
        <w:t>This measure will be notified to the interested parties and published in the Bulletin of the Authority for Competition and the Market.</w:t>
      </w:r>
    </w:p>
    <w:p>
      <w:r>
        <w:t>THE SECRETARY GENERAL THE PRESIDENT</w:t>
      </w:r>
    </w:p>
    <w:p>
      <w:r>
        <w:t>Filippo Arena Roberto Rustichelli</w:t>
      </w:r>
    </w:p>
    <w:p>
      <w:r>
        <w:t>BULLETIN NO. 23 OF JUNE 7, 2021</w:t>
      </w:r>
    </w:p>
    <w:p>
      <w:r>
        <w:t>REPORTING AND ADVISORY ACTIVITIES</w:t>
      </w:r>
    </w:p>
    <w:p>
      <w:r>
        <w:t>AS1754 - DRAFT DECREE OF THE PRESIDENT OF THE REPUBLIC CONCERNING THE REGULATION OF THE SINGLE TELEMATICS REGISTER AND SIMPLIFICATION PROVISIONS REGARDING THE END-OF-LIFE VEHICLES' CESSATION FROM CIRCULATION</w:t>
      </w:r>
    </w:p>
    <w:p>
      <w:r>
        <w:t>Rome, April 26, 2021</w:t>
      </w:r>
    </w:p>
    <w:p>
      <w:r>
        <w:t>Ministry of Infrastructure and Sustainable Mobility</w:t>
      </w:r>
    </w:p>
    <w:p>
      <w:r>
        <w:t>With reference to the request for an opinion submitted by your Office on March 29, 2021, regarding the draft decree of the President of the Republic concerning the regulation of the single telematics register and simplification provisions regarding the cessation from circulation of end-of-life vehicles, the Authority intends to make the following observations pursuant to Article 22 of Law No. 287/90.</w:t>
      </w:r>
    </w:p>
    <w:p>
      <w:r>
        <w:t>The adoption of the measure constitutes implementation of Article 5, paragraph 10, of Legislative Decree No. 209/2003, as amended by Legislative Decree No. 119/2020 concerning “Implementation of Article 1 of Directive (EU) 2018/849, which amends Directive 2000/53/EC on end-of-life vehicles,” which provides for the establishment, at the Data Processing Center of the General Directorate for Motorization of MIMS, of a “single telematics register” of end-of-life vehicles, “to be maintained in accordance with the provisions issued by decree of the President of the Republic to be adopted, upon proposal of the Ministry of Infrastructure and Transport, pursuant to Article 17, paragraph 1, of Law No. 400 of August 23, 1988.”</w:t>
      </w:r>
    </w:p>
    <w:p>
      <w:r>
        <w:t>The Authority, in acknowledging the expressed needs for coordination and simplification with respect to the current legislation, positively assesses the circumstance that the measure under examination expands the number of subjects authorized to electronically execute the procedure for the cancellation of end-of-life vehicles from the Public Automobile Register (PRA), allowing, in addition to the Telematic Motorist Desks (STA), also collection centers the ability to carry out this obligation (on their own behalf or on behalf of the dealer, the manager of the manufacturer's branch, or the car market).</w:t>
      </w:r>
    </w:p>
    <w:p>
      <w:r>
        <w:t>The present opinion will be published in the bulletin of the Authority for Competition and the Market. Any confidentiality needs must be communicated to the Authority within thirty days of receiving this opinion, specifying the reasons.</w:t>
      </w:r>
    </w:p>
    <w:p>
      <w:r>
        <w:t>THE PRESIDENT</w:t>
      </w:r>
    </w:p>
    <w:p>
      <w:r>
        <w:t>Roberto Rustichelli</w:t>
      </w:r>
    </w:p>
    <w:p>
      <w:r>
        <w:rPr>
          <w:b/>
        </w:rPr>
        <w:t>[Pages 7–9]</w:t>
      </w:r>
    </w:p>
    <w:p>
      <w:r>
        <w:t>BULLETIN NO. 23 OF JUNE 7, 2021</w:t>
      </w:r>
    </w:p>
    <w:p>
      <w:r>
        <w:t>AS1755 – ATO CATANIA 2 – MANAGEMENT OF THE INTEGRATED WATER SERVICE</w:t>
      </w:r>
    </w:p>
    <w:p>
      <w:r>
        <w:t>Rome, March 5, 2021</w:t>
      </w:r>
    </w:p>
    <w:p>
      <w:r>
        <w:t>Catania Territorial Water Assembly</w:t>
      </w:r>
    </w:p>
    <w:p>
      <w:r>
        <w:t>The Italian Competition Authority, in its meeting on March 3, 2021, resolved to express an opinion pursuant to Article 21-bis of Law No. 287 of October 10, 1990, regarding Resolutions Nos. 13 and 14, both adopted on December 17, 2020 by the Territorial Water Assembly (hereinafter also A.T.I.) of the Optimal Territorial Area - Catania 2 (hereinafter also A.T.O. - Catania), which respectively concern “Approval of the report pursuant to Article 34, paragraph 20, Decree-Law No. 179/2011 - Choice of the in-house management form” and “Approval of the ‘Action Plan and timeline for the identification of the Single Manager’.”</w:t>
      </w:r>
    </w:p>
    <w:p>
      <w:r>
        <w:t>Both decisions in question are part of the process undertaken for over fifteen years in the Catania A.T.O. to achieve, as mandated by state and regional regulations, the integrated and single management of water services. In the territory in question, in fact, the provision of these services is still characterized by extreme fragmentation and heterogeneity of management, considering the high number of operators responsible for their supply, either integrated or only partial. The A.T.I., with the resolutions in question, has ultimately opted for the direct in-house assignment of the Integrated Water Service (S.I.I.) in favor of a newly established consortium company, while the previous Governing Body had, in 2004, chosen to award the contract to a public-private company with a minority private partner to be selected through a so-called dual-object tender, the outcome of which has been the subject of a complex litigation that is not yet concluded.</w:t>
      </w:r>
    </w:p>
    <w:p>
      <w:r>
        <w:t>The current choice of the form of assignment of the S.I.I. in the Catania A.T.O. was, in turn, preceded by a transitional phase (so-called safeguarding), decided in 2018 and originally lasting until December 31, 2020, during which a process of merging the current managements was to be realized in light of their continuation until that deadline. During the safeguarding period, the approval of the area plan and, therefore, the choice of the form of assignment of the S.I.I. was also to be carried out. However, the expected aggregation processes did not occur within the stipulated time, and the A.T.I. therefore proceeded to extend the safeguarding period to December 31, 2023, and to approve the area plan that identified in-house assignment as the form of management of the S.I.I.</w:t>
      </w:r>
    </w:p>
    <w:p>
      <w:r>
        <w:t>In this context, Resolution No. 13/2020 under examination intervened to approve the choice of in-house assignment (as provided for by the area plan) and the related report pursuant to Article 34, paragraph 20, Decree-Law No. 179/2011, specifying that the Economic and Financial Plan (already approved within the area plan) constitutes an integral part thereof and also taking note of its subsequent validation.</w:t>
      </w:r>
    </w:p>
    <w:p>
      <w:r>
        <w:t>The simultaneous Resolution No. 14/2020, on the other hand, approved the timeline for the implementation of the planned unitary management of the S.I.I., providing for the start, by December 31, 2020, by the four public S.I.I. managers, of the establishment of the consortium company Catania Nord Acque; its completion with the entry into its social structure of all municipalities included in the A.T.O. (by June 30, 2021); the signing of the related Convention with the A.T.I. (by August 31, 2021); and the transfer in its favor of the networks and plants by the existing managers (by December 21, 2023).</w:t>
      </w:r>
    </w:p>
    <w:p>
      <w:r>
        <w:t>The Authority, regarding these last Resolutions, intends to make the following considerations, primarily concerning the report pursuant to Article 34, paragraph 20, Decree-Law No. 179/2012, approved with Resolution A.T.I. No. 13/2020. It is noted that an internal regulation that provides for more restrictive legitimacy conditions for in-house providing compared to the minimum requirements imposed by EU law is neither contrary to EU law nor to national law. This report appears solely based on the principle that in-house assignment would be ontologically the best form of assignment of the S.I.I., as it would best reconcile service management based on the requirements of efficiency, effectiveness, and economy with the goal of pursuing the common good, since, like all local public services, the S.I.I. “is situated in an intermediate zone between economic activities to be managed according to efficiency standards and within a competitive context and non-economic activities to be managed in function of the general interest and in view of objectives of social or territorial cohesion of distributive equity, etc.”</w:t>
      </w:r>
    </w:p>
    <w:p>
      <w:r>
        <w:t>The report also emphasizes the need to take into account the particular territorial arrangement of the Catania A.T.O., which is divided into two geographically and hydrologically distinct areas, and the consequent current significant vertical and horizontal fragmentation of the S.I.I. to infer, without further analysis, the outright unattractiveness of its management by private entities.</w:t>
      </w:r>
    </w:p>
    <w:p>
      <w:r>
        <w:t>The document further argues the preference given to in-house management by merely emphasizing the clause of the obligation to reinvest net profits provided for by the Statute of the newly established consortium company, as well as the advantage for a single incoming in-house entity of not being bound by the so-called social clause, and finally, a supposed statistical evidence regarding the emergence of conflicts between private and public partners in the case of management through a mixed company, without, however, justifying why these circumstances should bring about efficiencies certainly greater than those achievable by seeking alternative offers in the market, failing to conduct a real comparison in this regard or explain the reasons why such a comparison is, in fact, impossible.</w:t>
      </w:r>
    </w:p>
    <w:p>
      <w:r>
        <w:t>Regarding the assessment, pursuant to Article 192, paragraph 2, Legislative Decree No. 50/2016, of the economic adequacy of in-house assignment compared to alternative management forms (i.e., tender and dual-object tender), the constitutionality of which, as well as its compliance with EU law, is definitively uncontested by the Constitutional Court (Judgment No. 100/2020) and by the Court of Justice of the European Union (Order of February 6, 2020, in the joined cases C-89/19 to C-91/19), the report merely presents a simulation of the management development of the assignment that would be deemed capable of ensuring the achievement of the objectives underlying the choice of in-house management, and this, while admitting that the new manager would be the aggregation of a mix of operators with very different organizational models that have never had an industrial management of the service of adequate scale and that come from experiences that are even only municipal. The “assessment of the economic adequacy of the offer of in-house entities with regard to the value and object of the performance of the reasons for the lack of recourse to the market” completely disregards any comparative analysis between the economic conditions of in-house management and those obtainable through alternative management forms, limiting itself to reiterating principle petitions regarding the preferability of the chosen model and the particularities that have historically characterized the management of water services in the reference territory; it is noted in this regard that these latter, although they constitute evaluative elements to be considered, cannot be the only relevant element to justify the lack of recourse to the market.</w:t>
      </w:r>
    </w:p>
    <w:p>
      <w:r>
        <w:t>In conclusion, the Authority believes that the chosen assignment lacks the necessary requirements to be considered legitimate, given the substantial failure to meet the obligations of analytical motivation regarding the preferability of the choice made as provided by current regulations.</w:t>
      </w:r>
    </w:p>
    <w:p>
      <w:r>
        <w:t>From another perspective, there is also questionable legitimacy regarding the presence of all the constitutive elements of the so-called in-house providing model, especially concerning the requirement of joint analogous control, since the Statute of the new consortium company designated for in-house assignment does not provide anything in this regard.</w:t>
      </w:r>
    </w:p>
    <w:p>
      <w:r>
        <w:t>In even more general terms, the legal nature of the new entity (consortium) and its corporate purpose raise doubts about the very possibility of qualifying it as the single manager of the S.I.I. in the Catania A.T.O., as it seems rather (as is typical of the nature of consortia) an instrument to allow the current public managers of the S.I.I. to continue managing distinct territorial portions of the S.I.I. on their own, after having incorporated the existing economic managements and evidently also those managed by the S.I.E., a public-private mixed company with the selection of the private partner through a dual-object tender. The new consortium, in fact, has the task of promoting design, organization, and management development initiatives in the interest and on behalf of the members concerning all activities included in the management of the S.I.I., as well as carrying out any operation suitable for the best efficiency of the activities of the members and their coordination. Therefore, from the above, the four consortium companies would seem to remain</w:t>
      </w:r>
    </w:p>
    <w:p>
      <w:r>
        <w:rPr>
          <w:b/>
        </w:rPr>
        <w:t>[Pages 10–12]</w:t>
      </w:r>
    </w:p>
    <w:p>
      <w:r>
        <w:t>12 BULLETIN NO. 23 OF JUNE 7, 2021</w:t>
      </w:r>
    </w:p>
    <w:p>
      <w:r>
        <w:t>nevertheless individually active in the management of the Integrated Water Service (S.I.I.) in violation of the principle of the uniqueness of the management of the service itself, which would therefore only be fictitiously respected.</w:t>
      </w:r>
    </w:p>
    <w:p>
      <w:r>
        <w:t>Finally, the reasoning contained in the report supporting the already decided technical extension, until December 31, 2023, of the ongoing managements also appears questionable, considering that the institution of the technical extension is provided for, within public contracts, solely to allow, without interruption of service, the transition from one operator to another and, therefore, as an institution intrinsically exceptional and temporary.</w:t>
      </w:r>
    </w:p>
    <w:p>
      <w:r>
        <w:t>The report, in fact, although it appears aware of the limits and the exceptional nature of the institution of the extension of assignments, retrieves in its support the apodictic and generic reasons used to justify the choice of in-house providing, such as: the morphology of the territory, the pending disputes, the need to reorganize an extremely fragmented management of the S.I.I. both in its provision and in the number of operators. The report, therefore, does not seem capable of overcoming the evidence that, in this case, the use of the institution of the technical extension has been bent to the need to support, in any case, the choice of the unique in-house management of the S.I.I. regarding which, however, the same report has - as mentioned - motivated in a substantially a priori manner and disregarding an actual comparison with the market (which, however, already in 2004, when the Administration chose the assignment through a so-called dual-object tender, demonstrated to be a completely feasible alternative). The same A.T.I., moreover, has already shown that it was unable to meet the deadlines originally set in 2018, which also presupposed the so-called safeguard (essentially the extension) of the ongoing managements, for which it should, on the contrary, have fully assessed their compliance with the regulations in force at the time and, if necessary, their cessation ex lege, pursuant to Article 172 of the Consolidated Environmental Act (T.U.A.).</w:t>
      </w:r>
    </w:p>
    <w:p>
      <w:r>
        <w:t>Additionally, due to the ongoing litigation regarding the legitimacy of the previous assignment to the S.I.E. company, the latter will continue until December 31, 2023, to manage the S.I.I. in seven municipalities of the A.T.O. based on a legally still controversial title.</w:t>
      </w:r>
    </w:p>
    <w:p>
      <w:r>
        <w:t>The Authority therefore believes that the Resolution of A.T.I. Catania No. 13 of December 17, 2020, is not compliant with the regulations regarding in-house providing as outlined by national legislation, with particular reference to the obligations of reinforced motivation provided, for pro-competitive purposes and to counter "the abuse of this institution by national and local administrations," by Article 34 of Decree Law No. 179/2012 and by Article 192, paragraph 2, of Legislative Decree No. 50/2016. The Resolution also appears to present aspects of illegitimacy, due to a lack of adequate motivation, also in relation to the general prohibition of extending assignments not strictly instrumental to allow, in any case, the timely transition between the outgoing and incoming operator.</w:t>
      </w:r>
    </w:p>
    <w:p>
      <w:r>
        <w:t>In this specific case, moreover, the Administration has already demonstrated its inability to meet, aside from any consideration of its legitimacy, the deadlines for the realization of a project for convergence towards the unique and integrated management of water services in the area of competence, which already presupposed the two-year extension of the ongoing managements that are now intended to be extended for an even longer period.</w:t>
      </w:r>
    </w:p>
    <w:p>
      <w:r>
        <w:t>The represented defects consequently extend to the simultaneous Resolution of A.T.I. Catania No. 14 of December 17, 2020, which defines the timeline for the transition to the unique management of the S.I.I. in the A.T.O. This Resolution, in fact, is based on the assumption of the choice made with the concurrent Resolution No. 13/2020 of a management model of the S.I.I. that appears inadequately motivated with respect to alternative choices and lacking its constitutive elements.</w:t>
      </w:r>
    </w:p>
    <w:p>
      <w:r>
        <w:t>Resolution No. 14/2020 also presumes the legitimacy of the technical extension of the ongoing managements, which, instead, does not appear to be supported, within the report approved with Resolution No. 13/2020, by a motivational framework capable of overcoming its legitimacy doubts.</w:t>
      </w:r>
    </w:p>
    <w:p>
      <w:r>
        <w:t>Pursuant to Article 21-bis, paragraph 2, of Law No. 287/1990, the Territorial Assembly of Catania must communicate to the Authority, within sixty days from the receipt of this opinion, the initiatives taken to remove the competition violations outlined above. If within the aforementioned period such initiatives do not prove to be compliant with the above-expressed competition principles, the Authority may file an appeal within the subsequent thirty days.</w:t>
      </w:r>
    </w:p>
    <w:p>
      <w:r>
        <w:t>for THE PRESIDENT</w:t>
      </w:r>
    </w:p>
    <w:p>
      <w:r>
        <w:t>the Member</w:t>
      </w:r>
    </w:p>
    <w:p>
      <w:r>
        <w:t>Michele Ainis</w:t>
      </w:r>
    </w:p>
    <w:p>
      <w:r>
        <w:t>_____________________________________________________________________</w:t>
      </w:r>
    </w:p>
    <w:p>
      <w:r>
        <w:t>Communication regarding the non-compliance of the Catania Territorial Water Assembly with the opinion rendered by the Authority, pursuant to Article 21-bis of Law No. 287/1990 concerning the Resolution of December 17, 2020, No. 13, concerning "Approval of the report pursuant to Article 34, paragraph 20, Decree Law No. 179/2011 - Choice of the in-house management form" and No. 14, concerning "Approval of the 'Action Plan and timeline for the identification of the Unique Manager'."</w:t>
      </w:r>
    </w:p>
    <w:p>
      <w:r>
        <w:t>The Authority for Competition and Market, in the meeting of May 11, 2021, decided to appeal before the competent Administrative Court against the Resolutions of the Territorial Water Authority of Catania ("A.T.I.") Nos. 13 and 14 of December 17, 2020 (with which, in particular, the in-house providing of the S.I.I. for the entire Catania A.T.O. in favor of a newly formed consortium company was approved), the related report, pursuant to Article 34, paragraph 20, Decree Law No. 179/2011, and the timeline for the implementation of the planned unified management of the S.I.I.</w:t>
      </w:r>
    </w:p>
    <w:p>
      <w:r>
        <w:t>The Authority, in relation to these Resolutions, had indeed decided, in the meeting of March 3, 2021, to send to the A.T.I. a reasoned opinion, pursuant to Article 21-bis, Law No. 287/1990, aimed at highlighting, regarding Resolution No. 13/2020, the substantial non-compliance with the obligations of analytical motivation imposed on the administration pursuant to Article 34, paragraph 20, Decree Law No. 138/2012 and Article 192, paragraph 2, Legislative Decree No. 50/2016, and some critical issues regarding the use of the in-house providing model for the assignment of the S.I.I. to the newly formed consortium company. The Authority also considered that the represented defects extended to the simultaneous Resolution of A.T.I. Catania No. 14/2020 defining the timeline for the transition to the unique management of the S.I.I. in the Catania A.T.O.</w:t>
      </w:r>
    </w:p>
    <w:p>
      <w:r>
        <w:t>The A.T.I., following the receipt of the reasoned opinion, transmitted, on May 4, 2021, its replies to the observations raised in the opinion itself, which the Authority did not consider adequate to overcome the disputes raised. The A.T.I., in fact, limited itself to deferring to the individual local authorities that will be its members the solution to the problem of the actual correspondence of the consortium company (to which it has entrusted the management of the S.I.I. in the Catania A.T.O.) to the in-house providing model. Nor did the A.T.I. provide any response to overcome the doubts raised in the reasoned opinion regarding the very suitability of a consortium company to meet the regulatory obligation of managing the S.I.I. by a single operator for the entire A.T.O.</w:t>
      </w:r>
    </w:p>
    <w:p>
      <w:r>
        <w:t>Regarding the reasons supporting the preference given to the in-house providing management form over the alternatives of a tender or the so-called dual-object tender, the A.T.I. firstly referred to a previous failed experience of awarding to a mixed company with an operational private partner selected through a tender, which, in reality, was never concretely implemented. The A.T.I. also produced an in-depth analysis conducted by an economic consultancy firm regarding the alleged greater economic efficiency of the in-house assignment choice compared to other forms of assignment, regarding which it is observed not only the scant evidential weight of motivations provided ex post regarding a choice already made but also the existence of some methodological doubts, particularly with reference to both the absence of a relevance assessment of the criteria with which the A.T.O.s subject to comparison were chosen and the fact that the revenues and costs attributed to the in-house consortium company in the Economic Financial Plan (used for the economic comparison with the different assignment choices made by the other A.T.O.s subject to comparison) are the result of mere estimates.</w:t>
      </w:r>
    </w:p>
    <w:p>
      <w:r>
        <w:t>The Authority, therefore, having noted the non-compliance by the A.T.I. of Catania with the aforementioned reasoned opinion, has decided to appeal the Resolution in question before the competent Administrative Court.</w:t>
      </w:r>
    </w:p>
    <w:p>
      <w:r>
        <w:rPr>
          <w:b/>
        </w:rPr>
        <w:t>[Pages 13–15]</w:t>
      </w:r>
    </w:p>
    <w:p>
      <w:r>
        <w:t>BULLETIN NO. 23 OF JUNE 7, 2021</w:t>
      </w:r>
    </w:p>
    <w:p>
      <w:r>
        <w:t>UNFAIR COMMERCIAL PRACTICES</w:t>
      </w:r>
    </w:p>
    <w:p>
      <w:r>
        <w:t>IP336 - ASUS ITALIA - FAILURE TO PROVIDE WARRANTY</w:t>
      </w:r>
    </w:p>
    <w:p>
      <w:r>
        <w:t>Provision No. 29667</w:t>
      </w:r>
    </w:p>
    <w:p>
      <w:r>
        <w:t>THE ANTITRUST AUTHORITY</w:t>
      </w:r>
    </w:p>
    <w:p>
      <w:r>
        <w:t>IN ITS MEETING of May 11, 2021;</w:t>
      </w:r>
    </w:p>
    <w:p>
      <w:r>
        <w:t>HEARD the Rapporteur Dr. Gabriella Muscolo;</w:t>
      </w:r>
    </w:p>
    <w:p>
      <w:r>
        <w:t>HAVING REGARD to Part II, Title III of Legislative Decree No. 206 of September 6, 2005, containing the "Consumer Code" and subsequent amendments (hereinafter, Consumer Code);</w:t>
      </w:r>
    </w:p>
    <w:p>
      <w:r>
        <w:t>HAVING REGARD, in particular, to Article 27, paragraph 12, of the Consumer Code, according to which in case of non-compliance with urgent measures or those prohibitory or for the removal of effects, the Authority applies an administrative pecuniary sanction from €10,000 to €5,000,000 and in cases of repeated non-compliance, the Authority may order the suspension of business activity for a period not exceeding thirty days;</w:t>
      </w:r>
    </w:p>
    <w:p>
      <w:r>
        <w:t>HAVING REGARD to Law No. 689 of November 24, 1981;</w:t>
      </w:r>
    </w:p>
    <w:p>
      <w:r>
        <w:t>HAVING REGARD to its resolution No. 28010 of November 27, 2019, with which the Authority found that the Italian company ASUSTeK Italy S.r.l. and the Dutch companies ASUS Europe B.V. and ASUS Holland B.V. (all belonging to the multinational group ASUS) engaged in the following unlawful conduct:</w:t>
      </w:r>
    </w:p>
    <w:p>
      <w:r>
        <w:t>1) inadequate information on legal and conventional warranty; 2) obstacles to the recognition of the warranty or imposition of an excessive wait for its provision, through the following behaviors: a) failure to recognize the warranty, using pretextual reasons and/or dilatory conduct and in particular through unsatisfactory responses (using standardized and irrelevant answers) to requests for intervention and consumer complaints; b) systematic recourse to repair, through repeated interventions that resulted in excessively long times, instead of replacement (Swap) or refund (Buy Back), these latter remedies used only as a last resort; c) failure to refund the purchase price of the product deemed irreparable within a reasonable time; 3) charging unjustified expenses to consumers for the provision of the legal warranty, through the request for payment of a lump sum in the face of the rejected estimate;</w:t>
      </w:r>
    </w:p>
    <w:p>
      <w:r>
        <w:t>HAVING REGARD to its resolution No. 28383 of October 13, 2020, with which the Authority contested to ASUS the violation of Article 27, paragraph 12, of the Consumer Code, for failing to comply with letter a) of the device of the aforementioned resolution No. 28010 of November 27, 2019;</w:t>
      </w:r>
    </w:p>
    <w:p>
      <w:r>
        <w:t>HAVING REGARD to its resolution of February 2, 2021, with which, pursuant to Article 7, paragraph 3, of the Regulation, it was ordered, in acceptance of the request of the Professional1, the extension to April 21, 2021, of the deadline for concluding the present procedure, in order to ensure adequate rights of defense;</w:t>
      </w:r>
    </w:p>
    <w:p>
      <w:r>
        <w:t>1 Communication prot. No. 15025 of January 21, 2021.</w:t>
      </w:r>
    </w:p>
    <w:p>
      <w:r>
        <w:t>HAVING REGARD to its resolution of March 30, 2021, with which, pursuant to Article 7, paragraph 3, of the Regulation, it was ordered, in acceptance of the request of the Professional2, the extension to May 11, 2021, of the deadline for concluding the present procedure, in order to ensure adequate rights of defense;</w:t>
      </w:r>
    </w:p>
    <w:p>
      <w:r>
        <w:t>HAVING REGARD to the acts of the procedure;</w:t>
      </w:r>
    </w:p>
    <w:p>
      <w:r>
        <w:t>CONSIDERING the following:</w:t>
      </w:r>
    </w:p>
    <w:p>
      <w:r>
        <w:t>I. THE PARTIES</w:t>
      </w:r>
    </w:p>
    <w:p>
      <w:r>
        <w:t>1. ASUSTeK Italy S.r.l. (hereinafter, "ASUSTeK Italy"), which carries out help desk and marketing activities on behalf of ASUS Europe B.V., and the Dutch companies ASUS Europe B.V. (hereinafter, "ASUS Europe"), which engages in wholesale trade and provision of after-sales services for electronic and IT products branded ASUS in the European market, is the sole shareholder of ASUSTeK Italy and holds all rights to the ASUS products marketed in Italy, and ASUS Holland B.V. (hereinafter, "ASUS Holland"), which manages the assistance activities for ASUS-branded products marketed in the European market, directly entering into service agreements with technical assistance centers and exercising broad decision-making and operational power over the methods of warranty provision.</w:t>
      </w:r>
    </w:p>
    <w:p>
      <w:r>
        <w:t>2. The three companies, all belonging to the multinational group ASUS, are hereinafter referred to collectively as "ASUS" or "the Professional".</w:t>
      </w:r>
    </w:p>
    <w:p>
      <w:r>
        <w:t>II. CLOSURE OF THE PS8161 PROCEDURE AND SUBSEQUENT DEVELOPMENTS</w:t>
      </w:r>
    </w:p>
    <w:p>
      <w:r>
        <w:t>3. With provision No. 28010 of November 27, 2019, closing the PS8161 procedure (hereinafter also "Provision"), the Authority found that ASUS engaged in the following unfair conduct, in violation of Articles 20, 21 paragraph 1, letters b), c) and g), 24 and 25 of the Consumer Code:</w:t>
      </w:r>
    </w:p>
    <w:p>
      <w:r>
        <w:t>1) inadequate information on the warranty: ASUS, on the one hand, did not clearly identify the warranty offered as a manufacturer as conventional and, on the other hand, did not correctly illustrate the rights recognized by the Consumer Code regarding the legal warranty, not adequately clarifying that these rights remain in any case unaffected even in the face of the conventional warranty; 2) obstacles to the recognition of the warranty or imposition of an excessive wait for its provision, through the following behaviors: a) failure to recognize the warranty, using pretextual reasons and/or dilatory conduct and in particular through unsatisfactory responses (using standardized and irrelevant answers) to requests for intervention and consumer complaints; b) systematic recourse to repair, through repeated interventions that resulted in excessively long times, instead of replacement (swap) or refund (Buy Back), these latter remedies used only as a last resort; c) failure to refund the purchase price of the product deemed irreparable within a reasonable time; 3) charging unjustified expenses to consumers for the provision of the legal warranty, through the request for payment of a lump sum in the face of the rejected estimate.</w:t>
      </w:r>
    </w:p>
    <w:p>
      <w:r>
        <w:t>2 Communication prot. No. 30739 of March 19, 2021.</w:t>
      </w:r>
    </w:p>
    <w:p>
      <w:r>
        <w:t>BULLETIN NO. 23 OF JUNE 7, 2021</w:t>
      </w:r>
    </w:p>
    <w:p>
      <w:r>
        <w:t>4. In light of these considerations, the Authority prohibited the further dissemination of the aforementioned commercial practice and ordered that the Professional communicate, within sixty days from the notification of the Provision, which took place on December 24, 2019, the initiatives taken in compliance with the aforementioned warning.</w:t>
      </w:r>
    </w:p>
    <w:p>
      <w:r>
        <w:t>5. In the compliance report, sent on May 5, 20203, as supplemented on August 21, 20204, ASUS communicated the measures adopted in execution of the aforementioned Provision:</w:t>
      </w:r>
    </w:p>
    <w:p>
      <w:r>
        <w:t>1) Improvement of the warranty information, through the description, in the new version of the "ASUS Warranty Information Form", of the contents of the two types of warranty ("Legal Warranty of the Seller" and "ASUS Commercial Warranty"), the reference to the applicable provisions of the Consumer Code for each, and, for the second, the general conditions and methods of provision by the manufacturer;</w:t>
      </w:r>
    </w:p>
    <w:p>
      <w:r>
        <w:t>2) Elimination of the unjustified charge of lump-sum expenses for the provision of the legal warranty in the face of the rejected estimate, through the suppression of the so-called retention and detention fees, previously charged to consumers requesting intervention under the legal warranty of conformity on products in the first six months of their life, as well as the provision of adequate information in this regard;</w:t>
      </w:r>
    </w:p>
    <w:p>
      <w:r>
        <w:t>3) Reduction of obstacles and delays in the provision of the warranty through modifications to internal company procedures related to the management of certified emails sent by customers5, the provision of refunds (Buy Back)6, and the replacement of defective products (Swap) in the case of a single repair lasting more than fifteen days or multiple returns of the same to the technical assistance center following the failure to restore conformity7.</w:t>
      </w:r>
    </w:p>
    <w:p>
      <w:r>
        <w:t>6. In light of the elements deducible from the aforementioned Compliance Report and some complaints received by the Authority, the continuation of the commercial practice subject to the Provision has emerged.</w:t>
      </w:r>
    </w:p>
    <w:p>
      <w:r>
        <w:t>3 Communication prot. No. 36739 of May 5, 2020.</w:t>
      </w:r>
    </w:p>
    <w:p>
      <w:r>
        <w:t>4 Communication prot. No. 64771 of August 21, 2020.</w:t>
      </w:r>
    </w:p>
    <w:p>
      <w:r>
        <w:t>5 The new procedure for managing reports and complaints, particularly those sent via certified email, in addition to abolishing the use of standardized responses to complaints and consumer requests, would provide for constant support to the consumer from the Service and Country Managers and the relevant departments and would allow identifying responses and solutions to the problems presented by customers within a period of three working days. The entire process would be managed not by the call center, but by employees of ASUSTeK Italy S.r.l. and in particular by a Service Manager tasked with constantly monitoring incoming certified emails and registered letters (the diagram in the compliance report also refers to different ways of contact by the consumer: "by mail, Pec or other contact way").</w:t>
      </w:r>
    </w:p>
    <w:p>
      <w:r>
        <w:t>6 ASUS communicated that it modified, starting from February 17, 2020, the procedure for providing refunds of the purchase price of the defective good through a Buy Back operation, in order to ensure the credit in favor of the customer in reduced times compared to the initiation of the procedure, managing to compress the related timing to seven working days as of April 28, 2020.</w:t>
      </w:r>
    </w:p>
    <w:p>
      <w:r>
        <w:t>7 Regarding the methods of repairing products under warranty, ASUS emphasized that the overall duration of a single repair of products by technical assistance centers would, by contract, not exceed fifteen working days. Furthermore, ASUS confirmed that it continues to apply the procedures in place since 2013, which would provide for cases of repairs taking longer than fifteen working days (ten days for notebooks) the direct refund of the price paid (Buy Back) or the replacement of the product (Swap). Additionally, it briefly described the new procedure applicable to the management of multiple returns of the defective product to the technical assistance center, stating that its replacement occurs immediately if expressly requested by the consumer or is proposed to them in the case of a third unsuccessful repair attempt, as an alternative to the latter remedy.</w:t>
      </w:r>
    </w:p>
    <w:p>
      <w:r>
        <w:rPr>
          <w:b/>
        </w:rPr>
        <w:t>[Pages 16–18]</w:t>
      </w:r>
    </w:p>
    <w:p>
      <w:r>
        <w:t>BULLETIN NO. 23 OF JUNE 7, 2021</w:t>
      </w:r>
    </w:p>
    <w:p>
      <w:r>
        <w:t>7. In particular, the measures proposed by ASUS did not appear sufficient to eliminate the profiles of unfairness already established in relation to the inadequate methods of providing warranty service on products, with particular reference to the obstructive and dilatory conduct adopted by the Professional to delay the adoption of a resolutive remedy for the products under assistance, through the extension of assistance times due to the recourse to repeated ineffective attempts to repair the product under warranty and the application of a corporate policy regarding the management of multiple returns for assistance, determined by repeated and unsuccessful attempts to repair the defect, which is substantially replicative of that already deemed incorrect in the Provision.</w:t>
      </w:r>
    </w:p>
    <w:p>
      <w:r>
        <w:t>8. Consequently, with resolution No. 28382 of October 13, 2020, the Authority contested to ASUS the non-compliance with Provision No. 28010 of November 27, 2019, pursuant to Article 27, paragraph 12, of the Consumer Code.</w:t>
      </w:r>
    </w:p>
    <w:p>
      <w:r>
        <w:t>9. At its request, ASUS accessed the documents of the procedure on October 28, 2020, and March 12, 2021, and was also heard in a hearing on January 8, 2021.</w:t>
      </w:r>
    </w:p>
    <w:p>
      <w:r>
        <w:t>10. Documented defensive observations were received from the Professional with subsequent communications on November 24, 2020, and January 11, 2021.</w:t>
      </w:r>
    </w:p>
    <w:p>
      <w:r>
        <w:t>11. On March 8, 2021, ASUS was informed of the deadline for submitting any concluding memoranda, set for March 28, 2021, subsequently extended to April 19, 2021. These memoranda were then received on April 20, 2021.</w:t>
      </w:r>
    </w:p>
    <w:p>
      <w:r>
        <w:t>III. THE OUTCOMES OF THE PROCEDURE</w:t>
      </w:r>
    </w:p>
    <w:p>
      <w:r>
        <w:t>12. The elements acquired within the procedure allowed for the ascertainment of the continuation of the unlawful conduct carried out by ASUS, consisting of adopting obstructive and dilatory behaviors to particularly delay the replacement (Swap) of products sent for assistance, extending the times through the recourse to repeated attempts to repair the product under warranty, in relation to the management of the issue of multiple returns, that is, the return for assistance of the same product following such ineffective restoration interventions.</w:t>
      </w:r>
    </w:p>
    <w:p>
      <w:r>
        <w:t>13. With reference to this last issue, it is worth recalling how in the closure provision of procedure PS8161 (in particular in points 42 and 52 et seq.) the centrality of the issue was extensively illustrated, due to the connection between the recourse to non-resolutive intervention methods and the consequent reiteration of repair attempts for the same product before the eventual choice of a satisfactory remedy for the customer, with the evident intent to contain costs.</w:t>
      </w:r>
    </w:p>
    <w:p>
      <w:r>
        <w:t>14. In this regard, it was reported that the documentation found during the inspections allowed for understanding how the criteria for choosing between repair and replacement were oriented towards this last purpose, identifying the most evident problem, in this respect, precisely in the repeated recourse to repair following multiple returns of the products determined, most often, by the non-resolutive nature of the assistance interventions. Indeed, internal communications within the group were found, in which the Professional invited the various interested structures to evaluate the possible adoption of cost containment measures intended, however, to negatively impact the performance of the warranty, to the detriment of the legitimate needs of consumers, such as, for example, the replacement of the product only after the fourth repair attempt.</w:t>
      </w:r>
    </w:p>
    <w:p>
      <w:r>
        <w:t>15. It emerged, also from the inspection documentation obtained during procedure PS8161, that ASUS was fully aware of this correlation between the adoption of low-quality, non-definitive repair methods effective only in the short term, and the consequent plurality of returns for assistance of the same product, identifying some cases of imperfect repairs carried out by the technical assistance centers (briefly CAT) and, therefore, likely to generate the need for further assistance interventions: “product assembly not performed according to the rules of art, including any scratches and/or missing keys not declared at the time of product acceptance by ASP” and “downgrade of the replaced spare parts in the repair process.” Moreover, it was highlighted how in such cases ASUS was entitled to transfer the economic burdens arising from the imperfect repair to the same CAT responsible for it.</w:t>
      </w:r>
    </w:p>
    <w:p>
      <w:r>
        <w:t>16. The corporate policy followed by ASUS regarding the now highlighted issue, sanctioned in the Provision, provided for the replacement of the product subject to repeated repair attempts only after (at least) the third intervention. In particular, the three returns guaranteed the automatic replacement of the product only if they occurred within a period of thirty calendar days (in which case the costs remained the responsibility of the CAT), while otherwise the possibility of replacement (Swap) was evaluated based on a particularly articulated and complex procedure, which involved various levels of the different companies of the ASUS group, up to the parent company, and the interested CATs: in this regard, procedure PS8161 allowed for ascertaining, based on consumer reports and complaints, and internal communications and instructions within the group, that often the option to replace the product was considered by the Professional well beyond the third repair and, normally, solely to avoid legal action by the customer.</w:t>
      </w:r>
    </w:p>
    <w:p>
      <w:r>
        <w:t>17. The Compliance Report submitted by ASUS provided scant indications on the changes made to the procedures now briefly recalled, limiting itself to specifying that “In the event that an ASP determines that there is a case of multiple returns of a product, the ASP is required to follow the instructions of the second-level team duly dedicated to this, in order to promptly close the procedure. In the event that the Customer requests the replacement of the product, the request is managed directly by a dedicated team (so-called escalation procedure). The team is responsible for carefully evaluating the product issue and the diagnosis of the ASP is described to the customer who can decide to proceed anyway with the repair request or with the other available remedies: the Swap or the Buy Back.”</w:t>
      </w:r>
    </w:p>
    <w:p>
      <w:r>
        <w:t>18. To illustrate the changes allegedly made, ASUS included in the Compliance Report a flowchart containing the description of the repair procedure in case of multiple returns, in which there remains an explicit reference to the third repair attempt as a prerequisite for replacement (“Is it the 3rd HW issue”), that is, as just reiterated, one of the central elements of the conduct censured in the Provision:</w:t>
      </w:r>
    </w:p>
    <w:p>
      <w:r>
        <w:rPr>
          <w:b/>
        </w:rPr>
        <w:t>[Pages 19–21]</w:t>
      </w:r>
    </w:p>
    <w:p>
      <w:r>
        <w:t>BULLETIN NO. 23 OF JUNE 7, 2021</w:t>
      </w:r>
    </w:p>
    <w:p>
      <w:r>
        <w:t>19. The scheme outlined above, applied in the case of multiple returns of a defective product, proves to be a mere simplification substantially replicative, on this specific point, of the procedure previously used and subject to verification in the investigative procedure PS8161; in particular, from this flowchart, it is inferred that the customer, if they have not initially expressed the choice for product replacement (a preference often determined, at a later stage, by the knowledge of the nature of the defect and the prolongation of the service intervention times or the ineffectiveness thereof), remains bound to the experiment of three attempts to</w:t>
      </w:r>
    </w:p>
    <w:p>
      <w:r>
        <w:t>20. repair, being precluded the possibility of requesting the Swap already following the first non-resolutive intervention. Therefore, from the same Compliance Report, it is evident the persistence of the critical issue represented by multi-repairs, which can extend the actual performance times of the warranty, as ASUS has not provided any evidence of having substantially and effectively modified the company policy in the case of multiple returns. Nor has the Professional provided any evidence that the customer is actually allowed a prior and binding choice between the available remedies (nor through what means such an option can be exercised) and that the replacement, even when expressly indicated by the consumer, is granted regardless of the prior experiment of the three attempts at repair (especially since the Report states that “In the event that the Customer requests the replacement of the product... the diagnosis of the ASP is described to the customer who can decide to proceed anyway with the request for repair or with the other available remedies: the Swap or the Buy Back”).</w:t>
      </w:r>
    </w:p>
    <w:p>
      <w:r>
        <w:t>21. On this point, ASUS, in the memorandum submitted on November 24, 2020, as well as during the hearing held on January 8, 2021, stated that it allows customers, following adequate information, to choose between the repair and replacement of the defective product, also specifying that it respects this choice.</w:t>
      </w:r>
    </w:p>
    <w:p>
      <w:r>
        <w:t>22. In light of this representation, however, the Professional has not produced any documentation capable of supporting the claims made and overcoming the issues arising from the description of the procedure included in the Compliance Report, as illustrated above, except for attaching to the final memorandum a communication dated January 15, 2021, sent by ASUS Holland to all retailers, all CATs, and ASUS customer care, in which the company recommends applying exclusively the remedy (replacement or repair) chosen by the consumer, unless informing the latter of any impossibility or excessive burden of the same and the consequent further options that can be exercised.</w:t>
      </w:r>
    </w:p>
    <w:p>
      <w:r>
        <w:t>23. In any case, the necessity to undergo three attempts at repair before allowing the choice of an alternative remedy, posing as an almost indispensable prerequisite, is likely to delay not only the replacement of the product but also the issuance of the refund of the purchase price of the defective good, despite the fact that this latter procedure in itself has been improved and made faster, as the potential Buy Back operation by ASUS, although potentially capable of allowing a significant reduction in the times for issuing the refund of the purchase price of the products, intervenes downstream of a process whose times are most often already extended by the aforementioned prior reiteration of non-resolutive repair attempts.</w:t>
      </w:r>
    </w:p>
    <w:p>
      <w:r>
        <w:t>24. In confirmation of what has been illustrated based on the Compliance Report, some reports received highlight the reiteration of the commercial practice subject to the Provision, with particular reference to the lengthening of assistance times due to the aforementioned reiteration of ineffective attempts to repair the product under warranty, based on the applied company policy. In particular, from these complaints, it emerges that the replacement continues to be de facto denied, even when expressly requested by the customer, in favor of multi-repairs.</w:t>
      </w:r>
    </w:p>
    <w:p>
      <w:r>
        <w:t>25. In fact, a consumer reported being informed by the seller of a personal computer brought in for assistance in June 2020 that ASUS conditions the possibility of replacing the product on the completion of at least three attempts at repair for the same problem and reserves sixty days to carry out the repair (in this case, between one repair and another, the product was held for forty-two days). Similarly, another reporter complained of having to resend their personal computer for assistance following its return with a missing component, remaining without it for about four months. Lastly, the owner of a micro-enterprise, who requested the performance of the legal warranty as a consumer, stated that she repeatedly contacted ASUS assistance to unsuccessfully request the replacement of her notebook (also complaining about the lack of possibility to opt for this remedy in advance) instead of an unproductive attempt at repair, being told over the phone that the requirements for the replacement of the product were not met, attaching to her complaint various certified emails and emails exchanged with ASUS and with the CAT that carried out the intervention.</w:t>
      </w:r>
    </w:p>
    <w:p>
      <w:r>
        <w:t>IV. THE ARGUMENTS OF THE PARTY</w:t>
      </w:r>
    </w:p>
    <w:p>
      <w:r>
        <w:t>26. In the memoranda and observations received on November 24, 2020, and January 11, 2021, as well as in the final memorandum received on April 20, 2021, ASUS has proposed arguments that can be summarized as follows:</w:t>
        <w:br/>
        <w:t>- the initiation of the non-compliance procedure would be completely unjustified, in light of the adequacy of the measures prepared by ASUS in compliance with resolution No. 28010 of November 27, 2019, and would be based on a misunderstanding of the procedure for managing multiple returns, which pertains to the allegedly residual hypothesis in which the same product returns to a CAT following unsuccessful repairs;</w:t>
        <w:br/>
        <w:t>- the non-compliance procedure would then be based on the erroneous assumption of the Authority's preference for the remedy of replacement over that of repair, a principle absent at both national and European levels and, indeed, contrary to the privilege granted in EU Directive 771/2019 to repair, considered a remedy more in line with environmental sustainability;</w:t>
        <w:br/>
        <w:t>- in any case, the consumer would be granted freedom of choice regarding the preferred remedy, between replacement and repair, following the correct information received, resulting in ASUS's consequent activity regarding the performance of the warranty being neutral with respect to the exercised option and, indeed, conditioned by it (thus, the repeated repair would conform to the customer's expressed desire to insist on the preference for this remedy and is almost exclusively determined by this option). This would be demonstrated by the numbers from 2020: over 3,600 replacements.</w:t>
      </w:r>
    </w:p>
    <w:p>
      <w:r>
        <w:rPr>
          <w:b/>
        </w:rPr>
        <w:t>[Pages 22–24]</w:t>
      </w:r>
    </w:p>
    <w:p>
      <w:r>
        <w:t>BULLETIN NO. 23 OF JUNE 7, 2021</w:t>
      </w:r>
    </w:p>
    <w:p>
      <w:r>
        <w:t>24 and repairs requested and obtained by consumers, over 2,000 carried out directly by retailers based on the DOA (Dead On Arrival) procedure (see infra) and almost 800 proactively suggested by ASUS to the customer;</w:t>
        <w:br/>
        <w:t>- ASUS, as the manufacturer, would improperly be the recipient of the Authority's intervention, on one hand, as it is not obliged to provide the legal warranty of conformity pursuant to Articles 128 et seq. of the Consumer Code and, on the other hand, as it lacks conditioning powers over the sellers (subjects obliged to provide such warranty under the aforementioned legislation), some of whom, moreover, during previous proceedings closed with commitments, the same Authority has endorsed the possibility of carrying out up to three repairs of products under warranty;</w:t>
        <w:br/>
        <w:t>- the procedure does not take into account the aforementioned DOA (Dead On Arrival) procedure, which would guarantee the prompt replacement of products for which the defect of conformity has manifested within seven days of purchase;</w:t>
        <w:br/>
        <w:t>- furthermore, a communication dated January 15, 2021 (produced by the Professional in attachment to the final memorandum), sent by ASUS Holland to all retailers, all CATs, and ASUS customer care, would be suitable to dispel the doubts expressed by the Authority regarding the actual choice granted to the consumer, and the consequent compliance by ASUS with the chosen remedy, in which the Professional recommends applying exclusively the remedy (replacement or repair) for which the consumer has opted, unless informing them of any impossibility or excessive burden thereof and the consequent further choices exercisable;</w:t>
        <w:br/>
        <w:t>- finally, the reports put forward by the Authority in support of its theses would be irrelevant either due to the lack of consumer quality on the part of the reporter or due to the inconsistency of the case.</w:t>
      </w:r>
    </w:p>
    <w:p>
      <w:r>
        <w:t>V. EVALUATIONS</w:t>
      </w:r>
    </w:p>
    <w:p>
      <w:r>
        <w:t>27. In light of the findings emerged in the procedure, it is believed that the behavior exhibited by the Professional constitutes non-compliance with letter a) of the resolution no. 28010 of November 27, 2019, as, based on the evidence acquired in the records, ASUS appears to have repeated conduct already deemed unlawful by the Authority pursuant to Articles 20, 24, and 25 of the Consumer Code.</w:t>
        <w:br/>
        <w:t>28. In particular, the same procedure succinctly described by ASUS in its Compliance Report reveals how the Professional has persisted and continues to persist, without interruption, in adopting, in relation to the management of the issue of multiple returns (that is, as reiterated, the return for assistance of the same product following repeated ineffective attempts to restore functionality), a corporate policy aimed at pursuing its own objectives, to the detriment of the prompt adoption of a remedy fully responsive to the needs and expectations of customers. In light of this blatant reiteration of a product replacement policy that clearly continues to be centered on the substantial indefeasibility of the prior experience of three non-resolutive repairs, the reports referred to by the Authority merely confirm what is already inferable from the information provided by ASUS itself.</w:t>
        <w:br/>
        <w:t>29. Consequently, the Professional reveals that it has not ceased, since the notification of the Provision on December 24, 2019, to adopt obstructive and dilatory conduct aimed at delaying and hindering the replacement of products sent for assistance. In fact, it is reiterated, as emerged from the same Compliance Report, that the Swap procedure following multiple returns of the defective product currently applied by ASUS, remaining substantially conditioned to the aforementioned necessity of first attempting at least three repair attempts, does not significantly differ from that already established as incorrect at the conclusion of the PS8161 procedure and is, therefore, still inadequate to overcome a profile of serious criticality consisting in the failure to provide suitable measures to ensure the provision of a resolutive remedy within a reasonable time.</w:t>
        <w:br/>
        <w:t>30. Such conduct is, therefore, likely to continue to significantly hinder the recognition of the warranty and prevent the exercise of the related rights owed to consumers, imposing long timelines for the satisfaction of their legitimate expectations. In this regard, the Professional has not provided evidence in support of its claims regarding the actual possibility for the customer to opt for the remedy of replacement and have their choice respected, except for the aforementioned communication dated January 15, 2021, sent by ASUS Holland to all retailers, all CATs, and ASUS customer care, in which the Professional recommends applying exclusively the remedy (replacement or repair) for which the consumer has opted, unless informing them of any impossibility or excessive burden thereof and the consequent further choices exercisable. However, this document, in addition to being prepared with considerable delay compared to the Compliance Report, on one hand does not specify the actual modalities through which the consumer can exercise their right to choose the remedy (not clarified by ASUS in any other way), on the other hand represents, conversely, an indication of the previous absence of precise and binding indications in this regard from the Professional: in this respect, the content of the aforementioned report regarding the policy of ASUS assistance centers to consider replacement only after the third ineffective repair, referred to and accepted by the retailer, appears to be corroborated.</w:t>
        <w:br/>
        <w:t>31. Moreover, a preliminary issue remains unclear: if the consumer was indeed granted the possibility to choose from the outset the replacement of the defective product and such choice had to be respected by the Professional and the relevant CATs, it would, in fact, be impossible for a product that, consistent with the unproven assumption of the Professional, should have been subject to replacement and not repair already at the outcome of the first request for warranty intervention, to return for assistance.</w:t>
        <w:br/>
        <w:t>32. Nor can decisive value be attributed to the various objections raised by the Professional in its final memorandum, such as the observations based on the numbers of replacements (calculated together with refunds) made in favor of Italian customers, considering that, against a total of just over 6,000 during the year 2020, within the PS8161 procedure, ASUS itself (specifically in response to the request for information of May 21, 2019) quantified the requests for warranty intervention in a total ranging between 100,000 and 200,000 for each of the years from 2015 to 2018 (see point 52 of the Provision).</w:t>
        <w:br/>
        <w:t>33. Likewise, the replacement procedure following multiple returns of the same product to the CATs cannot be considered merely residual (as the Professional does), as its centrality has been widely recalled in this context in the closing Provision of the PS8161 procedure, so much so that in the Compliance Report, ASUS specifically identified it as the subject of intervention. Conversely, the reference to the DOA procedure, ordinarily characterized by the immediate replacement of the product that has proven defective from the outset directly at the seller's expense, does not appear relevant.</w:t>
        <w:br/>
        <w:t>34. Regarding the complaints expressed by ASUS in the final memorandum concerning its quality as a manufacturer, not obliged to provide the legal warranty on its products, these appear merely replicative of those already presented during the PS8161 procedure, which have already been extensively addressed.</w:t>
        <w:br/>
        <w:t>35. Furthermore, the statements regarding the alleged preference of the Authority for the remedy of replacement over that of repair, as being more satisfactory, must be contextualized to the cases where resorting to the first remedy manages to guarantee the restoration of the defective product in a complete, direct, and quicker manner compared to a series of ineffective, exhausting, and time-consuming interventions.</w:t>
        <w:br/>
        <w:t>36. From the perspective of the alleged irrelevance of the reports considered by the Authority, it is worth reiterating that they serve as evidence of non-compliance, as stated de plano emerging from the procedure illustrated in the Report, but they are not necessary and indispensable for the initiation and verification of the same. Precisely considering the nature of the non-compliance procedure, since the reiteration of fruitless repair attempts instead of the replacement of the product, even in violation of the explicit request of the consumer, constitutes a critical point of the violations established in the PS8161 procedure, the burden of proof lies with the Professional to demonstrate compliance with the warning, through the modification of the practice that was subject to prohibition and sanction, showing that it grants the consumer an actual possibility of choice of the preferred remedy, through documentation of the procedure adopted in practice, of the instructions given to sellers, to the CATs.</w:t>
        <w:br/>
        <w:t>37. Conversely, ASUS has not proven that it has concretely adopted measures aimed at ensuring the adequacy, in terms of remedial effectiveness and reduction of timing, of the repair activities of defective products carried out by the CATs that full compliance with the Provision would have required: in this respect, the systematic recourse to repair, through repeated ineffective interventions that significantly extend the timelines for the provision of assistance, continues to constitute an obstacle to the recognition of the warranty and the related rights owed to consumers, highlighting a clear corporate policy centered on resorting to the replacement of the defective product only as a last resort, as a solution evidently less convenient for the Professional.</w:t>
        <w:br/>
        <w:t>38. In light of the above, it is believed that the behavior exhibited by the Professional constitutes non-compliance with the Authority's resolution no. 28010 of November 27, 2019, as it constitutes the reiteration of conduct referred to in letter a) of the device of the aforementioned resolution, in violation of Article 27, paragraph 12, of the Consumer Code.</w:t>
      </w:r>
    </w:p>
    <w:p>
      <w:r>
        <w:t>VI. QUANTIFICATION OF THE SANCTION</w:t>
      </w:r>
    </w:p>
    <w:p>
      <w:r>
        <w:t>39. Pursuant to Article 27, paragraph 12, of the Consumer Code, the Authority orders the application of an administrative pecuniary sanction from €10,000 to €5,000,000, taking into account the severity and duration of the violation.</w:t>
        <w:br/>
        <w:t>40. Regarding the quantification of the sanction, the criteria identified by Article 11 of Law No. 689/81 must be considered, as applicable, by virtue of the reference provided in Article 27,</w:t>
      </w:r>
    </w:p>
    <w:p>
      <w:r>
        <w:rPr>
          <w:b/>
        </w:rPr>
        <w:t>[Pages 25–27]</w:t>
      </w:r>
    </w:p>
    <w:p>
      <w:r>
        <w:t>BULLETIN NO. 23 OF JUNE 7, 2021</w:t>
      </w:r>
    </w:p>
    <w:p>
      <w:r>
        <w:t>paragraph 13, of the Consumer Code: in particular, the severity of the violation, the efforts made by the company to eliminate or mitigate the infringement, as well as the economic conditions of the company itself.</w:t>
      </w:r>
    </w:p>
    <w:p>
      <w:r>
        <w:t>41. Regarding the economic size of the Professional, the Annual Report shows that the ASUS group generated revenue of over 10 billion euros in 2019, a slight decrease compared to the previous year.</w:t>
      </w:r>
    </w:p>
    <w:p>
      <w:r>
        <w:t>42. With regard to the severity of the violation, account is taken of i) the type of infringements, characterized by a significant degree of offensiveness and a multi-offensive nature; ii) the extent of the economic harm caused to consumers, concerning the unavailability of the defective good.</w:t>
      </w:r>
    </w:p>
    <w:p>
      <w:r>
        <w:t>43. As for the duration of the violation, from the elements on record, the unlawful conduct described above, constituting non-compliance with resolution No. 28010 of November 27, 2019, as mentioned above, appears to have been adopted at least since December 24, 2019, the date of notification of the Measure, and is still ongoing.</w:t>
      </w:r>
    </w:p>
    <w:p>
      <w:r>
        <w:t>44. Based on these elements, it is deemed appropriate to determine the amount of the applicable administrative pecuniary sanction for the Professionals of the ASUS group at 1,500,000 €.</w:t>
      </w:r>
    </w:p>
    <w:p>
      <w:r>
        <w:t>45. Furthermore, considering that the companies involved in the proceedings belonging to the ASUS group perform specific functions related to the management of technical assistance services, repairs, and any replacements and refunds of ASUS-branded products under warranty, it is deemed necessary to apply the aforementioned sanctions jointly.</w:t>
      </w:r>
    </w:p>
    <w:p>
      <w:r>
        <w:t>All of the above having been stated and considered;</w:t>
      </w:r>
    </w:p>
    <w:p>
      <w:r>
        <w:t>RESOLVES</w:t>
      </w:r>
    </w:p>
    <w:p>
      <w:r>
        <w:t>a) that the behavior of the companies ASUSTeK Italy S.r.l., ASUS Europe B.V., and ASUS Holland B.V., consisting of violating resolution No. 28010 of November 27, 2019, constitutes non-compliance with the latter;</w:t>
      </w:r>
    </w:p>
    <w:p>
      <w:r>
        <w:t>b) to impose jointly on the companies ASUSTeK Italy S.r.l., ASUS Europe B.V., and ASUS Holland B.V. an administrative pecuniary sanction of 1,500,000 € (one million five hundred thousand euros).</w:t>
      </w:r>
    </w:p>
    <w:p>
      <w:r>
        <w:t>For professionals with legal headquarters in Italy, the imposed administrative sanction must be paid within thirty days from the notification of this measure, using the tax codes indicated in the attached F24 model with identifying elements, pursuant to Legislative Decree No. 241/1997. Payment must be made electronically with a debit from one's bank or postal account, through the home banking and CBI services provided by banks or Poste Italiane S.p.A., or by using the telematic services of the Revenue Agency, available on the website www.agenziaentrate.gov.it. For professionals with legal headquarters in a foreign state, the imposed administrative sanction must be paid within thirty days, via bank transfer (in euros) in favor of the State Budget, using the IBAN code IT04A0100003245348018359214 (BIC code: BITAITRRENT), which corresponds to the accounting triplet 18/3592/14.</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payment interest accrued during the same period.</w:t>
      </w:r>
    </w:p>
    <w:p>
      <w:r>
        <w:t>Immediate communication of the payment must be given to the Authority by sending the documentation certifying the payment made.</w:t>
      </w:r>
    </w:p>
    <w:p>
      <w:r>
        <w:t>This measure will be notified to the interested parties and published in the Bulletin of the Competition and Market Authority.</w:t>
      </w:r>
    </w:p>
    <w:p>
      <w:r>
        <w:t>Against this measure, an appeal may be submitted to the TAR of Lazio, pursuant to Article 135, paragraph 1, letter b), of the Administrative Procedure Code (Legislative Decree of July 2, 2010, No. 104), within sixty days from the date of notification of the measure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one hundred and twenty days from the date of notification of the measure itself.</w:t>
      </w:r>
    </w:p>
    <w:p>
      <w:r>
        <w:t>THE SECRETARY GENERAL THE PRESIDENT</w:t>
      </w:r>
    </w:p>
    <w:p>
      <w:r>
        <w:t>Filippo Arena Roberto Rustichelli</w:t>
      </w:r>
    </w:p>
    <w:p>
      <w:r>
        <w:t>BULLETIN NO. 23 OF JUNE 7, 2021</w:t>
      </w:r>
    </w:p>
    <w:p>
      <w:r>
        <w:t>PS3764 - EDISON-UNREQUESTED ACTIVATIONS</w:t>
      </w:r>
    </w:p>
    <w:p>
      <w:r>
        <w:t>Measure No. 29675</w:t>
      </w:r>
    </w:p>
    <w:p>
      <w:r>
        <w:t>THE COMPETITION AND MARKET AUTHORITY</w:t>
      </w:r>
    </w:p>
    <w:p>
      <w:r>
        <w:t>IN ITS MEETING of May 18, 2021;</w:t>
      </w:r>
    </w:p>
    <w:p>
      <w:r>
        <w:t>HEARD the Rapporteur Professor Michele Ainis;</w:t>
      </w:r>
    </w:p>
    <w:p>
      <w:r>
        <w:t>VIEWED Part II, Title III of Legislative Decree No. 206 of September 6, 2005, containing the "Consumer Code" and subsequent amendments (hereinafter, Consumer Code);</w:t>
      </w:r>
    </w:p>
    <w:p>
      <w:r>
        <w:t>VIEWED its measure No. 23011 of November 23, 2011, adopted at the conclusion of the investigative procedure related to case PS3764 - EDISON-UNREQUESTED ACTIVATIONS, with which it was resolved: (1) that Edison Energia S.p.A. engaged in two unfair commercial practices in violation of Articles 20, 24, 25, paragraph 1, letter a), and 26, paragraph 1, letter f), of the Consumer Code, consisting of: a) activating electricity and/or natural gas services without the signing of the contract or expression of will by consumers or based on false signatures; b) communicating misleading information in order to obtain the signing of electricity and natural gas supply contracts; (2) that due to the severity and duration of the violations found, it could be deemed appropriate to impose on Edison Energia S.p.A. an administrative pecuniary sanction of 180,000 € (one hundred eighty thousand) in relation to each of the two contested unlawful acts, for a total of 360,000 € (three hundred sixty thousand euros);</w:t>
      </w:r>
    </w:p>
    <w:p>
      <w:r>
        <w:t>VIEWED the ruling of the Council of State, Section VI, of January 14, 2021, No. 665, published on January 22, 2021 (hereinafter also referred to as "the Ruling"), with which part of the appeal of Edison Energia S.p.A. was upheld and, as a result, the contested ruling of the TAR Lazio, Section I, No. 8699/2018, was reformed – limited to the determination of the amount of the sanction;</w:t>
      </w:r>
    </w:p>
    <w:p>
      <w:r>
        <w:t>VIEWED, in particular, the reasoning of this ruling of the Council of State which, in partial acceptance of the appeal presented by Edison Energia S.p.A., shared the appellant's observations regarding (i) the measures taken by the Company to remedy, albeit only retrospectively, the aggressive conduct of its agents (consisting of allowing even late exercise of the right of reconsideration as well as the disavowal of the expression of will by the customer, with costs borne by the Company): (ii) the frequency and overall incidence of the contested conduct in the market. In particular, regarding point (i), the Ruling notes that "These measures, although they do not exclude the existence of the unlawful act, must instead be considered for the calculation of the sanction, as indeed prescribed by the aforementioned Article 11 [Law No. 689/1981], which requires evaluating also 'the efforts made by the agent to eliminate or mitigate the consequences of the violation'"; with reference to point (ii), the Ruling highlights that "Indeed, the fact that the reports received by the competent Authority were 85 corresponds to just 0.028% of the new contracts signed in the period subject to investigation, must reasonably lead to a mitigation of the sanctioning treatment, revealing in fact how the serious practices, rightly sanctioned, were carried out, as far as it is known, in a limited number of cases."</w:t>
      </w:r>
    </w:p>
    <w:p>
      <w:r>
        <w:rPr>
          <w:b/>
        </w:rPr>
        <w:t>[Pages 28–30]</w:t>
      </w:r>
    </w:p>
    <w:p>
      <w:r>
        <w:t>BULLETIN NO. 23 OF JUNE 7, 2021</w:t>
      </w:r>
    </w:p>
    <w:p>
      <w:r>
        <w:t>30. ALSO NOTED that the Council of State has established that "the sanction must be reduced by 1/3 compared to the total imposed for the two contested offenses," ordering "that this ruling be executed by the administrative authority" in light of the aforementioned criterion;</w:t>
      </w:r>
    </w:p>
    <w:p>
      <w:r>
        <w:t>CONSIDERED that the Council of State, in exercising its jurisdiction on the merits, has identified a reduction of 1/3 compared to the total sanction imposed and that this criterion is precise, objective, and of automatic application, leaving no room for discretion in the implementation of the conforming obligation arising from the ruling to be executed;</w:t>
      </w:r>
    </w:p>
    <w:p>
      <w:r>
        <w:t>THEREFORE CONSIDERED that it is necessary to proceed, in compliance with the aforementioned ruling, to redetermine the amount of the sanction imposed by measure No. 23011, of November 23, 2011, against Edison Energia S.p.A., in accordance with the precise quantification parameter established therein;</w:t>
      </w:r>
    </w:p>
    <w:p>
      <w:r>
        <w:t>CONSIDERED that, in accordance with the indications of the administrative judge in the ruling in question, the sanction against Edison Energia S.p.A. "must be reduced by 1/3 compared to the total imposed for the two contested offenses" with measure No. 23011, of November 23, 2011;</w:t>
      </w:r>
    </w:p>
    <w:p>
      <w:r>
        <w:t>THEREFORE CONSIDERED that the final amount of the sanction against Edison Energia S.p.A., for the two unfair commercial practices established by measure No. 23011, of November 23, 2011, is determined to be €240,000 (two hundred forty thousand euros);</w:t>
      </w:r>
    </w:p>
    <w:p>
      <w:r>
        <w:t>All of the above having been stated and considered;</w:t>
      </w:r>
    </w:p>
    <w:p>
      <w:r>
        <w:t>RESOLVES</w:t>
      </w:r>
    </w:p>
    <w:p>
      <w:r>
        <w:t>that the administrative pecuniary sanction to be imposed on Edison Energia S.p.A., for the behaviors attributed to it in the Authority's measure No. 23011, of November 23, 2011, is redetermined to be €240,000 (two hundred forty thousand euros);</w:t>
      </w:r>
    </w:p>
    <w:p>
      <w:r>
        <w:t>This measure will be notified to the interested parties and published in the Bulletin of the Competition and Market Authority.</w:t>
      </w:r>
    </w:p>
    <w:p>
      <w:r>
        <w:t>BULLETIN NO. 23 OF JUNE 7, 2021</w:t>
      </w:r>
    </w:p>
    <w:p>
      <w:r>
        <w:t>31. Against this measure, an appeal may be submitted to the TAR of Lazio, pursuant to Article 135, paragraph 1, letter b), of the Code of Administrative Procedure (Legislative Decree No. 104 of July 2, 2010),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twenty days from the date of notification of the measure itself.</w:t>
      </w:r>
    </w:p>
    <w:p>
      <w:r>
        <w:t>THE SECRETARY GENERAL THE PRESIDENT</w:t>
      </w:r>
    </w:p>
    <w:p>
      <w:r>
        <w:t>Filippo Arena Roberto Rustichelli</w:t>
      </w:r>
    </w:p>
    <w:p>
      <w:r>
        <w:t>32. BULLETIN NO. 23 OF JUNE 7, 2021</w:t>
      </w:r>
    </w:p>
    <w:p>
      <w:r>
        <w:t>CONFLICT OF INTEREST</w:t>
      </w:r>
    </w:p>
    <w:p>
      <w:r>
        <w:t>SI1105B - ALFONSO BONAFEDE - MINISTER OF JUSTICE - POST-OFFICE OPINION</w:t>
      </w:r>
    </w:p>
    <w:p>
      <w:r>
        <w:t>Rome, April 28, 2021</w:t>
      </w:r>
    </w:p>
    <w:p>
      <w:r>
        <w:t>SUBJECT: Request for an opinion regarding the regime of post-office incompatibilities pursuant to Article 2, paragraph 4, of Law No. 215 of July 20, 2004, containing "Rules on the resolution of conflicts of interest," received on April 8, 2021.</w:t>
      </w:r>
    </w:p>
    <w:p>
      <w:r>
        <w:t>Honorable Sir,</w:t>
      </w:r>
    </w:p>
    <w:p>
      <w:r>
        <w:t>on April 8, 2021, a note was received by the Authority in which Your Excellency requests an opinion regarding the interpretation of the regulations on post-office incompatibilities referred to in Article 2, paragraph 4, second sentence, of Law No. 215 of July 20, 2004, specifically regarding the possibility that you, having held the position of Minister of Justice until February 12, 2021, resume the practice of the legal profession.</w:t>
      </w:r>
    </w:p>
    <w:p>
      <w:r>
        <w:t>In relation to this request, the Authority, in its meeting on April 27, 2021, resolved the following opinion.</w:t>
      </w:r>
    </w:p>
    <w:p>
      <w:r>
        <w:t>The case must be evaluated in light of the combined provisions of the norms referred to in Article 2, paragraph 1, letter d) and Article 2, paragraph 4, of Law No. 215 of July 20, 2004. The first of the two cited provisions, in fact, prohibits the holder of the government position from "exercising professional or self-employment activities in matters related to the government position, of any nature, even if free of charge, in favor of public or private entities," while the second extends to the twelve months following the cessation of the government position, among others, the incompatibilities referred to in the aforementioned letter d) of paragraph 1, where such activities are carried out in favor of public law entities, including economic ones, as well as for profit companies operating mainly in sectors related to the position held.</w:t>
      </w:r>
    </w:p>
    <w:p>
      <w:r>
        <w:t>In this regard, the Authority has consistently held that the provision in Article 2, paragraph 4, Law No. 215/2004, is essentially intended to exclude even the mere possibility that the exercise of the powers inherent to the government position could be influenced or distorted by the holder's interest in pre-establishing future benefits, for example in terms of assignments following the cessation of the government position. In this sense, the element of discontinuity introduced by the legislator in the relationships between former office holders and the entities or companies that operate mainly in the sectors affected by the specific functions exercised during the government mandate is aimed at safeguarding the impartiality of public action, which represents the cornerstone principle of the conflict of interest regulations.</w:t>
      </w:r>
    </w:p>
    <w:p>
      <w:r>
        <w:t>In consideration of the above, it is represented that Your Excellency, for twelve months from the end of the government assignment, will not be able to practice as a lawyer against public law entities.</w:t>
      </w:r>
    </w:p>
    <w:p>
      <w:r>
        <w:rPr>
          <w:b/>
        </w:rPr>
        <w:t>[Pages 31–32]</w:t>
      </w:r>
    </w:p>
    <w:p>
      <w:r>
        <w:t>BULLETIN NO. 23 OF JUNE 7, 2021</w:t>
      </w:r>
    </w:p>
    <w:p>
      <w:r>
        <w:t>public entities, including economic ones, and profit-oriented companies, provided that such subjects carry out their predominant activity in sectors related to the institutional functions of the Ministry of Justice, as regulated by current legislation.</w:t>
      </w:r>
    </w:p>
    <w:p>
      <w:r>
        <w:t>In any case, you have the option to consult this Authority in advance regarding any issues or doubts that may arise concerning specific professional assignments you intend to undertake during the period of post-office incompatibility.</w:t>
      </w:r>
    </w:p>
    <w:p>
      <w:r>
        <w:t>It is hereby noted that this opinion, pursuant to Article 23, second paragraph of the Regulation on conflicts of interest, is subject to publication in the Authority's bulletin, except for "any confidentiality needs duly represented."</w:t>
      </w:r>
    </w:p>
    <w:p>
      <w:r>
        <w:t>You are therefore requested to communicate to this Authority, within 15 days from the receipt of the opinion, the existence of any confidentiality needs, providing specific reasons for them.</w:t>
      </w:r>
    </w:p>
    <w:p>
      <w:r>
        <w:t>Best regards.</w:t>
      </w:r>
    </w:p>
    <w:p>
      <w:r>
        <w:t xml:space="preserve">THE SECRETARY GENERAL </w:t>
        <w:br/>
        <w:t>Filippo Arena</w:t>
      </w:r>
    </w:p>
    <w:p>
      <w:r>
        <w:t xml:space="preserve">Antitrust Authority Weekly Bulletin </w:t>
        <w:br/>
        <w:t xml:space="preserve">of Competition and Market Year XXXI - No. 23 - 2021 </w:t>
        <w:br/>
        <w:t xml:space="preserve">Editorial Coordination Giulia Antenucci </w:t>
        <w:br/>
        <w:t xml:space="preserve">Editorial Team Valerio Ruocco, Simonetta Schettini, Manuela Villani </w:t>
        <w:br/>
        <w:t xml:space="preserve">Antitrust Authority </w:t>
        <w:br/>
        <w:t xml:space="preserve">Office of Statistics and IT Applications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