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https://www.agcm.it/dotcmsdoc/bollettini/2022/23-22.pdf</w:t>
      </w:r>
    </w:p>
    <w:p>
      <w:r>
        <w:t>Pages translated : 26</w:t>
      </w:r>
    </w:p>
    <w:p/>
    <w:p>
      <w:r>
        <w:rPr>
          <w:b/>
        </w:rPr>
        <w:t>[Pages 1–3]</w:t>
      </w:r>
    </w:p>
    <w:p>
      <w:r>
        <w:t>Bulletin</w:t>
        <w:br/>
        <w:t>Weekly</w:t>
        <w:br/>
        <w:t>Year XXXII - No. 23</w:t>
        <w:br/>
        <w:t>Published on the website www.agcm.it</w:t>
        <w:br/>
        <w:t>June 20, 2022</w:t>
      </w:r>
    </w:p>
    <w:p>
      <w:r>
        <w:t>SUMMARY</w:t>
        <w:br/>
        <w:t>CONCENTRATION OPERATIONS 5</w:t>
        <w:br/>
        <w:t>C12454 - CDP VENTURE CAPITAL-BPER BANCA/NEWCO</w:t>
        <w:br/>
        <w:t>Decision No. 30183 5</w:t>
        <w:br/>
        <w:t>REPORTING AND CONSULTATIVE ACTIVITIES 9</w:t>
        <w:br/>
        <w:t>AS1844 – MUNICIPALITY OF CUMIANA (TO) - PURCHASE OF SHARES IN THE ASMEL CONSORTIUM CENTRAL PURCHASING BODY 9</w:t>
        <w:br/>
        <w:t>UNFAIR TRADE PRACTICES 16</w:t>
        <w:br/>
        <w:t>PS11135 - EMERGENCY INTERVENTION 24H - VARIOUS CONDUCTS</w:t>
        <w:br/>
        <w:t>Decision No. 30184 16</w:t>
        <w:br/>
        <w:t>PS12185 NUTRISCORE DUKAN</w:t>
        <w:br/>
        <w:t>Notice of communication of the conclusion of the investigation phase and extension of the procedure deadline 22</w:t>
      </w:r>
    </w:p>
    <w:p>
      <w:r>
        <w:t>BULLETIN NO. 23 OF JUNE 20, 2022 5</w:t>
        <w:br/>
        <w:t>CONCENTRATION OPERATIONS</w:t>
        <w:br/>
        <w:t>C12454 - CDP VENTURE CAPITAL-BPER BANCA/NEWCO</w:t>
        <w:br/>
        <w:t>Decision No. 30183</w:t>
        <w:br/>
        <w:t>THE ANTITRUST AUTHORITY</w:t>
        <w:br/>
        <w:t>IN ITS MEETING of May 31, 2022;</w:t>
        <w:br/>
        <w:t>HEARD the Rapporteur, Professor Elisabetta Iossa;</w:t>
        <w:br/>
        <w:t>HAVING REGARD to Law No. 287 of October 10, 1990;</w:t>
        <w:br/>
        <w:t>HAVING REGARD to Presidential Decree No. 217 of April 30, 1998;</w:t>
        <w:br/>
        <w:t>HAVING REGARD to the communication from the companies CDP Venture Capital SGR S.p.A. and BPER Banca S.p.A. dated May 11, 2022;</w:t>
        <w:br/>
        <w:t>CONSIDERING the following:</w:t>
        <w:br/>
        <w:t>I. THE PARTIES</w:t>
        <w:br/>
        <w:t>1. CDP Venture Capital SGR S.p.A. (hereinafter, CDPVC) is a collective investment management company active in the management of mutual funds, including the reserved alternative investment fund called "Fondo Boost Innovation." CDPVC is indirectly controlled by Cassa Depositi e Prestiti S.p.A. (hereinafter, CDP) through the company CDP Equity S.p.A. CDP is a joint-stock company governed by Article 5 of Decree-Law No. 269/2003, which defines its functions, tasks, and organization. CDP is active, among other things, in financing, including through postal savings, public entities (territorial and non-territorial) and initiatives promoted by them, in acquiring stakes in companies of significant national interest, in financing works, plants, networks, and facilities intended for the provision of public services and remediation, in managing the stakes transferred from the Ministry of Economy and Finance (hereinafter, MEF) to CDP at the time of its transformation into a joint-stock company. From an accounting and organizational perspective, a distinction is made between the so-called separate management (for activities of general economic interest financed through state-guaranteed funds, for which, in general, pursuant to Article 5 of Decree-Law No. 269/2003, the MEF has the power of direction) and the so-called ordinary management (for activities financed through ordinary fundraising at market conditions, for which CDP has autonomous decision-making power compared to the MEF). In 2020, the CDP group achieved total revenue of approximately 29.4 billion euros, of which approximately 20.2 million euros from sales made in the European Union and approximately 18.8 million euros from sales made in Italy.</w:t>
        <w:br/>
        <w:t>1 CDPVC established on July 30, 2020, with a specific resolution of the Board of Directors, the closed-end reserved Italian Alternative Investment Fund called "Fondo Boost Innovation." CDPVC carries out the management, control, and operation of the "Fondo Boost Innovation" and, therefore, determines its policy, its investments, and in general all activities functional to achieving the fund's purpose.</w:t>
      </w:r>
    </w:p>
    <w:p>
      <w:r>
        <w:rPr>
          <w:b/>
        </w:rPr>
        <w:t>[Pages 4–6]</w:t>
      </w:r>
    </w:p>
    <w:p>
      <w:r>
        <w:t>6 BULLETIN NO. 23 OF JUNE 20, 2022</w:t>
      </w:r>
    </w:p>
    <w:p>
      <w:r>
        <w:t>2. BPER Banca S.p.A. (hereinafter, BPER) is a company listed on the Milan Stock Exchange, heading the banking group of the same name, active in offering banking, financial, and insurance services and products, with a widespread shareholding. BPER operates primarily in the traditional banking sector and, to a lesser extent, in investment banking, asset management, administered savings market, consumer credit, factoring and leasing, and payment services. The revenue generated by BPER in 2021, pursuant to Article 16, paragraph 2, of Law No. 287/90, amounted to approximately 13.6 billion euros, entirely realized in Italy.</w:t>
      </w:r>
    </w:p>
    <w:p>
      <w:r>
        <w:t>3. NEWCO is a newly established company aimed at developing a digital marketplace where accredited training entities can offer training and in-depth courses on digital/tech topics specifically targeted at SMEs and their employees, providing pathways for entry and re-entry. The transfer of assets from the parent companies to NEWCO is not planned. NEWCO has not yet generated any revenue.</w:t>
      </w:r>
    </w:p>
    <w:p>
      <w:r>
        <w:t>II. DESCRIPTION OF THE OPERATION</w:t>
      </w:r>
    </w:p>
    <w:p>
      <w:r>
        <w:t>4. The communication in question concerns the establishment of a joint venture (NEWCO) by CDPVC, on behalf of the mutual investment fund "Fondo Boost Innovation," and BPER. Following the operation, the share capital of NEWCO will be held by CDPVC and BPER with equal shares of 50%.</w:t>
      </w:r>
    </w:p>
    <w:p>
      <w:r>
        <w:t>5. The Board of Directors of NEWCO will consist of three members, one designated by CDPVC, one by BPER, and one by mutual agreement between the two partners. The Board of Directors will be vested with all powers of extraordinary and ordinary administration, except for the powers reserved by law and the bylaws to the shareholders' meeting. CDP Venture Capital SGR S.p.A. and Banca BPER S.p.A. will therefore have joint control of NEWCO.</w:t>
      </w:r>
    </w:p>
    <w:p>
      <w:r>
        <w:t>III. QUALIFICATION OF THE OPERATION</w:t>
      </w:r>
    </w:p>
    <w:p>
      <w:r>
        <w:t>6. The communicated operation, as it involves the acquisition of joint control of a newly established company, constitutes a concentration pursuant to Article 5, paragraph 1, letter c), of Law No. 287/90. It falls within the scope of application of Law No. 287/90, as the conditions set out in Article 1 of Regulation EC 139/2004 do not apply, and it is subject to the obligation of prior notification provided for by Article 16, paragraph 1, of the same law, as the total revenue generated in the last financial year at the national level by the group of companies involved exceeded 517 million euros and the total revenue generated in the last financial year at the national level individually by at least two of the companies involved exceeded 31 million euros.</w:t>
      </w:r>
    </w:p>
    <w:p>
      <w:r>
        <w:t>2 The main shareholders of BPER are the Fondazione di Sardegna (approximately 10%) and the Unipol Group (approximately 19%). The remaining part of the share capital is widespread, and there are no other shareholders holding shares of capital stock in amounts less than 3% of the same.</w:t>
      </w:r>
    </w:p>
    <w:p>
      <w:r>
        <w:t>BULLETIN NO. 23 OF JUNE 20, 2022</w:t>
      </w:r>
    </w:p>
    <w:p>
      <w:r>
        <w:t>IV. ASSESSMENT OF THE CONCENTRATION</w:t>
      </w:r>
    </w:p>
    <w:p>
      <w:r>
        <w:t>The product and geographical market</w:t>
      </w:r>
    </w:p>
    <w:p>
      <w:r>
        <w:t>7. According to the communication, from a commodity perspective, NEWCO will be active in offering a digital platform for accredited training entities that can use it for the management and provision of professional training courses.</w:t>
      </w:r>
    </w:p>
    <w:p>
      <w:r>
        <w:t>8. Based on national precedents, the market for professional training includes all activities and services related to the management and delivery of courses aimed at the professional training of employees of private or public entities.3 The characteristics of the two types of entities from which the demand originates - private and public - could lead to identifying, for the services provided to them, two distinct markets, but a more precise identification of the markets in this sense is not deemed necessary in this case. In fact, it would not change the assessment regarding the effects of the present operation. Similarly, it is not considered necessary, in this case, to distinguish between the activities for managing training services - even through digital platforms - and the actual training activities, as the assessment of the operation would not change.</w:t>
      </w:r>
    </w:p>
    <w:p>
      <w:r>
        <w:t>9. The geographical dimension of the professional training market is to be considered national, given the importance of the language in relation to the type of service provided and the necessity for the supplying companies to have a stable organization in the territory of the State.</w:t>
      </w:r>
    </w:p>
    <w:p>
      <w:r>
        <w:t>Effects of the operation</w:t>
      </w:r>
    </w:p>
    <w:p>
      <w:r>
        <w:t>10. According to the communication, CDPVC and BPER are not active in the professional training market in which NEWCO will operate, nor in markets located upstream or downstream of that market. NEWCO is also not attributed any share in the professional training market, being a new entrant operator.</w:t>
      </w:r>
    </w:p>
    <w:p>
      <w:r>
        <w:t>11. In light of the above considerations, the concentration in question does not appear to be likely to negatively impact the competitive dynamics of the relevant market.</w:t>
      </w:r>
    </w:p>
    <w:p>
      <w:r>
        <w:t>THEREFORE, it is deemed that the operation in question, consisting of the acquisition of joint control of NEWCO by CDPVC and BPER, does not entail, pursuant to Article 6, paragraph 1, of Law No. 287/90, the establishment or strengthening of a dominant position in the relevant markets;</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Minister of Economic Development.</w:t>
      </w:r>
    </w:p>
    <w:p>
      <w:r>
        <w:t>3 See, lastly, C12387 - Paganini Investments/Multidiversity, provision no. 29802 of August 3, 2021 in bulletin no. 34/2021.</w:t>
      </w:r>
    </w:p>
    <w:p>
      <w:r>
        <w:t>BULLETIN NO. 23 OF JUNE 20, 2022</w:t>
      </w:r>
    </w:p>
    <w:p>
      <w:r>
        <w:t>The provision will be published in the Bulletin of the Antitrust Authority.</w:t>
      </w:r>
    </w:p>
    <w:p>
      <w:r>
        <w:t>THE SECRETARY GENERAL THE PRESIDENT</w:t>
      </w:r>
    </w:p>
    <w:p>
      <w:r>
        <w:t>Guido Stazi Roberto Rustichelli</w:t>
      </w:r>
    </w:p>
    <w:p>
      <w:r>
        <w:rPr>
          <w:b/>
        </w:rPr>
        <w:t>[Pages 7–9]</w:t>
      </w:r>
    </w:p>
    <w:p>
      <w:r>
        <w:t>BULLETIN NO. 23 OF JUNE 20, 2022</w:t>
      </w:r>
    </w:p>
    <w:p>
      <w:r>
        <w:t>9</w:t>
        <w:br/>
        <w:t>REPORTING AND CONSULTATIVE ACTIVITIES</w:t>
        <w:br/>
        <w:t>AS1844 – MUNICIPALITY OF CUMIANA (TO) - PURCHASE OF SHAREHOLDINGS</w:t>
        <w:br/>
        <w:t>CENTRAL PURCHASING BODY ASMEL CONSORTILE</w:t>
        <w:br/>
        <w:t>Rome, February 28, 2022</w:t>
        <w:br/>
        <w:t>Municipality of Cumiana</w:t>
        <w:br/>
        <w:t>The Italian Competition Authority, in its meeting on February 22, 2022, decided to express an opinion pursuant to Article 21-bis of Law No. 287 of October 10, 1990, regarding the Resolution of the Municipal Council of Cumiana, No. 62 of December 20, 2021, concerning "Compliance pursuant to Article 37, paragraph 4, of Legislative Decree No. 50 of April 19, 2016 and subsequent amendments – Purchase of shareholdings in the company 'Asmel consortile s.c. a r.l.' – Adherence to the single central purchasing body," transmitted to the Authority on December 31, 2021, pursuant to Article 5, paragraph 3, of Legislative Decree No. 175/2016 (Consolidated Law on Publicly Held Companies – TUSPP).</w:t>
      </w:r>
    </w:p>
    <w:p>
      <w:r>
        <w:t>With this resolution, the Municipality decided to join Asmel consortile s.c. a r.l. (hereinafter also referred to as "Asmel") through the purchase of a shareholding amounting to € 1,174.80 for the purpose of conferring to said company the exercise of activities and functions of central purchasing bodies pursuant to Articles 37 and 38 of Legislative Decree No. 50/2016 (Public Contracts Code, hereinafter also CCP). In adopting this decision, the Municipality of Cumiana also acknowledged that Asmel consortile operates according to the in-house providing model. Furthermore, with the same resolution, the Municipality approved the Statute of Asmel, which expressly provides for the exercise of auxiliary purchasing services, referencing the relevant regulations (Article 3, paragraph 2, letter m), CCP).</w:t>
      </w:r>
    </w:p>
    <w:p>
      <w:r>
        <w:t>Asmel consortile is a company with 816 members, including hundreds of public entities holding minimal shareholdings (mostly municipalities, some public companies, and a few mountain unions and municipalities), as well as the companies Asmenet soc. cons. a r.l. and Asmenet Calabria soc. cons. a r.l., which are in turn participated by hundreds of public entities. The corporate purpose of Asmel consortile, pursuant to Article 2 of its corporate statute, consists of the exercise, throughout the national territory, of the activities and functions of a central purchasing body pursuant to Articles 37 and 38 of Legislative Decree No. 50/2016.</w:t>
      </w:r>
    </w:p>
    <w:p>
      <w:r>
        <w:t>Article 13 of the Statute of Asmel consortile ("Administration, joint control, and representation"), as approved by the Municipality of Cumiana, provides that "the administration of the company is entrusted to a board of directors, composed of three members appointed for an indefinite term. Two members are chosen by the assembly also from among non-members and one by the Asmez Consortium."</w:t>
      </w:r>
    </w:p>
    <w:p>
      <w:r>
        <w:t>With regard to the methods of exercising in-house providing, with the same resolution, the Municipality also approved the "Regulation for the activities of direction and joint analogous control over the company Asmel consortile s.c. a r.l.," which therefore forms an integral and substantial part of the resolution itself. This Regulation establishes a "Joint Control Board" (Article 2), composed of three local administrators from member entities, serving for three years (unless confirmed), chosen from within the social assembly.</w:t>
      </w:r>
    </w:p>
    <w:p>
      <w:r>
        <w:t>Pursuant to Article 1 of the Regulation, the Board and/or the members carry out activities of: direction (preventive control: receipt by the company of the documentation necessary for the adoption of decisions of primary relevance), monitoring (concurrent control: receipt by the company of updates on the management of the company and the entrusted services); verification (subsequent control: presentation by the company of the periodic report on the management of the company and the services performed, in order to allow the member entities to exercise the powers pursuant to Article 2422 and following of the Civil Code and the economic-financial control, to verify whether the economic-revenue results are in line with those expected, as well as to exercise control over corporate management "by verifying that the actions of the sole director are consistent with the resolutions and directions defined").</w:t>
      </w:r>
    </w:p>
    <w:p>
      <w:r>
        <w:t>Furthermore, pursuant to Article 5 of the Regulation, the Board exercises all control activities over the quality of administration and the budget, also through the exercise of direct inspection powers "over any act of the sole director"; periodically monitors "through the request for documents, periodic reports, or hearings of the sole director the state of implementation of management activities"; subsequently verifies that "the activity carried out by the sole director has been conducted in accordance with the directives given"; "makes available on the company's website," in a reserved manner to the members, the minutes and resolutions of its meetings; presents a "report on the activities carried out" at the end of the term of office.</w:t>
      </w:r>
    </w:p>
    <w:p>
      <w:r>
        <w:t>That said, also in light of the recent consolidated administrative jurisprudence, as well as the observations recently made by the National Anti-Corruption Authority (ANAC) regarding the Asmel association and the companies connected to it, the Authority deemed it appropriate to make the following considerations, similarly to what was already noted in the opinion issued on April 27, 2021, regarding a similar resolution adopted by the Municipal Council of Lavello.</w:t>
      </w:r>
    </w:p>
    <w:p>
      <w:r>
        <w:t>10</w:t>
        <w:br/>
        <w:t>BULLETIN NO. 23 OF JUNE 20, 2022</w:t>
      </w:r>
    </w:p>
    <w:p>
      <w:r>
        <w:t>First of all, Article 37, paragraph 4, CCP, provides that if the contracting authority is a municipality that is not a provincial capital, as in this case, among the various methods allowed for the acquisition of goods, services, or works, recourse to a central purchasing body or qualified aggregators is provided. Article 3, paragraph 1, letter i), CCP, therefore, defines a central purchasing body as "a contracting authority or a contracting entity that provides centralization of purchases and, where applicable, auxiliary purchasing activities."</w:t>
      </w:r>
    </w:p>
    <w:p>
      <w:r>
        <w:t>That said, the activity of a central purchasing body can be carried out, in addition to public entities, also by private entities, where the conditions for in-house awarding are met.</w:t>
      </w:r>
    </w:p>
    <w:p>
      <w:r>
        <w:t>As is known, for recourse to in-house providing - pursuant to Article 5 CCP - the simultaneous existence of the requirements of public participation, predominant activity, and analogous control to that exercised by the entity over its own administrative branches is necessary.</w:t>
      </w:r>
    </w:p>
    <w:p>
      <w:r>
        <w:t>Moreover, paragraph 5 of the aforementioned Article 5 provides that joint analogous control is exercised by an administration when all the following conditions are met: a) the decision-making bodies of the controlled legal entity are composed of representatives of all participating contracting authorities or contracting entities. Individual representatives may represent various or all participating contracting authorities or contracting entities; b) such contracting authorities or contracting entities are able to jointly exercise a decisive influence on the strategic objectives and significant decisions of said legal entity; c) the controlled legal entity does not pursue interests contrary to those of the contracting authorities or controlling contracting entities.</w:t>
      </w:r>
    </w:p>
    <w:p>
      <w:r>
        <w:t>In the case at hand, it should first be noted that, with regard to the board of directors of Asmel consortile, the provision of the aforementioned Article 13 of the Statute – whereby the appointment of one of the three members is assigned to an entity external to the social structure (Consorzio Asmez) while the other two may also be chosen from among non-members – appears to be in contrast with Article 5, paragraph 5, CCP, which provides that the social bodies must be composed of representatives of the contracting authorities.</w:t>
      </w:r>
    </w:p>
    <w:p>
      <w:r>
        <w:t>On this point, the Campania Regional Administrative Court, Salerno section, observed that "the administration of the company is entrusted to a board of directors whose composition shows ties with the promoting private entities, as it is composed of three members appointed for an indefinite term, two of whom are chosen by the assembly from among non-members and one designated by the Asmez consortium, a consortium made up of private companies (which still hold 30 percent of the shares) and in which local entities have only subsequently acquired participations."</w:t>
      </w:r>
    </w:p>
    <w:p>
      <w:r>
        <w:t>Furthermore, with regard to joint analogous control, it is noted that the Council of State, with judgment No. 6975/2020, deemed this requirement not satisfied in relation to Asmel consortile, observing that "even assuming recourse to private entities, it should, however, be about in-house organisms, whose activity is limited to the territory of the founding municipalities, whereas, in this case..."</w:t>
      </w:r>
    </w:p>
    <w:p>
      <w:r>
        <w:rPr>
          <w:b/>
        </w:rPr>
        <w:t>[Pages 10–12]</w:t>
      </w:r>
    </w:p>
    <w:p>
      <w:r>
        <w:t>12 BULLETIN NO. 23 OF JUNE 20, 2022</w:t>
      </w:r>
    </w:p>
    <w:p>
      <w:r>
        <w:t>In the case, the provision for authorization to perform the function of a central purchasing body at the national level would lack both the profile of analogous control and that of territorial limits.6 The Regional Administrative Court of Lombardy, Milan division, in judgment no. 240/2020, also specifically referring to Asmel, highlighted that "the participation of an extremely high number of associated municipalities (in the order of thousands, by the applicant's own admission) also implies that the individual small municipality associated with Asmel (Association) has a fragmented and diluted power as it is shared with an extremely high number of associates and, therefore, quite limited in the association's life concerning management directions, activities, the appointment of directors, etc.; It can be said that none of the municipalities adhering to the “Asmel system” (excluding the founding municipality) has the ownership of an effective control power over the Association and, therefore, over Asmel Società Consortile a r.l., that goes beyond “a purely formal presence in the composition of such entity.”</w:t>
      </w:r>
    </w:p>
    <w:p>
      <w:r>
        <w:t>That said, although, as highlighted by administrative jurisprudence (ex multis, see Council of State, judgment of January 23, 2019, no. 578), joint analogous control by a myriad of public members can be exercised, in the presence of certain circumstances, also through the provision of specific shareholders' agreements and/or the establishment of special bodies7, in the case at hand it is believed that the Committee for analogous control and the related “Regulation of activities of direction and joint analogous control over the Asmel consortile s.c. a r.l.”, as approved by the Municipality of Cumiana, cannot be considered sufficient instruments to meet the requirements set forth in the aforementioned Article 5, letters a) and b), of Legislative Decree no. 50/2016.</w:t>
      </w:r>
    </w:p>
    <w:p>
      <w:r>
        <w:t>In fact, firstly, regarding the composition of the committee, the circumstance that it is formed by only three members (among whom the same president is identified) in the face of thousands of members (considering also the indirectly associated entities through Asmenet s.c. a r.l. and Asmenet Calabria s.c. a r.l.) appears to be a critical element in terms of actual representativeness of the will of the entire membership. Furthermore, the regulation does not even provide for the possibility that the assembly revoke the appointment during the three years.</w:t>
      </w:r>
    </w:p>
    <w:p>
      <w:r>
        <w:t>6 On the subject of the territorial delimitation of the activities carried out by a central purchasing body, reference is made to what was established by the Court of Justice of the European Union in the judgment of June 4, 2020 (C-3/19, Asmel società consortile a r.l. against A.N.A.C. - National Anti-Corruption Authority) in the part where it stated that “A measure by which a Member State limits the territorial scope of operation of the central purchasing bodies to the respective territories of the local authorities that established them, in order to ensure that such central purchasing bodies act in the public interest of such authorities, and not in their own commercial interest, beyond such territories, must be considered consistent with Article 1, paragraph 10, of Directive 2004/18, which provides that a central purchasing body must have the quality of contracting authority and must, as such, meet the requirements set forth in Article 1, paragraph 9, of that directive.”</w:t>
      </w:r>
    </w:p>
    <w:p>
      <w:r>
        <w:t>7 The Court of Justice of the European Union has recognized as valid instruments for the exercise of joint analogous control (along with shareholders' agreements, judgment of November 29, 2012 in cases C-182/11 and 183/11, Econord) special bodies such as Joint Committees and Technical Committees (in the judgment of September 10, 2009 in case C-573/07, SEA) provided that: a) each public member has its own representative in them and that decisions are made with majorities formed by units and b) powers of control and management are provided that restrict the decision-making autonomy of the board of directors by imposing directions and prescriptions, as well as providing preventive advisory powers. In the SEA judgment, moreover, the CJEU noted that “To assess whether the contracting authority exercises on the awarded company a control analogous to that exercised on its own services, it is necessary to take into account all regulatory provisions and relevant circumstances. From this examination, it must emerge that the awarded company is subject to a control that allows the contracting authority to influence its decisions. It must be a possibility of determining influence both on the strategic objectives and on the important decisions of that company” (§ 65).</w:t>
      </w:r>
    </w:p>
    <w:p>
      <w:r>
        <w:t>In the second place, the control exercised through such a body is to be considered purely formal as it intervenes ex post with respect to the management activity, not allowing the concrete exercise of the analogous control required by law. The powers conferred to the committee, in fact, are not sufficient to influence the strategic choices of Asmel consortile and to express the common will of the members for the purpose of making “binding determinations for the administrative bodies”8, considering that the direction activity is limited to receiving documentation on the most relevant decisions by the company. The mere activity of monitoring and/or ex post control, therefore, cannot be considered by itself an element suitable to allow the public member to jointly exercise a dominant influence on the strategic objectives and the most significant decisions of the company. This assumption is supported by the aforementioned judgment no. 1/2021 of the Tar Salerno, in the part where it highlighted the absence of the requirement of joint analogous control by the member municipalities of Asmel as “the committee for analogous control indeed has only a formal role, which makes the members and the committee recipients of mere information, without any power of direction.”</w:t>
      </w:r>
    </w:p>
    <w:p>
      <w:r>
        <w:t>Moreover, in the absence of the prerequisites for in-house providing, it is to be believed that Asmel consortile cannot even be entrusted with auxiliary purchasing activities that, instead, pursuant to Article 39, paragraph 2, CCP can be entrusted to service providers following a competitive procedure, unless it is a sub-threshold assignment, pursuant to Article 36, letter a), CCP, as noted in the same judgment of the Tar Salerno.</w:t>
      </w:r>
    </w:p>
    <w:p>
      <w:r>
        <w:t>Although with the resolution in question the Municipality of Cumiana approved the Statute and the Regulation for analogous control containing the aforementioned provisions, it should be noted that on December 6, 2021, Asmel consortile partially amended both the Statute and the Regulation of activities of direction and joint analogous control over the Asmel consortile s.c. a r.l. In this regard, it is worth noting that some of the amendments made affect the described competitive criticalities for the existence of the requirement of joint analogous control.</w:t>
      </w:r>
    </w:p>
    <w:p>
      <w:r>
        <w:t>In particular, the new version of Article 13 of the Statute of Asmel consortile (“Administration, joint control, and representation”) now provides that “the administration of the company is entrusted to a board of directors, composed of three members appointed for an indefinite period.” Furthermore, the new version of Article 3 of the Regulation, concerning the composition of the Committee for analogous control, has increased the number of members of the Committee from 3 to 9 and has provided a mechanism for selecting the members (who can only be the legal representatives of the member municipalities) suitable to take into account the geographical areas and demographic characteristics of the local member entities, thus strengthening the representativeness of the members of the Committee. Finally, the system of controls dictated by the described Article 1 of the Regulation is integrated by the provisions of the new Article 7 of the Regulation (“Exercise of analogous control by the individual Member”), aimed at making effective the analogous control exercised by the individual member municipality over the services offered by Asmel, through the necessary determination to contract with which binding indications for Asmel are dictated and through the monitoring by the individual municipality of the activity carried out by Asmel in its favor.</w:t>
      </w:r>
    </w:p>
    <w:p>
      <w:r>
        <w:t>Despite these changes strengthening the necessary conditions for the exercise of joint analogous control, it is noted that the requirements for the exercise of the activity of a central purchasing body as an in-house subject are still not fully integrated. In fact, pursuant to Article 5, paragraph 5, letter a) of Legislative Decree no. 50/2016, it is necessary that it is expressly provided that the members of the board of directors are chosen only among the representatives of the administrations, while Article 13 of the Statute of Asmel consortile does not expressly provide for such a hypothesis; moreover, for the purposes of qualification as an in-house company, it would be appropriate that the territorial limits of the activity carried out, as well as the possibility of revocation of the appointment of a member of the committee by the assembly, are also explicitly stated.</w:t>
      </w:r>
    </w:p>
    <w:p>
      <w:r>
        <w:t>Lastly, it is noted that, where the Municipality intends to entrust these services to Asmel consortile directly and in compliance with the prerequisites of Article 36 CCP, it cannot require the payment of a fee by the awarded competitor for the provision of purchasing services, as this burden also affects the offer, as it “reduces the possibility for the same competitors to formulate their proposal in a fully free manner, affecting the ability to develop a technical and economic proposal that is a concrete expression of entrepreneurial choices constrained solely by the technical needs of the contracting authority, by the starting price formulated and by the conveniences of the same competitor” (Tar Campania, section detached from Salerno, judgment no. 1/2021).</w:t>
      </w:r>
    </w:p>
    <w:p>
      <w:r>
        <w:t>On this point, the Council of State, with judgment no. 3538 of May 6, 2021, also deemed the provision of such a burden among the clauses of the tender notices prepared by Asmel to be illegitimate “not so much, or not only, because it conflicts with Article 41, paragraph 2 – bis) of the public contracts code, […] but especially because it effectively imposes a burden on the private party in the absence of prior legal provision, as required by Article 23 of the Constitution.”9.</w:t>
      </w:r>
    </w:p>
    <w:p>
      <w:r>
        <w:t>In light of the above considerations, it is believed that the Resolution of the Municipal Council of Cumiana, no. 62 of December 20, 2021 violates Articles 5, paragraph 5, 38, and 39 of the CCP, as well as Article 2, paragraph 1, letters c) and d) of the TUSPP.</w:t>
      </w:r>
    </w:p>
    <w:p>
      <w:r>
        <w:t>Pursuant to Article 21-bis, paragraph 2, of Law no. 287/90, this Administration must communicate to the Authority, within sixty days from the receipt of this opinion, the initiatives taken to remove the competition violations outlined above. If within the aforementioned term such initiatives do not prove to be compliant with the competitive principles expressed above, the Authority may file an appeal within the following thirty days.</w:t>
      </w:r>
    </w:p>
    <w:p>
      <w:r>
        <w:t>9 On this point, reference is also made to judgment no. 8072 of December 6, 2021, of the Council of State in the part where it denied Asmel even the qualification as a public law body “due to the absence of both the teleological requirement (the carrying out of activities aimed at meeting general interest needs, having a non-industrial and commercial character), given the provision of the obligation on the awarded commercial operators to pay a fee for the purchasing services carried out by it, and that of dominant influence, lacking the so-called analogous control by the local authorities adhering.”</w:t>
      </w:r>
    </w:p>
    <w:p>
      <w:r>
        <w:rPr>
          <w:b/>
        </w:rPr>
        <w:t>[Pages 13–15]</w:t>
      </w:r>
    </w:p>
    <w:p>
      <w:r>
        <w:t>BULLETIN NO. 23 OF JUNE 20, 2022</w:t>
      </w:r>
    </w:p>
    <w:p>
      <w:r>
        <w:t>15</w:t>
        <w:br/>
        <w:t>This opinion will be published in the Bulletin of the Competition and Market Authority.</w:t>
      </w:r>
    </w:p>
    <w:p>
      <w:r>
        <w:t>THE PRESIDENT</w:t>
        <w:br/>
        <w:t>Roberto Rustichelli</w:t>
      </w:r>
    </w:p>
    <w:p>
      <w:r>
        <w:t>__________________________________________________________________________</w:t>
      </w:r>
    </w:p>
    <w:p>
      <w:r>
        <w:t>Press release regarding the non-compliance of the Municipality of Cumiana (Turin) with the motivated opinion expressed by the Authority pursuant to Article 21-bis of Law No. 287/1990 regarding the acquisition of a share of the capital of the company ASMEL Consortile a r.l.</w:t>
      </w:r>
    </w:p>
    <w:p>
      <w:r>
        <w:t>In its meeting on February 22, 2022, the Authority decided to send a motivated opinion pursuant to Article 21-bis of Law No. 287 of October 10, 1990, published above this communication, regarding the Resolution of the Municipal Council of Cumiana No. 62 of December 20, 2021, titled "Compliance pursuant to Article 37, paragraph 4, of Legislative Decree No. 50 of April 18, 2016 - Purchase of shares in the central purchasing body ASMEL Consortile a r.l. - Adherence to the single central purchasing body" (hereinafter also Resolution No. 62/2021 and ASMEL). In particular, the opinion highlighted that the acquisition by the Municipality of a share of participation (amounting to € 1,174.80) in ASMEL, as a central purchasing body pursuant to Articles 37 and 38 of the Public Contracts Code (hereinafter also Legislative Decree No. 50/2016 or Code), was not accompanied, despite some amendments made to the ASMEL statute and the Regulation on analogous control, by elements suitable to definitively eliminate the request for compensation from the awardee for the services of the single central purchasing body performed in favor of the member entities and, above all, to ensure the effective exercise of joint analogous control, pursuant to Article 5, paragraph 5, letter a) of Legislative Decree No. 50/2016. In fact, there was still a lack of an express provision that the members of the board of directors be composed of representatives of the administrations, as well as for the purposes of qualifying as in-house, the territorial limits of the activities carried out.</w:t>
      </w:r>
    </w:p>
    <w:p>
      <w:r>
        <w:t>In the motivated opinion sent on February 28 to the Municipality of Cumiana, the Authority noted that Resolution No. 62/2021 was harmful to competition, for violation of Articles 5, paragraph 5, 38, and 39 of Legislative Decree No. 50/2016, as well as Article 2, paragraph 1, letters c) and d) of the TUSPP.</w:t>
      </w:r>
    </w:p>
    <w:p>
      <w:r>
        <w:t>Within the time frame provided by Article 21-bis, the Municipality of Cumiana sent a note received on April 28, 2022, defending the full legitimacy of the resolution in question. Therefore, having noted the non-compliance of the administration with the motivated opinion sent on February 28 pursuant to Article 21-bis of Law No. 287/1990, the Competition and Market Authority, in its meeting on May 10, 2022, ordered the appeal before the TAR Piemonte of the aforementioned Resolution No. 62/2021.</w:t>
      </w:r>
    </w:p>
    <w:p>
      <w:r>
        <w:t>16 BULLETIN NO. 23 OF JUNE 20, 2022</w:t>
      </w:r>
    </w:p>
    <w:p>
      <w:r>
        <w:t>UNFAIR COMMERCIAL PRACTICES</w:t>
      </w:r>
    </w:p>
    <w:p>
      <w:r>
        <w:t>PS11135 - EMERGENCY INTERVENTION 24H - VARIOUS CONDUCTS</w:t>
      </w:r>
    </w:p>
    <w:p>
      <w:r>
        <w:t>Provision No. 30184</w:t>
      </w:r>
    </w:p>
    <w:p>
      <w:r>
        <w:t>THE COMPETITION AND MARKET AUTHORITY</w:t>
      </w:r>
    </w:p>
    <w:p>
      <w:r>
        <w:t>IN ITS MEETING of May 31, 2022;</w:t>
      </w:r>
    </w:p>
    <w:p>
      <w:r>
        <w:t>HEARD the Rapporteur Professor Michele Ainis;</w:t>
      </w:r>
    </w:p>
    <w:p>
      <w:r>
        <w:t>VIEWED Part 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communications received on December 27, 2021, February 16, 24, 28, March 2, and May 17, 2022, with which the professional submitted commitments pursuant to Article 27, paragraph 7, of the Consumer Code and Article 9 of the Regulation;</w:t>
      </w:r>
    </w:p>
    <w:p>
      <w:r>
        <w:t>VIEWED the documents of the proceeding;</w:t>
      </w:r>
    </w:p>
    <w:p>
      <w:r>
        <w:t>I. THE PARTIES</w:t>
      </w:r>
    </w:p>
    <w:p>
      <w:r>
        <w:t>1. Direct24 Web Advertising LTD (hereinafter also "Direct 24"), as a professional, pursuant to Article 18, paragraph 1, letter b), of the Consumer Code. The company, based in Dublin (Ireland), offers a service for finding craftsmen and technicians through the website https://www.pronto-intervento24.it for maintenance, repair, and new installations of systems.</w:t>
      </w:r>
    </w:p>
    <w:p>
      <w:r>
        <w:t>2. Federconsumatori Bologna, as the reporting consumer association.</w:t>
      </w:r>
    </w:p>
    <w:p>
      <w:r>
        <w:t>II. THE COMMERCIAL PRACTICE</w:t>
      </w:r>
    </w:p>
    <w:p>
      <w:r>
        <w:t>3. The proceeding concerns the following conducts: i) the dissemination on the website https://www.pronto-intervento24.it of information about the characteristics of the service offered that would misleadingly imply that Direct24 selects the technicians present on the platform based on skills and professionalism and that it performs a control over the rates charged; ii) the lack of or inadequate assistance to customers after the technician's intervention, as Direct24 would not have provided consumers with the requested refunds according to the contractual terms, would have refused to send another technician to carry out/finalize the work poorly executed by the first technician, as well as to communicate the contacts of the technician to whom users intended to express their complaints.</w:t>
      </w:r>
    </w:p>
    <w:p>
      <w:r>
        <w:t>BULLETIN NO. 23 OF JUNE 20, 2022</w:t>
      </w:r>
    </w:p>
    <w:p>
      <w:r>
        <w:t>17</w:t>
      </w:r>
    </w:p>
    <w:p>
      <w:r>
        <w:t>III. THE FINDINGS OF THE PROCEEDING</w:t>
      </w:r>
    </w:p>
    <w:p>
      <w:r>
        <w:t>1) The course of the proceeding</w:t>
      </w:r>
    </w:p>
    <w:p>
      <w:r>
        <w:t>4. By act of November 12, 2021, Direct24 Web Advertising LTD was notified of the initiation of the investigative proceeding PS11135, for alleged violation of Articles 20, paragraph 2, 21, 22, 24, and 25, paragraph 1, letter d), of the Consumer Code.</w:t>
      </w:r>
    </w:p>
    <w:p>
      <w:r>
        <w:t>5. On December 3, 2021, the professional accessed the documents of the proceeding.</w:t>
      </w:r>
    </w:p>
    <w:p>
      <w:r>
        <w:t>6. On December 27, 2021, Direct24 submitted a proposal for commitments, subsequently supplemented on February 16, 24, 28, and March 2, 2022. A consolidated version of the commitments was filed on May 17, 2022.</w:t>
      </w:r>
    </w:p>
    <w:p>
      <w:r>
        <w:t>7. On January 13, 2022, a request for information was sent to the professional.</w:t>
      </w:r>
    </w:p>
    <w:p>
      <w:r>
        <w:t>8. On January 24, 2022, the hearing of Direct24 took place.</w:t>
      </w:r>
    </w:p>
    <w:p>
      <w:r>
        <w:t>9. The professional produced a defense memorandum and responded to the request for information on February 11, 2022.</w:t>
      </w:r>
    </w:p>
    <w:p>
      <w:r>
        <w:t>10. On March 17, 2022, the date of conclusion of the investigative phase was communicated to the Parties pursuant to Article 16, paragraph 1, of the Regulation.</w:t>
      </w:r>
    </w:p>
    <w:p>
      <w:r>
        <w:t>11. On April 1, 2022, the opinion was requested from the Authority for Guarantees in Communications, which was provided on April 20.</w:t>
      </w:r>
    </w:p>
    <w:p>
      <w:r>
        <w:t>2) The elements acquired</w:t>
      </w:r>
    </w:p>
    <w:p>
      <w:r>
        <w:t>12. In its defenses, the professional asserted the correctness of its actions. Regarding the dissemination of misleading messages about the characteristics of the service offered, Direct24 pointed out that the role of mere facilitator played by the company is evident both from the indications present on the homepage of the company website and from the "terms and conditions of service use," easily accessible through a link at the bottom of the same main page. As for the imposition of obstacles to the exercise of consumers' contractual rights, the professional noted that, although it is external to the contractual relationship established by the consumer with the technician, it nonetheless took steps to facilitate the resolution of issues that arose between the parties, sometimes directly assuming the costs of refunds in favor of consumers.</w:t>
      </w:r>
    </w:p>
    <w:p>
      <w:r>
        <w:t>3) The commitments of the professional</w:t>
      </w:r>
    </w:p>
    <w:p>
      <w:r>
        <w:t>13. The commitments presented by Direct24, which in their final version are attached to this provision and constitute an integral part thereof, concern the following measures: i) modifications to the text of the messages present on the site with the elimination of information that could create ambiguity regarding the fact that Direct24 guarantees the successful outcome of the interventions or that it performs them directly and/or at prices lower than those of the market.</w:t>
      </w:r>
    </w:p>
    <w:p>
      <w:r>
        <w:t>14. Direct24 has already revised the main webpage, removing all textual elements likely to create ambiguity regarding the characteristics of the service offered. References to "the high quality of the service," "its punctuality," "the reasonableness of the rates," "the full success of the intervention," "the success rate of 100%," "maximum customer satisfaction," as well as "the verification of the skills and professional abilities of the technicians" have already been removed from the main page.</w:t>
      </w:r>
    </w:p>
    <w:p>
      <w:r>
        <w:rPr>
          <w:b/>
        </w:rPr>
        <w:t>[Pages 16–18]</w:t>
      </w:r>
    </w:p>
    <w:p>
      <w:r>
        <w:t>18 BULLETIN NO. 23 OF JUNE 20, 2022</w:t>
      </w:r>
    </w:p>
    <w:p>
      <w:r>
        <w:t>The company undertakes to remove the aforementioned statements also from the internal pages of the website (for example, the pages related to "Emergency locksmith Milan", "Emergency plumber Modena", etc.).</w:t>
      </w:r>
    </w:p>
    <w:p>
      <w:r>
        <w:t>ii) implementation of the visibility of the terms and conditions of service use.</w:t>
      </w:r>
    </w:p>
    <w:p>
      <w:r>
        <w:t>15. Direct24 will make the terms and conditions of service more accessible through the following methods:</w:t>
      </w:r>
    </w:p>
    <w:p>
      <w:r>
        <w:t>a) a banner with a link to the "terms and conditions of service use" will be inserted on the homepage of the website https://www.pronto-intervento24.it, so that users accessing the site for the first time, in order to continue browsing, must review them or at least click on "continue";</w:t>
      </w:r>
    </w:p>
    <w:p>
      <w:r>
        <w:t>b) those who call the professional's toll-free number will be informed by the operator regarding the nature of the service, as follows: "Dear Customer, we remind you that Pronto Intervento 24 is a facilitation service that connects professionals and users; if you have not already done so, we invite you to review the terms of service published on the site";</w:t>
      </w:r>
    </w:p>
    <w:p>
      <w:r>
        <w:t>c) all users who confirm the request for intervention will receive an SMS or WhatsApp message notifying them that the technician is on their way to the indicated address to carry out the intervention. The same message will include a link to the "terms and conditions of service use".</w:t>
      </w:r>
    </w:p>
    <w:p>
      <w:r>
        <w:t>iii) provision for an even more punctual quality control system and management of reports.</w:t>
      </w:r>
    </w:p>
    <w:p>
      <w:r>
        <w:t>16. Direct24 intends to improve the quality control system by verifying user satisfaction regarding the service received. Therefore, after each intervention, the consumer will be asked to express a judgment, through a telephone interview or by being invited to fill out a questionnaire to describe their experience.</w:t>
      </w:r>
    </w:p>
    <w:p>
      <w:r>
        <w:t>In the event that service users highlight issues, Direct24 will open a ticket aimed at managing the report. This system will be divided by type of complaint: failure to issue an invoice, intervention price too high, incomplete or unresolved intervention.</w:t>
      </w:r>
    </w:p>
    <w:p>
      <w:r>
        <w:t>In order to standardize the management of tickets, after their opening, Direct24 will send a communication to the consumer to inform them of the initiatives that the professional intends to adopt; in particular, the Company: a) in case of failure to issue an invoice, will communicate to the consumer the details and contacts of the technician and, at the same time, will urge the latter to fulfill this obligation; b) in case of intervention price deemed too high, will ask the technician for details of the work performed and an explanation regarding the costs of the intervention; c) in case of unfinished work, will ask the technician to intervene to resolve the problem.</w:t>
      </w:r>
    </w:p>
    <w:p>
      <w:r>
        <w:t>Consequently, the technician who performed the intervention will be promptly informed of the report and will be invited to remedy it, with differentiated communications for each type of complaint, the text of which is included in the commitment form.</w:t>
      </w:r>
    </w:p>
    <w:p>
      <w:r>
        <w:t>iv) commitment to terminate the advertising service with technicians who engage in repeated and proven inappropriate conduct or who do not respond to reports.</w:t>
      </w:r>
    </w:p>
    <w:p>
      <w:r>
        <w:t>17. Direct24 commits to terminate the advertising contract with technicians who engage in repeated and proven inappropriate conduct or who do not respond to reports. This decision must necessarily go through a careful verification of consumer reports but, pending such verification, in the presence of multiple reports and a presumption regarding their validity, the service in favor of the reported technician will be suspended.</w:t>
      </w:r>
    </w:p>
    <w:p>
      <w:r>
        <w:t>v) reimbursement of amounts paid in excess by the reporters of the ongoing procedure.</w:t>
      </w:r>
    </w:p>
    <w:p>
      <w:r>
        <w:t>18. Direct24 commits to reimburse the amounts paid in excess by consumers who have submitted reports to the Authority until the eventual acceptance of the commitments; the reimbursement will be calculated based on the average cost provided by the tariffs published by the Chambers of Commerce concerning the type of intervention.</w:t>
      </w:r>
    </w:p>
    <w:p>
      <w:r>
        <w:t>From a general perspective, the professional will reformulate the terms of service use, providing that in case of evident responsibility of the technician and if they evade their duties, the company will commit to evaluate refund requests.</w:t>
      </w:r>
    </w:p>
    <w:p>
      <w:r>
        <w:t>19. Direct24 will fully implement the commitments made within 30 days from the notification of any acceptance decision made by the Authority.</w:t>
      </w:r>
    </w:p>
    <w:p>
      <w:r>
        <w:t>IV. OPINION OF THE AUTHORITY FOR GUARANTEES IN COMMUNICATIONS</w:t>
      </w:r>
    </w:p>
    <w:p>
      <w:r>
        <w:t>20. Since the commercial practice subject to this provision was carried out via the internet, on April 1, 2022, an opinion was requested from the Authority for Guarantees in Communications, pursuant to Article 27, paragraph 6, of the Consumer Code.</w:t>
      </w:r>
    </w:p>
    <w:p>
      <w:r>
        <w:t>In the opinion received on April 20, 2022, the aforementioned Authority deemed that Direct24's use of the internet is suitable for developing a significant impact on consumers who, based on the information read on the professional's site, could be induced to make a commercial decision that they otherwise would not have made, thus concretely developing the full promotional potential of the cited communication medium.</w:t>
      </w:r>
    </w:p>
    <w:p>
      <w:r>
        <w:t>V. EVALUATION OF THE COMMITMENTS</w:t>
      </w:r>
    </w:p>
    <w:p>
      <w:r>
        <w:t>21. This provision concerns the conduct carried out by the professional through the website https://www.pronto-intervento24.it and relates to: i) the dissemination of information about the characteristics of the service offered that would misleadingly imply that Direct24 selects the technicians present on the platform based on skills and professionalism and that it performs a control over the rates applied; ii) the lack of or inadequate customer assistance after the technician's intervention as Direct24 would not have provided consumers with the requested refunds according to the contractual terms, would have refused to send another technician to carry out/finalize the work poorly executed by the first technician, as well as to communicate the contacts of the technician to whom users intended to express their complaints.</w:t>
      </w:r>
    </w:p>
    <w:p>
      <w:r>
        <w:t>22. The Authority believes that the measures proposed by the professional, partly already implemented regarding the information disseminated through the homepage of the company website, are suitable to eliminate the possible profiles of unfairness contested in the initiation communication of November 12, 2021.</w:t>
      </w:r>
    </w:p>
    <w:p>
      <w:r>
        <w:t>Indeed, the commitments provide a correct representation of the contents of the offer and introduce substantial improvements in the overall management of relationships with technicians and consumers in the phase following the execution of the service.</w:t>
      </w:r>
    </w:p>
    <w:p>
      <w:r>
        <w:t>20 BULLETIN NO. 23 OF JUNE 20, 2022</w:t>
      </w:r>
    </w:p>
    <w:p>
      <w:r>
        <w:t>The commitments thus remedy the service disruptions that gave rise to the contested conduct at the outset and will entail a coherent revision of part of the contractual conditions.</w:t>
      </w:r>
    </w:p>
    <w:p>
      <w:r>
        <w:t>23. Specifically, the commitment (i) concerning the modification of the messages present on the site - which has already been partially implemented - involves the removal of all statements likely to create reliance on the existence of a sort of "guarantee" from Direct24 regarding the quality of the technicians' work or the reasonableness of the intervention rates applied by them. This measure, together with the implementation of commitment (ii) on the visibility of the terms and conditions of service use, highlights the correct contents of the offer from the first contact between the professional and the consumer, unequivocally clarifying that Direct24 is an intermediary and is therefore external to the contractual relationship established by the consumer with the technician.</w:t>
      </w:r>
    </w:p>
    <w:p>
      <w:r>
        <w:t>24. Despite the nature of a mere intermediary, with commitment (iii) related to the quality control system and the management of reports, Direct24 aims to play an active role in remedying any harm suffered by consumers. Indeed, the professional, in case of critical issues arising from the judgments that consumers will be asked to express after each intervention, will activate a procedure that provides for the widest information to users regarding the management of the complaint and the immediate involvement of the technician; the latter will be promptly informed of the report and will be invited to take the necessary actions to remedy the specific complaint (issue an invoice, provide details of the work performed and an explanation of the costs of the intervention, carry out a new intervention in case of unfinished work).</w:t>
      </w:r>
    </w:p>
    <w:p>
      <w:r>
        <w:t>The invitation to resolve the complaints directed at the reported technicians will be accompanied by the provision of deterrent and sanction mechanisms as per commitment (iv), according to which Direct24 will terminate the advertising contract with those who engage in repeated and proven inappropriate conduct or who do not respond to reports. Furthermore, the professional has provided that pending the evaluation regarding the termination of the contractual relationship with the technician, in the presence of multiple reports and a presumption regarding their validity, the service provided in favor of the reported technician will be suspended.</w:t>
      </w:r>
    </w:p>
    <w:p>
      <w:r>
        <w:t>It is believed that the synergy between the described measures (iii) and (iv) will have a certain disciplinary effect on the future conduct of technicians who, in case of unprofessional behavior towards users, could face suspension and termination of the collaboration relationship with the professional; this will reduce the risk of the recurrence of the service disruptions that gave rise to the procedure.</w:t>
      </w:r>
    </w:p>
    <w:p>
      <w:r>
        <w:t>25. With commitment (v), the professional provides for the reimbursement of amounts paid in excess for the services of technicians, in favor of consumers who have submitted reports to the Authority during the procedure; the amount to be reimbursed will be calculated based on the average cost provided for the intervention considered by the tariffs published by the Chambers of Commerce.</w:t>
      </w:r>
    </w:p>
    <w:p>
      <w:r>
        <w:t>Particularly commendable, then, is the formalization, in the terms of service use, of the Company's commitment to evaluate refund requests from consumers in cases where it has not been possible to obtain economic compensation from the technician.</w:t>
      </w:r>
    </w:p>
    <w:p>
      <w:r>
        <w:t>26. In light of the considerations made, it is believed that the commitments presented meet the requirements set forth in Article 27, paragraph 7, of the Consumer Code.</w:t>
      </w:r>
    </w:p>
    <w:p>
      <w:r>
        <w:rPr>
          <w:b/>
        </w:rPr>
        <w:t>[Pages 19–21]</w:t>
      </w:r>
    </w:p>
    <w:p>
      <w:r>
        <w:t>BULLETIN NO. 23 OF JUNE 20, 2022</w:t>
      </w:r>
    </w:p>
    <w:p>
      <w:r>
        <w:t>21</w:t>
      </w:r>
    </w:p>
    <w:p>
      <w:r>
        <w:t>CONSIDERED, therefore, that the commitments presented by Direct24 Web Advertising LTD, in the terms outlined above, are suitable to eliminate the possible profiles of unfairness of the commercial practice under investigation;</w:t>
      </w:r>
    </w:p>
    <w:p>
      <w:r>
        <w:t>CONSIDERED, to order the mandatory nature of the aforementioned commitments towards Direct24 Web Advertising LTD;</w:t>
      </w:r>
    </w:p>
    <w:p>
      <w:r>
        <w:t>CONSIDERED, therefore, that it is possible to close the procedure without ascertaining the infringement;</w:t>
      </w:r>
    </w:p>
    <w:p>
      <w:r>
        <w:t>RESOLVES</w:t>
      </w:r>
    </w:p>
    <w:p>
      <w:r>
        <w:t>a) to make mandatory, towards Direct24 Web Advertising LTD, pursuant to Article 27, paragraph 7, of the Consumer Code and Article 9, paragraph 2, letter a), of the Regulation, the commitments proposed by the aforementioned professional, as described in the declaration attached to this provision, which forms an integral part thereof;</w:t>
      </w:r>
    </w:p>
    <w:p>
      <w:r>
        <w:t>b) to close the procedure without ascertaining the infringement, pursuant to Article 27, paragraph 7, of the Consumer Code and Article 9, paragraph 2, letter a), of the Regulation;</w:t>
      </w:r>
    </w:p>
    <w:p>
      <w:r>
        <w:t>c) that Direct24 Web Advertising LTD, within ninety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provision will be notified to the interested parties and published in the Bulletin of the Competition and Market Authority.</w:t>
      </w:r>
    </w:p>
    <w:p>
      <w:r>
        <w:t>THE SECRETARY GENERAL THE PRESIDENT</w:t>
      </w:r>
    </w:p>
    <w:p>
      <w:r>
        <w:t>Guido Stazi Roberto Rustichelli</w:t>
      </w:r>
    </w:p>
    <w:p>
      <w:r>
        <w:t>22 BULLETIN NO. 23 OF JUNE 20, 2022</w:t>
      </w:r>
    </w:p>
    <w:p>
      <w:r>
        <w:t>PS12185 NUTRISCORE DUKAN</w:t>
      </w:r>
    </w:p>
    <w:p>
      <w:r>
        <w:t>Notice of communication of the conclusion of the investigation phase and extension of the procedure deadline</w:t>
      </w:r>
    </w:p>
    <w:p>
      <w:r>
        <w:t>COMPETITION AND MARKET AUTHORITY</w:t>
      </w:r>
    </w:p>
    <w:p>
      <w:r>
        <w:t>Information on the conclusion of the investigation phase pursuant to Article 19, paragraph 2, of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 as well as the extension of the deadline for the conclusion of procedure PS12185.</w:t>
      </w:r>
    </w:p>
    <w:p>
      <w:r>
        <w:t>The publication of this notice, followed by the communication of the conclusion of the investigation phase, in the weekly Bulletin of the Competition and Market Authority is made pursuant to and for the effects of Article 19, paragraph 2, of the Regulation, given the unsuccessful outcome of the attempt to transmit the communication of the conclusion of the investigation phase made on May 25, 2022. The communication sent by registered mail was indeed returned to the sending Authority with the indication "unknown recipient."</w:t>
      </w:r>
    </w:p>
    <w:p>
      <w:r>
        <w:t>Within 10 days from the publication of this notice, the Party may submit statements and documents.</w:t>
      </w:r>
    </w:p>
    <w:p>
      <w:r>
        <w:t>It is also communicated that, in the meeting of May 17, 2022, the Authority extended the deadline for the conclusion of the procedure, setting it to August 1, 2022, due to specific investigative needs related to the procedural requirements necessary for the conclusion of the procedure.</w:t>
      </w:r>
    </w:p>
    <w:p>
      <w:r>
        <w:t>For any communication addressed to the Authority regarding the case in question, please refer to Directorate C of the General Directorate for Consumer Protection and the reference PS12185.</w:t>
      </w:r>
    </w:p>
    <w:p>
      <w:r>
        <w:t>____________________________________________________________________________</w:t>
      </w:r>
    </w:p>
    <w:p>
      <w:r>
        <w:t>PS12185 NUTRISCORE DUKAN</w:t>
      </w:r>
    </w:p>
    <w:p>
      <w:r>
        <w:t>Communication of the conclusion of the investigation phase</w:t>
      </w:r>
    </w:p>
    <w:p>
      <w:r>
        <w:t>Subject: communication of the conclusion of the investigation phase pursuant to Article 16, paragraph 1, of the "Regulation on investigation procedures regarding misleading and comparative advertising, unfair commercial practices, violation of consumer rights in contracts, violation of the prohibition of discrimination and unfair clauses," adopted by the Authority with resolution of April 1, 2015, in relation to procedure PS12185.</w:t>
      </w:r>
    </w:p>
    <w:p>
      <w:r>
        <w:t>BULLETIN NO. 23 OF JUNE 20, 2022</w:t>
      </w:r>
    </w:p>
    <w:p>
      <w:r>
        <w:t>23</w:t>
      </w:r>
    </w:p>
    <w:p>
      <w:r>
        <w:t>I. Premise</w:t>
      </w:r>
    </w:p>
    <w:p>
      <w:r>
        <w:t>1. With act of November 5, 2021, prot. no. 83470, published in the Authority's Bulletin no. 46 of November 22, 2021, the initiation of investigation procedure PS/12185 was communicated to the companies Regime Dukan Société par actions simplifiée and Diet Lab SAS to verify the existence of alleged unlawful conduct in violation of Articles 20, 21, letter b) and 22 of Legislative Decree No. 206 of September 6, 2005, containing the "Consumer Code" (hereinafter, Consumer Code).</w:t>
      </w:r>
    </w:p>
    <w:p>
      <w:r>
        <w:t>II. Alleged Conduct</w:t>
      </w:r>
    </w:p>
    <w:p>
      <w:r>
        <w:t>2. In light of the elements currently acquired in the context of the procedure, this communication confirms and specifies the allegations already subject to the initiation communication regarding the alleged unlawfulness of the conduct carried out by the companies Regime Dukan Société par actions simplifiée and Diet Lab SAS, based in France.</w:t>
      </w:r>
    </w:p>
    <w:p>
      <w:r>
        <w:t>3. The procedure concerns an informational omission on the packaging of various food products under the Dukan brand (regarding the name or corporate name and address of the food operator marketing them), as well as the application of a front-of-pack labeling system (FOP) called NutriScore on the front of the product packaging. By way of example, coconut cookies are assigned the category "A," colored green. The aforementioned traffic light label is prominently displayed on the packaging, without further specifications or clarifying elements regarding the meaning of such information.</w:t>
      </w:r>
    </w:p>
    <w:p>
      <w:r>
        <w:t>4. The NutriScore summarizes the nutritional quality of a food through two correlated scales: a color scale divided into five gradations from green to red and an alphabetical scale with letters ranging from A (highest quality) to E. Food products are divided into five categories based on a score calculated using a complex algorithm that subtracts the total value of "unfavorable" elements (energy-kj, saturated fatty acids, simple sugars, sodium) from that of "favorable" elements (percentage of fruits, vegetables, legumes, and oilseeds, fibers, proteins). Foods with very low scores are assigned to category A (green), while those with the highest scores are assigned to category E (red). The score always refers to a quantity of product equal to 100 grams or 100 ml.</w:t>
      </w:r>
    </w:p>
    <w:p>
      <w:r>
        <w:t>5. In France, the rules of use and calculation criteria related to NutriScore are governed by the decrees of the French Ministry of Health of July 19, 2016, and October 31, 2017, issued pursuant to Regulation (EU) No. 1169/2011, regarding "the provision of food information to consumers."</w:t>
      </w:r>
    </w:p>
    <w:p>
      <w:r>
        <w:rPr>
          <w:b/>
        </w:rPr>
        <w:t>[Pages 22–24]</w:t>
      </w:r>
    </w:p>
    <w:p>
      <w:r>
        <w:t>24 BULLETIN NO. 23 OF JUNE 20, 2022</w:t>
      </w:r>
    </w:p>
    <w:p>
      <w:r>
        <w:t>6. The European Commission has deemed that the NutriScore system does not fall within the scope of Article 35, paragraph 1, of Regulation (EU) No. 1169/2011, as "The labeling system attached to the notified project does not require an indication of the energy value or the energy value and the amounts of nutrients as such, but refers to the overall nutritional quality of the foods in question."6. At the same time, community legislation, in recognizing the ability to provide additional information on foods on a voluntary basis (Article 36 of Regulation (EU) No. 1169/2011)7, conditions this choice on compliance with the principle of informational clarity to avoid misleading the consumer.</w:t>
      </w:r>
    </w:p>
    <w:p>
      <w:r>
        <w:t>It should also be noted that if NutriScore classifies a product positively (grade A or B), as in this case, the Commission has clarified that it must qualify as a nutrition claim pursuant to Regulation No. 1924/2006 concerning nutritional and health claims made on food products (Reg. Claims) since it suggests that a food has particular beneficial nutritional properties.8</w:t>
      </w:r>
    </w:p>
    <w:p>
      <w:r>
        <w:t>7. That said, from the elements acquired during the proceedings, it emerges that, although NutriScore was born as a system to facilitate food information, the synthetic graphic and chromatic representation (green/A = "healthy food" – red/E = "unhealthy food") of the traffic light label provides an absolute evaluation of the product, not accompanied by tools that allow the consumer to contextualize and interpret the information received in relation to the characteristics and limits of the methodology used.10</w:t>
      </w:r>
    </w:p>
    <w:p>
      <w:r>
        <w:t>8. In fact, the NutriScore evaluation appears to be based on statistical elements that lead to classifying foods in an absolutist manner as positive or negative, without taking into account the subjective state of each individual and the multiple variables that affect a person's diet, such as genetic characteristics, general health conditions, age, lifestyle, work activity, as well as the interaction of the product with other foods consumed.11</w:t>
      </w:r>
    </w:p>
    <w:p>
      <w:r>
        <w:t>5 The Regulation defines the methods for formulating labels for packaged foods to correctly inform consumers. Article 35 governs the forms of expression and additional presentation.</w:t>
      </w:r>
    </w:p>
    <w:p>
      <w:r>
        <w:t>6 See European Commission, Observations from the Commission (article 5, paragraph 2, of Directive (EU) 2015/1535), 2017/0159/F in response to the notification from France and communication from the Commission TRIS (2017) 01957 pursuant to Article 5, paragraph 2, of Directive (EU) 2015/1535.</w:t>
      </w:r>
    </w:p>
    <w:p>
      <w:r>
        <w:t>7 Article 36 of the aforementioned Regulation (EU) No. 1169/2011 establishes the requirements that mandatory indications and complementary indications must have if provided on a voluntary basis.</w:t>
      </w:r>
    </w:p>
    <w:p>
      <w:r>
        <w:t>8 See, European Commission, Observations from the Commission, article 5, § 2, of Directive (EU) 2015/1535, 2017/0159/F. “The “Nutri-Score” scheme […] classifies foods as more or less healthy on the basis of a nutritional score, in function of the energy value, the amounts of nutrients and some ingredients. When this scheme attributes a positive message (i.e. a green colour light green or dark green) it fulfills the […] legal definition of nutrition claim [provided by Regulation 1924] as it provides information on the beneficial nutrition quality of the food due to the energy the food provides, the nutrients and other substances the food contains or does not contain. When the green colour is highlighted, the “Nutri-score” scheme could therefore be considered as a nutrition claim”.</w:t>
      </w:r>
    </w:p>
    <w:p>
      <w:r>
        <w:t>9 See Beuc's memorandum of December 20, 2021, prot. 94165.</w:t>
      </w:r>
    </w:p>
    <w:p>
      <w:r>
        <w:t>10 In this sense, the ConfAgricoltura Association expressed itself in the memoranda filed on July 27, 2021 (prot. 61874) and March 2, 2022 (prot. 24069) and Centromarca, as the association representing brands in the fast-moving consumer goods and GDO sector (prot. 22046 of February 23, 2022).</w:t>
      </w:r>
    </w:p>
    <w:p>
      <w:r>
        <w:t>11 Hearing of Prof. Calabrese, President of the National Committee for Food Safety at the Ministry of Health on February 15, 2022 (prot. 20033) stating "although born with the aim of directing consumers towards a healthy diet, the NutriScore method has many limitations as it does not take into account the subjective conditions of each individual. […] The traffic light labeling system appears to be based on statistical elements that lead to classifying foods in an absolutist manner as positive or negative."</w:t>
      </w:r>
    </w:p>
    <w:p>
      <w:r>
        <w:t>BULLETIN NO. 23 OF JUNE 20, 2022</w:t>
      </w:r>
    </w:p>
    <w:p>
      <w:r>
        <w:t>9. Furthermore, the operational criteria of the generating algorithm do not consider all relevant nutritional parameters and result in the assignment of a score that is not suitable to represent the actual properties of the foods.12 The classification of positive foods (fruits, vegetables, fibers, and proteins) and negative foods (salt, sugars, and saturated fats) appears arbitrary: “(..) for example, saturated fats are not distinguished into monounsaturated and polyunsaturated, despite the different characteristics widely described in the scientific literature. Also, the choice of positive ingredients is arbitrary as, for example, fruits and vegetables are considered on the same level as proteins. This bias in the product judgment does not encourage the consumer to make an adequate assessment aimed at building a diet useful to meet the daily intake of nutrients, with the risk of leading the consumer to incorrect food choices.”13</w:t>
      </w:r>
    </w:p>
    <w:p>
      <w:r>
        <w:t>10. Moreover, for the purpose of constructing the final result, the NutriScore system assigns a greater weight to unfavorable elements (40 points) and a far lesser weight to favorable ingredients (15 points); in fact, the NutriScore appears more sensitive to the variation of "negative" elements (energy, sugars, fats, sodium) than to that of "positive" elements (fibers, proteins, percentage of fruits/vegetables/legumes/nuts). The presence of the latter is only relevant upon exceeding a certain threshold level (by weight or percentage), but the greater or lesser distance from the threshold does not matter in any way, and therefore the final score is determined in an unbalanced manner.14 Furthermore, the protein score is evaluated without a distinction of the source (plant or animal) which has a different impact from a nutritional and health perspective.15</w:t>
      </w:r>
    </w:p>
    <w:p>
      <w:r>
        <w:t>11. As noted above, the algorithm that generates the NutriScore is based on an algebraic sum in which the points related to "positive" ingredients are subtracted from those of "negative" ingredients. However, the ability of positive elements to compensate for negative ones is not supported by any scientific evidence, with the consequence that negative elements are assumed by the consumer without awareness.16</w:t>
      </w:r>
    </w:p>
    <w:p>
      <w:r>
        <w:t>12. Additionally, for some products, specific rules are applied that deviate from the general criteria without this being explicitly stated on the traffic light label affixed to the packages. For example, the general rule provides that if the score of "negative" ingredients exceeds an arbitrary threshold, the points for proteins are not subtracted. For cheeses, however, proteins are always subtracted from the score of "negative" foods, resulting in all cheeses having the same evaluation, despite significant differences among them in terms of calories, saturated fats, and sodium.17</w:t>
      </w:r>
    </w:p>
    <w:p>
      <w:r>
        <w:t>13. It is also noteworthy that the NutriScore judgment is expressed on fixed quantities (equal to 100 g or 100 ml). Therefore, the evaluation does not concern the portion of food corresponding to the recommended daily intake for a balanced diet, but rather a significantly different amount from the ordinary intake.18</w:t>
      </w:r>
    </w:p>
    <w:p>
      <w:r>
        <w:t>14. Finally, "from the results of the studies cited to support the effectiveness of the NutriScore system, it is evident that these color systems, which provide an overall judgment on the food, unequivocally direct consumers' food purchases towards products marked with the color 'green' (...) The consumer will therefore be led to believe that regardless of their dietary needs, the product is certainly preferable to others in the same category, encouraging consumption (without limits) since it is implied that the green color identifies a food that is certainly not harmful to health."19</w:t>
      </w:r>
    </w:p>
    <w:p>
      <w:r>
        <w:t>III. Possible Illegality Profiles of the Conduct Alleged</w:t>
      </w:r>
    </w:p>
    <w:p>
      <w:r>
        <w:t>15. The conduct described in point II of this communication appears to constitute a violation of Articles 20, 21, letter b), and 22 of the Consumer Code, as it is contrary to professional diligence and likely to mislead the average consumer regarding the identity of the food sector operator under whose name or corporate name the Dukan-branded products are marketed, as well as regarding the nature and functioning of the parameters on which the evaluation expressed with the NutriScore sticker is based, the benefits derived from the consumption of the products on which it is present, and the health results associated with this type of labeling.</w:t>
      </w:r>
    </w:p>
    <w:p>
      <w:r>
        <w:t>16. The indication of the identity of the food sector operator under whose name or corporate name the products are marketed is one of the mandatory labeling requirements pursuant to Article 9, paragraph 1, letter h), of Regulation (EU) No. 1169/2011, and its omission appears significant as it does not allow the consumer to fully exercise their contractual rights.</w:t>
      </w:r>
    </w:p>
    <w:p>
      <w:r>
        <w:t>17. NutriScore assigns the category "A", in green, to some Dukan-branded products such as coconut cookies. The aforementioned traffic light label, prominently displayed on the packaging, directs the consumer to purchase the product, under the belief that it is a healthy food. The lack of clarifying elements regarding the characteristics and limits of the methodology used does not allow the consumer to use the evaluation expressed in a conscious manner. Additionally, in the absence of references to desirable quantities and warnings about specific dietary needs, the consumer is encouraged to consume such products without limits, with the risk of underestimating the potential harmful effects that the intake of significant amounts of a food can have on health.</w:t>
      </w:r>
    </w:p>
    <w:p>
      <w:r>
        <w:t>18. Finally, based on the evidence gathered, it would appear that the conduct referred to in point II of this communication has been carried out by the professional since at least September 2021 and is still ongoing.</w:t>
      </w:r>
    </w:p>
    <w:p>
      <w:r>
        <w:rPr>
          <w:b/>
        </w:rPr>
        <w:t>[Pages 25–26]</w:t>
      </w:r>
    </w:p>
    <w:p>
      <w:r>
        <w:t>BULLETIN NO. 23 OF JUNE 20, 2022</w:t>
      </w:r>
    </w:p>
    <w:p>
      <w:r>
        <w:t>Therefore, it is hereby communicated that the deadline for the conclusion of the investigative phase is set for June 6, 2022.</w:t>
      </w:r>
    </w:p>
    <w:p>
      <w:r>
        <w:t>It is also communicated, pursuant to the same article of the Regulation in question, that the Parties may submit, within 20 days from receipt of this notice, concluding statements or documents that will be submitted to the Board along with the other investigative acts for the adoption of the final measure.</w:t>
      </w:r>
    </w:p>
    <w:p>
      <w:r>
        <w:t>It is also reminded that the Parties may request access to the documents of the proceeding, as previously highlighted in the communication initiating the proceeding itself. Access may be made directly by the Parties or by a person delegated in writing.</w:t>
      </w:r>
    </w:p>
    <w:p>
      <w:r>
        <w:t>For the purposes of quantifying any monetary sanction provided for by Article 27, paragraph 9, of the aforementioned Consumer Code, the professional is requested to provide a copy of the latest financial statements or suitable accounting documentation certifying the economic conditions in the last year.</w:t>
      </w:r>
    </w:p>
    <w:p>
      <w:r>
        <w:t>For any communication addressed to the Authority regarding the case in question, please refer to Directorate C of the Directorate General for Consumer Protection and the reference PS12185.</w:t>
      </w:r>
    </w:p>
    <w:p>
      <w:r>
        <w:t>For any clarifications and information, you may contact Dr. Marina Catallozzi at the number 06/85821.452 email marina.catallozzi@agcm.it, pec protocollo.agcm@pec.agcm.it.</w:t>
      </w:r>
    </w:p>
    <w:p>
      <w:r>
        <w:t>THE RESPONSIBLE FOR THE PROCEDURE</w:t>
      </w:r>
    </w:p>
    <w:p>
      <w:r>
        <w:t xml:space="preserve">Antitrust Authority Weekly Bulletin </w:t>
        <w:br/>
        <w:t xml:space="preserve">of Competition and Market Year XXXII - No. 23 - 2022 </w:t>
        <w:br/>
        <w:t xml:space="preserve">Editorial Coordination Giulia Antenucci </w:t>
        <w:br/>
        <w:t xml:space="preserve">Editorial Staff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