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https://www.agcm.it/dotcmsdoc/bollettini/2023/23-23.pdf</w:t>
      </w:r>
    </w:p>
    <w:p>
      <w:r>
        <w:t>Pages translated : 10</w:t>
      </w:r>
    </w:p>
    <w:p/>
    <w:p>
      <w:r>
        <w:rPr>
          <w:b/>
        </w:rPr>
        <w:t>[Pages 1–3]</w:t>
      </w:r>
    </w:p>
    <w:p>
      <w:r>
        <w:t>Bulletin</w:t>
        <w:br/>
        <w:t>Weekly</w:t>
        <w:br/>
        <w:t>Year XXXIII - No. 23</w:t>
        <w:br/>
        <w:t>Published on the website www.agcm.it</w:t>
        <w:br/>
        <w:t>June 19, 2023</w:t>
      </w:r>
    </w:p>
    <w:p>
      <w:r>
        <w:t>SUMMARY</w:t>
        <w:br/>
        <w:t>CONCENTRATION OPERATIONS 5</w:t>
        <w:br/>
        <w:t>C12542 - CONSORZIO GRANTERRE - CASEIFICI E ALLEVAMENTI/GRANTERRE</w:t>
        <w:br/>
        <w:t>Measure No. 30655 5</w:t>
        <w:br/>
        <w:t>REPORTING AND CONSULTATIVE ACTIVITIES 8</w:t>
        <w:br/>
        <w:t>AS1891 - TRENORD-TENDER FOR THE AWARD OF THE CLEANING AND SANITIZATION SERVICE OF RAILWAY ROLLING STOCK 8</w:t>
      </w:r>
    </w:p>
    <w:p>
      <w:r>
        <w:t>BULLETIN NO. 23 OF JUNE 19, 2023 5</w:t>
        <w:br/>
        <w:t>CONCENTRATION OPERATIONS</w:t>
        <w:br/>
        <w:t>C12542 - CONSORZIO GRANTERRE - CASEIFICI E ALLEVAMENTI/GRANTERRE</w:t>
        <w:br/>
        <w:t>Measure No. 30655</w:t>
        <w:br/>
        <w:t>THE ITALIAN COMPETITION AUTHORITY</w:t>
        <w:br/>
        <w:t>IN ITS MEETING of May 30, 2023;</w:t>
        <w:br/>
        <w:t>HEARD the Rapporteur, Professor Elisabetta Iossa;</w:t>
        <w:br/>
        <w:t>HAVING REGARD to Regulation (EC) No. 139/2004;</w:t>
        <w:br/>
        <w:t>HAVING REGARD to Law No. 287 of October 10, 1990;</w:t>
        <w:br/>
        <w:t>HAVING REGARD to Presidential Decree No. 217 of April 30, 1998;</w:t>
        <w:br/>
        <w:t>HAVING REGARD to the communication made by Consorzio Granterre S.C.A. received on May 10,</w:t>
        <w:br/>
        <w:t>2023;</w:t>
        <w:br/>
        <w:t>HAVING REGARD to the documentation on file;</w:t>
        <w:br/>
        <w:t>CONSIDERING the following:</w:t>
        <w:br/>
        <w:t>I. THE PARTIES</w:t>
        <w:br/>
        <w:t>1. Consorzio Granterre - Caseifici e Allevamenti S.C.A. (hereinafter also referred to as “Consorzio Granterre”) is a cooperative society active in the processing and packaging of dairy products, such as cream, butter, and hard cheeses, particularly Parmigiano Reggiano. It achieves its mutualistic purpose by receiving contributions from its cooperative members in the form of cheese, cream, churned butter, and whey, products that are further processed and/or marketed through its subsidiaries. The turnover achieved in Italy by Consorzio Granterre in the financial year 2021 amounts to [100-532]* million euros.</w:t>
        <w:br/>
        <w:t>2. Granterre S.p.A (hereinafter also referred to as “Granterre,” “target”), previously named Bonterre S.p.A. until December 31, 2022, is a holding company at the head of a group of companies predominantly active in the production and marketing of cured meats (including Prosciutto di Parma and San Daniele, Salame Cacciatore, Speck Alto Adige, and Mortadella di Bologna) and cheeses (including Parmigiano Reggiano, Grana Padano, Asiago, and Piave) with PDO and PGI designations, with brands such as Parmareggio, Agriform, Casa Modena, Senfter, and Teneroni. Granterre operates in these sectors, respectively, through its subsidiaries Salumifici Granterre S.p.A. (formerly Grandi Salumifici Italiani S.p.A.) and Caseifici Granterre S.p.A. (formerly Parmareggio S.p.A.)1. As of today, the share capital of Granterre is held equally by</w:t>
        <w:br/>
        <w:t>* In this version, some data are omitted, as elements of confidentiality or secrecy of the information were deemed to exist.</w:t>
        <w:br/>
        <w:t>1 The company was previously named Bonterre, at the head of a group of companies including Parmareggio S.p.A. and Grandi Salumifici Italiani S.p.A., both wholly owned by Bonterre, which in turn is equally owned by</w:t>
      </w:r>
    </w:p>
    <w:p>
      <w:r>
        <w:rPr>
          <w:b/>
        </w:rPr>
        <w:t>[Pages 4–6]</w:t>
      </w:r>
    </w:p>
    <w:p>
      <w:r>
        <w:t>6 BULLETIN NO. 23 OF JUNE 19, 2023</w:t>
        <w:br/>
        <w:t>Consorzio Granterre and Unibon S.p.A., companies that therefore hold joint control over it.</w:t>
        <w:br/>
        <w:t>The consolidated turnover achieved in Italy by the Granterre Group in the financial year 2022 was</w:t>
        <w:br/>
        <w:t>between [1-2] billion euros.</w:t>
      </w:r>
    </w:p>
    <w:p>
      <w:r>
        <w:t>II. DESCRIPTION OF THE TRANSACTION</w:t>
        <w:br/>
        <w:t>3. The transaction consists of the acquisition of an additional shareholding in Granterre by the</w:t>
        <w:br/>
        <w:t>Consorzio Granterre which, added to the share already held by the purchaser (50%), results in</w:t>
        <w:br/>
        <w:t>the acquisition of the majority of the share capital and, therefore, exclusive control of Granterre</w:t>
        <w:br/>
        <w:t>by the Consorzio.</w:t>
        <w:br/>
        <w:t>4. In particular, on May 10, 2023, the Parties signed a Framework Agreement, with related</w:t>
        <w:br/>
        <w:t>Shareholders' Agreements, providing that: i) the Consorzio Granterre acquires from Unibon S.p.A. a</w:t>
        <w:br/>
        <w:t>5% stake in Granterre, with simultaneous granting by Unibon S.p.A. to Consorzio Granterre of a</w:t>
        <w:br/>
        <w:t>call option for an additional 10% of the capital of Granterre; ii) the governance of Granterre will be modified from the acquisition of the first 5% stake, granting exclusive control to Consorzio Granterre.</w:t>
      </w:r>
    </w:p>
    <w:p>
      <w:r>
        <w:t>III. QUALIFICATION OF THE TRANSACTION</w:t>
        <w:br/>
        <w:t>5. The notified transaction, aimed at acquiring exclusive control of a company, constitutes a concentration pursuant to Article 5, paragraph 1, letter b), of Law No. 287/1990. It falls within the scope of application of Law No. 287/1990 as the conditions set out in Article 1 of Regulation (EC) No. 139/2004 are not met, and it is subject to the prior notification obligation established by Article 16, paragraph 1, of the same law as the total turnover achieved, in the last financial year at the national level, by the group of companies involved was over 532 million euros and the total turnover achieved, in the last financial year at the national level, by at least two of the companies involved was over 32 million euros.</w:t>
      </w:r>
    </w:p>
    <w:p>
      <w:r>
        <w:t>IV. EVALUATION OF THE TRANSACTION</w:t>
        <w:br/>
        <w:t>6. The transaction in question involves merely the transition from joint control to exclusive control over Granterre by the Consorzio Granterre. Furthermore, the activities of the purchaser and those of the acquired company do not overlap in the cured meats sector, while, with regard to the cheese sector, the Consorzio Granterre already operates exclusively through the target company, to which it supplies raw materials or semi-finished products, processed and/or marketed by Granterre itself.</w:t>
        <w:br/>
        <w:t>7. The transaction, therefore, does not appear to be capable of causing any change in the competitive structure of the affected markets.</w:t>
        <w:br/>
        <w:t>8. In light of the above considerations, the concentration in question does not seem likely to significantly impede effective competition in the affected markets and does not lead to the establishment or strengthening of a dominant position.</w:t>
        <w:br/>
        <w:t>Unibon S.p.A. (50%) and Granterre (50%). See Measure No. 28535 of February 2, 2021, C12343 - Parmareggio/Business branch of Agriform, in Bulletin No. 8/2021.</w:t>
      </w:r>
    </w:p>
    <w:p>
      <w:r>
        <w:t>BULLETIN NO. 23 OF JUNE 19, 2023</w:t>
        <w:br/>
        <w:t>THEREFORE CONSIDERED, that the transaction in question does not significantly impede, pursuant to Article 6, paragraph 1, of Law No. 287/1990, effective competition in the relevant market and does not lead to the establishment or strengthening of a dominant position;</w:t>
        <w:br/>
        <w:t>RESOLVES</w:t>
        <w:br/>
        <w:t>not to initiate the investigation referred to in Article 16, paragraph 4, of Law No. 287/1990.</w:t>
        <w:br/>
        <w:t>The above conclusions will be communicated, pursuant to Article 16, paragraph 4, of Law No. 287/1990, to the companies involved and to the Minister of Enterprises and Made in Italy.</w:t>
        <w:br/>
        <w:t>This measure will be published in the Bulletin of the Italian Competition Authority.</w:t>
        <w:br/>
        <w:t>THE SECRETARY GENERAL THE PRESIDENT</w:t>
        <w:br/>
        <w:t>Guido Stazi Roberto Rustichelli</w:t>
      </w:r>
    </w:p>
    <w:p>
      <w:r>
        <w:t>BULLETIN NO. 23 OF JUNE 19, 2023</w:t>
        <w:br/>
        <w:t>REPORTING AND ADVISORY ACTIVITIES</w:t>
        <w:br/>
        <w:t>AS1891 - TRENORD-TENDER NOTICE FOR THE AWARDING OF THE RAILWAY ROLLING STOCK CLEANING AND SANITIZATION SERVICE</w:t>
        <w:br/>
        <w:t>Rome, June 5, 2023</w:t>
        <w:br/>
        <w:t>Trenord S.r.l.</w:t>
        <w:br/>
        <w:t>The Italian Competition Authority, in its meeting on May 30, 2023, resolved to issue a report, pursuant to Article 21 of Law No. 287 of October 10, 1990, on the tender notice published in the Official Gazette of the Italian Republic on March 13, 2023, concerning the negotiated procedure called by Trenord S.r.l. pursuant to Article 124 of Legislative Decree No. 50 of April 18, 2016 (known as the Public Contracts Code, hereinafter also referred to as the "Code"), aimed at the stipulation of a "Framework Agreement for the cleaning and sanitization service of railway rolling stock, work environments, external areas, and small maintenance activities."</w:t>
        <w:br/>
        <w:t>The procedure in question is divided into two Lots and aims to conclude two Framework Agreements (one for each Lot) for the cleaning and sanitization service of railway rolling stock, work environments, external areas, and small maintenance activities. The total value of the contract is 209,611,100.00. The duration of the framework agreements is estimated at thirty-six months with the option for Trenord S.r.l. "to exercise two options of 12 months each." The application contracts will be concluded during the validity of the Framework Agreement with a duration that will fall within the duration of the latter. The deadline for submitting offers was set for April 14, 2023.</w:t>
        <w:br/>
        <w:t>The procedure provides that the contract be awarded to the economically most advantageous offer, identified based on the best quality/price ratio, pursuant to Article 95, paragraph 3, of Legislative Decree No. 50/2016. Following the award, the service will be carried out at the Client's premises.</w:t>
        <w:br/>
        <w:t>As for the specific requirements of professional and technical capacity, the notice of the negotiated procedure refers to the participation conditions set out in the tender specifications, available along with the other tender documents on the website http://acquistionline.trenord.it.</w:t>
        <w:br/>
        <w:t>The tender specifications, in particular, in Article IV.1.4), letter e), provide that the economic operator certifies "having carried out in the three-year period 2019-2021, for activities subject to the tender, in a single contract including cleaning services for railway, tram, or metro rolling stock and related work environments on behalf of entities or railway companies, not less than in total:</w:t>
      </w:r>
    </w:p>
    <w:p>
      <w:r>
        <w:rPr>
          <w:b/>
        </w:rPr>
        <w:t>[Pages 7–9]</w:t>
      </w:r>
    </w:p>
    <w:p>
      <w:r>
        <w:t>BULLETIN NO. 23 OF JUNE 19, 2023 9</w:t>
        <w:br/>
        <w:t>• For Lot 1: € 9,000,000.00 (nine million euros) in one year in the three-year period;</w:t>
        <w:br/>
        <w:t>• For Lot 2: € 11,000,000.00 (eleven million euros) in one year in the three-year period” (emphasis in the original).</w:t>
        <w:br/>
        <w:t>For the purpose of possessing and proving the technical and professional capacity requirement mentioned above, in the clarifications updated as of April 4, 2023, the contracting authority specified that the requirement is not satisfied “with a cleaning services contract at RFI railway stations, specifically in premises and areas open to the public, restrooms, offices, facilities, and workshops.” This is because, according to Trenord, the economic operator must certify “having carried out in the three-year period 2019-2021, for activities subject to the tender, in a single contract including cleaning services for railway, tram, or metro rolling stock and their respective work environments on behalf of public entities or railway companies” (clarification 04).</w:t>
        <w:br/>
        <w:t>The Authority believes that Article IV.1.4), letter e), of the Tender Regulations, also in light of the interpretation provided in the clarifications, expresses an improper assimilation of the concept of “similar supplies” with that of “identical supplies” in that it requires, for the purpose of participating in the tender in question and submitting an offer, that competitors have executed in the reference three-year period the provision of cleaning services for railway, tram, or metro rolling stock and their respective work environments on behalf of public entities or railway companies.</w:t>
        <w:br/>
        <w:t>As specified in a recent report1, the Authority believes that this provision is not in line with the teachings of administrative jurisprudence regarding so-called special requirements and, in particular, the requirements of technical and professional capacity provided for by Article 83 of Legislative Decree No. 50/2016. According to the administrative judge, in fact, the request for proof of previous supplies concerning goods and/or services similar to those subject to the selection procedure is legitimate to the extent that the “similar service/supply” is not understood as “identical service/supply,” but merely similar2.</w:t>
        <w:br/>
        <w:t>Furthermore, regarding the request for the performance of similar services, administrative jurisprudence is unanimous in considering that proof should be deemed satisfied if the competitor has demonstrated having carried out services falling within the same business or professional sector to which the contract pertains, so that it can be considered that thanks to it the competitor has acquired the capacity to perform the latter3.</w:t>
        <w:br/>
        <w:t>Therefore, while enjoying broad discretion4 and while the requirement of technical and professional capacity has the general purpose of “ensuring that economic operators possess the necessary human and technical resources and experience to execute the contract to an adequate standard of quality”5, the contracting authority is in any case not allowed to exclude competitors who have not performed exactly all the activities falling within the scope of the contract.</w:t>
        <w:br/>
        <w:t>The National Anti-Corruption Authority (hereinafter “ANAC”) shares the same view, according to which the concept of “similar service” must be understood not as identity, but as mere similarity between the requested performances, “considering that the underlying public interest is certainly not the creation of a reserve in favor of entrepreneurs already present in the market but, on the contrary, the opening of the market through the admission to tenders of all competitors for whom an overall judgment of reliability can be reached”6.</w:t>
        <w:br/>
        <w:t>In the explanatory note to the standard tender notice No. 1/2017, ANAC has, moreover, established that the contracting authority must qualify as precisely as possible the services/supplies that can be considered “similar” to those subject to the tender, considering the extent of the contract, the nature and type of services requested, as well as other elements characterizing the service to be performed, and in compliance with the general principles of free competition, equal treatment, and proportionality as per Article 30 of Legislative Decree No. 50/2016. Therefore, it is necessary that contracting authorities, in exercising their technical discretion, adequately balance the need to select subjects with adequate experience in the specific sector of interest with that of ensuring the widest competitive confrontation in the tender.</w:t>
        <w:br/>
        <w:t>Regarding the type of evaluation to be carried out to understand whether a service/supply is similar or analogous to that subject to the tender, ANAC has specified that the nature of the individual service or supply should not be considered decisive. In fact, even where a single service/supply cannot be fully considered “similar” to that subject to the tender, the evaluation that the contracting authority must carry out can only be of a comprehensive nature. This is because the summation of all declared services or supplies can reasonably be considered an indicator of technical suitability for the correct execution of the contract and reliability.</w:t>
        <w:br/>
        <w:t>A different interpretation of the notion of “similar supplies/services” would indeed create a competitive advantage for companies already supplying the contracting authority. On the contrary, the provision of special requirements must allow for the opening of the market through the admission to the tender of all competitors for whom an overall judgment of reliability can be reached. In other words, the purpose of these requirements is to pursue an appropriate balance between the need to select a qualified entrepreneur and the principle of maximum participation in public tenders7.</w:t>
        <w:br/>
        <w:t>On the contrary, the clause of the Tender Regulations and the interpretation provided by this Company have the effect of significantly restricting participation in the selection procedure, allowing it only to those who have performed cleaning services for railway, tram, or metro rolling stock and their respective work environments on behalf of public entities or railway companies in the three preceding years.</w:t>
        <w:br/>
        <w:t>In conclusion, therefore, it is believed that the special technical-professional requirement, as reported in Article IV.1.4), letter e), of the Tender Regulations, also in light of the clarifications provided, has restricted competition by discouraging the participation of operators who, under an interpretation of the competitive-oriented special lex of the tender, could have submitted offers, thereby enriching the pool of participants and stimulating a competitive dynamic within the selection procedure.</w:t>
        <w:br/>
        <w:t>It is also believed that such requirements are not necessary to achieve a higher public interest. The contracting authority, in defining the technical and professional requirements of competitors, indeed has a margin of discretion that allows it to define additional and stricter criteria than those provided for by law. However, this discretion must be exercised in accordance with the principles of proportionality and reasonableness, as well as the relevance and appropriateness of the chosen requirements in relation to the characteristics of the specific object of the tender.</w:t>
        <w:br/>
        <w:t>Therefore, the Authority hopes that this Company will in the future implement all necessary measures to ensure the proper conduct of competitive dynamics within the procedures for awarding the cleaning and sanitization service of railway rolling stock, work environments, external areas, and small maintenance activities.</w:t>
        <w:br/>
        <w:t>The Authority invites Trenord S.r.l. to communicate, within thirty days from the receipt of this report, the initiatives taken regarding the highlighted competitive issues.</w:t>
        <w:br/>
        <w:t>This report will be published in the Bulletin of the Italian Competition Authority.</w:t>
        <w:br/>
        <w:t>THE PRESIDENT</w:t>
        <w:br/>
        <w:t>Roberto Rustichelli</w:t>
      </w:r>
    </w:p>
    <w:p>
      <w:r>
        <w:rPr>
          <w:b/>
        </w:rPr>
        <w:t>[Pages 10–10]</w:t>
      </w:r>
    </w:p>
    <w:p>
      <w:r>
        <w:t>Competition Authority Weekly Bulletin</w:t>
        <w:br/>
        <w:t>of Competition and Market Year XXXIII - No. 23 - 2023</w:t>
        <w:br/>
        <w:t>Editorial Coordination Giulia Antenucci</w:t>
        <w:br/>
        <w:t>Editorial Staff Valerio Ruocco, Manuela Villani</w:t>
        <w:br/>
        <w:t>Italian Competition Authority</w:t>
        <w:br/>
        <w:t>Document Management, Protocol and Statistical Services Department</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