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https://www.agcm.it/dotcmsdoc/bollettini/2024/23-24.pdf</w:t>
      </w:r>
    </w:p>
    <w:p>
      <w:r>
        <w:t>Pages translated : 123</w:t>
      </w:r>
    </w:p>
    <w:p/>
    <w:p>
      <w:r>
        <w:rPr>
          <w:b/>
        </w:rPr>
        <w:t>[Pages 1–3]</w:t>
      </w:r>
    </w:p>
    <w:p>
      <w:r>
        <w:t>Bulletin</w:t>
        <w:br/>
        <w:t>Weekly</w:t>
        <w:br/>
        <w:t>Year XXXIV - No. 23</w:t>
        <w:br/>
        <w:t>Published on the website www.agcm.it</w:t>
        <w:br/>
        <w:t>June 10, 2024</w:t>
      </w:r>
    </w:p>
    <w:p>
      <w:r>
        <w:t>SUMMARY</w:t>
        <w:br/>
        <w:t>AGREEMENTS AND ABUSE OF DOMINANT POSITION 5</w:t>
        <w:br/>
        <w:t>A563 - IREN/HEATING PRICE</w:t>
        <w:br/>
        <w:t>Decision No. 31200 5</w:t>
        <w:br/>
        <w:t>A564 - HERA/HEATING PRICE</w:t>
        <w:br/>
        <w:t>Decision No. 31201 6</w:t>
        <w:br/>
        <w:t>A565 - A2A/HEATING PRICE</w:t>
        <w:br/>
        <w:t>Decision No. 31202 7</w:t>
        <w:br/>
        <w:t>A568 - TRAVEL AGENCIES/RYANAIR FLIGHT BOOKINGS</w:t>
        <w:br/>
        <w:t>Decision No. 31203 8</w:t>
        <w:br/>
        <w:t>I859 - TENDERS FOR PURCHASE AND SUPPLY OF RADIOPHARMACEUTICALS</w:t>
        <w:br/>
        <w:t>Decision No. 31212 11</w:t>
        <w:br/>
        <w:t>I868 - BYOOVIZ/FAILURE TO MARKET</w:t>
        <w:br/>
        <w:t>Decision No. 31213 25</w:t>
        <w:br/>
        <w:t>CONCENTRATION OPERATIONS 41</w:t>
        <w:br/>
        <w:t>C12615 - ALPACEM CEMENTI ITALIA/BRANCH OF BUSINESS OF BUZZI UNICEM</w:t>
        <w:br/>
        <w:t>Decision No. 31204 41</w:t>
        <w:br/>
        <w:t>C12620 - WIND TRE/BRIGHTCO</w:t>
        <w:br/>
        <w:t>Decision No. 31205 43</w:t>
        <w:br/>
        <w:t>C12630 - CONAD NORD OVEST-GD/BRANCH OF BUSINESS OF BENNET</w:t>
        <w:br/>
        <w:t>Decision No. 31207 59</w:t>
        <w:br/>
        <w:t>C12633 - ARCA FONDI SGR/BRAND LABEL-BULGARELLI PRODUCTION-CO.RI SACCHETTIFICIO-D’AURIA PACKAGING-VALTENNA</w:t>
        <w:br/>
        <w:t>Decision No. 31208 65</w:t>
        <w:br/>
        <w:t>C12634 - BCC PAY/BRANCH OF BUSINESS OF BANCO BPM</w:t>
        <w:br/>
        <w:t>Decision No. 31209 68</w:t>
        <w:br/>
        <w:t>ACTIVITIES OF REPORTING AND CONSULTATION 76</w:t>
        <w:br/>
        <w:t>AS1978 - MUNICIPALITY OF GAETA (LT) - EXTENSION OF MARITIME STATE CONCESSIONS FOR TOURIST-RECREATIONAL PURPOSES 76</w:t>
        <w:br/>
        <w:t>AS1979 - MUNICIPALITY OF TRIESTE - EXTENSION OF MARITIME STATE CONCESSIONS FOR TOURIST-RECREATIONAL PURPOSES 81</w:t>
        <w:br/>
        <w:t>AS1980 – REGION OF APULIA – INTEGRATED WATER SERVICE 86</w:t>
        <w:br/>
        <w:t>AS1981 – PROVINCE OF FROSINONE – CONCESSION FOR HYDROELECTRIC DERIVATIONS 90</w:t>
        <w:br/>
        <w:t>UNFAIR TRADE PRACTICES 94</w:t>
        <w:br/>
        <w:t>PS12566 - META-ISSUES INSTAGRAM AND FACEBOOK ACCOUNT</w:t>
        <w:br/>
        <w:t>Decision No. 31214 94</w:t>
      </w:r>
    </w:p>
    <w:p>
      <w:r>
        <w:t>BULLETIN NO. 23 OF JUNE 10, 2024 5</w:t>
        <w:br/>
        <w:t>AGREEMENTS AND ABUSE OF DOMINANT POSITION</w:t>
        <w:br/>
        <w:t>A563 - IREN/HEATING PRICE</w:t>
        <w:br/>
        <w:t>Decision No. 31200</w:t>
        <w:br/>
        <w:t>THE ANTITRUST AUTHORITY</w:t>
        <w:br/>
        <w:t>IN ITS MEETING of May 21, 2024;</w:t>
        <w:br/>
        <w:t>HEARD the Rapporteur Saverio Valentino;</w:t>
        <w:br/>
        <w:t>VIEWED Law No. 287 of October 10, 1990;</w:t>
        <w:br/>
        <w:t>VIEWED Presidential Decree No. 217 of April 30, 1998;</w:t>
        <w:br/>
        <w:t>VIEWED its resolution of May 23, 2023, which initiated an investigation procedure, pursuant to Article 14 of Law No. 287/1990, against the companies Iren S.p.A., Iren Energia S.p.A., Iren Ambiente S.p.A., and Iren Mercato S.p.A., to ascertain the existence of violations of Article 3, paragraph 1, letter a), of Law No. 287/1990 in relation to the networks of Parma and Piacenza;</w:t>
        <w:br/>
        <w:t>VIEWED all the acts of the procedure;</w:t>
        <w:br/>
        <w:t>CONSIDERING the complexity of the case under analysis as well as the necessity to proceed with a thorough analysis of the numerous evidences collected;</w:t>
        <w:br/>
        <w:t>CONSIDERING the necessity to guarantee the Parties the widest exercise of their rights of defense and contradiction;</w:t>
        <w:br/>
        <w:t>DEEMED, therefore, necessary to extend the deadline for the conclusion of the procedure, currently set for July 31, 2024;</w:t>
        <w:br/>
        <w:t>RESOLVES</w:t>
        <w:br/>
        <w:t>to extend the deadline for the conclusion of the procedure to November 29, 2024.</w:t>
        <w:br/>
        <w:t>This decision will be notified to the interested parties and published in the Bulletin of the Antitrust Authority.</w:t>
        <w:br/>
        <w:t>THE SECRETARY GENERAL THE PRESIDENT</w:t>
        <w:br/>
        <w:t>Guido Stazi Roberto Rustichelli</w:t>
      </w:r>
    </w:p>
    <w:p>
      <w:r>
        <w:rPr>
          <w:b/>
        </w:rPr>
        <w:t>[Pages 4–6]</w:t>
      </w:r>
    </w:p>
    <w:p>
      <w:r>
        <w:t>6 BULLETIN NO. 23 OF JUNE 10, 2024</w:t>
        <w:br/>
        <w:t>A564 - HERA/HEATING PRICE</w:t>
        <w:br/>
        <w:t>Provision No. 31201</w:t>
        <w:br/>
        <w:t>THE ANTITRUST AUTHORITY</w:t>
        <w:br/>
        <w:t>IN ITS MEETING of May 21, 2024;</w:t>
        <w:br/>
        <w:t>HEARD the Rapporteur Saverio Valentino;</w:t>
        <w:br/>
        <w:t>HAVING REGARD to Law No. 287 of October 10, 1990;</w:t>
        <w:br/>
        <w:t>HAVING REGARD to Presidential Decree No. 217 of April 30, 1998;</w:t>
        <w:br/>
        <w:t>HAVING REGARD to its resolution of June 28, 2023, which initiated an investigation procedure, pursuant to Article 14 of Law No. 287/1990, against the companies Hera S.p.A. and Herambiente S.p.A., to ascertain the existence of violations of Article 3, paragraph 1, letter a), of Law No. 287/1990 in relation to the network in Ferrara;</w:t>
        <w:br/>
        <w:t>HAVING REGARD to all the acts of the procedure;</w:t>
        <w:br/>
        <w:t>CONSIDERING the complexity of the case under analysis as well as the need to carry out a thorough analysis of the numerous evidence collected;</w:t>
        <w:br/>
        <w:t>CONSIDERING the necessity to ensure the Parties the broadest exercise of their rights of defense and contradiction;</w:t>
        <w:br/>
        <w:t>THEREFORE CONSIDERED necessary to defer the deadline for the conclusion of the procedure, currently set for July 31, 2024;</w:t>
        <w:br/>
        <w:t>RESOLVES</w:t>
        <w:br/>
        <w:t>to extend the deadline for the conclusion of the procedure to November 29, 2024.</w:t>
        <w:br/>
        <w:t>This provision will be notified to the interested parties and published in the Bulletin of the Antitrust Authority.</w:t>
        <w:br/>
        <w:t>THE SECRETARY GENERAL THE PRESIDENT</w:t>
        <w:br/>
        <w:t>Guido Stazi Roberto Rustichelli</w:t>
      </w:r>
    </w:p>
    <w:p>
      <w:r>
        <w:t>BULLETIN NO. 23 OF JUNE 10, 2024 7</w:t>
        <w:br/>
        <w:t>A565 - A2A/HEATING PRICE</w:t>
        <w:br/>
        <w:t>Provision No. 31202</w:t>
        <w:br/>
        <w:t>THE ANTITRUST AUTHORITY</w:t>
        <w:br/>
        <w:t>IN ITS MEETING of May 21, 2024;</w:t>
        <w:br/>
        <w:t>HEARD the Rapporteur Saverio Valentino;</w:t>
        <w:br/>
        <w:t>HAVING REGARD to Law No. 287 of October 10, 1990;</w:t>
        <w:br/>
        <w:t>HAVING REGARD to Presidential Decree No. 217 of April 30, 1998;</w:t>
        <w:br/>
        <w:t>HAVING REGARD to its resolution adopted on June 13, 2023, which initiated an investigation, pursuant to Article 14 of Law No. 287/1990, against A2A S.p.A., Comocalor S.p.A. and Acinque Ambiente S.r.l to ascertain the existence of possible violations of Article 3, paragraph 1, letter a), of Law No. 287/1990;</w:t>
        <w:br/>
        <w:t>HAVING REGARD to its resolution adopted on November 28, 2023, which extended the A565 procedure, initiated on June 13, 2023, to the company Acinque S.p.A.;</w:t>
        <w:br/>
        <w:t>HAVING REGARD to all the acts of the procedure;</w:t>
        <w:br/>
        <w:t>CONSIDERING the complexity of the case under evaluation as well as the need to carry out a thorough analysis of the numerous evidence collected;</w:t>
        <w:br/>
        <w:t>CONSIDERING the necessity to ensure the Parties the broadest exercise of their rights of defense and contradiction;</w:t>
        <w:br/>
        <w:t>THEREFORE CONSIDERED necessary to defer the deadline for the conclusion of the procedure, currently set for July 31, 2024;</w:t>
        <w:br/>
        <w:t>RESOLVES</w:t>
        <w:br/>
        <w:t>to extend the deadline for the conclusion of the procedure to November 29, 2024.</w:t>
        <w:br/>
        <w:t>This provision will be notified to the interested parties and published in the Bulletin of the Antitrust Authority.</w:t>
        <w:br/>
        <w:t>THE SECRETARY GENERAL THE PRESIDENT</w:t>
        <w:br/>
        <w:t>Guido Stazi Roberto Rustichelli</w:t>
      </w:r>
    </w:p>
    <w:p>
      <w:r>
        <w:t>8 BULLETIN NO. 23 OF JUNE 10, 2024</w:t>
        <w:br/>
        <w:t>A568 - TRAVEL AGENCIES/RYANAIR FLIGHT BOOKINGS</w:t>
        <w:br/>
        <w:t>Provision No. 31203</w:t>
        <w:br/>
        <w:t>THE ANTITRUST AUTHORITY</w:t>
        <w:br/>
        <w:t>IN ITS MEETING of May 21, 2024;</w:t>
        <w:br/>
        <w:t>HEARD the Rapporteur Saverio Valentino;</w:t>
        <w:br/>
        <w:t>HAVING REGARD to Article 102 of the Treaty on the Functioning of the European Union;</w:t>
        <w:br/>
        <w:t>HAVING REGARD to Council Regulation No. 1/2003 of December 16, 2002, concerning the application of the competition rules laid down in Articles 81 and 82 of the EC Treaty (now Articles 101 and 102 TFEU);</w:t>
        <w:br/>
        <w:t>HAVING REGARD to Law No. 287 of October 10, 1990 and, in particular, Article 14-bis;</w:t>
        <w:br/>
        <w:t>HAVING REGARD to Presidential Decree No. 217 of April 30, 1998;</w:t>
        <w:br/>
        <w:t>HAVING REGARD to the Authority's Communication regarding the application of Article 14-bis of Law No. 287/1990;</w:t>
        <w:br/>
        <w:t>HAVING REGARD to its resolution of September 14, 2023, No. 30772, which initiated an investigation pursuant to Article 14 of Law No. 287/1990, against Ryanair DAC, the leading operator in passenger air transport on flights involving Italian airports, to ascertain a possible abuse of dominant position in violation of Article 3 of Law No. 287/1990 and/or Article 102 TFEU, consisting of preventing purchases by travel agencies, physical and/or online, of Ryanair flight tickets through its website and offering worse conditions through GDS, thus preventing and/or hindering agencies in selling the airline's tickets - which typically represent the "point of access" for the offer of additional services - in order to favor direct sales of flight tickets on its website and thereby harming the conduct of effective competition in the markets for the provision of tourism services, to the detriment of travel agencies and with negative effects on the welfare of consumers who rely on such operators;</w:t>
        <w:br/>
        <w:t>HAVING REGARD to its resolution of January 16, 2024, No. 31027, by which the procedure was subjectively extended to Ryanair Holdings Plc;</w:t>
        <w:br/>
        <w:t>HAVING REGARD to the requests for the adoption of precautionary measures from the eu Travel Tech association and Vacaciones eDreams SL, both received on March 29, 2024;</w:t>
        <w:br/>
        <w:t>HAVING REGARD to its resolution of April 3, 2024, No. 31151, by which the precautionary procedure was initiated pursuant to Article 14-bis of Law No. 287/1990, aimed at verifying, in contradiction with the parties, the actual existence of the necessary requirements for the adoption of precautionary measures aimed at restoring and maintaining competitive conditions in the affected market;</w:t>
        <w:br/>
        <w:t>HAVING REGARD to the memoranda and documents received on April 5 and 12, 2024, from FIAVET and, on April 12, 2024, from Ryanair DAC and Ryanair Holdings Plc, Fru.PL S.A, ADVUnite and AIAV;</w:t>
        <w:br/>
        <w:t>HEARD in a hearing before the College, on April 18, 2024, the representatives of Ryanair DAC, Ryanair Holdings Plc, eu Travel Tech – euTT, Vacaciones eDreams SL, Fru.PL S.A, FIAVET and AIAV;</w:t>
      </w:r>
    </w:p>
    <w:p>
      <w:r>
        <w:rPr>
          <w:b/>
        </w:rPr>
        <w:t>[Pages 7–9]</w:t>
      </w:r>
    </w:p>
    <w:p>
      <w:r>
        <w:t>BULLETIN NO. 23 OF JUNE 10, 2024 9</w:t>
        <w:br/>
        <w:t>HAVING REGARD to the decision made in the meeting of April 24, 2024, to order a supplementary investigation, also taking into account the elements that emerged during the precautionary hearing, communicated to the parties on the same date;</w:t>
        <w:br/>
        <w:t>HAVING REGARD to the information voluntarily transmitted by Ryanair DAC and Ryanair Holdings Plc on May 3, 2024, and May 20, 2024;</w:t>
        <w:br/>
        <w:t>HAVING REGARD to the requests for information sent to Ryanair DAC and Ryanair Holdings Plc, Kiwi.com S.r.o., Booking.com B.V., BravoNext S.A., Vacaciones eDreams SL, and Fru.PL S.A. on May 3, 2024, and the responses received within the assigned deadline of May 12, 2024, and, following the partial acceptance of the request for an extension of the deadline, on May 15, 2024, from Ryanair DAC and Ryanair Holdings Plc;</w:t>
        <w:br/>
        <w:t>HAVING REGARD to the acts of the proceeding, except for the inspection documentation acquired from Ryanair DAC and Ryanair Holdings Plc (hereinafter jointly referred to as "Ryanair");</w:t>
        <w:br/>
        <w:t>CONSIDERING, without prejudice to any assessment on the merits of the charges and the potential restrictive effects of the partnership agreements with online agencies, the availability expressed by Ryanair to conclude such partnership agreements that, in the near future, should allow online agencies to sell Ryanair tickets with integrated solutions on their site (so-called embedded, meaning that booking can be done without leaving the online agency's site, except for a pop-up with a summary page on Ryanair's website), and that, according to Ryanair itself, should also allow sales of non-aviation ancillary services and the application of additional fees or discounts (provided they are transparently presented to users);</w:t>
        <w:br/>
        <w:t>CONSIDERING further that the information acquired as a result of the investigative deepening and the content of the agreements require a detailed assessment, incompatible with the adoption of a precautionary measure, also taking into account the opposing interests;</w:t>
        <w:br/>
        <w:t>CONSIDERING therefore that, pending the conclusion of the proceeding, there does not appear to be a danger of serious and irreparable harm to competition;</w:t>
        <w:br/>
        <w:t>CONSIDERED, therefore, that at the current state of the acts, the conditions for the adoption of precautionary measures pursuant to Article 14-bis of Law No. 287/1990 against Ryanair DAC and Ryanair Holdings Plc do not exist.</w:t>
        <w:br/>
        <w:t>RESOLVES</w:t>
        <w:br/>
        <w:t>a) that at the current state of the acts, the conditions for the adoption of precautionary measures pursuant to Article 14-bis of Law No. 287/1990 do not exist;</w:t>
        <w:br/>
        <w:t>b) the closure of the proceeding initiated on April 3, 2024, regarding the potential adoption of precautionary measures.</w:t>
        <w:br/>
        <w:t>This provision will be notified to the interested parties and published in the Bulletin of the Competition and Market Authority.</w:t>
      </w:r>
    </w:p>
    <w:p>
      <w:r>
        <w:t>10 BULLETIN NO. 23 OF JUNE 10, 2024</w:t>
        <w:br/>
        <w:t>Against this provision, an appeal may be submitted to the TAR of Lazio, pursuant to Article 135, paragraph 1, letter b), of the Code of Administrative Procedure (Legislative Decree No. 104 of July 2, 2010),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br/>
        <w:t>THE SECRETARY GENERAL THE PRESIDENT</w:t>
        <w:br/>
        <w:t>Guido Stazi Roberto Rustichelli</w:t>
      </w:r>
    </w:p>
    <w:p>
      <w:r>
        <w:t>BULLETIN NO. 23 OF JUNE 10, 2024 11</w:t>
        <w:br/>
        <w:t>I859 - PROCUREMENT AND SUPPLY OF RADIOPHARMACEUTICALS</w:t>
        <w:br/>
        <w:t>Provision No. 31212</w:t>
        <w:br/>
        <w:t>THE COMPETITION AND MARKET AUTHORITY</w:t>
        <w:br/>
        <w:t>IN ITS MEETING of May 21, 2024;</w:t>
        <w:br/>
        <w:t>HEARD the Rapporteur, Saverio Valentino;</w:t>
        <w:br/>
        <w:t>HAVING REGARD to Article 101 of the Treaty on the Functioning of the European Union (TFEU);</w:t>
        <w:br/>
        <w:t>HAVING REGARD to Council Regulation (EC) No. 1/2003 of December 16, 2002, concerning the application of the competition rules laid down in Articles 101 and 102 TFEU;</w:t>
        <w:br/>
        <w:t>HAVING REGARD to Law No. 287 of October 10, 1990;</w:t>
        <w:br/>
        <w:t>HAVING REGARD to the Presidential Decree No. 217 of April 30, 1998;</w:t>
        <w:br/>
        <w:t>HAVING REGARD to its provision of March 29, 2022, No. 30089, which initiated an investigation, pursuant to Article 14 of Law No. 287/90, against the companies Novartis AG, Advanced Accelerator Applications S.r.l., Curium Netherlands Holding B.V., Curium Italy S.r.l., ITEL Telecomunicazioni S.r.l., GE Healthcare International B.V., GE Healthcare Italia S.r.l., ACOM - Advanced Center Oncology Macerata - S.r.l. and the Italian Association of Nuclear Medicine and Molecular Imaging, to ascertain the existence of any violations of Article 101 TFEU;</w:t>
        <w:br/>
        <w:t>HAVING REGARD to its provision of May 2, 2023, No. 30627, which extended the final deadline of the proceeding to November 30, 2023;</w:t>
        <w:br/>
        <w:t>HAVING REGARD to its provision of November 14, 2023, No. 30881, which extended the final deadline of the proceeding to July 1, 2024;</w:t>
        <w:br/>
        <w:t>HAVING REGARD to the Communication of the Investigative Results sent to the Parties on April 3, 2024;</w:t>
        <w:br/>
        <w:t>HAVING REGARD to the waivers of the right to submit written statements and documents, as well as to be heard in a hearing, received between April 5 and April 18, 2024, from Novartis AG, Advanced Accelerator Applications S.r.l., Curium Netherlands Holding B.V., Curium Italy S.r.l., ITEL Telecomunicazioni S.r.l., GE Healthcare Italia S.r.l., ACOM - Advanced Center Oncology Macerata – S.r.l. and the Italian Association of Nuclear Medicine and Molecular Imaging (AIMN);</w:t>
        <w:br/>
        <w:t>HAVING REGARD to the acts of the proceeding and the documentation acquired during the investigation;</w:t>
        <w:br/>
        <w:t>CONSIDERING the following:</w:t>
        <w:br/>
        <w:t>I. THE PARTIES TO THE PROCEEDING</w:t>
        <w:br/>
        <w:t>1. Advanced Accelerator Applications S.r.l. (hereinafter, "AAA") is a company that primarily operates in the market for the production and sale of radiopharmaceuticals and, in particular, those necessary for Positron Emission Tomography, the so-called PET products, aimed at precision diagnostics, and in the market of so-called theranostics which involves the integration of a diagnostic method with a specific therapeutic intervention. The company is under the direct control of Advanced Accelerator Systems SA, a company under French law. Advanced Accelerator Systems SA, together with its subsidiaries, constitutes the AAA group. This group indirectly</w:t>
      </w:r>
    </w:p>
    <w:p>
      <w:r>
        <w:rPr>
          <w:b/>
        </w:rPr>
        <w:t>[Pages 10–12]</w:t>
      </w:r>
    </w:p>
    <w:p>
      <w:r>
        <w:t>12 BULLETIN NO. 23 OF JUNE 10, 2024</w:t>
        <w:br/>
        <w:t>head to Novartis AG, by virtue of the almost total ownership, by its French subsidiary Novartis Groupe SA, of the share capital of Advanced Accelerator Systems SA1.</w:t>
        <w:br/>
        <w:t>2. Novartis AG (hereinafter, "Novartis") is a Swiss joint-stock company with its registered office in Basel, at the operational head of the eponymous Swiss group, present worldwide in the production and marketing of pharmaceutical products. Novartis is a public company listed on the stock exchanges of Zurich and New York.</w:t>
        <w:br/>
        <w:t>3. Curium Italy S.r.l. (hereinafter, "Curium"), formerly IBA Molecular Italy S.r.l. (hereinafter "IBA Molecular") is a company active, inter alia, in the market for the production and sale of drugs, radiopharmaceuticals, and medical devices and is part of the Curium group, a global leader in nuclear medicine products, established in 2017 following the merger between Mallinckrodt Nuclear Medicine LLC and IBA Molecular. Curium is controlled by Curium Netherlands Holding B.V. and, ultimately, by Pickso S.à r.l..</w:t>
        <w:br/>
        <w:t>4. Curium Netherlands Holding B.V. is a company of the Curium group active in the market for the development, production, and sale of radiopharmaceutical products.</w:t>
        <w:br/>
        <w:t>5. ITEL Telecomunicazioni S.r.l. (hereinafter, "ITEL") is a company that offers highly specialized engineering services for healthcare, which began its production and marketing activities of radiopharmaceuticals and, in particular, PET products, following the signing of a licensing agreement with GE Healthcare Italia S.r.l. in 2010. The share capital of ITEL is wholly owned by a natural person.</w:t>
        <w:br/>
        <w:t>6. GE Healthcare Italia S.r.l. (hereinafter, "GE") is a company operating in the market for the purchase and sale of electrical, electronic, and mechanical equipment for medical use and various products for medical and clinical use. The company is controlled by GE Healthcare Italia Holding S.r.l., which in turn is controlled by the Dutch company GE Healthcare International B.V., part of the General Electric group.</w:t>
        <w:br/>
        <w:t>7. GE Healthcare International B.V. is a company of the General Electric Group, primarily active in the market for the production and sale of electrical, electronic, and mechanical equipment for medical use.</w:t>
        <w:br/>
        <w:t>8. ACOM - Advanced Center Oncology Macerata - S.r.l. (hereinafter, "ACOM") is a company that operates in the market for the production and sale of radiopharmaceuticals. It is controlled for approximately 60% of its capital by A.M.G. Uno Advanced Medicine Group Uno S.r.l., for approximately 39.4% by NI.CO. S.r.l. and for the remaining part of the share capital by the University of Camerino.</w:t>
        <w:br/>
        <w:t>9. The Italian Association of Nuclear Medicine and Molecular Imaging (hereinafter, "AIMN") is a non-profit association whose main purpose is to promote the scientific and applicative development of the use in the medical and biological field of the physical properties of the atomic nucleus of radionuclides.</w:t>
        <w:br/>
        <w:t>II. THE INSTRUCTIONAL ACTIVITY CARRIED OUT</w:t>
        <w:br/>
        <w:t>10. On March 29, 2022, following the submission of an oral request for non-imposition/reduction of the sanction pursuant to Articles 15-bis et seq. of Law No. 287/1990, with a request for markers pursuant to Article 15-sexies of the same law, the Authority initiated case I859 to ascertain the existence of an alleged agreement established by the main companies that have been active over time in the market for the production and sale of radiopharmaceuticals, now all traceable to three corporate groups, within the selection procedures carried out at the national level for the supply to public hospitals and private clinics of radiopharmaceuticals (mainly the so-called PET products, that is, those used for Positron Emission Tomography).</w:t>
        <w:br/>
        <w:t>11. The alleged violation concerns collusive conduct adopted by Novartis AG and its subsidiary Advanced Accelerator Applications S.r.l., Curium Netherlands Holding B.V. and its subsidiary Curium Italy S.r.l., ITEL Telecomunicazioni S.r.l., GE Healthcare International B.V. and its subsidiary GE Healthcare Italia S.r.l., ACOM - Advanced Center Oncology Macerata - S.r.l. Currently, as a result of various extraordinary operations, only the three groups Novartis, Curium, and Itel remain on the market. The indicated companies, artfully exploiting the particularities of the radiopharmaceutical requested by the contracting authorities (subject to rapid deterioration), would have woven, at least since 2005, a dense network of relationships aimed not only at legitimately addressing any malfunctions in the radiopharmaceutical production cycle (cyclotron outages) but at dividing the supply shares. The collusion, in particular, would have aimed to eliminate competition during participation in tenders issued by the contracting authorities, through the establishment of excessive Temporary Business Associations (ATI) or the division of contracts, as well as through a distorted use of the so-called back-up service for the supply of said products to public and private entities. This service allows the product to be supplied to hospital facilities by a company other than the winning contractor, but a competitor of the same, in cases where the winning contractor is unable to fulfill orders for technical reasons (see better below).</w:t>
        <w:br/>
        <w:t>The Italian Association of Nuclear Medicine and AIMN is also part of the proceedings, as it was hypothesized in the initiation order that the companies could exchange relevant information about the alleged cartel also through the association.</w:t>
        <w:br/>
        <w:t>On April 6, 2022, inspections were carried out at the premises of all parties involved in the proceedings.</w:t>
        <w:br/>
        <w:t>12. During the investigation, hearings were held with the Parties1 and information requests were made to some ASLs/contracting authorities2 and to the parties involved in the proceedings3. ACOM, AIMN, and Curium submitted defensive memoranda4.</w:t>
        <w:br/>
        <w:t>13. On April 3, 2024, the Investigative Findings of the proceedings were sent to the Parties, in which no charges were formulated, as the evidence collected during the investigative activity regarding possible restrictions of conduct in violation of Article 101 TFEU was not sufficient to fully corroborate what was hypothesized in the initiation order of the investigation. Therefore, between April 4 and April 18, 2024, waivers of further exercise of defense rights were received from all parties involved in the proceedings (except for GE Healthcare Italia Holding S.r.l. and GE Healthcare International B.V.), both orally and in writing. The companies GE Healthcare</w:t>
        <w:br/>
        <w:t>1 A first group, dating back to 2022, mainly concerned the description of the radiopharmaceutical market (see docs. 90, 91, and 93; ACOM also presented its defenses, see doc. 85). The second group, held between the end of 2023 and the beginning of 2024, concerned, in substance, the conduct of the parties and allowed them to present their defensive positions regarding the subject of the proceedings (see docs. 249, 257, 258, and 269).</w:t>
        <w:br/>
        <w:t>2 See docs. 122, 123, 124, 125, 128 and related responses docs. 129-135.</w:t>
        <w:br/>
        <w:t>3 See docs. 176-180 and related responses docs. 197-200.</w:t>
        <w:br/>
        <w:t>4 See docs. 108, 68, and 279 (and subsequent integrations docs. 280 and 281). Curium also submitted an economic memorandum from RBB (see doc. 279, annex 1 and subsequent integrations with the database used in doc. 281).</w:t>
      </w:r>
    </w:p>
    <w:p>
      <w:r>
        <w:t>14 BULLETIN NO. 23 OF JUNE 10, 2024</w:t>
        <w:br/>
        <w:t>Italia Holding S.r.l. and GE Healthcare International B.V. did not submit memoranda or requests to be heard in a hearing.</w:t>
        <w:br/>
        <w:t>14. The following will describe the factual elements collected during the investigation, specifying that, over the years, the market has undergone significant concentration, as described in the following table.</w:t>
        <w:br/>
        <w:t>Table 1: evolution of the parties involved in the radiopharmaceutical market</w:t>
        <w:br/>
        <w:t>2009 2014 2017 2018 2021 today</w:t>
        <w:br/>
        <w:t>AAA</w:t>
        <w:br/>
        <w:t>GE sells AAA</w:t>
        <w:br/>
        <w:t>GE sells its business unit to AAA</w:t>
        <w:br/>
        <w:t>IBA changes</w:t>
        <w:br/>
        <w:t>IBA name to</w:t>
        <w:br/>
        <w:t>CURIUM</w:t>
        <w:br/>
        <w:t>ACOM sells</w:t>
        <w:br/>
        <w:t>CURIUM</w:t>
        <w:br/>
        <w:t>ACOM business unit</w:t>
        <w:br/>
        <w:t>FDG to Curium</w:t>
        <w:br/>
        <w:t>IASON is</w:t>
        <w:br/>
        <w:t>IASON</w:t>
        <w:br/>
        <w:t>acquired by Curium</w:t>
        <w:br/>
        <w:t>ITEL ITEL</w:t>
        <w:br/>
        <w:t>Source: processing of data provided by the parties.</w:t>
        <w:br/>
        <w:t>III. THE PARTICULARITIES OF RADIOPHARMACEUTICALS</w:t>
        <w:br/>
        <w:t>15. The radiopharmaceuticals subject to the investigation are those used to perform the PET diagnostic examination, crucial for the discovery of various diseases. These are, in particular, the following radiopharmaceuticals, produced from the molecules fluorodeoxyglucose (hereinafter, "FDG"), fluoromethylcholine (hereinafter, "CHOLINE"), and fluorodopa (hereinafter, "DOPA or 18f").</w:t>
      </w:r>
    </w:p>
    <w:p>
      <w:r>
        <w:rPr>
          <w:b/>
        </w:rPr>
        <w:t>[Pages 13–15]</w:t>
      </w:r>
    </w:p>
    <w:p>
      <w:r>
        <w:t xml:space="preserve">BULLETIN NO. 23 OF JUNE 10, 2024 15  </w:t>
        <w:br/>
        <w:t xml:space="preserve">Table 2: The radiopharmaceuticals subject to the proceedings  </w:t>
        <w:br/>
        <w:t xml:space="preserve">Drug Molecule Name Drug AAA  </w:t>
        <w:br/>
        <w:t xml:space="preserve">IBA/CURIUM or Itel or GE* ACOM**  </w:t>
        <w:br/>
        <w:t xml:space="preserve">fluorodeoxyglucose Glucompe  </w:t>
        <w:br/>
        <w:t xml:space="preserve">Gluscan Glucompet Itel FDG Steripet  </w:t>
        <w:br/>
        <w:t xml:space="preserve">or (FDG) t  </w:t>
        <w:br/>
        <w:t xml:space="preserve">Fluoromethylcholine Cholscan/Fluoroch Fluorocholine  </w:t>
        <w:br/>
        <w:t xml:space="preserve">(Choline) ol Italy  </w:t>
        <w:br/>
        <w:t xml:space="preserve">fluorodopa (18f) Padoview/dopaviw  </w:t>
        <w:br/>
        <w:t xml:space="preserve">Fluorodopa  </w:t>
        <w:br/>
        <w:t xml:space="preserve">(Dopa) e  </w:t>
        <w:br/>
        <w:t xml:space="preserve">* no longer on the market. GE has sold the FDG business unit to AAA.  </w:t>
        <w:br/>
        <w:t xml:space="preserve">** no longer on the market. ACOM has sold the FDG business unit to Curium.  </w:t>
        <w:br/>
        <w:t xml:space="preserve">Source: data provided by the parties  </w:t>
        <w:br/>
        <w:t xml:space="preserve">16. The aforementioned radiopharmaceuticals have very similar diagnostic uses, particularly FDG, the most widespread, which has a general diagnostic value, while the other two molecules are indicated for the diagnosis of specific types of diseases, particularly tumors.  </w:t>
        <w:br/>
        <w:t xml:space="preserve">17. Radiopharmaceuticals possess a radioactive charge that is subject to rapid deterioration and must be activated through a particular infrastructure, the cyclotron. Due to their nature and unstable chemical composition, radiopharmaceuticals are, in fact, considered "living products" and can therefore be stored for a very short time. This is due to the fact that their level of radioactivity decreases exponentially over time. In particular, radioactivity halves every two hours and completely fades away 12-15 hours from the moment the drug was produced. For this reason, radiopharmaceuticals cannot be stored but are produced at night based on the requests of individual customers and must reach hospitals by the end of the morning and at least one hour before use, in order to allow for the execution of scheduled oncological examinations during the day. The geographical location of the production sites in relation to the diagnostic centers, which must allow for delivery within a maximum time frame of 5/6 hours, is therefore crucial. The proximity of the production site also affects the quantity of useful product. In this regard, GE explained that "perishability also affects the yield of the drug, so the farther a delivery site is from the production site, the more drug will be needed to compose a dose. More specifically, a batch that can be sufficient for 16 doses of drug within 30 minutes, after 6 hours from production will only be sufficient to produce 2."5  </w:t>
        <w:br/>
        <w:t xml:space="preserve">18. Regarding the geographical coverage of the activities carried out by the companies, it is noted that the production sites (where the cyclotron is located), now active in the production of PET products, are as follows:  </w:t>
        <w:br/>
        <w:t xml:space="preserve">i) for AAA Meldola (Forlì-Cesena) and Pozzilli (Isernia). Thanks to these, AAA is able to operate in almost the entire national territory; in the South, and particularly in Puglia, Calabria, and Basilicata, it is active thanks to a production and licensing agreement with Itel;  </w:t>
        <w:br/>
        <w:t xml:space="preserve">ii) for IBA/Curium Monza, Udine, and Rome, which represent the production centers historically owned by the company, to which in the last three to four years have been added the site at IEO in Milan, the one in Montecosaro (which it has had since 2018 thanks to the acquisition of the FDG business unit of Acom) and the one in Pisa (the most recent).  </w:t>
        <w:br/>
        <w:t>5 See GE, hearing minutes, doc. 258.</w:t>
      </w:r>
    </w:p>
    <w:p>
      <w:r>
        <w:t xml:space="preserve">16 BULLETIN NO. 23 OF JUNE 10, 2024  </w:t>
        <w:br/>
        <w:t xml:space="preserve">iii) for Itel, finally two cyclotrons both in the Ruvo di Puglia plant, also used to produce AAA's radiopharmaceuticals.  </w:t>
        <w:br/>
        <w:t xml:space="preserve">A reconstruction of the evolution of the production sites and their distribution across the national territory is provided by Curium in the following image.  </w:t>
        <w:br/>
        <w:t xml:space="preserve">Figure 1: Curium production sites in Italy  </w:t>
        <w:br/>
        <w:t xml:space="preserve">Source: Curium, doc. 257, hearing minutes, annex 1, p. 7.  </w:t>
        <w:br/>
        <w:t xml:space="preserve">19. The cyclotron must necessarily be subject to scheduled shutdowns for maintenance reasons, during which production must be completely suspended. Similarly, emergency situations may occur in which the production process is halted due to synthesis problems and/or because the machinery goes out of the specifications of the parameters established for synthesis.  </w:t>
        <w:br/>
        <w:t xml:space="preserve">20. During the aforementioned production shutdowns and in the event of synthesis errors, it is of fundamental importance to ensure the continuity of supply to the diagnostic centers. To this end, the companies offer each other so-called back-up services, whereby a company supplying PET products to a customer can rely on the support of another company, which provides the supply to the facility if it itself is unable to do so.  </w:t>
        <w:br/>
        <w:t xml:space="preserve">21. The hospitals (public and private) themselves seek suppliers of radiopharmaceuticals that have a cyclotron with sufficient production capacity to meet the requirements established in the tender and that, in the event of a breakdown and during maintenance shutdowns, guarantee, at no additional cost, the supply from an alternative production center. This guarantee is sometimes explicitly stated in the specifications as a mandatory requirement to submit a bid (see, for example, the Technical Specifications of the SORESA tender of 2018, which establishes that the participating company "must guarantee at least 2 back-up sites that, like the main site, are provided with valid production and marketing authorizations for the product").6 However, it is noted that, even where the specifications do not provide for this obligation, the number of production sites available and their proximity to the hospital facility is evaluated among the technical requirements and contributes to the allocation of points. For example, the technical specifications of the tender issued by AAOO Marche Nord in 2016 provide for the allocation of a maximum score of 10 points for "back-up sites, management to ensure the regularity of deliveries."7 In the technical specifications of the ESTAR tender of December 2022, it is also indicated that "in the event of temporary unavailability of the scheduled products, the awarded company must still guarantee the supply, procuring the product from another supplier, at no additional cost to the contracting authority."8  </w:t>
        <w:br/>
        <w:t xml:space="preserve">IV. THE PERIOD PRIOR TO CENTRALIZED TENDERS: 2005-2014  </w:t>
        <w:br/>
        <w:t xml:space="preserve">22. In the hypothesis formulated at the outset, the agreement would have begun in 2005 and would have remained in force until 2021, passing through two main moments that would have determined a change in operation. In an initial period (corresponding to the years 2005-2014 approximately), prior to the establishment of large contracting authorities (such as ESTAR, SORESA, etc.) and centralized tenders, the companies would have coordinated by sharing the individual contracting authorities from time to time through cross supplies of "fake back-ups," that is, using supply exchanges to rebalance market shares.  </w:t>
        <w:br/>
        <w:t xml:space="preserve">23. It should first be noted that, during this period, the operators present in the market were mainly six: AAA, IBA (which would become Curium in 2017), ACOM, GE, ITEL, and IASON, the latter not part of the proceedings.  </w:t>
        <w:br/>
        <w:t xml:space="preserve">24. Now turning to the elements that would attest to the collusive agreement in the first phase 2005-2014, it must first be clarified that the collection of elements has not allowed for the reconstruction of an overall collusive plan among the parties (or among some of them) suitable to configure a unique, complex, and continuous agreement. The reconstruction has highlighted, in fact, very discontinuous conduct over time, changes in corporate structures and in the methods of participation in tenders, as well as various elements that attest to episodes of fierce competition among the parties. The economic analysis carried out on the back-ups among the parties, moreover, did not return a picture of anomalous evidence of a cartel, also taking into account the particularity of the products involved which, as seen, imposes a certain degree of mutual collaboration on the companies to meet the requests of the contracting authorities and safeguard the proper execution of health services to patients. For these reasons, it is considered unnecessary to analyze the events that, according to the leniency applicant, would be attributable to the division of individual tenders.  </w:t>
        <w:br/>
        <w:t xml:space="preserve">6 See doc. 129. Similarly, IFO 2019 tender "The Company must also:  </w:t>
        <w:br/>
        <w:t xml:space="preserve">- explicitly and in detail declare the methods by which it ensures back-up in case of non-production from the primary site, meaning strictly: a.- number and location of back-up sites, b.- delivery logistics with explicitly stated times, c.- any further back-up methods" (see doc. 139).  </w:t>
        <w:br/>
        <w:t xml:space="preserve">7 See doc. 131. Similarly, the SORESA 2018 tender (in accordance with SORESA 2014) which allocates up to 9 points for "Availability and number of back-up production sites in Italy (in case of participation in RTI, only the sites of the RTI component that holds the largest number will be considered)" (see docs. 129 and 134).  </w:t>
        <w:br/>
        <w:t>8 See doc. 139.</w:t>
      </w:r>
    </w:p>
    <w:p>
      <w:r>
        <w:rPr>
          <w:b/>
        </w:rPr>
        <w:t>[Pages 16–18]</w:t>
      </w:r>
    </w:p>
    <w:p>
      <w:r>
        <w:t>18 BULLETIN NO. 23 OF JUNE 10, 2024</w:t>
        <w:br/>
        <w:t>V. THE CENTRALIZED TENDERS: 2014-2022</w:t>
        <w:br/>
        <w:t>25. The investigative hypothesis also concerned a series of centralized tenders issued by the large regional contracting authorities. From this hypothesis, GE must first be excluded, as at this stage it had already exited (or was about to exit) the market, having sold its business unit related to FDG to AAA. In any case, GE was never involved in the contested Temporary Business Associations (ATI). Similarly, Itel cannot be considered involved, as it never appeared among the participants in the ATIs reported by the leniency applicant. According to the investigative hypothesis, these ATIs would have been "superfluous" in the sense that the parties could have participated individually in the tenders or could have participated in the ATI with different shares.</w:t>
        <w:br/>
        <w:t>The investigative analysis focused mainly on the ATIs established by AAA and Curium for Estar 2017, Soresa 2013 and 2018, Latina 2018, and for the one established by AAA and ACOM for Asur Marche 2017.</w:t>
        <w:br/>
        <w:t>26. In general, for all the aforementioned ATIs, documents were found indicating that the Parties often modified the supply shares within the ATIs in order to achieve a distribution of shares in line with the initial allocation.</w:t>
        <w:br/>
        <w:t>27. The inspection documents did not reveal any evidence of allocations exceeding the scope of the aforementioned ATIs, which are described in more detail below.</w:t>
        <w:br/>
        <w:t>28. Regarding the need to modify the execution shares of the ATIs, it emerged that this was determined by documented production problems of Curium due to the malfunctioning of the cyclotron in Pisa. These production difficulties of Curium affected all supplies.</w:t>
        <w:br/>
        <w:t>28. Now turning to the individual ATIs, a brief examination will be provided of the ATIs for ESTAR 2017, SORESA 2013 and 2018, Latina 2018, and Asur Marche 2017, specifying that Curium submitted an economic analysis which, for all the contested tenders, based on an estimate of the production capacity of the production sites, asserts the technical impossibility of the company to participate individually in the tenders.</w:t>
        <w:br/>
        <w:t>The ESTAR 2017 tender</w:t>
        <w:br/>
        <w:t>29. The Authority analyzed the ATI formed by the two companies AAA and IBA/Curium for participation in the tender issued by ESTAR in 2017 for the supply of radiopharmaceuticals in order to verify whether there were sufficient elements to contest its illegitimacy under Article 101.1 TFEU. It should be recalled that this was, in particular, Lot No. 117 of the procedure announced on May 12, 2017, with a base auction amount of €7,778,800. The tender was won by the ATI AAA-IBA/Curium, the only participant, with a discount on the base auction of 0.83% (corresponding to a price of €4.82 per mCi). The Authority was able to verify that the tender in question was significantly larger than previous tenders issued by the Tuscany Region, all relating to a limited part of the territory and not the entire Region. The ESTAR 2017 tender was, in fact, about thirty times larger, in terms of requested FDG volumes, compared to the previous tender.</w:t>
        <w:br/>
        <w:t>30. Furthermore, with reference to the subsequent ESTAR 2021 and ESTAR 2022 tenders, it should be added that in the ESTAR 2021 tender, AAA submitted a specific request to ESTAR emphasizing that the company could not submit an individual participation offer, as Lot 102 (FDG) was too large and it would not be able to serve it alone. Following the failure to execute the supply, the contracting authority canceled the tender and reissued a second one (see determination No. 662 of May 5, 2022, published on May 6, 2022). This new procedure was also divided into multiple lots and, as far as relevant here, Lot 137 specifically concerns the supply of FDG. It was Curium, on this occasion, that submitted a note to ESTAR stating that it could not participate due to the malfunctioning of the cyclotron in Pisa.</w:t>
        <w:br/>
        <w:t>The SORESA 2014 and 2017 tenders</w:t>
        <w:br/>
        <w:t>30. With reference to the two tenders issued by SORESA (Regional Health Company S.p.A.) for the Campania Region in 2014 and 2017, the following observations are made. The first tender concerned, inter alia, the supply of FDG for a total base auction amount (for six lots) of €3,124,371 for the three-year duration of the supply (with the possibility of renewal for an additional six months). In this tender, AAA and IBA/Curium participated in ATI - with the following percentages: 70% for AAA and 30% for IBA/Curium - and won the lots with an offer of €2,930,316.75 (corresponding to a price of €5.4). Iason and GE also participated in the tender, competing with the winning ATI.</w:t>
        <w:br/>
        <w:t>The second tender concerned, inter alia, the supply of FDG and fluoromethylcholine for a total base auction amount (for 6 lots) of €17,494,726.60 for the four-year duration of the supply (with the possibility of renewal for an additional six months). In this tender, AAA and Keminconsult (exclusive distributor of IBA/Curium in the Campania Region) participated in ATI - with the following percentages: 64% for AAA and 36% for Keminconsult, regarding the supply of FDG; 36% for AAA and 64% for Keminconsult, regarding the supply of fluoromethylcholine - and won the lots with an offer of €17,444,453.40 (corresponding to a price of €6.42).</w:t>
        <w:br/>
        <w:t>31. Curium, in its defenses, stated that the 2013 tender explicitly excluded "the possibility of using competitors' cyclotrons as backup sites. It also specified that the remaining validity for clinical use of FDG at the time of delivery must be at least 6 hours, regardless of whether the product came from a main or backup site. […]</w:t>
        <w:br/>
        <w:t>32. The Rome facility was the only site of Curium that in 2013 could realistically serve the hospitals of SORESA. The distance and transport times from Monza, at that time the second closest site to Campania, made this site impractical to meet the tender requirements, particularly the need to ensure a remaining validity period of FDG of at least six hours at the time of delivery. In fact, since FDG has a shelf life of about 12 hours (see section 2.1), the distance between Monza and the Campania hospitals would not have been compatible with the tender requirements […]. In accordance with the provisions of the tender, which prohibited participants from using backup sites managed by competitors, it follows that Curium would not have been able to participate in the tender in question without resorting to collaboration agreements with another competitor, for example, by entering into an ATI or a support agreement. Even though the 2017 tender did not prohibit the possibility of using competitors' sites as backup, since, as in 2013, the only usable internal site was that of Monza, this would not have allowed Curium, with an individual participation, to meet the requirement of ensuring at least 6 hours of remaining shelf life of the drug, for the reasons expressed above. Curium therefore believes that even for 2017 there was a substantial impossibility to participate individually in the tender.</w:t>
        <w:br/>
        <w:t>The ASL Latina tender of 2017</w:t>
        <w:br/>
        <w:t>32. A fourth tender involved in the cooperation of the parties is that issued by the ASL of Latina (acting as lead agent for the awarding of the supply of radiopharmaceuticals needed by the AA.SS.LL. of Latina, Frosinone, and Rome 6) in July 2017, which concerned, inter alia, the supply of fluoromethylcholine, awarded to the ATI AAA-IBA/Curium (51%-49%) with an offer of €83,916.00 (corresponding to a price of €47.9), against a total base auction amount of €96,250.00.</w:t>
        <w:br/>
        <w:t>33. In the hearing, AAA stated that it had "received authorization for the marketing of its drug Cholscan with AIFA determination of August 1, 2017, as reported in official gazette No. 204 of September 1, 2017." AAA then supplemented this information by submitting, on February 20 of this year, a copy of the Official Gazette of November 14, 2017, in which the AAA sites in Colleretto Giacosa (Ivrea) and Pozzilli were expressly recognized as suitable for producing Cholscan.</w:t>
        <w:br/>
        <w:t>34. At the time of submitting the application, AAA therefore did not have authorization to produce the requested drug at its Italian facilities.</w:t>
        <w:br/>
        <w:t>35. In relation to this tender, IBA/Curium also stated that it could not participate individually in the tender as: "the start of commercial production of Colina in Rome took place in March 2017, only six months before the deadline for submitting offers for the tender in question. During these early stages, the facilities required testing, while the staff had limited experience in managing the related operational processes. This learning and adjustment phase inevitably led to unexpected malfunctions and operational errors, increasing the frequency of interruptions in production. […] In this context,</w:t>
      </w:r>
    </w:p>
    <w:p>
      <w:r>
        <w:rPr>
          <w:b/>
        </w:rPr>
        <w:t>[Pages 19–21]</w:t>
      </w:r>
    </w:p>
    <w:p>
      <w:r>
        <w:t>BULLETIN NO. 23 OF JUNE 10, 2024 21</w:t>
      </w:r>
    </w:p>
    <w:p>
      <w:r>
        <w:t>The commitment to supply Colina for the Latina tender could have further exacerbated the risks of disruptions in the supply chain. This is particularly evident considering that neither the Monza site nor the Udine site could be considered valid internal backup options for Latina, given their significant geographical distance and, in the case of Monza, the limited experience and history in Colina production.19 Curium reported numerous malfunctions in Colina production during the indicated period. Participation in a Temporary Business Association (ATI) with AAA could therefore have been supportive, at least prospectively, to ensure the regular conduct of supplies.</w:t>
      </w:r>
    </w:p>
    <w:p>
      <w:r>
        <w:t>The Asur Marche 2017 tender</w:t>
        <w:br/>
        <w:t>36. With reference to the tender, concerning the object, inter alia, the five-year supply of FDG, announced by ASUR Marche (the Hospital Company Ospedali Riuniti Marche Nord) in January 2017 and awarded to the ATI formed by AAA and Acom (with shares of 50%-50%) for a total amount of €4,774,825, corresponding to a price of €6.26 per mCi (against a starting base of €5,540,205), it should first be noted that the company Curium participated in the tender as a competitor. From the documents of AAA and ACOM, it also emerged that the two companies decided to participate in ATI also to defeat Curium by obtaining a higher technical score.</w:t>
      </w:r>
    </w:p>
    <w:p>
      <w:r>
        <w:t>37. Regarding this tender, ACOM stated that: “the decision of ACOM to participate in the tender in RTI was in response to the need to integrate the requirements of the two participating companies in the temporary grouping of enterprises and thus obtain a higher technical score during the evaluation of the offers. In particular, ACOM had only two production sites in Italy:</w:t>
        <w:br/>
        <w:t>- workshop in Montecosaro in the province of Macerata;</w:t>
        <w:br/>
        <w:t>- workshop in Casarano in the province of Lecce.</w:t>
        <w:br/>
        <w:t>Participation in RTI with AAA - and the consequent evaluation during the offer also of the production sites of the latter - allowed the grouping to obtain a higher technical score and the consequent award, as confirmed by the evaluation sheet of the offers […] From the above, it is evident that the use of the RTI mechanism by ACOM constituted a legitimate tool necessary to integrate the requirements necessary for participation in the tender.”20</w:t>
      </w:r>
    </w:p>
    <w:p>
      <w:r>
        <w:t>VI ANALYSIS OF TENDER AND SUPPLY DATA</w:t>
        <w:br/>
        <w:t>38. During the investigation, detailed information was acquired from the parties regarding the tenders held from 2007 to 2023 and the supplies that each of the Parties purchased from competitors (or backup supplies) during the same time frame.</w:t>
      </w:r>
    </w:p>
    <w:p>
      <w:r>
        <w:t>39. The results of the analyses, especially when considered as a whole, do not provide significant endogenous elements. In particular: i) both the ATIs and the backup supplies between the parties are relatively infrequent; ii) there do not appear to be evident anomalies in the prices of tenders with ATIs; iii) the prices of backup in ATIs do not appear anomalous and are in particular lower than the backup prices for emergency reasons.</w:t>
      </w:r>
    </w:p>
    <w:p>
      <w:r>
        <w:t>40. With specific reference to backup supplies, the relatively modest value should also be highlighted: For AAA, the value of supplies purchased from competitors was relatively small throughout the considered period, increasing only from 2018 to 2022 due to the ATIs and the relationships with Itel, as previously mentioned; For Iba/Curium, the value of backups was relatively modest throughout the considered period and never exceeded 5% of the company's turnover.</w:t>
      </w:r>
    </w:p>
    <w:p>
      <w:r>
        <w:t>VII COMPETITION ASSESSMENTS</w:t>
        <w:br/>
        <w:t>41. The elements collected during the investigation of this case do not allow for corroborating the alleged violation initiated and proposed by the leniency applicant.</w:t>
      </w:r>
    </w:p>
    <w:p>
      <w:r>
        <w:t>42. It should first be highlighted that the relevant sector, relating to so-called radiopharmaceuticals for PET (drugs primarily based on the use of fluorodeoxyglucose (FDG), fluoromethylcholine, and fluorodopa (18f)), is particular due to the characteristics of the products in question. As has been repeatedly noted, radiopharmaceuticals are highly perishable and require a very expensive infrastructure (the cyclotron) that is present in very limited numbers across the national territory (currently only 15 cyclotrons are active). This scarcity of production sites necessitates the provision of "backup" sites in case one's own are out of service (due to malfunction or maintenance) in order to avoid interrupting the supply of the drug (so-called backup sites that lead to backup supplies). This necessity also arises from customer requests and, in particular, from the content of tender notices that often value available backup sites either as a participation requirement, requiring the indication of available backup systems, or as a requirement for scoring in the evaluation of the technical offer.</w:t>
      </w:r>
    </w:p>
    <w:p>
      <w:r>
        <w:t>43. Such particularities imply that, in this specific sector, a level of collaboration among competitors has proven indispensable. In this case, no elements were found that could corroborate the initial hypothesis that the level of collaboration exceeded what is necessary to ensure activity, and therefore it was not possible to configure a restrictive agreement on competition in violation of Article 101 TFEU.</w:t>
      </w:r>
    </w:p>
    <w:p>
      <w:r>
        <w:t>44. Regarding agreements on individual tenders, given that they are very dated, the Authority first explored the possibility of contesting a continuous agreement among the companies. As previously mentioned, the exogenous elements collected did not allow for reconstructing an overall picture that would allow contesting the Parties for the continuation of the illicit activity.</w:t>
      </w:r>
    </w:p>
    <w:p>
      <w:r>
        <w:t>45. Turning to the ATI agreements entered into by the parties and subject to the leniency application, these are mainly attributable to four important contracting authorities and concerned the supply of radiopharmaceuticals to all (ESTAR, SORESA) or a large part (Marche Nord, Latina) of the hospitals in the relevant Region.</w:t>
      </w:r>
    </w:p>
    <w:p>
      <w:r>
        <w:t>46. The Authority evaluated these agreements based on the established guidelines of jurisprudence regarding ATIs, recently incorporated into the “Guidelines on the applicability of Article 101 of the Treaty on the Functioning of the European Union to horizontal cooperation agreements.”22</w:t>
      </w:r>
    </w:p>
    <w:p>
      <w:r>
        <w:t>47. In this case, the particularity of the sector in question, which implies a degree of collaboration among companies to ensure the fulfillment of the service, does not allow for a definitive conclusion that each company could independently participate in the tenders in question. As mentioned in the factual part, moreover, for many tenders, the impossibility of participating in the tender stemmed from objective rules of the notices (SORESA tenders 2013 and 2017) or from the lack of AIC (Latina 2018).</w:t>
      </w:r>
    </w:p>
    <w:p>
      <w:r>
        <w:t>48. In this perspective, the elements on record did not allow for configuring the examined ATIs as hypotheses falling within the scope of Article 101 TFEU, as it was not possible to assert with a reasonable degree of certainty that the companies could individually participate in the contested tenders. In this context, considering the particularity of the products involved in the supplies subject to ATIs, which are subject to rapid availability and derive from a complex production process heavily limited by the number and functioning of cyclotrons, it was not possible to infer from the change in the execution shares of the ATIs between the parties a clear indication of collusive behavior.</w:t>
      </w:r>
    </w:p>
    <w:p>
      <w:r>
        <w:t>49. The economic analysis conducted, finally, did not allow for identifying the anomaly feared by the leniency applicant, relating to a distorted use of backups, given the minimal percentage of exchanges between the Parties that appeared compatible both with an emergency supply framework and within the relationships between the parties within the ATIs, which, especially during the period 2019-22, were particularly important for AAA and Curium. This also takes into account the particularities of the market in question.</w:t>
      </w:r>
    </w:p>
    <w:p>
      <w:r>
        <w:t>50. Therefore, no elements emerged during the investigative procedure that could confirm the existence of an agreement between the parties.</w:t>
      </w:r>
    </w:p>
    <w:p>
      <w:r>
        <w:t>51. For this reason, it is believed that there are insufficient elements to ascertain the violation of Article 101 TFEU alleged in the initiation resolution.</w:t>
      </w:r>
    </w:p>
    <w:p>
      <w:r>
        <w:t>All of the above having been stated and considered:</w:t>
      </w:r>
    </w:p>
    <w:p>
      <w:r>
        <w:t>RESOLVES</w:t>
      </w:r>
    </w:p>
    <w:p>
      <w:r>
        <w:t>That, based on the available information, the reasons for intervention against Novartis AG, Advanced Accelerator Applications S.r.l., Curium Netherlands Holding B.V., Curium Italy S.r.l., ITEL Telecomunicazioni S.r.l., GE Healthcare International B.V., GE Healthcare Italia S.r.l., ACOM - Advanced Center Oncology Macerata - S.r.l. and the Italian Association of Nuclear Medicine and Molecular Imaging (AIMN) in relation to the violation of Article 101 TFEU alleged at the initiation of the procedure have ceased.</w:t>
      </w:r>
    </w:p>
    <w:p>
      <w:r>
        <w:t>This provision will be notified to the Parties and published in the Bulletin of the Antitrust Authority.</w:t>
      </w:r>
    </w:p>
    <w:p>
      <w:r>
        <w:t>22 See 2022/C 164/01 Communication from the Commission - Approval of the content of the draft communication from the Commission - Guidelines on the applicability of Article 101 of the Treaty on the Functioning of the European Union to horizontal cooperation agreements, points 386 and following.</w:t>
      </w:r>
    </w:p>
    <w:p>
      <w:r>
        <w:rPr>
          <w:b/>
        </w:rPr>
        <w:t>[Pages 22–24]</w:t>
      </w:r>
    </w:p>
    <w:p>
      <w:r>
        <w:t>24 BULLETIN NO. 23 OF JUNE 10, 2024</w:t>
        <w:br/>
        <w:t>Against this provision, an appeal may be submitted to the Regional Administrative Court (TAR) of Lazio, pursuant to Article 135, paragraph 1, letter b), of the Code of Administrative Procedure (Legislative Decree No. 104 of July 2, 2010),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br/>
        <w:t>THE SECRETARY GENERAL THE PRESIDENT</w:t>
        <w:br/>
        <w:t>Guido Stazi Roberto Rustichelli</w:t>
      </w:r>
    </w:p>
    <w:p>
      <w:r>
        <w:t>BULLETIN NO. 23 OF JUNE 10, 2024 25</w:t>
        <w:br/>
        <w:t>I868 - BYOOVIZ/FAILURE TO MARKET</w:t>
        <w:br/>
        <w:t>Provision No. 31213</w:t>
        <w:br/>
        <w:t>THE ANTITRUST AUTHORITY</w:t>
        <w:br/>
        <w:t>IN ITS MEETING of May 21, 2024</w:t>
        <w:br/>
        <w:t>HEARD the Rapporteur, Professor Elisabetta Iossa;</w:t>
        <w:br/>
        <w:t>HAVING REGARD TO Article 101 of the Treaty on the Functioning of the European Union (TFEU);</w:t>
        <w:br/>
        <w:t>HAVING REGARD TO Council Regulation (EC) No. 1/2003 of the European Union of December 16, 2002;</w:t>
        <w:br/>
        <w:t>HAVING REGARD TO Law No. 287 of October 10, 1990;</w:t>
        <w:br/>
        <w:t>HAVING REGARD TO Presidential Decree No. 217 of April 30, 1998;</w:t>
        <w:br/>
        <w:t>HAVING REGARD TO the Commission Communication on cooperation within the network of Antitrust Authorities of April 27, 2004;</w:t>
        <w:br/>
        <w:t>HAVING REGARD TO the Memorandum of Understanding between the Antitrust Authority and the Italian Medicines Agency of January 19, 2017;</w:t>
        <w:br/>
        <w:t>HAVING REGARD TO the report received on November 11, 2022, subsequently supplemented on January 13, 2023, May 19, 2023, August 10, 2023, January 19 and 22, 2024;</w:t>
        <w:br/>
        <w:t>HAVING REGARD TO the documentation on file;</w:t>
        <w:br/>
        <w:t>CONSIDERED the following:</w:t>
        <w:br/>
        <w:t>I. THE PARTIES</w:t>
        <w:br/>
        <w:t>1. Samsung Bioepis Co. Ltd. (hereinafter also "Samsung Bioepis") is a company based in Incheon (South Korea) engaged in the development of biosimilar drugs, including Byooviz (also defined as "SB11"), based on the active ingredient ranibizumab. The company is a joint venture established in 2012 between Samsung BioLogics Co. Ltd. (a Samsung group company) and Biogen Inc. Following a concentration operation, in 2022 the exclusive control of Samsung Bioepis Co. Ltd. was acquired by Samsung BioLogics Co. Ltd.1. In 2022, Samsung Bioepis Co. Ltd., together with Biogen Inc., signed an agreement with Genentech Inc. concerning Byooviz (see infra §. 26).</w:t>
        <w:br/>
        <w:t>2. Samsung Bioepis NL B.V. (hereinafter also "Samsung Bioepis NL") is a Dutch company, based in Delft, and is a subsidiary of Samsung Bioepis Co. Ltd. Samsung Bioepis NL B.V. is also the holder of the Marketing Authorization (hereinafter, "AIC") for the drug Byooviz issued by the European Medicines Agency (hereinafter "EMA") and valid at the European level (see infra §. 31).</w:t>
        <w:br/>
        <w:t>3. Biogen Inc. (hereinafter also "Biogen") is a publicly traded biopharmaceutical company based in Cambridge, Massachusetts, USA, active worldwide in the research, development, and provision of therapies for a range of neurological and neurodegenerative diseases. Biogen also markets biosimilars in Europe. After concluding a marketing agreement in 2019 with Samsung Bioepis regarding, inter alia, Byooviz (see infra §. 26), in 2022, together with Samsung Bioepis Co. Ltd., it signed an agreement with Genentech Inc. concerning the same Byooviz (see infra §. 46).</w:t>
        <w:br/>
        <w:t>4. Biogen Italia S.r.l. (hereinafter also "Biogen Italia") is the Italian affiliate of the Biogen group, based in Milan. The shareholding of Biogen Italia is divided equally between Biogen International GMBH and the parent company Biogen MA Inc.</w:t>
        <w:br/>
        <w:t>5. Genentech Inc. (hereinafter also "Genentech") is a U.S. corporation, with its legal headquarters in San Francisco, engaged in the development and production of biotechnology drugs, including Lucentis. Genentech is part of the Roche group, being controlled by Hoffmann La Roche Inc., which, in turn, is owned by Roche Holdings AG. In 2022, Genentech Inc. signed an agreement with Samsung Bioepis Co. Ltd. and Biogen Inc. concerning Byooviz (see infra §. 46).</w:t>
        <w:br/>
        <w:t>6. Novartis AG (hereinafter also "Novartis") is a Swiss public company with its legal headquarters in Basel, the operational head of the eponymous Swiss group, active worldwide in the production and marketing of pharmaceutical products. Novartis is globally responsible for the licensing and collaboration agreement signed with Genentech in 2003 regarding Lucentis. Novartis is a public company listed on the Zurich and New York stock exchanges.</w:t>
        <w:br/>
        <w:t>7. Novartis Europharm Ltd. (hereinafter also "Novartis Europharm"), with its legal headquarters in Dublin (Ireland), is the company holding the AIC for the drug Lucentis.</w:t>
        <w:br/>
        <w:t>8. Novartis Farma S.p.A. (hereinafter also "Novartis Farma") is the Italian subsidiary of the Novartis group and has its legal headquarters in Milan.</w:t>
        <w:br/>
        <w:t>II. INTRODUCTION</w:t>
        <w:br/>
        <w:t>9. Since November 2022, the Authority has received a series of information from the Italian Medicines Agency (hereinafter also "AIFA" or "the Agency")2 regarding the failure to enter the Italian market of the drug Byooviz, produced by Samsung Bioepis and marketed by Biogen. Byooviz is the biosimilar of the biotechnology drug Lucentis, a highly profitable medicine developed by Genentech (see infra Section V.a.). Furthermore, public news has been acquired by the Offices regarding a licensing agreement signed between Samsung Bioepis and Biogen, on one side, and Genentech, on the other side, concerning the marketing of the aforementioned Byooviz (see infra Section V.b.).</w:t>
        <w:br/>
        <w:t>10. This agreement, due to its reference to countries around the world other than the United States of America, also concerns Novartis, as the latter enjoys exclusive marketing rights for Lucentis in all other territories (see infra §. 73).</w:t>
        <w:br/>
        <w:t>2 AIFA was established pursuant to Article 48 of Decree-Law No. 269/2003, as converted, with amendments, by Law No. 326/2003, and is the national public body that regulates human medicines in Italy. AIFA governs pharmaceutical expenditure and follows the life cycle of the medicine to ensure its efficacy, safety, and appropriateness and access in the national territory.</w:t>
      </w:r>
    </w:p>
    <w:p>
      <w:r>
        <w:rPr>
          <w:b/>
        </w:rPr>
        <w:t>[Pages 25–27]</w:t>
      </w:r>
    </w:p>
    <w:p>
      <w:r>
        <w:t>BULLETIN NO. 23 OF JUNE 10, 2024 27</w:t>
        <w:br/>
        <w:t>11. The motivation underlying the delaying conduct of Samsung Bioepis and Biogen, which is the subject of the information sent by AIFA, may therefore be found in the licensing agreement for Byooviz concluded with Genentech in September 2021. In this way, Samsung Bioepis and Biogen would have obtained an early entry into the U.S. market while simultaneously committing to postpone entry into other markets (including Italy) well beyond the expiration of the patent rights for Lucentis. For their part, Genentech and Novartis would have benefited from maintaining a monopoly condition even after the expiration of the patent rights (see infra §§ 73-74).</w:t>
        <w:br/>
        <w:t>12. From the set of elements that will be better described below, it follows that such conduct could constitute a violation of Article 101 TFEU.</w:t>
        <w:br/>
        <w:t>III. THE NORMATIVE-REGULATORY CONTEXT</w:t>
        <w:br/>
        <w:t>13. The so-called "biosimilar" drugs are obtained biologically, starting from a living organism. They are "similar" medicines in terms of quality, efficacy, and safety to the reference biological products (originator or reference product) already authorized in the European Union and no longer subject to patent protection. The development of biosimilars requires a much longer time than that necessary for generic or equivalent drugs, as it takes six to eight years from development to commercialization, as well as high initial investments, significantly higher than those required for generics. Furthermore, in the development of biosimilars, there is a risk of failure in research and development, so much so that the process is very similar to that of originators.</w:t>
        <w:br/>
        <w:t>14. As for the authorization process, while biological origin medicines can be authorized at the national level, applications for marketing authorization (AIC) for biosimilar medicines are examined exclusively by the EMA through the centralized procedure. Consequently, the AIC is then valid in all Member States of the European Union. It should be noted that any AIC for a medicine lapses if it is not followed by actual commercialization within three years of issuance (so-called sunset clause, Article 14, paragraph 4, Regulation (EU) No. 726/2004; at the national level, reference is made to Article 38, paragraph 5, Legislative Decree No. 219/2006).</w:t>
        <w:br/>
        <w:t>15. Once the AIC is obtained from the EMA, the commercialization of the biosimilar medicine depends on the classification regime for supply adopted by each Member State, that is, whether it is covered by the National Health Service (hereinafter, "SSN") or by the patient.</w:t>
        <w:br/>
        <w:t>16. Pricing and reimbursement regimes are also defined by individual Member States. In Italy, the procedures for determining the price and reimbursement follow, by analogy to the procedures for equivalent drugs, that the price of biosimilar products is determined through negotiation between AIFA and the manufacturer (pursuant to the Ministerial Decree of August 2, 2019, which repealed the CIPE Resolution of February 1, 2001), at a price value at least 20% lower than the price of the reference biological product, pursuant to Legislative Decree No. 158/2012, as converted into Law No. 189/2012 (so-called Balduzzi Decree). Therefore, generic and biosimilar drugs have an automatic price reduction mechanism and guarantee the same reimbursement classification as originators, where such price reductions are advantageous for the SSN (Article 12, paragraph 6, of the aforementioned Legislative Decree).</w:t>
        <w:br/>
        <w:t>17. In implementation of this provision, the Ministerial Decree of April 4, 2013, as subsequently amended by the Ministerial Decree of July 21, 2022, defined the "Criteria for identifying the brackets for automatic negotiation of generics and biosimilars," thus identifying the "advantageous" reductions for the SSN.</w:t>
        <w:br/>
        <w:t>18. Pending the (possible) negotiation initiated at the initiative of the interested company, Article 12, paragraph 5, of the aforementioned Balduzzi Decree provides that drugs that have obtained the AIC are automatically classified in a specific section, called class C "non-negotiated" (hereinafter "C(nn)"), dedicated to drugs not yet evaluated for reimbursement purposes. Class C(nn) allows access to the drug before the conclusion of the price and reimbursement determination process, with costs fully borne by the citizen or by the SSN for specific patient care needs and in the absence of available alternatives.</w:t>
        <w:br/>
        <w:t>19. This class C(nn) is distinguished from the A, C, and H bands already defined by Article 8, paragraphs 10 and 14, of Law No. 537/1993 and subsequent amendments, as it is a temporary classification that applies pending the completion of the reimbursement procedure. Furthermore, always pursuant to the aforementioned provision, before the start of commercialization, the holder of the AIC is required to communicate to AIFA the ex-factory price, the public price, and the start date of commercialization of the medicine. Inclusion in class C means that the prices of the drugs are freely determined by the manufacturing companies and fully paid by the patient. In the event of failure to market, the possibility of putting the medicinal specialty out to tender is also lost.</w:t>
        <w:br/>
        <w:t>20. Furthermore, Article 12, paragraph 3, of the Balduzzi Decree is also referenced, whereby in certain cases, including biosimilar drugs, the application for classification among the drugs provided by the SSN can also be submitted prior to the issuance of the AIC, or immediately after the opinion of the Committee for Human Medicinal Products (hereinafter, "CHMP") of the EMA.</w:t>
        <w:br/>
        <w:t>21. The subsequent paragraph 5-ter of the aforementioned Article 12 provides that, for such medicines, in the event of failure to submit the classification application within thirty days of the issuance of the AIC, AIFA urges the company holding the relevant AIC to submit the application within the following thirty days. If this deadline passes without action, information is provided on the AIFA institutional website, and alignment to the lowest price within the fourth level of the classification system according to the Anatomical Therapeutic Chemical Classification System (hereinafter "ATC") is applied.</w:t>
        <w:br/>
        <w:t>22. Finally, Article 17 of Law No. 118/2022 has provided that manufacturers of equivalent drugs can submit to AIFA a request for the issuance of the AIC, as well as a request for the determination of the price and classification for reimbursement purposes of the medicine, before the expiration of the patent or the supplementary protection certificate (hereinafter, "CPC"). Additionally, it has been stipulated that equivalent drugs can be reimbursed by the SSN starting from the expiration date of the patent or the CPC on the active ingredient.</w:t>
        <w:br/>
        <w:t>23. In this regard, the legislation relating to the CPC is briefly referenced, particularly Regulation (EC) No. 469/2009 of the European Parliament and of the Council on the supplementary protection certificate for medicinal products.</w:t>
        <w:br/>
        <w:t>24. This Regulation, starting from the assumption that the period between the filing of a patent application for a new medicine and its AIC reduces the effective protection conferred by the patent to a duration insufficient to amortize the investments made in research, thus penalizing pharmaceutical research, regulates a supplementary protection certificate for medicines whose marketing has been authorized. This certificate can be obtained by the holder of a patent for a maximum period of five years, which is added to the twenty years already recognized by the patent.</w:t>
        <w:br/>
        <w:t>25. Regarding the effects of the CPC, Article 5 specifies that it confers the same rights as those attributed by the basic patent and is subject to the same limitations and obligations, but there are derogatory cases, recently expanded by Article 1, paragraph 1, point 2 of Regulation (EU) No. 2019/933. In fact, through this derogatory regime, companies based in the EU can produce their generic and/or biosimilar products despite the validity of the CPC, provided they are intended for export outside the EU, particularly to territories where patent protection has already expired or is not in force. Furthermore, in the last six months of the CPC's validity, storage activities in preparation for future marketing in the internal market of the Union are permitted, once the relevant protection has also expired in that territory. In this way, the competing operator can be ready for commercialization as early as the day after the expiration of the CPC.</w:t>
        <w:br/>
        <w:t>IV. THE FACTS SUBJECT TO ASSESSMENT</w:t>
        <w:br/>
        <w:t>a. The drugs Byooviz and Lucentis</w:t>
        <w:br/>
        <w:t>26. Byooviz (ATC: S01LA04; ranibizumab-nuna), a biotechnological medicine for which Samsung Bioepis NL B.V. holds the AIC, is the first drug approved by the EMA as a biosimilar of the application concerning orphan drugs pursuant to Regulation (EC) No. 141/2000 of the European Parliament and of the Council, of December 16, 1999, or other drugs of exceptional therapeutic and social relevance provided for in a specific resolution of AIFA, adopted on the proposal of the Technical-Scientific Advisory Commission, or concerning medicines that can be used exclusively in a hospital environment or in structures assimilable to it, can be submitted prior to the issuance of the marketing authorization.</w:t>
      </w:r>
    </w:p>
    <w:p>
      <w:r>
        <w:rPr>
          <w:b/>
        </w:rPr>
        <w:t>[Pages 28–30]</w:t>
      </w:r>
    </w:p>
    <w:p>
      <w:r>
        <w:t>30 BULLETIN NO. 23 OF JUNE 10, 2024</w:t>
        <w:br/>
        <w:t>Lucentis12, which has the same active ingredient (i.e., ranibizumab)13. On November 6, 2019, Bioepis and Biogen concluded a marketing agreement in Canada, Europe, Japan, Australia, and the United States for two biosimilar candidates under development: SB11 (i.e., Byooviz) and SB15, a biosimilar candidate of the medicine aflibercept (EYLEA, a registered trademark of Regeneron Pharmaceuticals). Under this agreement, Samsung Bioepis is responsible for the development, registration with regulatory authorities, and production of the products, while Biogen handles marketing.</w:t>
        <w:br/>
        <w:t>27. Lucentis, developed by Genentech Inc. and marketed in Europe by Novartis Europharm Ltd. (see infra §. 73), is an anti-VEGF antibody administered intravitreally and is among the most widely used products for the treatment of major retinal diseases, including age-related macular degeneration (hereinafter, “AMD”) and diabetic macular edema (hereinafter, “DME”), conditions that are widespread among the Italian population14. The CPC of Lucentis expired on July 23, 2022, while the original patent expired on April 3, 201815.</w:t>
        <w:br/>
        <w:t>b. Reported events</w:t>
        <w:br/>
        <w:t>28. On November 11, 2022, AIFA informed the Authority of the conduct of Samsung Bioepis NL and Biogen Italia, which has not allowed for the marketing of the biosimilar drug Byooviz in Italy to date16.</w:t>
        <w:br/>
        <w:t>29. The information transmitted was subsequently supplemented by a series of responses to requests for information made by the Offices17 necessary to fully appreciate the complexity and extent of the conduct under examination18. Furthermore, during the hearing with the Offices on January 22, 202419, the Agency further clarified that the conduct in question consists of not having pursued for an extended period the process aimed at the marketing of the biosimilar Byooviz. Additionally, the Agency provided the necessary updates regarding the medicines involved.</w:t>
        <w:br/>
        <w:t>12 Lucentis was the subject of procedure I/760 - Roche/Novartis, decision no. 24823 of February 27, 2014, in Bulletin no. 11/2014. The current price regime for Lucentis is set by AIFA's Determination of December 19, 2022 (G.U.R.I. no. 1 of January 2, 2023), following a request from Novartis Europharm Ltd. on September 22, 2021, for which the package has (gross of legal reductions) an ex-factory price of 742 euros and a public price of 1,224.60 euros, to which the mandatory discount to the SSN applies, totaling 48.26%. Therefore, net of the discount and gross of legal reductions, Lucentis currently has an ex-factory price of 383.92 euros and a public price of 633.61 euros (doc. 15). The agreement between AIFA and Novartis Europharm Ltd. regarding Lucentis was automatically renewed in January 2024 (doc. 16).</w:t>
        <w:br/>
        <w:t>13 Byooviz is administered via single-use vials (0.23 ml) for intravitreal use and is indicated in adults (recommended dose 0.05 ml) for: the treatment of neovascular (exudative) age-related macular degeneration (AMD); the treatment of vision loss caused by diabetic macular edema (DME); the treatment of proliferative diabetic retinopathy (PDR); the treatment of vision loss caused by macular edema secondary to retinal vein occlusion (branch RVO or central RVO); the treatment of vision loss caused by choroidal neovascularization (CNV); see doc. 3, annex 1.</w:t>
        <w:br/>
        <w:t>14 Doc. 1.</w:t>
        <w:br/>
        <w:t>15 Doc. 18. Source: Italian Patent and Trademark Office - Ministry of Economic Development and Made in Italy. The company that submitted the patent and CPC applications is Genentech Inc.</w:t>
        <w:br/>
        <w:t>16 Doc. 1.</w:t>
        <w:br/>
        <w:t>17 Specifically, on the dates: December 13, 2022, February 7, 2023, April 12, 2023, and June 6, 2023 (doc. 2, 5, 6, 8).</w:t>
        <w:br/>
        <w:t>18 The responses were provided specifically on January 13, May 19, and August 10, 2023, as well as January 19, 2024 (doc. 3, 7, 9, and 15). A final brief update was transmitted on May 13, 2024 (doc. 25).</w:t>
        <w:br/>
        <w:t>19 Doc. 16.</w:t>
      </w:r>
    </w:p>
    <w:p>
      <w:r>
        <w:t>BULLETIN NO. 23 OF JUNE 10, 2024 31</w:t>
        <w:br/>
        <w:t>30. In order to understand the object and context of the report, it is necessary to retrace the regulatory process of Byooviz, starting from the procedure initiated at the European level.</w:t>
        <w:br/>
        <w:t>31. In fact, following a specific request on September 10, 2020, Samsung Bioepis NL B.V. received on August 18, 2021, through a centralized procedure, the AIC for Byooviz, as a biosimilar of Lucentis, with decision no. 6209 from the European Commission (following a positive opinion from the EMA), pursuant to Article 3.1 and point 1 of the annex to Regulation (EU) no. 726/2004.</w:t>
        <w:br/>
        <w:t>32. By means of this AIC, Samsung Bioepis NL was therefore authorized to commence the marketing of Byooviz in all Member States of the European Union for the treatment of adults with major retinal diseases, including AMD and DME. The authorization is valid for five years from the notification of the decision by the Commission (Article 14 of Regulation (EU) no. 726/2004).</w:t>
        <w:br/>
        <w:t>33. At the national level, during the meeting of the Technical-Scientific Commission (CTS) of AIFA on October 4-6, 2021, Byooviz was classified for supply purposes as a hospital drug (“Medicinal product subject to restricted medical prescription, usable exclusively in a hospital environment or in a structure assimilable to it (OSP)”) and it was specified that “the Determination can only be published after approval of the additional risk minimization measures by the FV Office”20.</w:t>
        <w:br/>
        <w:t>34. Therefore, for the adoption of the AIC determination in class C(nn), pending the achievement of a price agreement, the holder of the AIC, Samsung Bioepis NL, through its Italian representative Biogen Italia, was required to fulfill the obligation to present the educational material indicated in the additional risk minimization measures, as requested by the Commission21.</w:t>
        <w:br/>
        <w:t>35. AIFA then repeatedly urged Biogen Italia (specifically on the following dates: October 27, 2021, May 20, 2022, June 21, 2022, July 19, 202222) to transmit the necessary educational material to complete the AIC procedure in class C(nn). Only on July 29, 2022, Biogen Italia responded to AIFA, stating that it did not have the documentation available and that “regarding the additional request for the formal submission of the application for reimbursement admission, at this stage Biogen is unable to commit to a specific date […]”23.</w:t>
        <w:br/>
        <w:t>36. Meanwhile, the European Commission, with decision no. 7083 of September 29, 2022, authorized a new package of Byooviz, following a request from Samsung Bioepis NL24.</w:t>
        <w:br/>
        <w:t>20 Doc. 3 annex 1. Authorized packages: EU/1/21/1572/001 AIC: 049689019 /E Based 32: 1HDDFV 10 mg/ml - injectable solution - intravitreal use - vial (glass) 0.23 ml - 1 vial + 1 filter needle + 1 injection needle.</w:t>
        <w:br/>
        <w:t>21 See Annex II of the EMA authorization, p. 28: “Before the launch of Byooviz in each Member State, the holder of the marketing authorization must agree on the content and format of the educational material with the competent national authorities. The educational material aims to provide adequate instructions to patients regarding the key signs and symptoms of potential adverse reactions and the cases in which urgent consultation with a doctor is necessary, to ensure the rapid identification and treatment of such events.”</w:t>
        <w:br/>
        <w:t>22 Doc. 7 annex 2, doc. 7, doc. 1 annex 1.</w:t>
        <w:br/>
        <w:t>23 Doc. 1 annex 1.</w:t>
        <w:br/>
        <w:t>24 Decision published in the Official Journal of the European Union on October 31, 2022 (doc. 7 annex 1).</w:t>
      </w:r>
    </w:p>
    <w:p>
      <w:r>
        <w:t>32 BULLETIN NO. 23 OF JUNE 10, 2024</w:t>
        <w:br/>
        <w:t>37. The variation of AIC was then submitted for evaluation by the CTS in the meeting of November 7-9, 2022, which approved the same hospital supply regime25.</w:t>
        <w:br/>
        <w:t>38. Only on December 2, 2022, Biogen Italia transmitted the requested educational material. Following some requests for revision, the final material was then completed by the end of January 202326. The file was then approved on February 1, 2023, by the AIFA risk management measures office27.</w:t>
        <w:br/>
        <w:t>39. On April 18, 2023, the Determination of classification in C(nn) of Byooviz was published pursuant to Article 12, paragraph 5, of Decree Law no. 158/2012, as converted into Law no. 189/2012, published in G.U.R.I. no. 95 of April 22, 202328.</w:t>
        <w:br/>
        <w:t>40. On May 4, 2023, the HTA and pharmaceutical economics sector of AIFA then urged Samsung to transmit the negotiation request for the potential classification of the drug in the reimbursement class29.</w:t>
        <w:br/>
        <w:t>41. However, Samsung Bioepis NL and Biogen Italia have since not followed up on AIFA's requests, nor is Byooviz still marketed in Italy as a drug in class C(nn)30.</w:t>
        <w:br/>
        <w:t>42. That said, AIFA considers the conduct of the Companies anomalous, which, first of all, despite the proactivity of the Agency and only following multiple requests from the same, have fulfilled the limited obligations necessary for the adoption of the AIC determination in class C(nn), pending the achievement of a price agreement. However, once the resolution was published, Biogen Italia never submitted the necessary price request, and therefore, considering that the AIC issued by the EMA dates back to August 2021, it appears difficult for the Agency to explain the circumstance that this potentially highly profitable drug*31 has not yet entered the market in Italy, despite the long time elapsed since the issuance of the AIC and the expiration of the CPC of Lucentis, and given that the ranibizumab molecule is highly lucrative, with Lucentis having an annual revenue value of nearly 50 million euros.</w:t>
        <w:br/>
        <w:t>43. In support of the peculiarity of the behavior of the companies in question, AIFA recalls the circumstance that in many cases, biosimilar producing companies have availed themselves of the possibility provided by the regulations to request admission to reimbursement and negotiate the price in advance of the patent expiration (see supra §. 20), in order to enter the market as soon as possible. This therefore confirms the anomaly of the conduct related to the ranibizumab biosimilar, which</w:t>
        <w:br/>
        <w:t>25 Doc. 3 annex 2. Authorized packages: EU/1/21/1572/002 AIC: 049689021 /E Based 32: 1HDDFX. 10 mg/ml - Injectable solution - Intravitreal use - Vial (glass) 0.23 ml - 1 vial.</w:t>
        <w:br/>
        <w:t>26 Doc. 7.</w:t>
        <w:br/>
        <w:t>27 Doc. 7 annex 3.</w:t>
        <w:br/>
        <w:t>28 Doc. 7 annex 1.</w:t>
        <w:br/>
        <w:t>29 Doc. 9 annex 2.</w:t>
        <w:br/>
        <w:t>30 Doc. 9 annex 1.</w:t>
        <w:br/>
        <w:t>* In this version, some data are omitted, as elements of confidentiality or secrecy of information were deemed to exist.</w:t>
        <w:br/>
        <w:t>31 In 2022, the total expenditure for ranibizumab amounted to [40-50] million euros, and, in general, the expenditure for drugs authorized for the treatment of vision disorders due to ocular vascular disorders (including aflibercept, brolucizumab, and ranibizumab and not including bevacizumab) amounted to 143,312,638 euros (doc. 9).</w:t>
      </w:r>
    </w:p>
    <w:p>
      <w:r>
        <w:rPr>
          <w:b/>
        </w:rPr>
        <w:t>[Pages 31–33]</w:t>
      </w:r>
    </w:p>
    <w:p>
      <w:r>
        <w:t>BULLETIN NO. 23 OF JUNE 10, 2024 33</w:t>
        <w:br/>
        <w:t>more than two years after the EMA authorization (August 2021) and the expiration of the patent (July 2022), it is still not on the market in Italy32.</w:t>
        <w:br/>
        <w:t>44. Furthermore, the Agency highlights that for Byooviz, pursuant to the aforementioned Article 12, paragraph 3, of Decree-Law No. 158/2012, it would have been possible to submit the application for classification as a medicine reimbursable by the National Health Service immediately after the CHMP opinion of the EMA, that is, on August 9, 202133.</w:t>
        <w:br/>
        <w:t>45. For AIFA, the behavior appears unjustified given the obvious interest that Samsung Bioepis NL and Biogen Italia should have demonstrated in pursuing the procedural process for the marketing of the drug34. Moreover, according to the Agency, a three-year delay has inevitable repercussions in terms of missed public spending savings, potentially amounting to a saving of 33.30% compared to the total turnover of approximately 50 million euros35.</w:t>
        <w:br/>
        <w:t>c. The licensing agreement</w:t>
        <w:br/>
        <w:t>46. On September 20, 2021, Samsung Bioepis Co. Ltd. and Biogen Inc. issued a press release on the occasion of the approval of Byooviz by the U.S. Food and Drug Administration (hereinafter, "FDA"), stating that: “Pursuant to a global license agreement entered into with Genentech, Samsung Bioepis and Biogen will have freedom to market SB11 in the United States as of June 2022, i.e., before expiration of Genentech’s applicable SPCs, and elsewhere in other territories after expiration of Genentech’s SPCs.” According to the press release, therefore, by virtue of a global license agreement concluded with Genentech, Samsung Bioepis and Biogen are allowed to market Byooviz in the United States starting from June 2022, that is, before the expiration of the U.S. SPC, while in other territories after the expiration of Genentech’s SPC36.</w:t>
        <w:br/>
        <w:t>47. Between September 21 and 23, 2021, the news of the licensing agreement between Samsung Bioepis-Biogen and Genentech was commented on by several industry newspapers.</w:t>
        <w:br/>
        <w:t>48. In particular, on September 21, 2021, the Daily Health Industry reported that “According to what the two companies stated in a joint statement [editor's note: Samsung Bioepis and Biogen], the newly approved biosimilar version will be marketed in the USA starting from June 2022, as part of an agreement with the Genentech unit of Roche. Lucentis, which already faces Novartis' competitor Beovu, is approved for the treatment of eye diseases such as age-related macular degeneration and recorded a turnover of $1.5 billion in 2020.”37. Already the day after the press release, Pharmaceutical Technology on September 21, 2021 noted: “Estimates show that savings in the next five years from 2020 to 2024 due to the use of biosimilars are expected to cross $100bn in the US.”38.</w:t>
        <w:br/>
        <w:t>32 Doc. 16.</w:t>
        <w:br/>
        <w:t>33 Doc. 7.</w:t>
        <w:br/>
        <w:t>34 Doc. 16.</w:t>
        <w:br/>
        <w:t>35 Doc. 16.</w:t>
        <w:br/>
        <w:t>36 Doc. 10 annex 1, https://www.samsungbioepis.com/en/newsroom/newsroomView.do?idx=254, last accessed on April 24, 2024.</w:t>
        <w:br/>
        <w:t>37 Doc. 10 annex 2, https://www.dailyhealthindustry.it/samsung-bioepis-biogen-fda-approva-biosimilare-di-lucentis-roche-ID22430.html, last accessed on April 24, 2024.</w:t>
        <w:br/>
        <w:t>38 Doc. 10 annex 3, https://www.pharmaceutical-technology.com/news/samsung-bioepis-biogen-biosimilar-lucentis/ last accessed on April 24, 2024.</w:t>
      </w:r>
    </w:p>
    <w:p>
      <w:r>
        <w:t>34 BULLETIN NO. 23 OF JUNE 10, 2024</w:t>
        <w:br/>
        <w:t>49. The news of the agreement was also reported on September 23, 2021, by Korea Biomed39, highlighting that it occurred immediately after the issuance of the AIC in Europe by the EMA (August 18, 2021) and giving rise to the hypothesis that there may be a strategy aimed at delaying the market entry of Byooviz: “Industry watchers said Samsung Bioepis might have agreed with Genentech on when to release Byooviz in the U.S. and Europe as the two signed the license agreement after Europe’s marketing approval in August. Such speculation emerged because Samsung Bioepis suddenly disclosed the information about the license agreement with Genentech. The Korean company used to be reluctant to comment on the original drug developer’s patent strategy to delay the market entry of the biosimilar. Before Samsung Bioepis started selling Herceptin biosimilar Ontruzant (trastuzumab) in the U.S. in 2019, it ended the patent dispute with the developer of the original drug, Genentech, and entered a license agreement. Samsung Bioepis refused to comment on the market release of Byooviz. However, the company said it can sell the biosimilar as of June 2022 before the expiration of Genentech’s Supplementary Protection Certificate (SPC). In other regions, it can market the product after Genentech’s SPC expires.”</w:t>
        <w:br/>
        <w:t>50. On Generics Bulletin on September 22, 2021, an analysis of the press release from Samsung Bioepis and Biogen titled “US Lucentis Competition Expectations Upended By Byooviz”40 was published. The article expresses surprise regarding the indication of June 2022 as the market entry date for Byooviz in the United States, considering that Roche (the parent company of Genentech) had previously communicated that the Lucentis biosimilar was instead expected in the second half of 2021. Furthermore, Genentech refused to comment on how expectations regarding the entry of Byooviz into the U.S. market, which was already anticipated for the end of 2021, had changed, insisting instead that “we have long-supported FDA’s efforts to implement a science-based pathway for the approval of biosimilars and believe that they have a role in the healthcare system.” The same article states that for Byooviz “Launch in Europe is expected in early 2022 as supplementary protection certificates (SPCs) linked to the brand expire.”</w:t>
        <w:br/>
        <w:t>51. More recently, an article from The Korea Herald on March 5, 202341, in addition to stating that on February 22 Byooviz had begun to be marketed in Germany, again refers to the circumstance that “Bioepis plans to gradually bring SB11 to North American and European markets. Specific launch dates are different for each country according to the licensing contract that it co-signed with Genentech.”</w:t>
        <w:br/>
        <w:t>V. EVALUATIONS</w:t>
        <w:br/>
        <w:t>a. The relevant market</w:t>
        <w:br/>
        <w:t>52. According to consistent case law regarding agreements, the definition of the relevant market is essentially aimed at identifying the characteristics of the economic and legal context in which the agreement or the coordinated practice is situated. This definition is, therefore, functional to delineating the scope within which the agreement may restrict or distort the competitive mechanism and to deciphering its degree of offensiveness42.</w:t>
        <w:br/>
        <w:t>53. It should also be noted that based on the established practice of the European Commission and the Authority, for the purposes of identifying the relevant market of the product in the pharmaceutical sector, therapeutic classes are highlighted, that is, the chemical action and therapeutic purpose of the medicine produced and/or marketed. These classes are identified using the Anatomical Therapeutic Chemical Classification System (hereinafter, “ATC”), according to which drugs are divided according to an alphanumeric classification structured in five hierarchical levels.</w:t>
        <w:br/>
        <w:t>54. In general, for the treatment of eye diseases due to ocular vascular disorders, currently, in addition to Novartis Europharm Ltd.'s Lucentis (ranibizumab), drugs based on other active ingredients are also available on the market, all included in the reimbursement class H/OSP, such as: Beovu (brolucizumab), marketed by Novartis; Eylea (aflibercept), marketed by Bayer; Vabysmo (faricimab), marketed by Roche; Avastin by Roche and its biosimilars Abevmy, Alymsis, Mvasi, and Oyavas (all based on bevacizumab), registered for non-ophthalmic therapeutic uses and non-intravitreal uses, but administered off-label for the treatment of AMD and DME and therefore included in the so-called List under Law No. 648/199643.</w:t>
        <w:br/>
        <w:t>55. The conduct subject to the proceeding, consisting of a possible coordination between the holder of the AIC of the originator drug Lucentis and the holder of the AIC of its biosimilar Byooviz, primarily concerns the market of the same molecule that composes both medicinal specialties, namely ranibizumab.</w:t>
        <w:br/>
        <w:t>56. The absence of substitutability between drugs based on different active ingredients, in this case, is confirmed by considering the applicable regulations regarding the purchase of biotech drugs by public facilities.</w:t>
        <w:br/>
        <w:t>57. In particular, in terms of distribution, the biotech drugs under analysis are purchased by hospitals and/or Local Health Authorities through competitive supplier selection procedures. In this regard, Article 15, paragraph 11-quater, of Decree-Law No. 95 of July 6, 2012, converted with amendments into Law No. 135 of August 7, 2012, states that “In public procurement procedures for biosimilar drugs, different active ingredients cannot be put to tender in the same lot, even if they have the same therapeutic indications.”</w:t>
        <w:br/>
        <w:t>58. The aforementioned provision therefore excludes the possibility of putting different active ingredients to tender in the same lot, even if they have the same therapeutic indications. This, in the case at hand, would imply that the procurement procedures for drugs used to treat major retinal diseases (AMD and DME) are structured based on lots consisting of drugs containing the same active ingredients.</w:t>
        <w:br/>
        <w:t>42 See Council of State, Section VI, judgment of June 3, 2014, No. 2837 and, most recently, Council of State, Section VI, judgment of April 15, 2021, No. 3566.</w:t>
        <w:br/>
        <w:t>43 The assessment of therapeutic overlap between the aforementioned drugs was carried out by AIFA. In fact, with Determination No. 1379 of December 28, 2020, published in G.U. No. 323 of December 31, 2020 (so-called Note 98), the Agency considered that aflibercept, bevacizumab, brolucizumab, and ranibizumab can be considered substantially overlapping active ingredients for the therapeutic indication AMD; while aflibercept, bevacizumab, and ranibizumab can be considered overlapping for the therapeutic indication DME in patients with vision no worse than 20/40 (i.e., equal to at least 5/10).</w:t>
      </w:r>
    </w:p>
    <w:p>
      <w:r>
        <w:rPr>
          <w:b/>
        </w:rPr>
        <w:t>[Pages 34–36]</w:t>
      </w:r>
    </w:p>
    <w:p>
      <w:r>
        <w:t>36 BULLETIN NO. 23 OF JUNE 10, 2024</w:t>
        <w:br/>
        <w:t>59. It should also be noted that, with specific reference to biosimilars, the European Commission, in the context of evaluating certain concentration operations, also conducted a market investigation which revealed that the biosimilar competes only with the originator.44</w:t>
        <w:br/>
        <w:t>60. Taking this into account, the relevant market in this case, in a first approximation, appears to be definable as that of the same active ingredient ranibizumab (ATC: S01LA04), a molecule specifically intended for the treatment of major retinal diseases AMD and DME; therefore, the relevant therapeutic subgroup is ATC-5 (active ingredient).</w:t>
        <w:br/>
        <w:t>61. With reference to the geographical dimension, the markets for the production and marketing of pharmaceuticals are usually considered national by both the Commission and the Authority.45 This is due to the differences between the healthcare policies of individual countries (including price regulation, reimbursement methods, classification of medicines, distribution channels) and the different access regimes (i.e., patenting and marketing authorization regimes). For these reasons, the market for the product identified above is limited to the national territory.</w:t>
        <w:br/>
        <w:t>62. In the Italian market for ranibizumab, therefore, only Lucentis and its biosimilars are included, namely Byooviz, Ranivisio by Midas Pharma GMBH, and Ximluci by Stada Arzneimittel AG.</w:t>
        <w:br/>
        <w:t>63. Ranivisio, like Byooviz, is not on the market and is only classified in class C(nn), pursuant to AIFA determination no. 1 of January 9, 2024,46 while Ximluci has been admitted to reimbursement in class H with AIFA determination no. 749 of December 11, 2023. It is noted that the price currently applied to Ximluci is in accordance with the Scaglioni Decree, i.e., it is the result of applying a 33.3% discount to the last price applied to Lucentis (see above §. 17).47</w:t>
        <w:br/>
        <w:t>b. The contested conduct</w:t>
        <w:br/>
        <w:t>64. From the available information, it could be inferred that, at least since September 2021, there has been a coordination of commercial strategies between Samsung Bioepis and Biogen, on one side, and Genentech and Novartis, on the other, regarding the market entry of Byooviz.</w:t>
        <w:br/>
        <w:t>65. The coordination of the respective conduct would specifically concern the failure to market Byooviz in Italy, even though the latter could have been available on the Italian market at least since July 23, 2022, i.e., from the expiration of the exclusive rights of Lucentis.</w:t>
        <w:br/>
        <w:t>66. In fact, from the press release of Samsung Bioepis dated September 20, 2021, it appears that Samsung Bioepis and Genentech concluded a global licensing agreement under which it became possible for Samsung Bioepis and Biogen to market Byooviz in the United States starting in June 2022, i.e., before the expiration of Genentech's applicable CPC in the United States of America. The wording of the press release suggests that the Parties also agreed on the marketing date of Byooviz in other countries, after the expiration of the relevant CPCs of Genentech (“Specific launch dates are different for each country according to the licensing contract that it co-signed with Genentech” - Korea Herald, March 5, 2023).48</w:t>
        <w:br/>
        <w:t>67. Therefore, while the licensing agreement could find justification concerning the entry of Byooviz into the U.S. market before the expiration of the relevant CPC, this does not apply to other countries. In this regard, it is noted that, from the moment the exclusive rights of the reference drug expired, it is not necessary to conclude a licensing agreement with the originator to produce and market a biosimilar. Therefore, there is no need to address the issue of the entry date of the biosimilar into other geographical markets with the originator's CPC expired within the framework of a licensing agreement.</w:t>
        <w:br/>
        <w:t>68. As previously specified, to date, the drug Byooviz is still not marketed in Italy. In this regard, it should be noted that the CPC of Lucentis expired on July 23, 2022. Therefore, considering that Byooviz already had an AIC (see above §. 31), Samsung Bioepis NL - from the day after this expiration - could potentially have been ready for the “Day-1 launch,” i.e., the actual marketing in Italy, in light of the derogatory hypothesis of the aforementioned Article 5 of Regulation (EC) No. 469/2009 (see above §. 25), which allows the storage of the generic or biosimilar medicine starting six months before the expiration of the CPC.</w:t>
        <w:br/>
        <w:t>69. In this perspective, it should be clarified that Samsung Bioepis NL and Biogen Italia could have already submitted to AIFA the application for the classification of the drug at the expense of the SSN since August 9, 2021 (date of the release of the CHMP opinion of EMA), pursuant to Article 12, paragraph 3, of the Balduzzi Decree (see above §. 20). However, not only did the Companies not take advantage of this possibility, but AIFA's reminders were necessary to submit the required educational material for classification (at least in C(nn)). Furthermore, the Companies have never followed up on the Agency's request from May 2023 for the purpose of classification in the reimbursement class.</w:t>
        <w:br/>
        <w:t>70. Additionally, from the information gathered so far, it has not been possible to identify a specific justification for the circumstance that not only the biosimilar drug, related to a particularly lucrative market for which investments have been made (see above §. 13), has not yet entered the market in Italy. Moreover, it has emerged that repeated reminders from AIFA were necessary for Samsung Bioepis NL and Biogen Italia to submit the essential educational material for classification (at least in C(nn)). Finally, it appears that, following the classification, no price negotiations have been initiated. As highlighted by the Agency itself (see above §§. 42-45), the behavior of Samsung Bioepis NL and Biogen Italia, whereby Byooviz has not yet been marketed in Italy nearly two years after the expiration of the CPC, is anomalous both considering the market value of the drug and in light of the practice of AIC holders of biosimilar drugs to enter the market as soon as possible, also in light of the current regulatory framework.</w:t>
        <w:br/>
        <w:t>71. The interest of the Samsung Bioepis and Biogen groups in adopting this delaying conduct could therefore be found in an illicit concertation, of which the licensing agreement for Byooviz concluded with Genentech in September 2021 could be a manifestation, having as its object the entry of the biosimilar by the Samsung Bioepis and Biogen groups into various global markets. In this way, the Samsung Bioepis and Biogen groups would obtain an early entry into the U.S. market while simultaneously committing to postpone entry into other markets (including Italy) well beyond the expiration of the exclusive rights of Lucentis.</w:t>
        <w:br/>
        <w:t>72. With reference to the marketing of Lucentis, it should be remembered that Genentech is the pharmaceutical company wholly controlled by the Roche group that developed Lucentis, as well as the holder of the relevant exclusive rights in Italy, so much so that the patent application and the related CPC to the Italian Patent and Trademark Office were submitted by the latter and not by Novartis.49</w:t>
        <w:br/>
        <w:t>73. Genentech had already entered into a marketing agreement with the Novartis group in 2003 that guarantees the latter exclusive rights to Lucentis worldwide (except for the United States of America for which Genentech has retained such rights). Under this agreement, Genentech benefits, in addition to an initial payment and a series of one-time payments, also from royalties based on the sales of Lucentis outside the United States of America.50 The holder of the AIC of Lucentis in Italy is Novartis Europharm Ltd., which is also responsible for pharmacovigilance and relations with regulatory authorities.</w:t>
        <w:br/>
        <w:t>74. That said, the hypothesized coordination between the Samsung Bioepis/Biogen groups and Genentech through the licensing agreement, by virtue of the reference to countries around the world other than the United States of America, could also involve the Novartis group, at least regarding its implementation. Moreover, Novartis would also benefit from the de facto continuation of the monopoly on ranibizumab in the territories where it enjoys exclusive commercial rights to Lucentis, including Italy.</w:t>
        <w:br/>
        <w:t>75. The concertation could, in fact, be attributed to a strategy of Genentech (and, therefore, also of Novartis) to extract further monopoly rents from Lucentis even after the expiration of the CPC. Regarding Genentech's interests in the distribution of Lucentis in Europe, it should be noted that, from the agreement concluded with Novartis, Genentech derives royalties from the sale of the drug in the European territory (see above §. 73).</w:t>
        <w:br/>
        <w:t>76. Such conduct, therefore, is capable of limiting the entry of Byooviz into the Italian market, despite the expiration of the exclusive rights of Lucentis and the validity of the AIC of Byooviz. Nor is it excluded that such restrictions may arise from further and different forms of discussions or coordination between the Parties.</w:t>
        <w:br/>
        <w:t>77. Such conduct, if confirmed, would reveal the existence of an alteration of competitive dynamics capable of artificially limiting competition on the merits due to the Parties having hindered the marketing of the biosimilar Byooviz in Italy, even though the Italian CPC of Lucentis has already expired on July 23, 2022.</w:t>
        <w:br/>
        <w:t>78. Specifically in the pharmaceutical sector, such delaying conduct regarding the entry into the market of a competing biosimilar drug to the original one has negative repercussions on the potential savings for purchases at the expense of the SSN, as well as prejudices against patients and taxpayers in terms of the breadth of the offer and lower prices, given that biosimilar drugs are generally marketed at a significantly lower price than their respective originators (see above §§. 16-17).</w:t>
      </w:r>
    </w:p>
    <w:p>
      <w:r>
        <w:rPr>
          <w:b/>
        </w:rPr>
        <w:t>[Pages 37–39]</w:t>
      </w:r>
    </w:p>
    <w:p>
      <w:r>
        <w:t>BULLETIN NO. 23 OF JUNE 10, 2024 39</w:t>
        <w:br/>
        <w:t>79. What has been described could be the result of a horizontal agreement, in the form of an agreement or coordinated practice, aimed at avoiding a proper competitive comparison among operators in the market for the active ingredient ranibizumab.</w:t>
        <w:br/>
        <w:t>c. The harm to intra-European trade</w:t>
        <w:br/>
        <w:t>80. The concept of harm to intra-European trade must be interpreted taking into account the direct or indirect, actual or potential influence on trade flows between Member States.</w:t>
        <w:br/>
        <w:t>81. Considering that the conduct attributed to Samsung Bioepis co. Ltd., Samsung Bioepis NL B.V., Biogen Inc., Biogen Italia S.r.l., Genentech Inc., Novartis AG, Novartis Europharm Ltd., and Novartis Farma S.p.A. concerns the national market, which constitutes a significant part of the EU market, and appears capable of altering the conditions of trade between Member States51.</w:t>
        <w:br/>
        <w:t>82. In conclusion, the set of elements in the records allows for the hypothesis of the existence of a possible restrictive agreement among the Parties aimed at restricting competition in the market for the active ingredient ranibizumab in violation of Article 101, paragraph 1, TFEU.</w:t>
        <w:br/>
        <w:t>CONSIDERING, therefore, that the conduct described above, carried out by the companies Samsung Bioepis co. Ltd., Samsung Bioepis NL B.V., Biogen Inc., Biogen Italia S.r.l., Genentech Inc., Novartis AG, Novartis Europharm Ltd., and Novartis Farma S.p.A. may constitute a restrictive agreement in violation of Article 101, paragraph 1, TFEU;</w:t>
        <w:br/>
        <w:t>RESOLVES</w:t>
        <w:br/>
        <w:t>a) to initiate the investigation, pursuant to Article 14 of Law No. 287/1990, against the companies Samsung Bioepis co. Ltd., Samsung Bioepis NL B.V., Biogen Inc., Biogen Italia S.r.l., Genentech Inc., Novartis AG, Novartis Europharm Ltd., and Novartis Farma S.p.A., to ascertain the existence of violations of Article 101, paragraph 1, TFEU;</w:t>
        <w:br/>
        <w:t>b) to set a deadline of sixty days, starting from the notification of this provision, for the exercise by the legal representatives of the Parties, or by persons delegated by them, of the right to be heard, specifying that the request for a hearing must be received by the Cartels, Leniency and Whistleblowing Directorate of the Competition Department-1 of this Authority at least fifteen days before the expiration of the aforementioned deadline;</w:t>
        <w:br/>
        <w:t>c) that the person responsible for the procedure is Dr. Elisabetta Maria Lanza;</w:t>
        <w:br/>
        <w:t>d) that the documents of the procedure can be viewed at the Cartels, Leniency and Whistleblowing Directorate of the Competition Department-1 of this Authority by the legal representatives of the Parties, as well as by persons delegated by them;</w:t>
        <w:br/>
        <w:t>51 See, in a consistent sense, the Commission Communication, "Guidelines on the notion of harm to trade between Member States" (in OJ C101/81 of April 27, 2004).</w:t>
      </w:r>
    </w:p>
    <w:p>
      <w:r>
        <w:t>40 BULLETIN NO. 23 OF JUNE 10, 2024</w:t>
        <w:br/>
        <w:t>e) that the procedure must be concluded by September 30, 2025.</w:t>
        <w:br/>
        <w:t>This provision will be notified to the interested parties and published in the Bulletin of the Competition and Market Authority.</w:t>
        <w:br/>
        <w:t>THE SECRETARY GENERAL THE PRESIDENT</w:t>
        <w:br/>
        <w:t>Guido Stazi Roberto Rustichelli</w:t>
      </w:r>
    </w:p>
    <w:p>
      <w:r>
        <w:t>BULLETIN NO. 23 OF JUNE 10, 2024 41</w:t>
        <w:br/>
        <w:t>CONCENTRATION OPERATIONS</w:t>
        <w:br/>
        <w:t>C12615 - ALPACEM CEMENTI ITALIA/BRANCH OF BUZZI UNICEM</w:t>
        <w:br/>
        <w:t>Provision No. 31204</w:t>
        <w:br/>
        <w:t>THE COMPETITION AND MARKET AUTHORITY</w:t>
        <w:br/>
        <w:t>IN ITS MEETING of May 21, 2024;</w:t>
        <w:br/>
        <w:t>HEARD the Rapporteur Saverio Valentino;</w:t>
        <w:br/>
        <w:t>VIEWED Law No. 287 of October 10, 1990, and in particular, Article 16, paragraph 8, which governs the extension of the deadline for the conclusion of the investigation initiated in relation to a concentration operation;</w:t>
        <w:br/>
        <w:t>VIEWED the Presidential Decree No. 217 of April 30, 1998;</w:t>
        <w:br/>
        <w:t>VIEWED its resolution of March 26, 2024, with which an investigation was initiated, pursuant to Article 16, paragraph 4, of Law No. 287/1990, against the companies Alpacem Cementi Italia S.p.A., Alpacem Calcestruzzi Italia S.r.l., Buzzi S.p.A. and its subsidiaries Buzzi Unicem S.r.l. and Unicalcestruzzi S.p.A.;</w:t>
        <w:br/>
        <w:t>VIEWED the communications of May 9, 2024, and May 21, 2024, in which the companies Alpacem Cementi Italia S.p.A. and Alpacem Calcestruzzi Italia S.r.l. were requested to provide necessary information for the evaluation of the concentration operation;</w:t>
        <w:br/>
        <w:t>VIEWED the communications received on May 10, 2024, and May 21, 2024, in which Alpacem Cementi Italia S.p.A. and Alpacem Calcestruzzi Italia S.r.l. expressed their inability to provide certain information within the assigned time, requesting a 30-day extension, and also indicated their willingness to acquiesce to a possible exercise by the Authority of the powers referred to in Article 16, paragraph 8, of Law No. 287/1990 last period, which allows for the extension of the conclusion of the procedure for a period not exceeding thirty days;</w:t>
        <w:br/>
        <w:t>CONSIDERING that the requested information, necessary for the evaluation of the case, cannot be obtained within the established deadlines and, therefore, fully evaluated by the current deadline for the conclusion of the procedure;</w:t>
        <w:br/>
        <w:t>CONSIDERING, therefore, it necessary to extend the deadline for the conclusion of the procedure pursuant to Article 16, paragraph 8, of Law No. 287/1990;</w:t>
        <w:br/>
        <w:t>RESOLVES</w:t>
        <w:br/>
        <w:t>to extend the deadline for the conclusion of the procedure to July 24, 2024.</w:t>
        <w:br/>
        <w:t>This provision will be notified to the interested parties pursuant to Article 16, paragraph 3, of Presidential Decree No. 217/1998.</w:t>
      </w:r>
    </w:p>
    <w:p>
      <w:r>
        <w:rPr>
          <w:b/>
        </w:rPr>
        <w:t>[Pages 40–42]</w:t>
      </w:r>
    </w:p>
    <w:p>
      <w:r>
        <w:t>42 BULLETIN NO. 23 OF JUNE 10, 2024</w:t>
        <w:br/>
        <w:t>This provision will be published in the Bulletin of the Competition and Market Authority.</w:t>
        <w:br/>
        <w:t>THE SECRETARY GENERAL THE PRESIDENT</w:t>
        <w:br/>
        <w:t>Guido Stazi Roberto Rustichelli</w:t>
      </w:r>
    </w:p>
    <w:p>
      <w:r>
        <w:t>BULLETIN NO. 23 OF JUNE 10, 2024 43</w:t>
        <w:br/>
        <w:t>C12620 - WIND TRE/BRIGHTCO</w:t>
        <w:br/>
        <w:t>Provision No. 31205</w:t>
        <w:br/>
        <w:t>THE COMPETITION AND MARKET AUTHORITY</w:t>
        <w:br/>
        <w:t>IN ITS MEETING of May 21, 2024;</w:t>
        <w:br/>
        <w:t>HEARD the Rapporteur, Professor Elisabetta Iossa;</w:t>
        <w:br/>
        <w:t>HAVING REGARD TO Regulation (EC) No. 139/2004;</w:t>
        <w:br/>
        <w:t>HAVING REGARD TO Law No. 287 of October 10, 1990;</w:t>
        <w:br/>
        <w:t>HAVING REGARD TO Presidential Decree No. 217 of April 30, 1998;</w:t>
        <w:br/>
        <w:t>HAVING REGARD TO the communication from Wind Tre S.p.A., received on April 2, 2024;</w:t>
        <w:br/>
        <w:t>HAVING REGARD TO the supplementary communications from Wind Tre S.p.A., received on April 12 and 24, 2024;</w:t>
        <w:br/>
        <w:t>HAVING REGARD TO the opinion of the Authority for Communications Guarantees, received on May 20, 2024;</w:t>
        <w:br/>
        <w:t>HAVING REGARD TO the documentation on file;</w:t>
        <w:br/>
        <w:t>CONSIDERING the following:</w:t>
        <w:br/>
        <w:t>I. THE PARTIES</w:t>
        <w:br/>
        <w:t>1. Wind Tre S.p.A. (hereinafter, “W3”) is an Italian company indirectly controlled, ultimately, by CK Hutchison Holdings Limited (hereinafter, “CK Hutchison”), the parent company of the CK Hutchison group (hereinafter, “CK Hutchison Group”) which operates globally in four business areas: i) ports and related services; ii) retail; iii) infrastructure; and iv) telecommunications. W3 is an active operator in Italy in the fixed and mobile telecommunications sector, providing mobile internet access services, mobile and fixed telephony services, broadband and ultra-broadband services, as well as convergent fixed-mobile offers. In 2022, the CK Hutchison Group achieved a consolidated revenue of approximately [1-5]* billion euros in Italy.</w:t>
        <w:br/>
        <w:t>2. Opnet S.p.A. (hereinafter, “OpNet” or the “Selling Company”) is a national wholesale operator in the construction and management of 5G networks, Fixed Wireless Access, and fiber optics, as well as in the realization of Private Networks, radio bridges, and vertical solutions dedicated to the industrial sector. The company operated in the telecommunications market as Linkem S.p.A. until September 2022, before changing its name to Opnet S.p.A. following the corporate spin-off of the retail branch and its merger by incorporation into Tiscali S.p.A. (hereinafter, “Tiscali”), which, in turn, changed its name to Tessellis S.p.A. (hereinafter, “Tessellis”). The majority shareholder of Opnet is Jefferies, a U.S. company, incorporated under the laws of the State of New York, with a dispersed shareholding and no controlling shareholder.</w:t>
        <w:br/>
        <w:t>* In this version, some data are omitted, as elements of confidentiality or secrecy of the information were deemed to exist.</w:t>
      </w:r>
    </w:p>
    <w:p>
      <w:r>
        <w:t>44 BULLETIN NO. 23 OF JUNE 10, 2024</w:t>
        <w:br/>
        <w:t>Opnet achieved a revenue of [100-567] million euros in 2022, entirely at the national level.</w:t>
        <w:br/>
        <w:t>3. BrightCo S.r.l. (hereinafter, “the Target” or “BrightCo”) is a limited liability company, established on February 9, 2024, for the purposes of this operation, to which OpNet will confer - in view of its acquisition by W3 - a business branch consisting essentially of all the operational assets of Opnet, including the rights to use 5G frequencies and the network infrastructures functional to their use, excluding stakes in other companies. The Target provides electronic communication services at the wholesale level through exclusive usage rights of part of the spectrum in the band between 3.4 and 3.6 GHz, in the band between 24.5 and 26.5 GHz, as well as usage rights of frequencies for radio bridge connections. These services are primarily used for the provision of ultra-broadband internet access services using Fixed Wireless Access technology (hereinafter, “FWA”; see further below). The Target is also active, to a very limited extent, in providing these services at the retail level to business customers and the Public Administration. BrightCo operates only in Italy and, having been established in 2024, has never generated any revenue. However, the revenues generated, exclusively in Italy, from the activities that Opnet confers to the Target amount to a total of approximately [35-100] million euros, based on the last approved financial statement as of December 31, 2022, by the Selling Company.</w:t>
        <w:br/>
        <w:t>II. DESCRIPTION OF THE OPERATION</w:t>
        <w:br/>
        <w:t>4. The notified operation consists of the acquisition by W3 of the upstream activities of Opnet, namely network infrastructures, equipment, and usage rights of frequencies, for both fixed and mobile network services. Opnet will continue to operate downstream, providing fixed and mobile network services to end customers under the Linkem (for FWA services) and Tiscali (for fixed and mobile telephony services) brands.</w:t>
        <w:br/>
        <w:t>5. On February 2, 2024, W3 and OpNet signed an agreement called the Interest Purchase Agreement (hereinafter, “IPA”), pursuant to which, upon completion of the operation, W3 will acquire the entire share capital of BrightCo, that is, the limited liability company established by OpNet for the purposes of this operation and in which substantially all assets, contracts, and usage rights of the operational activities will be conferred.</w:t>
        <w:br/>
        <w:t>6. In detail, the following activities currently owned by Opnet will be conferred to BrightCo:</w:t>
        <w:br/>
        <w:t>- the ownership of the authorizations held by Opnet1 for the usage rights of the spectrum amounting to 60 MHz in the band 3.4-3.6 GHz (with the exception of the Province of Bolzano, where Opnet holds 20 MHz)</w:t>
        <w:br/>
        <w:t>1 These include:</w:t>
        <w:br/>
        <w:t>- the general authorization for “the installation and provision of a public electronic communication network,” pursuant to Article 11 of Legislative Decree No. 259 of August 1, 2003 - Code of Electronic Communications, obtained following the submission on May 28, 2008, of an application, drafted in accordance with Annex 14 (formerly 9) of the aforementioned decree. The activity of the general authorization can be carried out throughout the national territory;</w:t>
        <w:br/>
        <w:t>- the general authorization for “Mobile Operator - MNO,” pursuant to Article 11 of the Code of Electronic Communications, obtained following the submission on December 4, 2023, of an application, drafted in accordance with Annex 9 of the aforementioned decree. The activity of the general authorization can be carried out throughout the national territory through the use of frequencies in the band 3.4-3.6 GHz;</w:t>
        <w:br/>
        <w:t>- the usage right of the numbering resource code MNC 38, associated with the general authorization for direct installation and provision services;</w:t>
        <w:br/>
        <w:t>- the usage rights of frequencies for a total of 3,302 radio bridge connections that are authorized as of today;</w:t>
        <w:br/>
        <w:t>- the usage rights of frequencies in the band 3400-3600 MHz, expiring on December 31, 2029;</w:t>
      </w:r>
    </w:p>
    <w:p>
      <w:r>
        <w:rPr>
          <w:b/>
        </w:rPr>
        <w:t>[Pages 43–45]</w:t>
      </w:r>
    </w:p>
    <w:p>
      <w:r>
        <w:t>BULLETIN NO. 23 OF JUNE 10, 2024 45</w:t>
        <w:br/>
        <w:t>and equal to 112 MHz in the band 24.5-26.5 GHz, the wireless infrastructure assets (the towers for the operation of FWA connections) and the spectrum for FWA and 5G technologies;</w:t>
        <w:br/>
        <w:t>- the network equipment (including the necessary firmware and software) used by Opnet for the use of the spectrum and the network, including base transceiver stations (hereinafter also referred to as "BTS");</w:t>
        <w:br/>
        <w:t>- the inventory of Opnet's assets stored in Opnet's warehouses and/or in third-party warehouses (except for equipment located at customers' premises);</w:t>
        <w:br/>
        <w:t>- the intellectual property rights of OpNet related to its activities;</w:t>
        <w:br/>
        <w:t>- the employment contracts in force with OpNet employees;</w:t>
        <w:br/>
        <w:t>- all active and passive operational contracts entered into by OpNet;</w:t>
        <w:br/>
        <w:t>- almost all sale &amp; leaseback contracts entered into by OpNet;</w:t>
        <w:br/>
        <w:t>- all contracts governing the use of spaces on sites used by OpNet for the provision of FWA services and any other radio services;</w:t>
        <w:br/>
        <w:t>- all tangible and intangible assets used, acquired, or held for use in relation to OpNet's business, as well as substantially all liabilities and operating revenues, receivables, prepaid expenses, deferred charges, security deposits, amounts, commissions, and other elements advanced in relation to the transferred activity.</w:t>
        <w:br/>
        <w:t>7. The IPA provides for the following suspensive conditions:</w:t>
        <w:br/>
        <w:t>[omitted].</w:t>
        <w:br/>
        <w:t>8. The IPA provides for the following ancillary conditions:</w:t>
        <w:br/>
        <w:t>[omitted].</w:t>
        <w:br/>
        <w:t>9. The scope of the operation does not include all shares and/or quotas held by OpNet in companies it controls.2</w:t>
        <w:br/>
        <w:t>III. QUALIFICATION OF THE OPERATION</w:t>
        <w:br/>
        <w:t>10. The communicated operation constitutes a concentration pursuant to Article 5, paragraph 1, letter b), of Law No. 287/1990, as it aims to acquire exclusive control of a company. It falls within the scope of application of Law No. 287/1990 as the conditions of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exceeded 567 million euros and the total turnover achieved, in the last financial year at the national level, by at least two of the companies involved exceeded 35 million euros.</w:t>
        <w:br/>
        <w:t>11. It is also noted that the ancillary conditions provided for in the IPA signed by the Parties and described above can be considered directly connected and necessary for the realization of the concentration operation in question, as they are functional to safeguarding the value of the acquired company, provided that they are limited in time to a period of two years from the date of completion of this operation.3</w:t>
        <w:br/>
        <w:t>- the rights of use of frequencies in the band 24.5-26.5 GHz, expiring on December 31, 2024.</w:t>
        <w:br/>
        <w:t>2 These are the companies: Go Internet S.p.A., Live Protection S.r.l., Project Group Italy S.r.l., and Tessellis S.p.A.</w:t>
        <w:br/>
        <w:t>3 See Commission Communication on restrictions directly related and necessary to concentrations (2005/C 56/03), para. 20.</w:t>
      </w:r>
    </w:p>
    <w:p>
      <w:r>
        <w:t>46 BULLETIN NO. 23 OF JUNE 10, 2024</w:t>
        <w:br/>
        <w:t>IV. THE OPINION OF THE AUTHORITY FOR COMMUNICATIONS GUARANTEES</w:t>
        <w:br/>
        <w:t>12. On April 30, 2024, the Authority for Communications Guarantees (hereinafter also "AGCOM") was requested, pursuant to Article 1, paragraph 6, letter c), no. 11, of Law No. 249 of July 31, 1997, establishing "The Authority for Communications Guarantees and regulations on telecommunications and broadcasting systems," to express an opinion regarding the concentration operation in question, in view of the adoption of the final measure.</w:t>
        <w:br/>
        <w:t>13. On May 20, 2024, the aforementioned opinion was received, adhering to the conclusions of the Authority reported in the draft measure.</w:t>
        <w:br/>
        <w:t>14. AGCOM recalled some definitions of the relevant markets adopted in its previous measures, noting that the Parties are active in wholesale and retail markets on fixed and mobile networks and offer services that have been analyzed by AGCOM.</w:t>
        <w:br/>
        <w:t>15. In relation to fixed telephony services, AGCOM represented that, with the last resolution adopted regarding the coordinated analysis of the fixed network access services markets, pursuant to Article 89 of the Code (resolution no. 114/24/CONS), it identified several retail fixed network service markets:</w:t>
        <w:br/>
        <w:t>- market for access to the fixed telephone network to make and/or receive voice calls and related services (retail access for voice services);</w:t>
        <w:br/>
        <w:t>- market for retail broadband and ultrabroadband access to transmit high-speed data (retail access for data services);</w:t>
        <w:br/>
        <w:t>- market for leased line services;</w:t>
        <w:br/>
        <w:t>16. AGCOM notes that the Authority has identified a single market for retail access services on fixed networks, regardless of the type of service (calls or data services), the type of clientele (residential or business), and the technology used (ADSL, mixed copper-fiber, fiber, or FWA).</w:t>
        <w:br/>
        <w:t>17. In relation to the wholesale access services market, AGCOM observes that the proposed definition by the Authority does not include the market for narrowband wholesale access services. AGCOM notes that, although narrowband access services are losing relevance and the scope of the concentration operation is limited in terms of increasing W3's market shares, the Parties (especially W3) are still active in this market, so it is considered inappropriate to exclude it from the scope of the relevant markets identified by AGCM.</w:t>
        <w:br/>
        <w:t>18. In any case, AGCOM observes that for the purposes of the antitrust procedure, the definition of the relevant market is functional to precisely delineate the product and geographic scope of the markets affected by the operation in question and, in this sense, may differ from that adopted for regulatory purposes by the Authority. In this case, the operation in question involves a modest increase in W3's market shares in all relevant retail markets concerned.</w:t>
        <w:br/>
        <w:t>19. Therefore, AGCOM agrees that the segmentation of the retail market into the different identified relevant markets does not affect the Authority's conclusions regarding the unsuitability of the concentration in question to significantly hinder competition in the affected markets and to create or strengthen a dominant position.</w:t>
        <w:br/>
        <w:t>20. Finally, regarding the distribution of frequencies among operators, cautiously considering also the sharing agreements with Fastweb and Iliad, AGCOM highlighted</w:t>
      </w:r>
    </w:p>
    <w:p>
      <w:r>
        <w:t>BULLETIN NO. 23 OF JUNE 10, 2024 47</w:t>
        <w:br/>
        <w:t>that W3 would have an overall availability of use that is not critical in competitive terms and only slightly above the endowment of other operators.</w:t>
        <w:br/>
        <w:t>21. In light of these assessments, AGCOM, for the aspects within its competence, expressed an opinion adhering to the draft final measure regarding the concentration in question.</w:t>
        <w:br/>
        <w:t>V. EVALUATIONS</w:t>
        <w:br/>
        <w:t>IV.1 The affected sector</w:t>
        <w:br/>
        <w:t>22. It is preliminarily appropriate to observe that the concentration operation takes place in the electronic communications sector, which, in its first and most general distinction, is represented by fixed and mobile communications.</w:t>
        <w:br/>
        <w:t>23. W3 is indeed active in Italy in the fixed and mobile telecommunications sector and is strongly oriented towards providing mobile internet access, mobile and fixed telephony services, broadband and ultra-broadband, as well as convergent fixed-mobile offerings. W3's commercial proposal includes a wide range of content, applications, and multimedia supports.</w:t>
        <w:br/>
        <w:t>24. The Target is a company established for the purposes of this operation, to which OpNet will confer a business unit comprising substantially all its operational assets, including the rights to use 5G frequencies and the network infrastructures functional to their use, excluding holdings in other companies. This business unit provides electronic communication services at the wholesale level through exclusive rights to use part of the spectrum in the band between 3.4 and 3.6 GHz, in the band between 24.5 and 26.5 GHz, as well as rights to use frequencies for radio bridge connections. These services are primarily used for the provision of ultra-broadband internet access services using FWA technology. Furthermore, the business unit in question is active, to a very limited extent, in providing these services at the retail level to business customers and Public Administration.</w:t>
        <w:br/>
        <w:t>25. Typically, the fixed telephony services market is characterized by the presence of a network, consisting of nodes each connected to others by high-capacity lines (fiber). This infrastructure is called the primary network (or backbone). Millions of users connect to this structure with copper or fiber cables (secondary network).</w:t>
        <w:br/>
        <w:t>26. Mobile telecommunications services leverage the availability of transmission spectrum. Mobile network operators (hereinafter, "MNO") position their active signal transmission infrastructures on passive telecommunications infrastructures, namely towers, rooftops, and other infrastructure assets. The demand for such services is constituted by MNOs and wireless operators (like Opnet) that need to install their essential network devices to provide mobile and fixed telecommunications services via wireless (i.e., FWA). The latter, in particular, often lack their own network infrastructure, thus often being referred to as completely "non-captive" clientele, that is, not integrated at the corporate level with a tower company.4</w:t>
        <w:br/>
        <w:t>27. The offering of hosting services includes making space available on passive infrastructure, for which customers pay a fee to the provider. Mobile network operators install Radio Access Network equipment on passive infrastructures.</w:t>
      </w:r>
    </w:p>
    <w:p>
      <w:r>
        <w:rPr>
          <w:b/>
        </w:rPr>
        <w:t>[Pages 46–48]</w:t>
      </w:r>
    </w:p>
    <w:p>
      <w:r>
        <w:t>48 BULLETIN NO. 23 OF JUNE 10, 2024</w:t>
        <w:br/>
        <w:t>“RAN” as antennas, radios, and baseband units on towers for the transmission of mobile signals. The combination of active networks and passive infrastructure allows the MNO to provide voice and data transmission services. Figure 1 below describes the vertical supply chain relationships within the sector. Figure 1: Vertical relationships in the telecommunications sector. 5 Source: Authority.</w:t>
      </w:r>
    </w:p>
    <w:p>
      <w:r>
        <w:t>28. In order to promote the development of networks and encourage competition among operators, the Electronic Communications Code6 promotes certain types of co-investment and sharing of essential production inputs, especially for the development of future generation networks, such as currently 5G. The forms of sharing are generally classified in increasing levels of cooperation, such as:</w:t>
        <w:br/>
        <w:t>- Passive network sharing: sharing of passive infrastructure (sites, towers, cabinets, sharing of electricity costs, lighting, cooling);</w:t>
        <w:br/>
        <w:t>- Active RAN Sharing: sharing of antennas, transmission equipment, base stations, and maintenance (the so-called Multi-Operator Radio Access Network, hereinafter “MORAN”), to which the sharing of essential input, the emission spectrum (Multi-Operator Core Networks, hereinafter “MOCN”), can be added;</w:t>
      </w:r>
    </w:p>
    <w:p>
      <w:r>
        <w:t>29. Currently, national MNO operators have already implemented some forms of sharing, briefly summarized as follows:</w:t>
        <w:br/>
        <w:t>- RAN sharing between TIM and Vodafone, which involves active partnership for network sharing for 5G, active sharing for 4G, implemented following the creation of the joint venture Inwit, which brought together the Tower Divisions of the two companies7;</w:t>
        <w:br/>
        <w:t>- RAN Sharing with frequency sharing (of the MOCN type, see above) between W3 and Iliad, which led to the establishment of the joint venture Zefiro Net s.r.l. (hereinafter, “Zefiro”)8.</w:t>
      </w:r>
    </w:p>
    <w:p>
      <w:r>
        <w:t xml:space="preserve">5 See ibidem.  </w:t>
        <w:br/>
        <w:t xml:space="preserve">6 See Legislative Decree No. 259/2003 as amended by Legislative Decree No. 207/2021 implementing “Directive (EU) 2018/1972 of the European Parliament and of the Council of December 11, 2018, establishing the European Electronic Communications Code (recast).”  </w:t>
        <w:br/>
        <w:t xml:space="preserve">7 See European Commission Decision of March 6, 2020, M.9674 - Vodafone Italia/Tim/Inwit.  </w:t>
        <w:br/>
        <w:t>8 See S4490 - AGCOM/Constitution of Joint Venture Iliad-Wind Tre for the provision of MOCN service, opinion rendered to AGCOM on July 5, 2022.</w:t>
      </w:r>
    </w:p>
    <w:p>
      <w:r>
        <w:t>BULLETIN NO. 23 OF JUNE 10, 2024 49</w:t>
        <w:br/>
        <w:t>- The co-investment agreement between W3 and Fastweb for the development of 5G9.</w:t>
      </w:r>
    </w:p>
    <w:p>
      <w:r>
        <w:t xml:space="preserve">30. With specific reference to the concentration operation, W3 has provided some economic justifications in support. W3 indeed believes that [omitted].  </w:t>
        <w:br/>
        <w:t>31. From this perspective, W3 believes it can achieve [omitted].</w:t>
      </w:r>
    </w:p>
    <w:p>
      <w:r>
        <w:t xml:space="preserve">IV.2 The relevant markets  </w:t>
        <w:br/>
        <w:t xml:space="preserve">32. In light of the activities carried out by the Parties, it is considered that the operation mainly concerns the markets for wholesale access services to the fixed broadband/ultrabroadband network, retail access services to the fixed broadband/ultrabroadband network, as well as connectivity services to businesses, as further detailed below in the identification of the relevant markets.  </w:t>
        <w:br/>
        <w:t xml:space="preserve">Market 1: wholesale access services to the fixed broadband/ultrabroadband network  </w:t>
        <w:br/>
        <w:t xml:space="preserve">33. According to the established decision-making practice of the Authority and the European Commission (hereinafter, “Commission”), the market for access services to the network is divided depending on whether the services are offered wholesale or retail. In particular, the activities carried out at the wholesale level consist of providing access services to the fixed network to operators who, using all or part of the non-owned transmission infrastructure, in turn provide access to the network to end users.  </w:t>
        <w:br/>
        <w:t xml:space="preserve">34. In this regard, the Authority has recognized on several occasions the market for wholesale access services to the fixed broadband and ultrabroadband network as autonomous and distinct from the retail market, defining it as encompassing the services that allow telecommunications operators to provide services to end customers through access to the local fixed broadband and ultrabroadband network10. The geographical dimension identified by the Authority in relation to the commodity market has national scope11.  </w:t>
        <w:br/>
        <w:t xml:space="preserve">35. The market for wholesale access services to the fixed broadband/ultrabroadband network can be further segmented by transmission technology for fixed network access services: i) Fixed Wireless Access (see above); ii) Fiber to the Home (hereinafter, “FTTH”) in the case where the broadband connection arrives via fiber cable directly to the user or iii) Fiber to the Cabinet (hereinafter, “FTTC”), in the event that the fiber broadband connection reaches street cabinets (the so-called “distribution cabinet”) and is then connected to the user via copper cables. Figure 2 below graphically represents the characteristics for transmission technologies.  </w:t>
        <w:br/>
        <w:t xml:space="preserve">9 See provision No. 30985 of November 28, 2023. A556 - Data request for participation in the Consip Tm9 tender, in Bulletin No. 48/2023. On this point, W3 recalls making “available to Fastweb its spectrum including 20 MHz in the 3,600 MHz band throughout the national territory until December 31, 2029.”  </w:t>
        <w:br/>
        <w:t xml:space="preserve">10 See, inter alia, provision No. 30382 of November 22, 2022, C12476 - Marbles/Irideos, in Bulletin No. 44/2022; provision No. 30002 of February 15, 2022, I850 - Fibercop Agreements, in Bulletin No. 7/2022 and provision No. 28162 of February 25, 2020, A514 - Telecom Italia fiber conduits, in Bulletin No. 10/2020. Regarding the European Commission, it has abstractly considered potential further sub-segmentations of this market based on: (i) type of access and (ii) network infrastructure, without, however, expressing itself definitively (see decision of July 28, 2021, M.10153 - Orange / Telekom Romania Communications, §. 125; decision of September 29, 2019, M.6990 - Vodafone / Kabel Deutschland, §. 161; decision of July 9, 2018, M.8808 - T-Mobile Austria/UPC Austria, §§ 74-76 and decision of June 26, 2009, M.5532 - Carphone Warehouse/Tiscali UK, §§. 28-34). The European Commission has also excluded any market segmentations based on: (i) speed (and, in particular, the segmentations (a) 30 Mbit/s-300 Mbit/s, (b) 300 Mbit/s and above) or (ii) distribution methods (xDSL, fiber, cable) arguing, respectively, the substitutability of access services to the network above a certain speed from the demand side and the insensitivity of users to transmission methods (see decision of November 19, 2020, M.9871 - Telefonica/Liberty Global/JV).  </w:t>
        <w:br/>
        <w:t>11 See provision No. 30382 of November 22, 2022, C12476 - Marbles/Irideos, cited.</w:t>
      </w:r>
    </w:p>
    <w:p>
      <w:r>
        <w:t>50 BULLETIN NO. 23 OF JUNE 10, 2024</w:t>
        <w:br/>
        <w:t xml:space="preserve">Figure 2 - graphical representation of the characteristics of transmission technologies  </w:t>
        <w:br/>
        <w:t xml:space="preserve">Source: the Parties  </w:t>
        <w:br/>
        <w:t xml:space="preserve">Market 2: Retail services on fixed network  </w:t>
        <w:br/>
        <w:t xml:space="preserve">36. The offering of retail access services to the fixed network consists of providing a connection to the network through fixed line technologies directly to end users12.  </w:t>
        <w:br/>
        <w:t xml:space="preserve">37. In its previous decisions, the Commission has identified a distinct product market for retail access services to the fixed network.  </w:t>
        <w:br/>
        <w:t xml:space="preserve">38. In this context, the Commission has considered the following possible segments, always leaving the exact definition open:  </w:t>
        <w:br/>
        <w:t xml:space="preserve">(a) product type (broadband, narrowband, and dedicated access, i.e.);  </w:t>
        <w:br/>
        <w:t xml:space="preserve">(b) distribution technology (ADSL, fiber optic, mobile broadband, i.e. FWA, FTTH, and FTTC, see above and Figure 2) and/or  </w:t>
        <w:br/>
        <w:t xml:space="preserve">(c) customer type (residential customers and small businesses on one side, and large businesses and public entities on the other).  </w:t>
        <w:br/>
        <w:t xml:space="preserve">39. Regarding the extent of the market, the European Commission has considered the market for retail access services to the fixed network as having (a) national scope or (b) supra-national, with regional extent, without, however, expressing itself definitively and leaving this definition open.  </w:t>
        <w:br/>
        <w:t xml:space="preserve">40. In relation to this operation, it is not considered necessary to arrive at definitions of the relevant market for retail services on the fixed network that encompass any of these segmentations.  </w:t>
        <w:br/>
        <w:t>12 See European Commission decision of May 30, 2023, M.10994 - Liberty Global/Fluvius/Netco, §. 91; European Commission decision of October 18, 2019, M.9433 - MEIF 6 Fibre/KCOM Group, §. 27 and European Commission decision of July 18, 2019, M.8864 - Vodafone/Certain Liberty Global Assets, §. 47.</w:t>
      </w:r>
    </w:p>
    <w:p>
      <w:r>
        <w:rPr>
          <w:b/>
        </w:rPr>
        <w:t>[Pages 49–51]</w:t>
      </w:r>
    </w:p>
    <w:p>
      <w:r>
        <w:t>BULLETIN NO. 23 OF JUNE 10, 2024 51</w:t>
      </w:r>
    </w:p>
    <w:p>
      <w:r>
        <w:t xml:space="preserve">Market 3: Wholesale access services to the mobile network  </w:t>
        <w:br/>
        <w:t xml:space="preserve">41. Wholesale access and "call origination" services to the mobile network are services provided by MNOs to virtual operators such as Mobile Virtual Network Operators (hereinafter "MVNOs").  </w:t>
        <w:br/>
        <w:t xml:space="preserve">42. In particular, this involves the provision of a range of wholesale telecommunications services over a mobile telephony network for the purpose of providing retail mobile telecommunications services to end customers.  </w:t>
        <w:br/>
        <w:t xml:space="preserve">43. These services include wholesale access to the mobile network, as well as call origination and termination and international roaming, for both voice services and SMS and data transfer.  </w:t>
        <w:br/>
        <w:t xml:space="preserve">44. The wholesale market for these services is therefore constituted: on the supply side, by MNOs, which own their own mobile networks; on the demand side, by virtual operators who require access to MNO networks in order to provide their retail mobile telephony services.  </w:t>
        <w:br/>
        <w:t>45. In this regard, the Commission, in its previous decisions, has considered that mobile network access and "call origination" services are part of the same market.13 In this respect, the Commission has emphasized that both services are to be regarded as fundamental elements for virtual operators in order to ensure their ability to provide their retail mobile telecommunications services and are therefore generally provided together. Previous decisions identify the geographical scope of these markets as national, due to the existence of stringent regulatory barriers governing the various national telecommunications markets, as well as the fact that the geographical scope of the usage rights granted to the various MNOs is, in fact, national.</w:t>
      </w:r>
    </w:p>
    <w:p>
      <w:r>
        <w:t xml:space="preserve">Market 4: Retail access services to the mobile network  </w:t>
        <w:br/>
        <w:t xml:space="preserve">46. The offering of retail access services to the mobile network consists of providing a connection to the network through mobile line technologies directly to end users. This access allows end users to make national and international voice calls, send and receive messages, and use mobile data.  </w:t>
        <w:br/>
        <w:t>47. According to the Commission's precedents, the relevant product market includes all retail access services to the mobile network, without further segmentation based on the type of service (voice calls, SMS, MMS, mobile internet data services) or the network technology used (4G, LTE, 5G). The geographical dimension of the retail access market to the fixed network is national.14</w:t>
      </w:r>
    </w:p>
    <w:p>
      <w:r>
        <w:t xml:space="preserve">Market 5: Retail telecommunications/connectivity services for businesses  </w:t>
        <w:br/>
        <w:t xml:space="preserve">48. Retail telecommunications services for businesses encompass a wide range of services offered by telecommunications operators to so-called enterprise customers. These may include, among other things, the management of corporate SIM parks, the provision of cloud and artificial intelligence services, as well as services related to so-called cybersecurity and the establishment of internal corporate networks.  </w:t>
        <w:br/>
        <w:t xml:space="preserve">49. In its precedents,15 the Commission has considered a definition that includes the following services:  </w:t>
        <w:br/>
        <w:t xml:space="preserve">- the market for retail business connectivity (which includes fixed telecommunications services purchased by large enterprises and public entities to provide data connectivity between multiple production sites/local offices), which could potentially be segmented distinguishing between:  </w:t>
        <w:br/>
        <w:t xml:space="preserve">- broadband access services for large business customers; and  </w:t>
        <w:br/>
        <w:t xml:space="preserve">- retail leased line services, which consist of reserving dedicated capacity on the network for large enterprises with multiple business sites for the establishment of internal networks or for connecting sites/assets; and  </w:t>
        <w:br/>
        <w:t xml:space="preserve">- Virtual Private Network (VPN) services, which consist of secure connections to the network for enterprise customer devices, aimed at the secure transmission of sensitive data and enabling remote connections to corporate networks;  </w:t>
        <w:br/>
        <w:t xml:space="preserve">- a potential non-residential segment of the retail fixed network access market;  </w:t>
        <w:br/>
        <w:t xml:space="preserve">- the market for IT services for businesses, which could also be segmented based on the function of such services (e.g., software maintenance and support, outsourcing) and based on the industrial sector.  </w:t>
        <w:br/>
        <w:t xml:space="preserve">50. The Commission has identified a national dimension for this commodity market.  </w:t>
        <w:br/>
        <w:t xml:space="preserve">51. In light of the activities of the Parties, the operation appears to concern only a small part of the services included in this area, namely those related to the provision of:  </w:t>
        <w:br/>
        <w:t xml:space="preserve">- retail access services to the fixed broadband/ultrabroadband network for so-called non-residential customers, namely businesses and public administrations;  </w:t>
        <w:br/>
        <w:t xml:space="preserve">- leased lines;  </w:t>
        <w:br/>
        <w:t xml:space="preserve">- private network services to certain business customers with internal connection needs and harmonization of their IT systems.  </w:t>
        <w:br/>
        <w:t>52. In any case, it is not necessary to reach a conclusion regarding the definition of this potential relevant market from a commodity perspective due to the limited effects of the operation (see infra).</w:t>
      </w:r>
    </w:p>
    <w:p>
      <w:r>
        <w:t xml:space="preserve">Market 6: Telecommunications infrastructure services and supply  </w:t>
        <w:br/>
        <w:t xml:space="preserve">53. In its precedents,16 the Authority has defined the telecommunications infrastructure market as a market that includes the activities of research, design, construction,  </w:t>
        <w:br/>
        <w:t xml:space="preserve">15 See European Commission decision of April 20, 2015, M.7499 - Altice/PT Portugal, §§. 54 et seq.; European Commission decision of July 26, 2021, M.10070 - Eurofiber/Proximus/JV, §§. 82 et seq. and, conversely, European Commission decision of May 30, 2023, M.10994 - Liberty Global/Fluvius/Netco, §. 94.  </w:t>
        <w:br/>
        <w:t>16 See decision no. 20681 of January 13, 2010, C10396 - Consiag/Estra Group, in Bulletin no. 2/2010; decision no. 20362 of October 1, 2009, C10270 - Semitec/Branch of Emicom, in Bulletin no. 39/2009;</w:t>
      </w:r>
    </w:p>
    <w:p>
      <w:r>
        <w:t>BULLETIN NO. 23 OF JUNE 10, 2024 53</w:t>
      </w:r>
    </w:p>
    <w:p>
      <w:r>
        <w:t>installation, and maintenance of wireless (base stations, repeaters, radiating systems, radio bridges) and wireline (transmission devices in coaxial cable and fiber optic) equipment of mobile and fixed network operators, as well as wireless broadband operators. The geographical dimension of this market is national in scope.</w:t>
      </w:r>
    </w:p>
    <w:p>
      <w:r>
        <w:t xml:space="preserve">Market 7: Leased lines, backhaul, and P2P services  </w:t>
        <w:br/>
        <w:t xml:space="preserve">54. Wholesale leased lines are partial circuits that allow telecommunications providers to extend their networks to various sites for the provision of business connectivity services or for their mobile backhaul needs.  </w:t>
        <w:br/>
        <w:t xml:space="preserve">55. Backhaul services relate to connections between network infrastructures. Backhaul networks can consist of wireless or fixed backhaul. Fixed backhaul services can be provided over fiber optic cables or copper cables.  </w:t>
        <w:br/>
        <w:t xml:space="preserve">56. Additionally, in previous decisions of the Commission, services related to point-to-point (hereinafter "P2P") connections have also been included within a leased lines market.  </w:t>
        <w:br/>
        <w:t xml:space="preserve">57. The Authority, in its precedents, has identified the geographical dimension of the potential leased lines market, as well as those of backhauling or P2P connections, as national.  </w:t>
        <w:br/>
        <w:t>58. Due to the limited relevance of the Parties' activities in this sector, it is not necessary to reach a conclusion, at this stage, regarding the commodity definition of the potential markets or segments mentioned above.</w:t>
      </w:r>
    </w:p>
    <w:p>
      <w:r>
        <w:t xml:space="preserve">Market 8: Private network services  </w:t>
        <w:br/>
        <w:t xml:space="preserve">59. Private networking services consist of the provision of communication systems through fixed or mobile network segments designed and built based on the specific needs of the customer. These services are generally provided to large enterprises that need to connect their headquarters to peripheral locations or to remotely and coordinately manage complex industrial processes. At the same time, private network systems are often created, among other things, to enable efficient data transmission within large port and airport scales or to manage large infrastructural networks.  </w:t>
        <w:br/>
        <w:t>60. In any case, it is not necessary to reach a conclusion regarding the possible definition from a commodity and geographical perspective, as the operation is not likely to raise any competitive concerns in this area and there are no precedents in this regard.</w:t>
      </w:r>
    </w:p>
    <w:p>
      <w:r>
        <w:t xml:space="preserve">IV.3 Observations following the market notice  </w:t>
        <w:br/>
        <w:t xml:space="preserve">61. On April 10, 2024, some observations were received from Iliad Italia S.p.A. (hereinafter "Iliad"), an MNO operator active nationally in the mobile sector (and recently also in fixed), which entered the Italian market following the concentration between Wind S.p.A. and H3G.17 In fact, the commitments signed by the companies in order to proceed with the Joint Venture provided for the entry of a new MNO operator to maintain a number of four active mobile operators in the market.  </w:t>
        <w:br/>
        <w:t>17 See European Commission decision of September 1, 2016, M.7758 - Hutchison 3g Italy/Wind/Jv.</w:t>
      </w:r>
    </w:p>
    <w:p>
      <w:r>
        <w:rPr>
          <w:b/>
        </w:rPr>
        <w:t>[Pages 52–54]</w:t>
      </w:r>
    </w:p>
    <w:p>
      <w:r>
        <w:t>54 BULLETIN NO. 23 OF JUNE 10, 2024</w:t>
        <w:br/>
        <w:t>62. In summary, Iliad stated that as a result of W3's acquisition of the usage rights of OpNet, “for the first time, there would occur the more than exceptional circumstance whereby a single operator (W3) would concentrate the overall availability of 120 MHz of frequency in the 3.4-3.8 GHz band,” a concentration that would exceed certain thresholds of spectrum hoarding beyond 100 MHz.18 This would occur in the “so-called pioneer bands of 5G (3.4-3.8 GHz), harmonized pursuant to Community Decision No. 2008/411/EC, as amended by Decision (EU) 2019/235, and also referenced in Article 54 of Directive 2018/1972/EU.”19 According to Iliad, the availability of adequate spectral resources is indeed an essential element for enabling an operator to compete effectively.</w:t>
        <w:br/>
        <w:t>63. Therefore, in Iliad's view, the concentration operation would entail:</w:t>
        <w:br/>
        <w:t>- “a significant obstacle to the conduct of effective competitive comparison in the mobile telephony sector through excessive accumulation of frequency allocation in the hands of a single operator, well beyond the 'anti-hoarding' and 'anti-concentration' limits identified by Agcom in the recent resolution No. 66/22/CONS, containing the opinion to the Ministry regarding the authorization of the mutual frequency transfer operation Linkem-TIM;</w:t>
        <w:br/>
        <w:t>- an even more pronounced symmetry in terms of frequency allocations among the three main MNOs, [omitted].20</w:t>
        <w:br/>
        <w:t>64. During the hearing on April 22, 2024, Iliad reiterated that as a result of the acquisition, W3 would have the availability of spectrum for 120 MHz and [omitted].</w:t>
        <w:br/>
        <w:t>65. Iliad also stated [omitted].21</w:t>
        <w:br/>
        <w:t>66. In the hearing, therefore, Iliad finally requested that [omitted].</w:t>
        <w:br/>
        <w:t>IV.4 Additional information submitted by Wind Tre</w:t>
        <w:br/>
        <w:t>67. W3 supplemented its documentation on two occasions (April 12 and 24, 2024) and participated in the hearing on April 22, 2024.</w:t>
        <w:br/>
        <w:t>68. In the first supplement, W3 provided a note clarifying, specifically regarding the regulation of the existing relationships between the notifying company and Iliad, that “the existing contract with Iliad S.p.A. provides for the possibility of both a territorial extension and an extension of the portion of spectrum involved in the sharing with the same [omitted].”</w:t>
        <w:br/>
        <w:t>69. W3 represented that it is provided [omitted] that Iliad and W3 may agree on the extension of the spectrum [omitted] to the extent made available to the joint company Zefiro for the activities carried out by the JV itself for the benefit of the parties, in which case the necessary authorizations required by the Electronic Communications Code would be requested. Furthermore, the Iliad/W3 contract already includes the possibility of being expanded in the future regarding its territorial scope, [omitted] and subject to the necessary regulatory and antitrust authorizations.</w:t>
        <w:br/>
        <w:t>18 Iliad, in this regard, recalls that “as a result of the operation in question [...], the operation would significantly exceed the cap (intra-band and inter-band) of 100 MHz, provided for by Article 3, paragraph 2, letter c, of AGCOM Resolution 231/18/CONS12, repeatedly identified as a necessary measure for anti-hoarding (see §§. 158 et seq. of Resolution 231/18/CONS) and as an anti-concentration limit (see §. 17 of Resolution 66/22/CONS), precisely by virtue of the new 5G scenario since, based on current community recommendations, the entire 3.4-3.8 GHz band is to be considered a significant resource for the development of 5G services (§. 158 of Resolution 231/18/CONS).”</w:t>
        <w:br/>
        <w:t>19 See Iliad's observations, received on April 11, 2024.</w:t>
        <w:br/>
        <w:t>20 See ibidem.</w:t>
        <w:br/>
        <w:t>21 [Omitted].</w:t>
      </w:r>
    </w:p>
    <w:p>
      <w:r>
        <w:t>BULLETIN NO. 23 OF JUNE 10, 2024 55</w:t>
        <w:br/>
        <w:t>70. During the hearing on April 22, 2024, W3 specified [omitted].</w:t>
        <w:br/>
        <w:t>71. On the subject of the operation, W3 stated that [omitted].</w:t>
        <w:br/>
        <w:t>72. Finally, W3 considers the operation as not raising any competitive concerns but, nonetheless, with the communication of April 24, W3, recalling the “more general obligations of fairness and good faith applicable to both Wind Tre and Iliad,” committed to [omitted].22</w:t>
        <w:br/>
        <w:t>IV.5 The effects of the operation</w:t>
        <w:br/>
        <w:t>73. The concentration operation notified by Wind Tre does not raise concerns from a competitive standpoint. In particular, it is noted that the market shares held jointly by the Parties in the numerous identified markets, even considering significant segmentation, do not seem to raise concerns such that the concentration could significantly impede “effective competition in the national market or in a substantial part thereof.”23</w:t>
        <w:br/>
        <w:t>Horizontal effects of the concentration</w:t>
        <w:br/>
        <w:t>74. Regarding possible horizontal overlaps between the activities of the companies, the concentration operation does not appear to be capable of determining any affected market.</w:t>
        <w:br/>
        <w:t>75. More specifically, from a horizontal perspective, in each of the potential markets or segments (however defined) in which both Parties are present, albeit to a minimal extent, and specifically those relating to:</w:t>
        <w:br/>
        <w:t>- Market 2: retail access services to the fixed network, possibly also in the segments:</w:t>
        <w:br/>
        <w:t>• retail access to the fixed broadband/ultrabroadband network,</w:t>
        <w:br/>
        <w:t>• retail access to the fixed broadband/ultrabroadband network with Fixed Wireless Access (FWA) technology,</w:t>
        <w:br/>
        <w:t>• retail access services to the fixed broadband/ultrabroadband network for business customers,</w:t>
        <w:br/>
        <w:t>- Market 5: retail telecommunications/connectivity services for businesses,</w:t>
        <w:br/>
        <w:t>- Market 7: leased lines, backhauling, and P2P connections,</w:t>
        <w:br/>
        <w:t>- Market 8: private networks,</w:t>
        <w:br/>
        <w:t>76. In these markets (and segments), as a result of the operation, W3 will register an increase in its market share of less than 1%.</w:t>
        <w:br/>
        <w:t>77. In none of these markets or segments, moreover, is W3 the first operator, and there are always qualified competitors present with higher market shares. In other words, the concentration is not likely to raise concerns regarding unilateral effects.</w:t>
        <w:br/>
        <w:t>Vertical effects of the concentration</w:t>
        <w:br/>
        <w:t>78. Similarly, the operation does not produce vertical effects. In fact, in the fixed telecommunications markets, W3 and Opnet are not present, except as operators providing access services to their downstream commercial divisions.</w:t>
        <w:br/>
        <w:t>79. In the mobile telecommunications markets, W3 is active both upstream as an operator providing wholesale access services to the network and as a retail service operator. However, Opnet is not present in the upstream market, where its infrastructures are practically dedicated to serving [omitted].</w:t>
        <w:br/>
        <w:t>Table 1: [omitted]</w:t>
        <w:br/>
        <w:t>Source: [omitted]</w:t>
        <w:br/>
        <w:t>Coordinated effects of the concentration</w:t>
        <w:br/>
        <w:t>80. Regarding possible coordinated effects, the increase in W3's market shares (see above) does not appear capable of altering the behavior of other operators in the identified markets.</w:t>
        <w:br/>
        <w:t>Allocation of frequencies</w:t>
        <w:br/>
        <w:t>81. Regarding the distribution of frequency usage rights, present in Iliad's observations (see above), it is preliminarily clarified that the operation results in a transfer of spectrum allocations that allows W3 to achieve a position of greater balance compared to the spectrum available to Tim and Vodafone, especially concerning the frequencies necessary for the development of the 5G network. In fact, by summing the frequency blocks that Tim, Vodafone, and W3 would respectively have after the concentration, a situation of greater prospective competitiveness for W3 is obtained, which would thus be able to bridge the gap in frequency usage rights useful for 5G communications compared to Tim and Vodafone, more or less equating the licensed frequencies to these two operators. Figure 3 below summarizes the allocation of electromagnetic spectrum usage frequencies among the operators.</w:t>
      </w:r>
    </w:p>
    <w:p>
      <w:r>
        <w:rPr>
          <w:b/>
        </w:rPr>
        <w:t>[Pages 55–57]</w:t>
      </w:r>
    </w:p>
    <w:p>
      <w:r>
        <w:t>BULLETIN NO. 23 OF JUNE 10, 2024 57</w:t>
        <w:br/>
        <w:t>Figure 3: allocation of frequency usage of the electromagnetic spectrum prior to the concentration operation</w:t>
        <w:br/>
        <w:t>Source: the Parties</w:t>
        <w:br/>
        <w:t>82. It is noted that the rebalancing of frequencies among operators occurs precisely in relation to the frequency band of greater value for the development of 5G, that is, the frequencies that will most guarantee effective coverage of the territory with 5G technology and, therefore, will influence the dynamic competitive structures of mobile telecommunications.24 Compared to the situation prior to the operation, there will be not two (Tim and Vodafone) but three operators with a frequency allocation suitable to ensure that their 5G network can operate efficiently and independently of the frequencies of other operators.</w:t>
        <w:br/>
        <w:t>83. Regarding the observations of Iliad concerning the distribution of frequencies among operators, it is first noted that these are issues not directly related to the concentration operation under examination. In fact, Iliad [omitted]. This situation is attributable to the outcome of the tender procedure for the allocation of frequencies useful for the transmission of the 5G signal, which took place in 2018. Secondly, it is noted that [omitted]. In this regard, it is appropriate to point out that Directive (EU) 2018/1972 (European Electronic Communications Code) presents very clear openings in favor of advanced forms of spectrum sharing.25</w:t>
        <w:br/>
        <w:t>24 The Global System for Mobile Communications, commonly known as GSMA, that is, the lobby of global mobile operators, describes the spectrum between 3.3 GHz and 3.8 GHz as ideal for 5G.</w:t>
        <w:br/>
        <w:t>25 In particular, in Recital 119, it is stated that “With the increasing demand for radio spectrum and new applications and variable technologies requiring more flexible access and use of radio spectrum, Member States should promote shared use of radio spectrum [...]. Increasingly, sharing represents a favorable solution for effective and efficient use of radio spectrum, as it allows multiple users or devices independent access to the same band of radio spectrum under different types of legal regimes, thereby making additional radio spectrum resources available, increasing usage efficiency and facilitating access for new users.”</w:t>
      </w:r>
    </w:p>
    <w:p>
      <w:r>
        <w:t>58 BULLETIN NO. 23 OF JUNE 10, 2024</w:t>
        <w:br/>
        <w:t>84. Moreover, on this point, the intention of W3, contained in the communication received on April 24, 2024 (see paragraph 72), is highlighted, [omitted].</w:t>
        <w:br/>
        <w:t>85. Therefore - considering that the issue of frequency allocation among operators does not appear to be directly relevant to the concentration operation nor presents immediate competitive implications and, lastly, considering also the intentions expressed by W3 described above [omitted], with reference to this resource, of the companies subject to regulatory oversight by the Authority for Communications Guarantees, there are no elements suitable to significantly hinder competition in the affected markets or to determine the establishment or strengthening of a dominant position.</w:t>
        <w:br/>
        <w:t>86. In light of the above considerations, therefore, the concentration under examination does not appear to significantly hinder competition in the affected markets or to determine the establishment or strengthening of a dominant position.</w:t>
        <w:br/>
        <w:t>CONSIDERED, therefore, that the operation under examination does not significantly hinder effective competition in the relevant market pursuant to Article 6, paragraph 1, of Law No. 287/1990 and does not result in the establishment or strengthening of a dominant position;</w:t>
        <w:br/>
        <w:t>CONSIDERED, also, that the non-competition obligations between the parties are accessory to this operation only to the extent described above and that the Authority reserves the right to evaluate, where the conditions exist, the aforementioned agreements that exceed the limits indicated therein;</w:t>
        <w:br/>
        <w:t>RESOLVES</w:t>
        <w:br/>
        <w:t>not to initiate the investigation referred to in Article 16, paragraph 4, of Law No. 287/1990.</w:t>
        <w:br/>
        <w:t>The above conclusions will be communicated, pursuant to Article 16, paragraph 4, of Law No. 287/1990, to the interested companies and the Minister of Enterprises and Made in Italy.</w:t>
        <w:br/>
        <w:t>This provision will be published in the Bulletin of the Authority for Competition and the Market.</w:t>
        <w:br/>
        <w:t>THE SECRETARY GENERAL THE PRESIDENT</w:t>
        <w:br/>
        <w:t>Guido Stazi Roberto Rustichelli</w:t>
        <w:br/>
        <w:t>C12630 - CONAD NORD OVEST-GD/BRANCH OF BENNET</w:t>
        <w:br/>
        <w:t>Provision No. 31207</w:t>
        <w:br/>
        <w:t>THE AUTHORITY FOR COMPETITION AND THE MARKET</w:t>
        <w:br/>
        <w:t>IN ITS MEETING of May 21, 2024;</w:t>
        <w:br/>
        <w:t>HEARD the Rapporteur, Saverio Valentino;</w:t>
        <w:br/>
        <w:t>VIEWED Regulation (EC) No. 139/2004;</w:t>
        <w:br/>
        <w:t>VIEWED Law No. 287 of October 10, 1990;</w:t>
        <w:br/>
        <w:t>VIEWED Presidential Decree No. 217 of April 30, 1998;</w:t>
        <w:br/>
        <w:t>VIEWED the communication from Conad Nord Ovest Società Cooperativa and D.G. S.r.l, received on April 29, 2024;</w:t>
        <w:br/>
        <w:t>VIEWED the documentation on file;</w:t>
        <w:br/>
        <w:t>CONSIDERED the following:</w:t>
        <w:br/>
        <w:t>I. THE PARTIES</w:t>
        <w:br/>
        <w:t>1. Conad Nord Ovest Società Cooperativa (hereinafter “Conad NO”) is the company resulting from the merger, which took place in 2019, between the cooperatives Nordiconad Soc. Coop. and Conad del Tirreno Soc. Coop. and is one of the 5 cooperatives belonging to the National Consortium of Retailers CONAD S.c.a.r.l. (hereinafter “CONAD”). The company operates in the distribution of food and non-food products of mass consumption through a network of about 600 sales points in the large-scale distribution sector, both direct and associated, marked by Conad signs. In particular, based on the existing geographical distribution scheme within the Conad system, Conad NO operates in the following areas: Aosta Valley, Piedmont, Lombardy (province of Mantova), Liguria, Emilia-Romagna (provinces of Modena, Bologna, and Ferrara), Tuscany, Lazio (provinces of Rome and Viterbo), and Sardinia.</w:t>
        <w:br/>
        <w:t>In 2022, Conad NO achieved a turnover of approximately [2-3]* billion euros in Italy.</w:t>
        <w:br/>
        <w:t>2. The organizational model of the CONAD system is structured on three levels:</w:t>
        <w:br/>
        <w:t>(i) the first level is represented by individual entrepreneurs, members of the cooperatives and owners of the sales points, who conduct the business and manage the sales points in the territory, operating independently and at their own business risk, availing themselves of the supply of goods and services from the individual cooperative. The individual member is therefore, at the same time, a trader, entrepreneur, and cooperator;</w:t>
        <w:br/>
        <w:t>(ii) the second level, in which Conad NO is located, is represented by the cooperatives, members of the national consortium CONAD, which support and coordinate the individual entrepreneurs by providing administrative, commercial, logistical, and financial services;</w:t>
        <w:br/>
        <w:t>(iii) the third level is constituted by the national consortium CONAD, which operates as a purchasing and service center, dealing with strategic planning, marketing, and communication activities.</w:t>
        <w:br/>
        <w:t>* In this version, some data are omitted, as elements of confidentiality or secrecy of the information were deemed to exist.</w:t>
      </w:r>
    </w:p>
    <w:p>
      <w:r>
        <w:rPr>
          <w:b/>
        </w:rPr>
        <w:t>[Pages 58–60]</w:t>
      </w:r>
    </w:p>
    <w:p>
      <w:r>
        <w:t>60 BULLETIN NO. 23 OF JUNE 10, 2024</w:t>
        <w:br/>
        <w:t>for the entire system, as well as the production, promotion, and development of the CONAD brand.</w:t>
        <w:br/>
        <w:t>3. GD S.r.l (hereinafter, GD) is a company belonging to the Conad group specialized in the wholesale and retail trade of food and non-food goods. The total revenue of the company in 2022 was approximately [1-10] million euros in Italy.</w:t>
        <w:br/>
        <w:t>4. The Target business branch of the operation (hereinafter, the Target) consists of a point of sale belonging to the company Bennet S.p.A. (hereinafter, Bennet), specifically a hypermarket located in [omitted]. The total revenue of the target point of sale was approximately [10-35] million euros in 2022.</w:t>
        <w:br/>
        <w:t>II. DESCRIPTION OF THE OPERATION</w:t>
        <w:br/>
        <w:t>5. The operation consists of the acquisition of exclusive control by Conad NO, through its associated and participated company GD, of a point of sale subject to the transfer of a business branch, currently owned by Bennet.</w:t>
        <w:br/>
        <w:t>6. The Parties have also provided for a non-competition agreement under which Bennet commits, for a period of five years from the date of execution of the operation, not to establish or operate, directly or indirectly, new structures in competition with those of Conad NO and GD in the territory of the Municipality where the Point of Sale is located, without prejudice to existing points of sale.</w:t>
        <w:br/>
        <w:t>III. QUALIFICATION OF THE OPERATION</w:t>
        <w:br/>
        <w:t>7. The communicated operation constitutes a concentration, pursuant to Article 5, paragraph 1 letter b), of Law No. 287/1990, as it involves the acquisition of control of part of an enterprise. It falls within the scope of application of Law No. 287/1990,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companies involved was over 567 million euros and the total revenue achieved, in the last financial year at the national level, individually by at least two of the companies involved was over 35 million euros.</w:t>
        <w:br/>
        <w:t>8. In fact, the calculation of the relevant revenue must be made with reference to both the Parties of this transaction and those of transactions that have already occurred in the course of two years between the same subjects. Specifically, reference is made to the operations communicated by Conad NO respectively (i) on March 30, 2023, and assessed by the Authority on June 6, 20231, (ii) on June 16, 2023, and assessed by the Authority on July 11, 20232, and (iii) on October 30, 2023, and assessed by the Authority on November 21, 20233. This is due to the need to consider the four operations collectively, resulting in the aggregation of the revenue values of the business branches subject to the operations themselves and exceeding the thresholds indicated in the national legislative provision4.</w:t>
        <w:br/>
        <w:t>9. The above-mentioned non-competition agreement can be qualified as directly connected and necessary for the realization of the concentration operation in question, as it is functional to the protection of the initial investment of Conad NO and GD and the value of the transferred enterprise, provided that it is geographically limited to the area of activity of the acquired enterprise, product-wise to the products and services subject to the economic activity of the acquired enterprise, and temporally to a period of two years, due to the object of the transfer of the operation which, in this case, is limited to the goodwill of the business, not including the transfer of any specific know-how5.</w:t>
        <w:br/>
        <w:t>IV. EVALUATION OF THE OPERATION</w:t>
        <w:br/>
        <w:t>IV. 1 The relevant markets</w:t>
        <w:br/>
        <w:t>IV.1.1 The retail market for food and non-food consumer products</w:t>
        <w:br/>
        <w:t>10. This operation concerns the markets for the retail sale of food and non-food consumer products through GDO points of sale. In this sector, multiple operators operate at the national level, with varied sizes and organizational formulas. In particular, within the GDO, the following types of points of sale are distinguished: hypermarkets, supermarkets, convenience stores, and discount stores.</w:t>
        <w:br/>
        <w:t>11. In the context of the most recent measures related to concentration operations in the GDO sector6, the Authority has, firstly, included points of sale managed under the discount formula in the relevant markets related to the corresponding types of GDO points of sale, namely convenience stores (100-399 sqm), supermarkets (400-2,499 sqm), and hypermarkets (from 2,500 sqm and above), as they are considered by consumers to be a substitutable purchasing option with such other types of GDO points of sale.</w:t>
        <w:br/>
        <w:t>12. Furthermore, with reference to hypermarkets, supermarkets, and convenience stores, the Authority has defined the following distinct product markets:</w:t>
        <w:br/>
        <w:t>i) the market for convenience stores, including all points of sale with a size between 100 and 2,499 sqm (i.e., the same convenience stores, supermarkets, and discount stores with a size below 2,500 sqm);</w:t>
        <w:br/>
        <w:t>ii) the market for supermarkets, including all points of sale with a size from 100 sqm and above (i.e., supermarkets, convenience stores, hypermarkets, and discount stores);</w:t>
        <w:br/>
        <w:t>4 According to the consolidated Communication of the Commission on the criteria for jurisdiction under Regulation (EC) No. 139/2004 of the Council concerning the control of concentrations between enterprises (2008/C 95/01), two or more transactions "concluded between the same persons or enterprises within a period of two years, are to be considered a single concentration realized on the day of the last transaction" regardless of the presence of a conditional link. On this point, see also Council of State, June 4, 2020, ruling No. 3534, case C12207 – Sky Italia/R2.</w:t>
        <w:br/>
        <w:t>5 See Communication from the Commission on restrictions directly connected and necessary to concentration operations (2005/C 56/03) published in the Official Journal of the European Communities on March 5, 2005.</w:t>
        <w:br/>
        <w:t>6 See, among others: C12509 - PAC 2000A/Various Business Branches, decision No. 30500 of February 28, 2023; C12487 – IN’S Mercato/Business Branch DICO, decision No. 30414 of December 13, 2022; C12490 - Fratelli Arena/Two Business Branches of Superisola, decision No. 30337 of October 11, 2022.</w:t>
      </w:r>
    </w:p>
    <w:p>
      <w:r>
        <w:t>62 BULLETIN NO. 23 OF JUNE 10, 2024</w:t>
        <w:br/>
        <w:t>iii) the market for hypermarkets, including all points of sale from 400 sqm and above (i.e., hypermarkets, supermarkets, and discount stores with a size equal to or greater than 400 sqm).</w:t>
        <w:br/>
        <w:t>13. From a geographical perspective, local markets have been defined consisting of isochrone curves centered on the target points of sale, with a width of 10 minutes of driving for the convenience store market and 15 minutes of driving for the supermarket and hypermarket markets.</w:t>
        <w:br/>
        <w:t>14. In this case, the relevant market is therefore that of hypermarkets, meaning that it includes all points of sale larger than 400 sqm located within a maximum 15-minute driving isochrone from the point of sale subject to acquisition.</w:t>
        <w:br/>
        <w:t>IV.1.2 The markets for the supply of food and non-food consumer products</w:t>
        <w:br/>
        <w:t>15. The supply markets pertain to purchases made by GDO chains, which represent the demand side, directly from producers of consumer goods, both food and non-food, which constitute the supply side, for resale in the modern distribution channel7.</w:t>
        <w:br/>
        <w:t>16. Since the service offered by the GDO to consumers consists of the possibility of purchasing the entire basket of food and non-food products, of mass consumption and daily use, each belonging to a distinct product category, the Authority has previously considered that different supply markets could be identified, distinct by product categories8. Within the GDO's offering, it is also possible to distinguish supply markets based on the brand of the products (e.g., private label or distributor brands, industry brands, unbranded products).</w:t>
        <w:br/>
        <w:t>17. The supply markets generally have a national dimension, with both purchases and related negotiations occurring at the national level. Some categories of fresh products or local specialties, characterized by more limited market sizes, may be exceptions, which are generally excluded from the scope of negotiation of purchasing centers.</w:t>
        <w:br/>
        <w:t>18. Regarding these markets, it is still possible, for the purposes of this decision, to leave the market definition open, since, as will be better illustrated below, the operation does not appear to be likely to significantly impede effective competition in the market.</w:t>
        <w:br/>
        <w:t>IV. 2 The effects of the operation</w:t>
        <w:br/>
        <w:t>19. As mentioned, the Authority has already evaluated the acquisition by Conad NO of certain business branches of the company Bennet S.p.A.9. These operations, being concluded between the same companies within a period of two years, are to be considered a single concentration. However, since the present operation concerns a different and distinct geographical market, the following evaluation will focus solely on this latest acquisition, referring to the decisions of June 6, 2023, July 11, 2023, and November 21, 2023 for the evaluation concerning the other markets.</w:t>
        <w:br/>
        <w:t>7 See, among others, C12247B - BDC Italia-Conad/Auchan, decision No. 28163 of February 25, 2020.</w:t>
        <w:br/>
        <w:t>8 See, among others, I768 - Purchasing center for organized large-scale distribution, decision No. 25090 of September 17, 2014.</w:t>
        <w:br/>
        <w:t>9 See cases C12532 - Nordovest Insieme / Business Branches of Bennet, decision No. 30656 of June 6, 2023; C12548 - Conad Nord Ovest / Business Branch of Bennet, decision No. 30720 of July 11, 2023; and C12580 - Conad Nord Ovest / Business Branch Bennet, decision No. 30885 of November 21, 2023.</w:t>
      </w:r>
    </w:p>
    <w:p>
      <w:r>
        <w:rPr>
          <w:b/>
        </w:rPr>
        <w:t>[Pages 61–63]</w:t>
      </w:r>
    </w:p>
    <w:p>
      <w:r>
        <w:t>BULLETIN NO. 23 OF JUNE 10, 2024 63</w:t>
        <w:br/>
        <w:t>20. With reference to the retail market for food and non-food consumer goods, it is observed that, at the local level, in the market represented by the isochrone built around the point of sale subject to the acquisition, the Target holds a market share of [20-25%], while Conad NO holds a market share of [5-10%]. The new entity post-merger would hold a combined market share of approximately [30-35%].</w:t>
        <w:br/>
        <w:t>21. According to the established practice of the Authority regarding the assessment of concentrations in the organized large-scale retail sector, the quantitative evidence related to the market shares held by the Parties and competitors in the relevant markets has been supplemented with indicators such as the so-called diversion ratio10, an index capable of capturing the actual relationships of substitutability (and mutual competition) between points of sale within the same relevant market, considering a threshold value of 20%11. Below this threshold, unilateral effects of significance can be excluded prima facie, based on the indicators used in the experience and practice of competition authorities at the international level12.</w:t>
        <w:br/>
        <w:t>22. This approach is deemed necessary in local competitive contexts, within which the ability of each point of sale to exert competitive pressure on a specific target point of sale depends on factors such as distance, sales area (which approximates the depth of the range of products offered), or brand, which are difficult to capture through a dimensional analysis of shares.</w:t>
        <w:br/>
        <w:t>23. The analysis highlights that the operation in question is not likely to give rise to significant unilateral effects as the diversion ratio is equal to 4%, well below the considered threshold. Furthermore, it is noted that, in the same local market, numerous qualified competitors operate [omitted].</w:t>
        <w:br/>
        <w:t>24. With reference to the procurement of food and non-food consumer goods, at the national level, based on the data provided by the Parties, the Conad chain holds a market share in the GDO sector of approximately [10-15%], which would increase negligibly as a result of the present operation (also considering the previous acquisitions of the business branches of Bennet). Similarly marginal is the increase in market power determined by the present operation within the Conad-Finiper purchasing center, which currently holds a national market share of approximately [15-20%], lower than that held by the supercentral ESD.</w:t>
        <w:br/>
        <w:t>10 A diversion ratio from one point of sale to another of 20% means that in the event of the closure of the first (or otherwise a change in its commercial policies in terms of price increases and/or quality reduction), out of ten consumers leaving that point of sale, two would go to the other; if the two points of sale fall under the same ownership as a result of a concentration operation, the possibility of internalizing this substitution effect of the point of sale within the same group increases the incentives for the integrating party to raise prices.</w:t>
        <w:br/>
        <w:t>11 See C12247B - BDC Italia-Conad/Auchan, decision no. 28163 of February 25, 2020.</w:t>
        <w:br/>
        <w:t>12 See, for example; Office of Fair Trading, ME/3777/08 Co-operative Group Limited - Somerfield Limited of December 21, 2009; European Commission, Case M.7758-HUTCHISON 3G ITALY / WIND / JV of September 1, 2016. See also European Commission, “Guidelines on the assessment of horizontal mergers under the Council Regulation on the control of concentrations between undertakings” of February 5, 2004 (2004/C 31/03), paragraph 29: “[q]uando sono disponibili dati, il grado di sostituibilità può essere valutato mediante inchieste sulle preferenze dei consumatori, l'analisi dei comportamenti di acquisto, la stima dell'elasticità incrociata rispetto al prezzo dei prodotti di cui trattasi, o coefficienti di dirottamento [ovvero i diversion ratios, n.d.r.].” and OECD – Policy Roundtables 2011: “Economic Evidence in Merger Analysis”.</w:t>
      </w:r>
    </w:p>
    <w:p>
      <w:r>
        <w:t>64 BULLETIN NO. 23 OF JUNE 10, 2024</w:t>
        <w:br/>
        <w:t>25. In light of the above considerations, the concentration in question does not appear to significantly hinder effective competition in the relevant markets and does not lead to the establishment or strengthening of a dominant position.</w:t>
        <w:br/>
        <w:t>CONSIDERING, therefore, that the operation in question does not significantly hinder effective competition in the relevant markets pursuant to Article 6, paragraph 1, of Law No. 287/90 and does not result in the establishment or strengthening of a dominant position;</w:t>
        <w:br/>
        <w:t>CONSIDERING, also, that the non-compete clauses described above can be considered ancillary to the present operation only to the extent indicated above and that the Authority reserves the right to assess, where the conditions exist, the aforementioned clauses that may be realized beyond those limits</w:t>
        <w:br/>
        <w:t>RESOLVES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decision will be published in the Bulletin of the Competition and Market Authority.</w:t>
        <w:br/>
        <w:t>THE SECRETARY GENERAL THE PRESIDENT</w:t>
        <w:br/>
        <w:t>Guido Stazi Roberto Rustichelli</w:t>
      </w:r>
    </w:p>
    <w:p>
      <w:r>
        <w:t>BULLETIN NO. 23 OF JUNE 10, 2024 65</w:t>
        <w:br/>
        <w:t>C12633 - ARCA FONDI SGR/BRAND LABEL-BULGARELLI PRODUCTION-CO.RI</w:t>
        <w:br/>
        <w:t>SACCHETTIFICIO-D’AURIA PACKAGING-VALTENNA</w:t>
        <w:br/>
        <w:t>Decision No. 31208</w:t>
        <w:br/>
        <w:t>THE COMPETITION AND MARKET AUTHORITY</w:t>
        <w:br/>
        <w:t>IN ITS MEETING of May 21, 2024;</w:t>
        <w:br/>
        <w:t>HEARD the Rapporteur, Saverio Valentino;</w:t>
        <w:br/>
        <w:t>HAVING REGARD TO Regulation (EC) No. 139/2004;</w:t>
        <w:br/>
        <w:t>HAVING REGARD TO Law No. 287 of October 10, 1990;</w:t>
        <w:br/>
        <w:t>HAVING REGARD TO Presidential Decree No. 217 of April 30, 1998;</w:t>
        <w:br/>
        <w:t>HAVING REGARD TO the communication from Arca Fondi S.G.R. S.p.A. and from [omitted]1 received on April 30, 2024;</w:t>
        <w:br/>
        <w:t>CONSIDERED the following:</w:t>
        <w:br/>
        <w:t>I. THE PARTIES</w:t>
        <w:br/>
        <w:t>1. Arca Fondi S.G.R. S.p.A. (hereinafter also “Arca”) is an asset management company operating in Italy that, among other things, controls and manages the private equity fund Arca Space Capital. Arca is wholly owned by Arca Holding S.p.A., which is in turn controlled by BPER Banca S.p.A. (“BPER”), with a shareholding of 57%. BPER is a company listed on the Milan Stock Exchange at the head of the eponymous banking group active in the provision of banking, financial, and insurance services and products, with widely held ownership (“BPER Group”).</w:t>
        <w:br/>
        <w:t>In 2023, the BPER Group achieved a consolidated revenue of approximately [7-8] billion euros worldwide, of which [7-8] billion euros in the European Union and [7-8] billion euros in Italy.</w:t>
        <w:br/>
        <w:t>2. Brand Label S.r.l. (hereinafter also “Brand Label”) is a company active in the production and marketing of fabric labels, mainly intended for luxury clothing. Brand Label is currently controlled by Edward Group S.r.l., with a 100% shareholding. The share capital of the latter is wholly owned by [A.P.T.].</w:t>
        <w:br/>
        <w:t>Brand Label generated a revenue of approximately [1-10] million euros worldwide in 2023, of which approximately [1-10] million euros in the European Union and [1-10] million euros in Italy.</w:t>
        <w:br/>
        <w:t>3. Bulgarelli Production S.r.l. (hereinafter also “Bulgarelli”) is a company active in the production and marketing of paper and cardboard labels (i.e., tags) predominantly intended for luxury clothing. Bulgarelli is controlled by DB Capital S.r.l., whose share capital is wholly owned by [D.B.].</w:t>
        <w:br/>
        <w:t>In 2023, the revenue generated by Bulgarelli worldwide was approximately [1-10] million euros, of which [1-10] million euros in the European Union and [1-10] million euros in Italy.</w:t>
        <w:br/>
        <w:t>1 In this version, some data are omitted, as elements of confidentiality or secrecy of the information were deemed to exist.</w:t>
      </w:r>
    </w:p>
    <w:p>
      <w:r>
        <w:rPr>
          <w:b/>
        </w:rPr>
        <w:t>[Pages 64–66]</w:t>
      </w:r>
    </w:p>
    <w:p>
      <w:r>
        <w:t>66 BULLETIN NO. 23 OF JUNE 10, 2024</w:t>
        <w:br/>
        <w:t xml:space="preserve">4. CO.RI Sacchettificio S.r.l. (hereinafter also “CO.RI”) is a company active in the production and marketing of fabric bags for luxury clothing and leather goods. CO.RI is directly and indirectly (through Zamonia Group S.r.l) subject to the joint control of [S.B.] and [C.dS.] (“CO.RI Partners”). In 2023, CO.RI achieved a worldwide turnover of approximately [10-35] million euros, of which approximately [10-35] million euros in the European Union and [10-35] million euros in Italy. </w:t>
        <w:br/>
        <w:t xml:space="preserve">5. D’Auria Packaging S.p.A. (hereinafter also “D’Auria”) is a company primarily active in the marketing of paper shopping bags and, to a lesser extent, bag-in-box for luxury products. D’Auria in turn controls D Print Europe SH.PK, with a 75% stake, a company under Albanian law active in luxury packaging and editorial printing in Albania. D’Auria is exclusively controlled by [C.DA.], through D’Auria Media Group S.r.l., with a 65% stake. D’Auria produced a turnover of approximately [10-35] million euros worldwide in 2023, of which approximately 13.5 million in the European Union and [10-35] million euros in Italy. </w:t>
        <w:br/>
        <w:t xml:space="preserve">6. Valtenna S.r.l. (hereinafter also “Valtenna”) is a company active in the production of paper and cardboard boxes, primarily intended for luxury products. Valtenna holds 100% of the share capital of MVA Packaging SHPK, also active in the production and marketing of paper and cardboard packaging, but exclusively in Albania. Valtenna is jointly controlled by [A.M.], [E.M.], [M.M.], [L.M.], [S.M.] and [T.M.] (“Valtenna Partners”). The turnover achieved worldwide by Valtenna in 2023 was approximately [10-35] million euros, of which approximately [10-35] million euros in the European Union and [10-35] million euros in Italy. </w:t>
        <w:br/>
        <w:t>II. DESCRIPTION OF THE OPERATION</w:t>
        <w:br/>
        <w:t xml:space="preserve">7. The operation in question consists of the acquisition by Arca of exclusive control, through LuxPack, which will acquire 100% of the share capital of each of the aforementioned companies. At the same time, Brand Label, Bulgarelli, CO.RI, D’Auria, and Valtenna will reinvest in LuxPack, whereby they will hold a total share of 32% of the latter's share capital, without any of them holding veto rights that would confer joint control over the Target companies. </w:t>
        <w:br/>
        <w:t>III. QUALIFICATION OF THE OPERATION</w:t>
        <w:br/>
        <w:t xml:space="preserve">8. The notified operation, as it involves the acquisition of control of companies, constitutes a concentration pursuant to Article 5, paragraph 1, letter b), of Law No. 287/1990. It falls within the scope of application of Law No. 287/1990, as the conditions of Article 1 of EC Regulation No. 139/2004 are not met. </w:t>
        <w:br/>
        <w:t>9. This concentration, however, is not subject to the obligation of prior notification provided for by Article 16, paragraphs 1 and 2, of the same law, as there are not at least two companies involved in the operation with individual turnover in Italy exceeding 35 million euros.</w:t>
      </w:r>
    </w:p>
    <w:p>
      <w:r>
        <w:t>BULLETIN NO. 23 OF JUNE 10, 2024 67</w:t>
        <w:br/>
        <w:t xml:space="preserve">THEREFORE CONSIDERED, that the operation is not subject to the obligation of prior notification pursuant to Article 16, paragraph 1, of Law No. 287/1990; </w:t>
        <w:br/>
        <w:t xml:space="preserve">RESOLVES </w:t>
        <w:br/>
        <w:t xml:space="preserve">that there is no need to take action. </w:t>
        <w:br/>
        <w:t xml:space="preserve">The above conclusions will be communicated, pursuant to Article 16, paragraph 4, of Law No. 287/1990, to the companies involved and to the Minister of Enterprises and Made in Italy. </w:t>
        <w:br/>
        <w:t xml:space="preserve">This provision will be published in the Bulletin of the Competition and Market Authority. </w:t>
        <w:br/>
        <w:t xml:space="preserve">THE SECRETARY GENERAL THE PRESIDENT </w:t>
        <w:br/>
        <w:t>Guido Stazi Roberto Rustichelli</w:t>
      </w:r>
    </w:p>
    <w:p>
      <w:r>
        <w:t xml:space="preserve">68 BULLETIN NO. 23 OF JUNE 10, 2024 </w:t>
        <w:br/>
        <w:t xml:space="preserve">C12634 - BCC PAY/BRANCH OF BANK BPM </w:t>
        <w:br/>
        <w:t xml:space="preserve">Provision No. 31209 </w:t>
        <w:br/>
        <w:t xml:space="preserve">THE COMPETITION AND MARKET AUTHORITY </w:t>
        <w:br/>
        <w:t xml:space="preserve">IN ITS MEETING of May 21, 2024; </w:t>
        <w:br/>
        <w:t xml:space="preserve">HEARD the Rapporteur, Professor Elisabetta Iossa; </w:t>
        <w:br/>
        <w:t xml:space="preserve">VIEWED Regulation (EC) No. 139/2004; </w:t>
        <w:br/>
        <w:t xml:space="preserve">VIEWED Law No. 287 of October 10, 1990; </w:t>
        <w:br/>
        <w:t xml:space="preserve">VIEWED the Presidential Decree No. 217 of April 30, 1998; </w:t>
        <w:br/>
        <w:t xml:space="preserve">VIEWED the communication from BCC Pay S.p.A., received on April 30, 2024; </w:t>
        <w:br/>
        <w:t xml:space="preserve">CONSIDERED the following: </w:t>
        <w:br/>
        <w:t xml:space="preserve">I. THE PARTIES </w:t>
        <w:br/>
        <w:t xml:space="preserve">1. BCC Pay S.p.A. (hereinafter “BCC Pay”)1 is an Electronic Money Institution (EMI), authorized and subject to the supervision of the Bank of Italy, active in the payment sector and, in particular, in: (i) merchant acquiring activities (hereinafter also “acquiring”) at the wholesale level, i.e., enabling and managing payments received from commercial merchants (physical or digital) through digital payment systems; (ii) card issuing activities (hereinafter also “issuing”), i.e., issuing payment cards (credit, debit, and prepaid) and authorizing payments and transactions made with them; (iii) card personalization2. Currently, BCC Pay is controlled by Pay Holding S.p.A. (hereinafter “Pay Holding”)3, whose capital is held 60% by FSI Holding S.p.A., which holds exclusive control, and 40% by ICCREA Banca S.p.A. (hereinafter ICCREA). FSI Holding S.p.A. is in turn controlled, through the FSI I fund, by FSI SGR S.p.A. (hereinafter “FSI”). Ultimately, therefore, BCC Pay is indirectly and exclusively controlled by FSI, an Italian asset management company, whose share capital is currently held by Magenta 71 S.r.l., with a controlling stake of 90.1%, and ION Capital Partners Limited, with a stake of 9.9%. Furthermore, FSI has recently acquired exclusive control (in the name and on behalf of the managed investment fund called “FSI II”) of Bancomat S.p.A.. FSI is therefore also active in the payment circuits market4. In 2022, the consolidated turnover achieved by FSI was approximately [567-700]* million euros worldwide, of which approximately [567-700] million in the European Union and approximately [567-700] million in Italy5. </w:t>
        <w:br/>
        <w:t xml:space="preserve">1 As of May 1, 2024, the company name of BCC Pay changes to Numia S.p.A.. </w:t>
        <w:br/>
        <w:t xml:space="preserve">2 See C12599 – FSI SGR / BCC PAY-Branch of BCC Sinergia, provision No. 31058 of February 6, 2024, in Bulletin No. 8/2024. </w:t>
        <w:br/>
        <w:t xml:space="preserve">3 As of May 1, 2024, the company name of Pay Holding S.p.A. changes to Numia Group S.p.A.. </w:t>
        <w:br/>
        <w:t xml:space="preserve">4 See C12579 – FSI SGR / Bancomat, provision No. 31021 of January 10, 2024, in Bulletin No. 4/2024. </w:t>
        <w:br/>
        <w:t xml:space="preserve">* In this version, some data are omitted, as elements of confidentiality or secrecy of the information were deemed to exist. </w:t>
        <w:br/>
        <w:t>5 This turnover also includes the turnover of BCC Pay, entirely generated in Italy.</w:t>
      </w:r>
    </w:p>
    <w:p>
      <w:r>
        <w:rPr>
          <w:b/>
        </w:rPr>
        <w:t>[Pages 67–69]</w:t>
      </w:r>
    </w:p>
    <w:p>
      <w:r>
        <w:t>BULLETIN NO. 23 OF JUNE 10, 2024 69</w:t>
        <w:br/>
        <w:t>2. The subject of acquisition is certain activities in the payment sector of Banco BPM S.p.A. (hereinafter "BBPM Branch"), together with 100% of the share capital of Tecmarket Servizi S.p.A. (hereinafter "Tecmarket Participation"). In particular, the BBPM Branch will include the contractual relationships and some of the assets owned by Banco BPM S.p.A. used for the production activities of payment instruments, including: (i) contracts with customers concerning issuing and acquiring activities; (ii) existing supply contracts with third parties related to issuing services, POS acquiring, and ATM acquiring, as well as IT supply services; (iii) certain tangible assets, IT procedures, and employees currently assigned to some issuing and acquiring activities. Regarding the Tecmarket Participation, the company operates in the procurement sector, in the distribution of POS terminals and technical and/or IT services related to acquiring activities included in the BBPM Branch. In 2022, the revenue generated, entirely in Italy, by the BBPM Branch and the Tecmarket Participation amounted to approximately [100-567] million euros.</w:t>
      </w:r>
    </w:p>
    <w:p>
      <w:r>
        <w:t>II. DESCRIPTION OF THE OPERATION</w:t>
        <w:br/>
        <w:t>3. The communicated operation concerns the acquisition of exclusive control of the BBPM Branch and the Tecmarket Participation (hereinafter collectively also "the Target") by BCC Pay and, therefore, ultimately, by FSI. In particular, based on agreements signed between FSI, FSI Holding S.p.A., Pay Holding, BCC Pay, ICCREA, and Banco BPM S.p.A. (hereinafter "Banco BPM"), as a result of the operation, the capital of BCC Pay will be indirectly held, through Pay Holding, by FSI for 42.86%, by ICCREA for 28.57%, and by Banco BPM for 28.57%. More specifically, FSI will be the only one of the three shareholders to have the majority of votes to make decisions on strategic matters in the Shareholders' Meeting of Pay Holding6, including the appointment of the majority of the members of the Board of Directors of both Pay Holding and BCC Pay, as well as the appointment of the CEO of BCC Pay and the approval of decisions relevant from a strategic point of view, such as the approval of the budget, the strategic plan, and the industrial plan of Pay Holding and BCC Pay. ICCREA and Banco BPM will instead enjoy the typical protections of minority shareholders, essentially limited to the protection of the investment. Therefore, as a result of the operation, BCC Pay will continue to be indirectly controlled by FSI, which will also acquire, through BCC Pay, indirect control of the Target.</w:t>
      </w:r>
    </w:p>
    <w:p>
      <w:r>
        <w:t>4. According to what has been stated by the Parties, the operation also includes a promotion and placement agreement under which BCC Pay will become the exclusive supplier of electronic money products and services of Banco BPM, [omitted].</w:t>
      </w:r>
    </w:p>
    <w:p>
      <w:r>
        <w:t>5. According to what has been notified by the Parties, the operation is framed within the strategic path undertaken by BCC Pay following the acquisition of control by FSI, whose objective is to create an additional reference player in the payment sector, both concerning activities related to the issuance and placement of payment cards (issuing) and the acceptance of payments at merchants (acquiring).</w:t>
      </w:r>
    </w:p>
    <w:p>
      <w:r>
        <w:t>6 Indeed, [omitted].</w:t>
      </w:r>
    </w:p>
    <w:p>
      <w:r>
        <w:t>70 BULLETIN NO. 23 OF JUNE 10, 2024</w:t>
        <w:br/>
        <w:t>III. QUALIFICATION OF THE OPERATION</w:t>
        <w:br/>
        <w:t>6. The communicated operation, as it involves the acquisition of control of a business branch,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567 million euros and the total revenue generated, in the last financial year at the national level, individually by at least two of them exceeded 35 million euros7.</w:t>
      </w:r>
    </w:p>
    <w:p>
      <w:r>
        <w:t>7. With reference to the promotion and placement agreement between BCC Pay and Banco BPM, it is considered that it cannot be regarded as an integral part of the operation nor as an ancillary restriction, as it contains an exclusivity constraint, [omitted], as clarified in point 34 of the Commission's Communication on restrictions directly related and necessary to concentrations, "obligations that involve unlimited quantities or exclusivity or that confer a status of privileged supplier or buyer are not necessary for the realization of the concentration"8.</w:t>
      </w:r>
    </w:p>
    <w:p>
      <w:r>
        <w:t>IV. ASSESSMENT OF THE CONCENTRATION</w:t>
        <w:br/>
        <w:t>a) The relevant markets</w:t>
        <w:br/>
        <w:t>8. Due to the activities carried out by the Parties, the operation in question concerns, from a commodity perspective, the market for wholesale merchant acquiring and the supply of POS and related services, the market for payment card issuing services (issuing), as well as the vertically integrated markets for the production and personalization of smart payment cards and the debit card circuit9.</w:t>
      </w:r>
    </w:p>
    <w:p>
      <w:r>
        <w:t>a.1) Wholesale merchant acquiring services</w:t>
        <w:br/>
        <w:t>9. Merchant acquiring services consist of a series of activities aimed at enabling merchants to accept payments by card, both at traditional points of sale and online, and to ensure the subsequent receipt of money related to such transactions. These services mainly include: (a) the marketing of necessary and ancillary products and services for the acceptance of payments, in order to allow merchants to accept as many payment methods as possible; (b) the contracting of merchants and the provision of the technical infrastructure (hardware/software – POS terminals) for the acceptance of payments and the acquisition of transaction data; (c) the verification of the merchant's suitability to join the payment circuit and the management of the relationship with the circuits themselves; (d) the performance of any activity necessary to compensate and settle the transfer of money to the issuer that issued the payment card (so-called interchange fee), to the payment circuit through whose network the transaction was directed (so-called scheme fee), and to the merchant concerning the executed transaction, net of the various fees due to the merchant acquirer; (e) the provision of other various and/or ancillary services related to merchant acquiring. The services listed are provided to merchants by banks or Payment Service Providers - PSPs; banks, in turn, can self-produce these services or purchase them wholesale from PSPs.</w:t>
      </w:r>
    </w:p>
    <w:p>
      <w:r>
        <w:t>10. Regarding the identification of the relevant markets related to the aforementioned activity, the Authority in its precedents has identified the following markets10: (i) the market for wholesale merchant acquiring, having a supranational geographical dimension, whose demand is represented by banks that purchase services from PSPs to then resell them to merchants, possibly in combination with other products and services (for example, processing services, terminal management, and POS supply); (ii) the market for retail merchant acquiring, having a national geographical dimension, whose demand is represented by merchants who purchase merchant acquiring services from banks or directly from PSPs (usually in combination with POS), so as to allow their customers to make payments by card.</w:t>
      </w:r>
    </w:p>
    <w:p>
      <w:r>
        <w:t>11. That said, for the purposes of the operation, the Parties represent that BCC Pay is exclusively active in the supranational market for wholesale merchant acquiring. Banco BPM, on the other hand, is not active in this market, as it limits itself to performing in-house the services necessary for its activities at the wholesale level (operating only at the retail merchant acquiring level); however, following the operation in question, the Parties highlight that the volumes of the BBPM Branch and the Tecmarket Participation will be outsourced to BCC Pay.</w:t>
      </w:r>
    </w:p>
    <w:p>
      <w:r>
        <w:t>a.2) Payment card issuing services</w:t>
        <w:br/>
        <w:t>12. The market for payment card issuing services (classifiable as debit, including prepaid, and credit) refers to the activity of issuing, consisting of a set of services aimed at providing such cards to end customers (i.e. cardholders). In particular, the activity of issuing cards mainly includes offering the card to the end customer, defining the characteristics of the card and the related economic conditions (amount of the annual fee, fees for cash advance service, statement sending fees, and other fees), credit assessment of the customer, contracting with the customer, managing relationships with the circuits, customer service and marketing activities, and managing credit risk and fraud. Within this market, distinct markets can be identified based on the type of card, thus credit card and debit card (including prepaid).</w:t>
      </w:r>
    </w:p>
    <w:p>
      <w:r>
        <w:t>The Parties are active in both issuing credit cards and debit cards.</w:t>
      </w:r>
    </w:p>
    <w:p>
      <w:r>
        <w:t>13. From a geographical perspective, in line with the Authority's precedents11, payment card issuing services appear to have a national dimension, as the issuing conditions are sufficiently uniform within the same country; conversely,</w:t>
      </w:r>
    </w:p>
    <w:p>
      <w:r>
        <w:rPr>
          <w:b/>
        </w:rPr>
        <w:t>[Pages 70–72]</w:t>
      </w:r>
    </w:p>
    <w:p>
      <w:r>
        <w:t>BULLETIN NO. 23 OF JUNE 10, 2024</w:t>
      </w:r>
    </w:p>
    <w:p>
      <w:r>
        <w:t>72</w:t>
        <w:br/>
        <w:t>there are differences in the conduct of activities among various European countries, at the level of active operators, in terms of the use of national licenses and economic conditions.</w:t>
        <w:br/>
        <w:t>a.3) Payment circuits</w:t>
        <w:br/>
        <w:t>14. Based on established national and community practices, the activity carried out by payment circuits can be defined as the provision of services related to the operation of payment circuits. In particular, the operators of these payment systems compete with each other in order to incentivize financial companies, issuers of payment cards, and merchants' acquirers to participate in their circuit and to use their system. To this end, the circuits define the technical standards and common rules necessary for their operation, such as the rules governing the management of authorizations and the processing of transactions completed on their network. Access to the circuits is granted to all those who comply with the current sector regulations; all the rules of the circuit are accepted and applied, through standardized licensing contracts, by the licensees operating as issuers (card issuers) and/or acquirers (merchants' acquirers) for the circuit itself.</w:t>
        <w:br/>
        <w:t>15. The circuits are also owners of the brands that distinguish them. The use of the services provided through the circuit occurs for a fee (i.e., through the payment of scheme fees). Within the activities carried out by payment circuits, distinct markets can be identified based on the type of card, and thus, credit card and debit card.</w:t>
        <w:br/>
        <w:t>16. From a geographical perspective, in light of national and community practices, the size of such markets can be confined to the national territory, as the methods of offering appear sufficiently uniform within the same; conversely, there remain differences at the level of active operators, methods of using national licenses, and economic conditions among various countries that exclude a relevant geographical scope broader than the national one. It should be noted, in particular, that in some countries there are circuits active only at the national level, such as Bancomat, which is present only in Italy, or Cartes Bancaires, which is active only in France.</w:t>
        <w:br/>
        <w:t>a.4) The production and personalization of smart payment cards</w:t>
        <w:br/>
        <w:t>17. Regarding the production and personalization of smart payment cards, it should be noted that the production of such cards consists of two phases: the first concerns the manufacturing of the card itself, i.e., the plastic and the chip, while the second, which mainly refers to the activities of BCC Pay, is focused on the personalization of the smart payment card, namely the addition of the holder's details both on the card (name, card number, expiration date) and within the chip (name, account number, PIN, and account details), as well as the shipping of the card to the holder's residence or to the issuing bank. The personalization of the cards is therefore accessory to their production: in fact, the main producers, along with the supply of smart payment cards, usually also provide personalization services, although there are also operators specialized solely in personalization.</w:t>
        <w:br/>
        <w:t>In this specific case, the supply of smart payment cards constitutes an input for the issuing services in which BCC Pay and Target are active.</w:t>
        <w:br/>
        <w:t>18. The services of production and personalization of smart payment cards have not yet been the subject of a detailed analysis and definition by the Authority; instead, they have been addressed by the European Commission, which first considered that there is a difference between the supply of payment cards and the supply of other types of cards (e.g., SIM cards); regarding other possible segmentations, the Commission has left the definition of the market open. Only in its most recent practice, the Commission has highlighted the presence of some elements in favor of a distinction between the production and supply of non-personalized cards and personalized cards. In relation to the present operation, from a mercantile perspective, there are no unequivocal elements that favor a single market definition for the two services or a distinct one; the mercantile definition of the market can therefore be left open.</w:t>
        <w:br/>
        <w:t>19. As for the geographical dimension, the Commission has not reached a precise definition of the size of the market in question. However, the Authority, in its most recent case law, has leaned towards attributing a supranational dimension to the market, since there are no regulatory or technological barriers preventing operators from sourcing from suppliers not resident in Italian territory and that the main suppliers of such services, who do not reside in Italy, operate at the European level offering their services also to Italian acquirers.</w:t>
        <w:br/>
        <w:t>b) Effects of the operation</w:t>
        <w:br/>
        <w:t>20. The communicated operation, based on the data and information provided by the Parties, does not appear to be suitable to determine distortive effects on competition.</w:t>
        <w:br/>
        <w:t>21. In particular, regarding the supranational market for wholesale merchant acquiring services and the provision of POS and related services, the share held by BCC Pay is [1-5%] and the volumes of Target that will be transferred at the wholesale level to BCC Pay are [1-5%] (data referring to the year 2022); therefore, the positioning of the post-merger entity will be negligible, equal to [1-5%]. The market has numerous and qualified competitors, also active at the international level, such as Crédit Mutuel (with a share estimated by the Parties of 25-30%), Global Payment/TSYS (10-15%), and Nexi (5-10%).</w:t>
        <w:br/>
        <w:t>22. With reference to the market for payment card issuing services, BCC Pay is active in issuing debit and credit cards with a very limited national share, equal in 2022 to [1-5%] and [5-10%] respectively; given the almost identical positioning of Target, equal to [1-5%] for debit cards and [5-10%] for credit cards, the joint market share will be contained, equal to [5-10%] in the issuance of debit cards and [10-15%] in that of credit cards. In both markets, there are numerous and qualified competitors, such as Intesa Sanpaolo (with a share estimated by the Parties of 10-15%), Unicredit (5-10%), and Poste Italiane (30-35%) for debit and prepaid cards, and Nexi (with an estimated share of 15-20%), Intesa Sanpaolo (10-15%), and Unicredit (5-10%).</w:t>
        <w:br/>
        <w:t>23. Therefore, there are no horizontal overlaps likely to create antitrust concerns.</w:t>
        <w:br/>
        <w:t>24. Regarding the possible vertical effects arising from the operation, the following observations are made. First, it is important to emphasize that Bancomat and BCC Pay are in a vertical relationship, as BCC Pay benefits, as a customer, from the services of the debit card circuit managed by Bancomat. In particular, Bancomat is active upstream, as a domestic debit payment scheme, and contracts with issuers downstream, such as banks or PSPs (such as Nexi and Worldline), which issue payment cards - in this case debit and prepaid cards, which use the Bancomat circuit - often in co-badged mode with other international circuits (such as Mastercard or Visa). Regarding the acceptance of payments, Bancomat must have commercial relationships with acquirers, which allow merchants to accept card payments at their points of sale (through physical POS terminals) or online (through virtual POS). Therefore, there are vertical links between the markets of wholesale merchant acquiring and issuing, on one side, and the market of debit card circuits on the other.</w:t>
        <w:br/>
        <w:t>25. In this regard, it is noted on one hand that the shares attributable to the year 2022 of BCC Pay in the national market for issuing debit cards and in the supranational market for wholesale merchant acquiring are very limited and remain so even downstream of the operation, as described above. In these markets, numerous and qualified competitors are also active. The operation does not therefore appear to raise any concerns regarding the possible exclusion of customers. On the other hand, as highlighted by the Authority regarding the recent assessment of case C12579 – FSI SGR / Bancomat, it is important to consider that Bancomat and FSI (as the parent company of Bancomat) do not currently appear to have either the incentive or the ability to alter market dynamics by imposing limitations on the conditions of service offerings provided to BCC Pay's competitors. In fact, considering that the primary incentive of a circuit is to expand its reach as much as possible on both the "issuing" and "acquiring" sides, any potential limitation of supplies by Bancomat to BCC Pay's competitors appears</w:t>
      </w:r>
    </w:p>
    <w:p>
      <w:r>
        <w:rPr>
          <w:b/>
        </w:rPr>
        <w:t>[Pages 73–75]</w:t>
      </w:r>
    </w:p>
    <w:p>
      <w:r>
        <w:t>BULLETIN NO. 23 OF JUNE 10, 2024 75</w:t>
        <w:br/>
        <w:t>contrary to the very interests of the circuit. Furthermore, given the limited positioning of BCC Pay in the debit card issuing markets and wholesale merchant acquiring, it does not appear economically rational for Bancomat to pursue industrial strategies that discriminate against its own and most important clients in favor of BCC Pay.</w:t>
        <w:br/>
        <w:t>26. Secondly, there is a vertical link between issuing services and card personalization services, where the supply and personalization of cards can effectively constitute an input for issuing services. Given that BCC Pay's market share in issuing downstream of the operation will remain limited, in any case below 15%, and considering the negligible share of BCC Pay in the production of smart cards (customized and non-customized), both at the supranational and national levels (below 1% and 5%, respectively), no competitive concerns are identified from the perspective of possible vertical effects between the markets under examination.</w:t>
        <w:br/>
        <w:t>27. For these reasons, based on the information communicated, there are currently no vertical effects arising from the operation in question that would allow FSI to alter market dynamics.</w:t>
        <w:br/>
        <w:t>28. In light of the above considerations, the operation in question does not appear overall likely to produce harmful effects on competition, as it does not result in substantial changes in the affected markets.</w:t>
        <w:br/>
        <w:t>CONSIDERING, therefore, that the operation in question does not significantly impede effective competition in the affected markets, pursuant to Article 6, paragraph 1, of Law No. 287/1990, and does not lead to the establishment or strengthening of a dominant position;</w:t>
        <w:br/>
        <w:t>CONSIDERING, furthermore, that the promotion and placement agreement mentioned above cannot be considered an integral part of this operation nor accessory to it, and that the Authority reserves the right to evaluate it, should the conditions exist;</w:t>
        <w:br/>
        <w:t>RESOLVES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The measure will be published in the Bulletin of the Competition and Market Authority.</w:t>
        <w:br/>
        <w:t>THE SECRETARY GENERAL THE PRESIDENT</w:t>
        <w:br/>
        <w:t>Guido Stazi Roberto Rustichelli</w:t>
      </w:r>
    </w:p>
    <w:p>
      <w:r>
        <w:t>76 BULLETIN NO. 23 OF JUNE 10, 2024</w:t>
        <w:br/>
        <w:t>REPORTING AND CONSULTATIVE ACTIVITIES</w:t>
        <w:br/>
        <w:t>AS1978 - MUNICIPALITY OF GAETA (LT) - EXTENSION OF MARITIME STATE PROPERTY CONCESSIONS FOR TOURIST-RECREATIONAL PURPOSES</w:t>
        <w:br/>
        <w:t>Rome, March 8, 2024</w:t>
        <w:br/>
        <w:t>Municipality of Gaeta</w:t>
        <w:br/>
        <w:t>The Competition and Market Authority, in its meeting of March 5, 2024, resolved to express its opinion, pursuant to Article 21-bis of Law No. 287 of October 10, 1990, regarding the Resolution of the Giunta of the Municipality of Gaeta of December 21, 2023, No. 250, concerning "Resolution of the Municipal Council No. 179 of September 25, 2023. Extension of the deadline for tourist-recreational state property concessions to December 31, 2024. Update," transmitted with a report received on January 8, 2024.</w:t>
        <w:br/>
        <w:t>With the aforementioned Resolution, the Municipality has postponed to December 31, 2024, the deadline for tourist-recreational state property concessions expiring on December 31, 2023, in application of Article 3 of Law No. 118/2022. To this end, in the reasoning part of the resolution in question, the Municipality of Gaeta acknowledges the objective uncertainty caused by judicial rulings and the regulatory framework, the lack of objective criteria for the regulation of any selective procedures in application of Directive 2006/123/EC (the so-called "Services Directive"), and the non-scarcity of the resource.</w:t>
        <w:br/>
        <w:t>In this regard, the Authority intends to make the following considerations regarding various profiles of competitive criticality arising from Resolution No. 250/2023.</w:t>
        <w:br/>
        <w:t>Preliminarily, the Authority deems it necessary to recall its numerous interventions regarding maritime state property concessions for tourist-recreational purposes, aimed at censuring both the unjustified extensions of existing concessions and the provisions contained in the selective procedures initiated for the assignment of new concessions that could prejudice proper competitive comparison.</w:t>
        <w:br/>
        <w:t>With specific reference to extensions, the Authority has repeatedly emphasized that the continuous recourse to this instrument violates competition principles to the extent that it prevents comparison</w:t>
        <w:br/>
        <w:t>1 The Authority also signals to the legislator since 2018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an adequate remuneration of the asset, such as to allow the transfer of a greater part of the rent to the community (see AS1550 – Concessions and competitive criticalities, in Bulletin No. 48/2018).</w:t>
      </w:r>
    </w:p>
    <w:p>
      <w:r>
        <w:t>BULLETIN NO. 23 OF JUNE 10, 2024 77</w:t>
        <w:br/>
        <w:t>competitive for the market that should be ensured during the awarding of services affecting scarce public resources, and favors the distortive effects connected to unjustified position rents attributed to concessionaires.2 During the biennium 2020-2021,3 in particular, the Authority invited multiple municipal administrations to disapply the national legislation underlying the determinations to extend maritime state property concessions for tourist-recreational purposes due to their conflict with Articles 49 and 56 TFEU4 and with Article 12 of the Services Directive.5 As is well known, Member States are required to comply with EU principles and provisions, and where national legislation conflicts with EU law, its disapplication is imposed.</w:t>
        <w:br/>
        <w:t>Given the above, in this specific case, the Authority believes that the extension in favor of the previous concessionaires, ordered by the Municipality of Gaeta with Resolution No. 250/2023, violates the aforementioned norms, as it evades the expiration on December 31, 2023, of the transitional period indicated by the Plenary Assembly of the Council of State and is, therefore, aimed at preventing or, in any case, delaying the application of EU law and the opening to competition of the market for maritime state property concessions, thus preventing the benefits that would arise from awarding through public evidence procedures.</w:t>
        <w:br/>
        <w:t>It is worth noting that, in the twin judgments of 2021, the Plenary Assembly of the Council of State7 stated that, beyond December 31, 2023, existing state property concessions "even in</w:t>
        <w:br/>
        <w:t>2 See AS1730 – Proposals for competitive reform for the annual law on the market and competition for the year 2021, in Bulletin No. 13/2021.</w:t>
        <w:br/>
        <w:t>3 See, among others, the cases AS1701 – Municipality of Piombino (LI) – Maritime state property concessions for tourist-recreational purposes, in Bulletin No. 41/2020; AS1729 – Municipality of Ginosa (TA) – Extension of maritime state property concessions for tourist-recreational purposes, in Bulletin No. 13/2021. See also the reports adopted regarding, among others, the cases AS1725 – Municipality of Reggio Calabria – Extension of maritime state property concessions for tourist-recreational purposes, in Bulletin No. 12/2021; AS1799 – Autonomous Region of Sardinia – Extension of maritime state property concessions for tourist-recreational purposes, in Bulletin No. 43/2021.</w:t>
        <w:br/>
        <w:t>4 Articles 49 and 56 TFEU impose on Member States the abolition of unjustified restrictions on the freedom of establishment and the free provision of services, that is, all measures that prohibit, hinder, or are otherwise capable of compressing the exercise of such freedoms.</w:t>
        <w:br/>
        <w:t>5 Article 12 of the Services Directive provides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an adequate limited duration and cannot provide for automatic renewal procedures nor grant other advantages to the outgoing provider or to persons who have particular ties with that provider" (paragraph 2).</w:t>
        <w:br/>
        <w:t>6 Lastly, precisely regarding the extensions of maritime state property concessions in the Municipality of Ginosa, the Court of Justice of the EU, in its judgment of April 20, 2023, stated: (i) the immediately enforceable nature of Article 12 of the Services Directive, as both the obligation for Member States to apply an impartial and transparent selection procedure among potential candidates (points 66-67) and the prohibition of automatically renewing an authorization granted for a given activity (points 68-69) are stated unconditionally and with sufficient precision; (ii) the obligation not only for the judge but also for state administrations, including municipal ones, to disapply national legislation that conflicts with that of the Union (points 73).</w:t>
        <w:br/>
        <w:t>7 It is recalled that the incompatibility with EU law of the extension without competitive comparison of maritime state property concessions for tourist-recreational purposes was addressed by the Plenary Assembly of the Council of State in the noted judgments No. 17 and No. 18 of November 9, 2021. With the judgment of November 23, 2023, No. 32559, the Supreme Court in Joint Sections annulled with referral to the Council of State the judgment of the Plenary Assembly No. 18/2021 for denial or refusal of jurisdiction, which is subject to review by the Joint Sections pursuant to Article 111, paragraph 8, of the Constitution. Specifically, ruling exclusively on one of the grounds of appeal proposed by the appellants, the Joint Sections stated that the contested judgment, in the part where it rejected the requests for intervention of the appellants for cassation, has abstractly denied the appellants the standing to intervene in the proceedings, without a specific and concrete assessment.</w:t>
      </w:r>
    </w:p>
    <w:p>
      <w:r>
        <w:rPr>
          <w:b/>
        </w:rPr>
        <w:t>[Pages 76–78]</w:t>
      </w:r>
    </w:p>
    <w:p>
      <w:r>
        <w:t>78 BULLETIN NO. 23 OF JUNE 10, 2024</w:t>
        <w:br/>
        <w:t xml:space="preserve">absence of a legislative framework, […] will cease to have effect, despite any potential further legislative extension that may intervene in the meantime, which would be considered ineffective because it conflicts with the norms of the EU legal order,” and, therefore, is disapplied by the administrative judge and any administrative body. More recently, the Council of State has affirmed the “direct conflict” of the new provision contained in Article 10-quater, paragraph 3, of the decree-law of December 29, 2022, no. 198, converted into law on February 24, 2023, no. 14, with Article 12 of the Services Directive8 and clarified that the principles established by the ruling of the Plenary Assembly no. 17/2021 are fully applicable and binding, with the consequence that national rules that have provided or that may provide in the future for the automatic extension of maritime state property concessions are in conflict with Article 49 TFEU and with Article 12 of the Services Directive and must not be applied by judges or public administration9. It is emphasized, therefore, that both the national and European judges have affirmed the obligation to proceed with public procurement procedures for the granting of maritime state property concessions for tourist-recreational purposes, in application of the general principles for the protection of competition expressed by Article 49 TFEU and by Article 12, paragraphs 1 and 2, of the Services Directive. Additionally, the arguments indicated in Resolution no. 250/2023 in support of the deferral/extension of the concessions are unfounded. First of all, the Authority believes that the absence of internal legislation reorganizing the matter does not impact the public procurement procedures that the Municipality is required to carry out or the methods of preparing the tenders. This is because the principles that must inspire the conduct of the tenders and the criteria to be used in preparing the tender notices have been specifically indicated by the Council of State in 2021, deriving them from Article 12 of the Services Directive. The absence of a comprehensive national legislative framework cannot, therefore, translate into a legitimate reason supporting the extension of the duration of the concessions, also considering the fact that the legislative delegation provided for in Article 4 of Law no. 118/2022 has expired without being exercised. Secondly, the reference to the non-scarcity of the resource does not appear to be decisive. As recalled by the Plenary Assembly of the Council of State, the Authority believes that the concept of scarcity should be interpreted in relative terms and not absolute, taking into account not only the “quantity” of the available good but also its qualitative aspects and, consequently, the demand that it is capable of generating from other potential competitors. In any case, assuming hypothetically the absence of the requirement of resource scarcity,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Promoimpresa10. As also recalled by the Council of State, the national coastal heritage is certainly of cross-border interest (due to its configuration, geographical location, climatic conditions, and tourist vocation), thus exercising an undeniable attraction towards businesses from other Member States. In light of the above, the Authority believes that the Municipality of Gaeta should have disapplied the national legislation underlying the Resolution of the Municipal Council of December 21, 2023, no. 250, due to its conflict with the principles and the EU legal framework mentioned and proceed with the conduct of tender procedures that respect the principles of fairness, transparency, and non-discrimination. The provisions relating to the deferral of the deadlines for maritime state property concessions for tourist-recreational purposes contained in this resolution indeed constitute specific violations of competitive principles to the extent that they prevent the competitive comparison that should be guaranteed in the awarding of services affecting scarce public resources, in a market context where competitive dynamics are already particularly weakened due to the long duration of the currently existing concessions. In conclusion, the municipal resolution in question is in conflict with Article 49 TFEU, as it unjustifiably limits the freedom of establishment and the free movement of services in the internal market, as well as with the EU legal provisions regarding public procurement, with particular reference to Article 12 of the Services Directive. Pursuant to Article 21-bis, paragraph 2, of Law no. 287/1990, the Municipality of Gaeta must communicate to the Authority, within sixty days from the receipt of this opinion, the initiatives taken to remove the aforementioned competition violations. If within the aforementioned period such initiatives do not prove to be compliant with the competitive principles expressed above, the Authority may file an appeal within the following thirty days. </w:t>
        <w:br/>
        <w:t xml:space="preserve">THE PRESIDENT </w:t>
        <w:br/>
        <w:t xml:space="preserve">Roberto Rustichelli </w:t>
        <w:br/>
        <w:t xml:space="preserve">_________________________________________________________________________ </w:t>
        <w:br/>
        <w:t>10 Court of Justice EU, July 14, 2016, Promoimpresa, joined cases C-458/14 and C-67/15, ECLI:EU:C:2016:558.</w:t>
      </w:r>
    </w:p>
    <w:p>
      <w:r>
        <w:t xml:space="preserve">80 BULLETIN NO. 23 OF JUNE 10, 2024 </w:t>
        <w:br/>
        <w:t xml:space="preserve">Communication regarding the non-compliance of the Municipality of Gaeta with the reasoned opinion expressed by the Authority pursuant to Article 21-bis of Law no. 287/1990, relating to the Resolution of the Municipal Council of December 21, 2023, no. 250, concerning “Resolution of the Municipal Council no. 179 of September 25, 2023. Deferral of the deadline for tourist-recreational state property concessions to December 31, 2024. Update” </w:t>
        <w:br/>
        <w:t>The Authority, on March 5, 2024, resolved to issue a reasoned opinion to the Municipality of Gaeta, pursuant to Article 21-bis of Law no. 287/1990, regarding the Resolution of the Council of December 21, 2023, no. 250, concerning “Resolution of the Municipal Council no. 179 of September 25, 2023. Deferral of the deadline for tourist-recreational state property concessions to December 31, 2024. Update,” transmitted with a report to the Authority on January 8, 2024. In its opinion, the Authority believed that the Municipality of Gaeta should have disapplied the national legislation underlying the Resolution of the Municipal Council of December 21, 2023, no. 250, due to its conflict with the principles and the EU legal framework of Article 49 TFEU and Article 12 of Directive 2006/123/EC (the so-called Services Directive) and proceed with the execution of tender procedures that respect the principles of fairness, transparency, and non-discrimination. The provisions relating to the deferral of the deadlines for maritime state property concessions for tourist-recreational purposes contained in this Resolution indeed constitute specific violations of competitive principles to the extent that they prevent the competitive comparison that should be guaranteed in the awarding of services affecting scarce public resources, in a market context where competitive dynamics are already particularly weakened due to the long duration of the currently existing concessions. The Municipality of Gaeta, in a communication dated May 3, 2024, reiterated the legitimacy of the measure subject to the reasoned opinion, disagreeing with and contesting what was stated in the aforementioned opinion. Therefore, noting the non-compliance of the municipal administration with the aforementioned reasoned opinion, the Antitrust Authority, in its meeting of May 21, 2024, decided to appeal, before the Regional Administrative Court for Lazio - Latina, the Resolution of the Municipal Council of December 21, 2023, no. 250, adopted by the Municipality of Gaeta concerning the extension of maritime state property concessions for tourist-recreational purposes.</w:t>
      </w:r>
    </w:p>
    <w:p>
      <w:r>
        <w:rPr>
          <w:b/>
        </w:rPr>
        <w:t>[Pages 79–81]</w:t>
      </w:r>
    </w:p>
    <w:p>
      <w:r>
        <w:t>BULLETIN NO. 23 OF JUNE 10, 2024 81</w:t>
        <w:br/>
        <w:t>AS1979 - MUNICIPALITY OF TRIESTE - EXTENSION OF STATE PROPERTY CONCESSIONS FOR TOURIST-RECREATIONAL PURPOSES</w:t>
        <w:br/>
        <w:t>Rome, March 28, 2024</w:t>
        <w:br/>
        <w:t>Municipality of Trieste</w:t>
        <w:br/>
        <w:t>The Competition and Market Authority, in its meeting on March 26, 2024, resolved to express its opinion, pursuant to Article 21-bis of Law No. 287 of October 10, 1990, regarding the Resolution of the Giunta of the Municipality of Trieste dated December 11, 2023, No. 615, concerning "State property concessions for tourist-recreational purposes: guidelines. Directive act," transmitted with a report received on February 5, 2024.</w:t>
        <w:br/>
        <w:t>With the aforementioned provision, the Municipality resolved to acknowledge the extension of beach concessions for tourist-recreational and sports purposes "provided for by Article 3 of Law No. 118/2022, amended by Decree-Law No. 198/2022 converted with modifications by Law No. 14/2023, until December 31, 2024, or until December 31, 2025, if there are objective reasons that prevent the conclusion of the selection procedure by December 31, 2024." Furthermore, the Municipality resolved to proceed "in 2024, in compliance with Article 12 of Directive 2006/123/EC (so-called Services Directive), to initiate public evidence procedures in accordance with the principles of impartiality, non-discrimination, equal treatment, maximum participation, transparency, and adequate publicity."</w:t>
        <w:br/>
        <w:t>In this regard, the Authority intends to make the following considerations regarding various competitive critical issues arising from the extension provided by Resolution No. 615/2023.</w:t>
        <w:br/>
        <w:t>Preliminarily, the Authority deems it necessary to recall its numerous interventions regarding state property concessions for tourist-recreational purposes aimed at censuring both the unjustified extensions of existing concessions and the provisions contained in the selection procedures initiated for the assignment of new concessions that could prejudice fair competition.1</w:t>
        <w:br/>
        <w:t>With specific reference to the extensions, the Authority has repeatedly emphasized that the continued recourse to this instrument violates the principles of competition to the extent that it prevents competitive confrontation for the market, which should be ensured during the awarding of services affecting scarce public resources, and favors the distortive effects connected to unjustified position rents attributed to concessionaires.2 During the biennium 2020-2021,3 in particular, the Authority invited multiple municipal administrations to disapply the national legislation underlying the determinations to extend maritime state property concessions for tourist-recreational purposes due to their conflict with Articles 49 and 56 TFEU4 and with Article 12 of Directive 2006/123/EC (so-called "Services Directive").5 As is well known, Member States are required to comply with EU principles and provisions, and where national legislation conflicts with European Union law, its disapplication is required.6</w:t>
        <w:br/>
        <w:t>In 2021, the Authority also intervened to contest the decision to extend the concession related to state property areas pertaining to a tourist port, as it was made in violation of Articles 49 and 56 TFEU and Article 12 of the Services Directive.7</w:t>
        <w:br/>
        <w:t>Having stated the above, in this specific case, the Authority believes that the extension in favor of the previous concessionaires provided by the Municipality of Trieste with Resolution No. 615/2023 violates the aforementioned norms, as it evades the deadline of December 31, 2023, of the transitional period indicated by the Plenary Assembly of the Council of State and, therefore, aims to prevent, or in any case delay, the application of EU legislation and the opening to competition of the market for maritime state property concessions, thus preventing the benefits that would arise from awarding through public evidence procedures. Additionally, the arguments indicated in Resolution No. 615/2023 in support of the extension of the concessions are unfounded. It is worth noting that, in the twin judgments of 2021, the Plenary Assembly of the Council of State8 stated that, beyond December 31, 2023, existing state property concessions "also in the absence of legislative regulation, [...] will cease to produce effects, despite any possible further legislative extension that may intervene in the meantime, which would be considered ineffective because it conflicts with EU law" and, therefore, disapplied by the administrative judge and any administrative body.</w:t>
        <w:br/>
        <w:t>More recently, the Council of State affirmed the "direct conflict" of the new provision contained in Article 10-quater, paragraph 3, of Decree-Law No. 198 of December 29, 2022, converted into Law No. 14 of February 24, 2023, with Article 12 of the Services Directive9 and clarified that the principles established by the judgment of the Plenary Assembly No. 17/2021 are fully applicable and binding, with the consequence that national rules that have provided or that may provide in the future for the automatic extension of maritime state property concessions are in conflict with Article 49 TFEU and Article 12 of the Services Directive and must not be applied by judges or public administration.10</w:t>
        <w:br/>
        <w:t>It is emphasized, therefore, that both the national and European judges have affirmed the obligation to proceed with public evidence procedures for the granting of maritime state property concessions for tourist-recreational purposes, in application of the general principles protecting competition expressed by Article 49 TFEU and Article 12, paragraphs 1 and 2, of the Services Directive.</w:t>
        <w:br/>
        <w:t>Furthermore, the Authority believes that, even in the absence of internal legislation reorganizing the matter, the principles that should guide the conduct of tenders and the criteria to be used in preparing the tender notices have been precisely indicated by the Council of State in 2021, deriving them from Article 12 of the Services Directive. The absence of a comprehensive national legislative framework cannot, therefore, translate into a legitimate reason supporting the extension of the duration of the concessions, also considering that the legislative delegation provided for in Article 4 of Law No. 118/2022 has expired without being exercised.</w:t>
      </w:r>
    </w:p>
    <w:p>
      <w:r>
        <w:rPr>
          <w:b/>
        </w:rPr>
        <w:t>[Pages 82–84]</w:t>
      </w:r>
    </w:p>
    <w:p>
      <w:r>
        <w:t>84 BULLETIN NO. 23 OF JUNE 10, 2024</w:t>
        <w:br/>
        <w:t>Therefore, the Municipality of Trieste, rather than resorting to the deferral of concessions, should have proceeded, in implementation of the aforementioned competitive principles, to disapply the national legislation in conflict with EU law and to initiate tender procedures aimed at new awards of expired concessions. Conversely, in this case, not only did the Municipality fail to initiate selective procedures for the assignment of new concessions, but, on the contrary, in the dispositive part of the Resolution, it proposes the possibility of further extending (“until December 31, 2025”) the duration of the existing concessions in light of the provisions of Article 3, paragraph 3, of Law No. 118/2022. In this regard, the Authority deems it necessary to highlight that the provision in question restricts the possibility of further deferring the duration of concessions to entirely exceptional cases related to specific circumstances that prevent the conclusion of the selective procedure. Being a derogatory provision, paragraph 3 of Article 3 can only be interpreted restrictively. For the provision to be applicable, it is therefore necessary that the selective procedure has been initiated and that there are objective reasons preventing the conclusion of the procedure and that are linked to the conduct of the procedure itself. Only in the presence of such circumstances is it legitimate to consider that the expiration date of the concessions can be deferred for the time strictly necessary to conclude the procedure. It follows that this provision cannot be the basis for a generalized extension of all existing concessions in a specific Municipality, especially in cases where no type of selective procedure is initiated by the Municipality. In light of the above, the Authority believes that the Municipality of Trieste should have disapplied the national legislation underlying the Resolution of the Municipal Council of December 11, 2023, No. 615, due to its conflict with the principles and EU regulations mentioned and proceed with the conduct of tender procedures that respect the principles of fairness, transparency, and non-discrimination. The provisions regarding the deferral of the expiration date of maritime state property concessions for tourist-recreational purposes contained in this resolution indeed constitute specific violations of competitive principles to the extent that they prevent the competitive comparison that should be guaranteed in the awarding of services affecting scarce public resources, in a market context where competitive dynamics are already particularly weakened due to the long duration of the currently existing concessions. In conclusion, the municipal resolution in question is in conflict with Article 49 TFEU, as it unjustifiably limits the freedom of establishment and the free movement of services in the internal market, as well as with EU regulatory provisions regarding public procurement, with particular reference to Article 12 of the Services Directive. Pursuant to Article 21-bis, paragraph 2, of Law No. 287/1990, the Municipality of Trieste must communicate to the Authority, within sixty days from the receipt of this opinion, the initiatives taken to remove the competition violations outlined. If within the aforementioned term such initiatives do not comply with the competitive principles expressed above, the Authority may file an appeal within the subsequent thirty days.</w:t>
      </w:r>
    </w:p>
    <w:p>
      <w:r>
        <w:t>THE PRESIDENT</w:t>
        <w:br/>
        <w:t>Roberto Rustichelli</w:t>
        <w:br/>
        <w:t>________________________________________________________________</w:t>
      </w:r>
    </w:p>
    <w:p>
      <w:r>
        <w:t>BULLETIN NO. 23 OF JUNE 10, 2024 85</w:t>
        <w:br/>
        <w:t>Press release regarding the Authority's decision not to appeal pursuant to Article 21-bis of Law No. 287/1990 against the Resolution of the Municipal Council of Trieste of December 11, 2023, No. 615, concerning "State property concessions for tourist-recreational purposes: guidelines. Directive act." The Authority, on March 26, 2024, decided to issue a reasoned opinion to the Municipality of Trieste pursuant to Article 21-bis of Law No. 287/1990, regarding the Resolution of the Municipal Council of December 11, 2023, No. 615, concerning "State property concessions for tourist-recreational purposes: guidelines. Directive act," transmitted to the Authority with a report dated February 5, 2024. In its opinion, the Authority considered that the Municipality of Trieste should have disapplied the national legislation underlying the Resolution of the Municipal Council of December 11, 2023, No. 615, due to its conflict with the principles and EU regulations referred to in Article 49 TFEU and Article 12 of Directive 2006/123/EC (the so-called Services Directive) and proceed with the conduct of tender procedures that respect the principles of fairness, transparency, and non-discrimination. The provisions regarding the deferral of the expiration date of maritime state property concessions for tourist-recreational purposes contained in this Resolution indeed constitute specific violations of competitive principles to the extent that they prevent the competitive comparison that should be guaranteed in the awarding of services affecting scarce public resources, in a market context where competitive dynamics are already particularly weakened due to the long duration of the currently existing concessions. On May 22, 2024, the Municipality of Trieste responded to the reasoned opinion, sending the Resolution of the Municipal Council of May 20, 2024, No. 235, concerning "State property concessions for tourist-recreational purposes: Municipal Resolution No. 615/2023 - guidelines. Opinion of the Authority for Competition and Market and consequent obligations." With this Resolution, in order to comply with the indications expressed by the Authority, the Municipality of Trieste clarifies the "technical" nature of the extension provided by the previous Resolution No. 615/2023, reports on all activities undertaken after the adoption of Resolution No. 615/2023, and states its intention to initiate tender procedures aimed at new awards of concessions. To this end, the new Resolution No. 235/2024 provides a timeline for the conduct of selective procedures to be initiated in 2024 and concluded, with the awarding, by December 15, 2024. The new concessions will take effect from January 1, 2025. Therefore, having noted the initiatives taken by the Municipality of Trieste, in the meeting of June 4, 2024, the Authority decided not to appeal to the Administrative Court for Friuli Venezia Giulia against the measure in question.</w:t>
      </w:r>
    </w:p>
    <w:p>
      <w:r>
        <w:t>86 BULLETIN NO. 23 OF JUNE 10, 2024</w:t>
        <w:br/>
        <w:t>AS1980 – REGION OF APULIA – INTEGRATED WATER SERVICE</w:t>
        <w:br/>
        <w:t>Rome, May 23, 2024</w:t>
        <w:br/>
        <w:t>Minister for Regional Affairs and Autonomies</w:t>
        <w:br/>
        <w:t>The Authority for Competition and Market, in its meeting on May 21, 2024, decided to make the following observations pursuant to Article 22 of Law No. 287 of October 10, 1990, regarding the provisions of the law of the Region of Apulia of March 28, 2024, No. 14, concerning "Provisions for the unified and efficient management of functions related to the Integrated Water Service," published in the Official Bulletin of the Region of Apulia No. 27 on April 2, 2024. Regional Law No. 14/2024 concerns the regulation of incentives for Apulian municipalities for the establishment of "a joint-stock company, called Vehicle Company, with total public participation and joint control by all municipalities within the regional territory, to be exercised independently of participation in the share capital." The declared purpose (Article 1) is to ensure the unified and efficient exercise of municipal functions related to the management of the integrated water service (hereinafter also "SII") within the unique regional territorial area, as well as to create the conditions for the identification, by the Apulian Water Authority in the exercise of its competencies, of the methods for awarding the integrated water service that it deems most appropriate, among those provided for by Legislative Decree No. 201/2022 and Legislative Decree No. 152/2006, containing the Environmental Consolidated Text (hereinafter "TUA"). The Authority believes that the regional law in question presents some competitive issues. In particular, the establishment of the vehicle company participated in and subject to the joint control of the Apulian municipalities, although formally provided "with the aim of creating the conditions for the identification [...] of the methods for awarding the SII" by the governing body, seems rather to respond to the substantial purpose of creating the conditions for the identification of the in-house method of awarding the integrated water service in favor of the same vehicle company and, therefore, of the company Acquedotto Pugliese S.p.A. In this regard, it is necessary to preliminarily recall that - as consistently affirmed by constitutional jurisprudence1 - the regulation concerning the awarding of the integrated water service pertains to the matters of competition protection and environmental protection, reserved for the exclusive legislative competence of the State (pursuant to Article 117, paragraph 2, letters e) and s) of the Constitution). In this context, the regional law must limit itself to identifying the entity or subject</w:t>
        <w:br/>
        <w:t>1 Among others, judgments No. 119/2022, 93/2017, 160/2016, 187/2011, 128/2011, 325/2010, 142/2010, 307/2009, 246/2009.</w:t>
      </w:r>
    </w:p>
    <w:p>
      <w:r>
        <w:rPr>
          <w:b/>
        </w:rPr>
        <w:t>[Pages 85–87]</w:t>
      </w:r>
    </w:p>
    <w:p>
      <w:r>
        <w:t>BULLETIN NO. 23 OF JUNE 10, 2024 87</w:t>
      </w:r>
    </w:p>
    <w:p>
      <w:r>
        <w:t>responsible for deciding the management form of the integrated water service and awarding the management of said service, but should not directly carry out such functions, not even by pre-establishing the conditions, as in the case of the regional law under examination.</w:t>
      </w:r>
    </w:p>
    <w:p>
      <w:r>
        <w:t>From a more strictly competitive perspective, the participation of the Puglia Region in the share capital of Acquedotto Pugliese S.p.A. - a possible contractor for the integrated water service - appears to be in contrast with the regulations of Legislative Decree No. 175/2016, which contains the Consolidated Text on public participation companies (hereinafter "TUSPP") and raises doubts about the existence of the requirements set forth by national legislation for the in-house management form.</w:t>
      </w:r>
    </w:p>
    <w:p>
      <w:r>
        <w:t>In particular, the shareholding structure of Acquedotto Pugliese S.p.A., even following the transfer of part of it to the vehicle company and indirectly to the municipalities, will continue to be characterized by the predominant presence of the Puglia Region, which, however, is not the competent entity for the organization and management of the integrated water service.2 In fact, upon completion of the operation to establish the vehicle company, it is expected that a maximum share of 20% of the share capital of Acquedotto Pugliese S.p.A. will be held by the vehicle company itself (and, therefore, indirectly by the Apulian municipalities), while the remaining 80% will remain with the Puglia Region.3</w:t>
      </w:r>
    </w:p>
    <w:p>
      <w:r>
        <w:t>In accordance with what has already been expressed in several precedents,4 the Authority believes that the participation of the Region in the share capital of the integrated water service manager is likely to violate a series of national provisions of a competitive nature, in particular: (i) Article 4, paragraph 1, of the TUSPP5, which establishes that public administrations can establish, acquire, or maintain participations only in companies whose object is the production of goods or services strictly necessary for the pursuit of their institutional purposes, a circumstance that is not found in the case at hand; (ii) Article 16, paragraph 3, of the same TUSPP, according to which the in-house company must generate over 80% of its turnover in carrying out the tasks assigned to it by the public entity shareholders, and not, therefore, towards entities that do not have management competencies for the services provided; (iii) Article 149-bis, paragraph 1, of the Consolidated Environmental Act (TUA), according to which the direct assignment of the integrated water service can only occur in favor of wholly public companies, possessing the requirements prescribed by European legislation for in-house management, and still participated by local authorities falling within the optimal territorial area.</w:t>
      </w:r>
    </w:p>
    <w:p>
      <w:r>
        <w:t>2 It is noted that, based on the TUA, the integrated water service is organized based on the Optimal Territorial Areas (also referred to as "ATO"), defined by the Regions, and the related organization - from the choice of the management form to the consequent assignment of the service - is delegated to the governing bodies of the areas, in which the local authorities falling within the same ATO must participate mandatorily (cf. Articles 147 and 149-bis of the TUA). In the Puglia Region, the ATO comprises the entire regional territory (cf. Article 2, Regional Law No. 28/1999 and subsequent amendments) and the governing body of the area is the Puglia Water Authority, established by Article 1, Regional Law No. 9/2011.</w:t>
      </w:r>
    </w:p>
    <w:p>
      <w:r>
        <w:t>3 According to Article 4 of Regional Law No. 14/2024: "Following the establishment of the Vehicle Company [...], the Region will initiate the gradual transfer free of charge, up to a maximum of 20 percent, of the shares of Acquedotto Pugliese S.p.A. in favor of the participating municipalities, in proportion to the extent of the infrastructures intended for the management of the Integrated Water Service (SII), as reported in Annex A. Each participating municipality undertakes to transfer the aforementioned shares to the Vehicle Company within thirty days of acquisition, under penalty of forfeiture of the incentive."</w:t>
      </w:r>
    </w:p>
    <w:p>
      <w:r>
        <w:t>4 Cf., among others, AS1908 - Territorial Agency of the Puglia Region for Waste Management - Acquisition of Aseco share capital on May 5, 2023, in Bulletin No. 32/2023; AS1953 - Governing Body of the Sardinia Area - SPL 2023 Survey of February 29, 2024, in Bulletin No. 11/2024.</w:t>
      </w:r>
    </w:p>
    <w:p>
      <w:r>
        <w:t>5 The TUSPP expressly provides, among its purposes, also for the "protection and promotion of competition and the market" (Article 1, paragraph 2, of the TUSPP).</w:t>
      </w:r>
    </w:p>
    <w:p>
      <w:r>
        <w:t>88 BULLETIN NO. 23 OF JUNE 10, 2024</w:t>
      </w:r>
    </w:p>
    <w:p>
      <w:r>
        <w:t>Moreover, this regional legislation would affect the corporate structure of Acquedotto Pugliese S.p.A., a joint-stock company established by state law under which the share capital must be entirely held by the Region (Article 4 of Legislative Decree No. 141/1999) and the corporate purpose must expressly include the "management of the integrated water cycle" (Article 2, paragraph 1, of Legislative Decree No. 141/1999).</w:t>
      </w:r>
    </w:p>
    <w:p>
      <w:r>
        <w:t>Furthermore, the Authority expresses concerns regarding the existence of the requirement for joint analogous control over the vehicle company, since the regional law under examination provides that such control is also exercised by municipalities not participating in the capital of the company, through the Coordination and Control Committee.6</w:t>
      </w:r>
    </w:p>
    <w:p>
      <w:r>
        <w:t>In this regard, it should be noted that the very notion of joint analogous control presupposes the holding of a share - even a minimal one - in the capital of the company over which control is exercised and, therefore, the qualification of a shareholder. As is well known, according to the prevailing case law at both the European and national levels regarding in-house companies and joint analogous control, there is a necessity for such analogous control to be exercised in the form of participation both in the capital and in the governing bodies of the controlled entity, as it is necessary for the individual shareholder to have a position suitable, albeit minority, to guarantee them an effective possibility of participation in the management of the entity of which they are a part.7 For this reason, a purely formal presence in the participating company or in a common body responsible for its direction would not be sufficient to ensure analogous control.</w:t>
      </w:r>
    </w:p>
    <w:p>
      <w:r>
        <w:t>In conclusion, the Authority believes that, for the reasons outlined above, the law of the Puglia Region No. 14/2024 presents profiles of unconstitutionality, for violation of Article 117, paragraph 2, letters e) and s), of the Constitution, in addition to being in conflict with the primary legislation safeguarding competition.</w:t>
      </w:r>
    </w:p>
    <w:p>
      <w:r>
        <w:t>6 According to Article 5 of Regional Law No. 14/2024: "All Apulian municipalities, even those not participating, hold the powers of guidance, coordination, control, and supervision over the strategic objectives and the most significant decisions of the Vehicle Company and exercise them jointly. In the event that by June 30, 2025, not all Apulian municipalities have joined the Vehicle Company, the aforementioned powers are exercised through the Coordination and Control Committee [...]. The Committee referred to in paragraph 1 is established in the case provided for, based on a convention act [...], for the purpose of jointly exercising the functions of analogous control."</w:t>
      </w:r>
    </w:p>
    <w:p>
      <w:r>
        <w:t>According to Article 7 of Regional Law No. 14/2024: "The Committee exercises the functions of guidance and control of a preventive, concurrent, and subsequent nature over the vehicle company and in particular over the following decisions: (a) appointment and revocation of the sole administrator/president and the general director; (b) approval and amendment of the Statute, or of any act reserved for shareholders; (c) approval of the organizational act; (d) approval of the proposed strategic and industrial plan; (e) approval of the budget; (f) increases or reductions in capital; (g) significant decisions concerning the participation and control by the Vehicle Company over Acquedotto Pugliese S.p.A."</w:t>
      </w:r>
    </w:p>
    <w:p>
      <w:r>
        <w:t>7 Cf., among others, Court of Justice, judgment of November 29, 2012, joined cases C-182/11 and C-183/11; Id., judgment of September 10, 2009, case C-573/07; Id., judgment of November 13, 2008, case C-324/07; Council of State, Section V, April 20, 2024, No. 1671; Id., Section IV, April 4, 2023, No. 3494; Id., Section V, April 30, 2018, No. 2599; Id., Section III, April 27, 2015, No. 2154.</w:t>
      </w:r>
    </w:p>
    <w:p>
      <w:r>
        <w:t>BULLETIN NO. 23 OF JUNE 10, 2024 89</w:t>
      </w:r>
    </w:p>
    <w:p>
      <w:r>
        <w:t>This opinion will be published in the Bulletin of the Authority for Competition and the Market.</w:t>
      </w:r>
    </w:p>
    <w:p>
      <w:r>
        <w:t>THE PRESIDENT</w:t>
      </w:r>
    </w:p>
    <w:p>
      <w:r>
        <w:t>Roberto Rustichelli</w:t>
      </w:r>
    </w:p>
    <w:p>
      <w:r>
        <w:rPr>
          <w:b/>
        </w:rPr>
        <w:t>[Pages 88–90]</w:t>
      </w:r>
    </w:p>
    <w:p>
      <w:r>
        <w:t>90 BULLETIN NO. 23 OF JUNE 10, 2024</w:t>
        <w:br/>
        <w:t>AS1981 – PROVINCE OF FROSINONE – HYDROELECTRIC WATER WITHDRAWAL CONCESSION</w:t>
        <w:br/>
        <w:t>Rome, May 27, 2024</w:t>
        <w:br/>
        <w:t>The Province of Frosinone</w:t>
        <w:br/>
        <w:t>This local authority has requested an opinion from this Authority regarding the identification of the correct procedure for the renewal of concessions to withdraw public waters for hydroelectric use related to small-scale plants (hydroelectric power plants). In particular, the following three questions have been submitted:</w:t>
        <w:br/>
        <w:t>i. whether the procedural process to which the renewal of the concession to withdraw public waters related to small-scale plants (hydroelectric power plants) under the jurisdiction of the Province of Frosinone must ensure transparency and competitiveness, with the consequent necessary application of specific public evidence procedures, even simplified;</w:t>
        <w:br/>
        <w:t>ii. whether the procedural process to which the renewal of the concession to withdraw public waters related to such plants can be assimilated and to what extent to that established by the Lazio Region through Regional Law No. 20/20231, although it refers to large hydroelectric withdrawals;</w:t>
        <w:br/>
        <w:t>iii. whether the aforementioned competitiveness and transparency, with the consequent necessary application of specific public evidence procedures, should also be applied to renewal requests submitted many years ago, but nonetheless after 2006, and not concluded due to staff shortages resulting from the implementation of Law No. 56 of April 7, 2014 (so-called Delrio Law).</w:t>
        <w:br/>
        <w:t>In this regard, the Authority for Competition and Market, in its meeting on May 21, 2024, deemed it appropriate to make the following observations.</w:t>
        <w:br/>
        <w:t>As previously argued in opinion AS1722 adopted on February 16, 2021 “Automatic renewals of concessions for small water withdrawals for hydroelectric purposes”2, at the national level, the procedures for awarding concessions for small hydroelectric withdrawals nearing expiration provide for an automatic renewal to the incumbent concessionaire, upon request, in accordance with the provisions of Royal Decree No. 1775 of 1933 “Consolidated text of the laws on water and electrical plants” (also known as the Consolidated Text of Waters or TU Acque). The latter, in fact, with express regard to the renewal of concessions for small withdrawals referred to in Article 30, refers to the provisions in Article 28, which states that “if, at the end of the concession, the purposes of the withdrawal persist and no higher public interest reasons obstruct, the concession is renewed to the concessionaire, with those modifications that, due to changed conditions of the places and the watercourse, may be necessary.”</w:t>
        <w:br/>
        <w:t>At the regional level, it was noted that, in some cases, specific regulations on the matter are provided that alternatively (i) refer to the procedure established by the aforementioned Articles 28 and 30 of the Consolidated Text of Waters and subsequent amendments, or (ii) provide for a specific procedure that nonetheless grants the incumbent concessionaire the right to renewal upon the occurrence of certain conditions, upon request and in the absence of competitive comparison. In other cases, finally, there is no specific regulation, as in the case of the Lazio Region, and the provisions of the Consolidated Text of Waters mentioned above must be considered applicable, as necessary.</w:t>
        <w:br/>
        <w:t>The Authority, in its 2021 opinion, had observed that this regulation does not appear to comply with community principles regarding the attribution of titles for the exercise of economic activities which, due to the scarcity of the resources they use, are by definition limited in number, and for this reason require the adoption of competitive methods for their assignment as well as for renewals4.</w:t>
        <w:br/>
        <w:t>Pursuant to Article 12 of the Bolkenstein Directive (Services Directive 2006/123/EC), in fact:</w:t>
        <w:br/>
        <w:t>“When the number of authorizations available for a certain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 In cases referred to in paragraph 1, the authorization is granted for a limited duration and cannot provide for an automatic renewal procedure nor grant other advantages to the outgoing provider or to persons who have particular ties with that provider.”</w:t>
        <w:br/>
        <w:t>In accordance with what is prescribed by the directive, further positions expressed by the Higher Court of Public Waters (also TSAP), the Court of Cassation, and the Italian Constitutional Court were also mentioned, indicating the necessity of resorting to a competitive procedure and, therefore, the illegitimacy of an automatic renewal of concessions upon their expiration, also in light of the self-executing nature of the Bolkenstein Directive.</w:t>
        <w:br/>
        <w:t>Therefore, the Authority concluded that “the current national and regional regulatory framework, not providing, at the time of the request for renewal of concessions for small hydroelectric withdrawals, the possibility for third parties to submit a request for the exploitation of the same watercourse with a different project and in competition with the existing one, is in violation of community law regarding the provision of services as well as community and/or national law regarding competition” and invited the national legislator and regional legislators to intervene in such a way as to repeal the contrary regulatory provisions and introduce a regulation</w:t>
        <w:br/>
        <w:t>3 Law No. 53 of December 11, 1998 of the Lazio Region “Regional organization for soil defense in implementation of Law No. 183 of May 18, 1989” in Article 9 delegates to the Provinces, among others, the functions related to the protection, use, and enhancement of water resources, excluding the functions reserved to the Region pursuant to Article 8, paragraph 3. The Provinces are specifically delegated the functions concerning concessions for small withdrawals for the use of public waters.</w:t>
        <w:br/>
        <w:t>4 In this sense, the management of hydroelectric plants for energy generation constitutes an economic activity providing a service pursuant to Article 57 of the Treaty on the Functioning of the EU (TFEU) to which the principles regarding the freedom of establishment referred to in Article 49 of the same TFEU and more specifically, the principles of the Services Directive 2006/123/EC (so-called Bolkenstein Directive) are generally applicable.</w:t>
      </w:r>
    </w:p>
    <w:p>
      <w:r>
        <w:t>92 BULLETIN NO. 23 OF JUNE 10, 2024</w:t>
        <w:br/>
        <w:t>for the awarding of concessions for small hydroelectric withdrawals that provides certainty to operators regarding the applicable procedure, a circumstance not guaranteed by the mere disapplication of incompatible provisions.</w:t>
        <w:br/>
        <w:t>The awarding through a competitive procedure, moreover, satisfies not only the interest of potential participants in a fair and non-discriminatory comparison but constitutes, even before that, the interest of the granting administration itself, as it allows it to choose, at each expiration, the project among several that has the best characteristics in terms of innovation, efficiency, environmental compatibility, etc.</w:t>
        <w:br/>
        <w:t>The Authority had, on that occasion, emphasized that the ad hoc regulations provided for, “while possibly taking into account the possibility of simplified procedures in cases of concessions with particularly low average nominal power, must nonetheless comply with the principles of maximum contestability of small hydroelectric concessions at the time of their expiration, and therefore must be transparent, open, and non-discriminatory,” avoiding, in any case, the provision of measures that may improperly advantage the outgoing operator and ensuring the sterilization of potential conflicts of interest between the granting authority and the concessionaire, not infrequent in this sector.</w:t>
        <w:br/>
        <w:t>Regarding the situation presented in the case at hand by the Province of Frosinone, the Authority, in light of the principles just illustrated, believes that the Province must correctly carry out, in the renewal of expired or expiring hydroelectric concessions, a fair, transparent, and non-discriminatory procedure that allows all potential competing operators to participate on equal terms, correspondingly disapplying the provisions of the Consolidated Text of Waters that provide for automatic renewal.</w:t>
        <w:br/>
        <w:t>Regarding the question sub (ii) above, the Authority believes, in the absence of a positive regulation of the matter by the regional legislator, that the procedure provided by the Lazio Region for the assignment of concessions related to large hydroelectric withdrawals (Regional Law No. 20/2023) is certainly a useful reference for the initiation of a fair, transparent, and competitive procedure for the case at hand, particularly regarding CHAPTER II (Procedures and methods for the assignment of concessions for large water withdrawals for hydroelectric purposes). To this procedure, modifications that the Administration deems appropriate to take into account the different power and complexity of the plants put out to tender may be made, as well as the duration of the concession, which must be based on economic criteria (related to the actual recovery of investments and other criteria that may be relevant and verifiable ex ante, on the basis of which the calls for tenders will define the exact duration of the concessions), in accordance with the maximum duration terms provided by the legislator.</w:t>
        <w:br/>
        <w:t>This possibility does not exclude, however, that the Administration decides, precisely due to the absence of an ad hoc regulation, to follow a different procedure than that provided for large hydroelectric withdrawals by the Lazio Region Law No. 20/2023, as long as it is compatible with the principles of Article 12 of the Bolkenstein Directive and, that is, ensures “guarantees of impartiality and transparency and provides, in particular, adequate publicity for the start of the procedure and its conduct and completion.”</w:t>
        <w:br/>
        <w:t>Finally, regarding the third question sub (iii) above, concerning the appropriateness of applying any competitive procedures also to renewal requests submitted many years ago (starting from 2014, nonetheless subsequent to the adoption of the Bolkenstein Directive), but not processed due to lack of</w:t>
      </w:r>
    </w:p>
    <w:p>
      <w:r>
        <w:rPr>
          <w:b/>
        </w:rPr>
        <w:t>[Pages 91–93]</w:t>
      </w:r>
    </w:p>
    <w:p>
      <w:r>
        <w:t>BULLETIN NO. 23 OF JUNE 10, 2024 93</w:t>
        <w:br/>
        <w:t xml:space="preserve">resources of personnel by the Province of Frosinone, the Authority believes that the principles applicable to the assignment (or renewal) procedures for hydroelectric concessions that are yet to be carried out must follow the principles currently in force. In this regard, it should be noted that, since the adoption of the Bolkenstein directive, there has always been an obligation for competitive comparison among potential interested parties, and automatic renewal has been correspondingly prohibited where, as in the case at hand, there is a limited number of available authorizations due to the scarcity of natural resources. For this reason, it does not seem possible to configure any legitimate reliance on the part of incumbent companies, even in light of the legislation in force at the time of submission of the earliest renewal applications proposed by this administration. </w:t>
        <w:br/>
        <w:t>This opinion will be published in the Bulletin of the Competition and Market Authority.</w:t>
        <w:br/>
        <w:t>THE PRESIDENT</w:t>
        <w:br/>
        <w:t>Roberto Rustichelli</w:t>
      </w:r>
    </w:p>
    <w:p>
      <w:r>
        <w:t>94 BULLETIN NO. 23 OF JUNE 10, 2024</w:t>
        <w:br/>
        <w:t>UNFAIR TRADE PRACTICES</w:t>
        <w:br/>
        <w:t>PS12566 - META-PROBLEMATICS INSTAGRAM AND FACEBOOK ACCOUNT</w:t>
        <w:br/>
        <w:t>Provision No. 31214</w:t>
        <w:br/>
        <w:t>THE COMPETITION AND MARKET AUTHORITY</w:t>
        <w:br/>
        <w:t>IN ITS MEETING of May 21, 2024;</w:t>
        <w:br/>
        <w:t>HEARD the Rapporteur, Professor Elisabetta Iossa;</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provisions of October 10, 2023, November 28, 2023, and March 5, 2024, with which, pursuant to Article 7, paragraph 3, of the Regulation, extensions of the deadline for concluding the procedure were ordered;</w:t>
        <w:br/>
        <w:t>VIEWED the acts of the procedure</w:t>
        <w:br/>
        <w:t>I. THE PARTY</w:t>
        <w:br/>
        <w:t>1. Meta Platforms Inc. and Meta Platforms Ireland Ltd. (hereinafter, also jointly “Meta”, “the Party”, “the Professional”), respectively the parent company and the operating company at the European level, as Professional, pursuant to Article 18, letter b), of the Consumer Code, having its registered office in the United States of America and the second in the Republic of Ireland.</w:t>
        <w:br/>
        <w:t>The Professional is the provider of the two social media services Facebook and Instagram1.</w:t>
        <w:br/>
        <w:t>2. The consolidated revenue of Meta Platforms Inc., as of December 31, 2023, amounts to 122.23 billion euros (source SEC2, based on the euro/dollar exchange rate as of December 31, 2023), with an operating profit margin of approximately 42 billion euros3. The revenue of Meta Platforms Ireland Ltd., as of December 31, 20224, amounts to 58.06 billion euros5, with an operating profit margin of approximately 1.3 billion euros6. Almost all of the revenue is generated from advertising, particularly from the</w:t>
        <w:br/>
        <w:t>1 But also from the Messenger, WhatsApp, and Threads platforms.</w:t>
        <w:br/>
        <w:t>2 Item “Total revenue 2023”.</w:t>
        <w:br/>
        <w:t>Document published at https://www.sec.gov/Archives/edgar/data/1326801/000132680124000012/Meta-20231231.htm (“Annual Report”) and at https://investor.fb.com/financials/sec-filings-details/default.aspx?FilingId=17229405.</w:t>
        <w:br/>
        <w:t>3 Item “Income (loss) from operations”.</w:t>
        <w:br/>
        <w:t>4 Last audited financial statement provided by the Party.</w:t>
        <w:br/>
        <w:t>5 Doc. 107, annex 6 – item “Turnover 2022”.</w:t>
        <w:br/>
        <w:t>6 Item “operating profit”.</w:t>
      </w:r>
    </w:p>
    <w:p>
      <w:r>
        <w:t>BULLETIN NO. 23 OF JUNE 10, 2024 95</w:t>
        <w:br/>
        <w:t>display of advertising products on Facebook, Instagram, Messenger, and third-party mobile applications7.</w:t>
        <w:br/>
        <w:t>II. THE COMMERCIAL PRACTICES</w:t>
        <w:br/>
        <w:t>3. The procedure concerns two distinct commercial practices carried out by Meta and consisting of the following conducts:</w:t>
        <w:br/>
        <w:t>i) Practice 1 - towards users of the Instagram platform (hereinafter also “IG”):</w:t>
        <w:br/>
        <w:t>A) failing to adequately and immediately inform, that is, at the activation stage and before registration of the IG account, about the collection and use of user data for commercial purposes, thus inducing them to make a commercial decision they would not have otherwise made (registration on the IG platform to use the eponymous social networking service);</w:t>
        <w:br/>
        <w:t>ii) Practice 2 - towards users already registered on the Facebook (hereinafter also “FB”) and Instagram platforms:</w:t>
        <w:br/>
        <w:t>B) failing to provide individual users with a comprehensive explanation regarding the interruption of the FB and IG social networking service, limiting the discussion on the related causes;</w:t>
        <w:br/>
        <w:t>C) failing to provide adequate and full assistance to recover accounts that users can no longer access.</w:t>
        <w:br/>
        <w:t>III. THE RESULTS OF THE PROCEDURE</w:t>
        <w:br/>
        <w:t>1) The course of the procedure</w:t>
        <w:br/>
        <w:t>4. In relation to the commercial practices described above, based on information acquired pursuant to the Consumer Code and some reports received8, on April 28, 20239, the Party was notified of the initiation of the investigative procedure PS12566 for possible violation of Articles20, 21, and 22 - Practice 1 - and Article 20 - Practice 2 - of the Consumer Code.</w:t>
        <w:br/>
        <w:t>5. At the initiation stage, the unfairness of the following practices was hypothesized:</w:t>
        <w:br/>
        <w:t>i) Practice 1 - Towards users of the IG platform:</w:t>
        <w:br/>
        <w:t>7 See Doc. 107, annex 6, for Meta Platforms Ireland Limited: “Substantially all revenue is generated from advertising. Advertising revenue is generated by displaying advertising products on Facebook, Instagram, Messenger, and third-party mobile applications. The Company bills third-party customers for advertisements which it delivers to users. The Company has also entered into reseller agreements with a number of fellow group companies in respect of the sale of advertising services in their respective territories.” But also, for Meta Platforms Inc., the aforementioned document published on the SEC website: “We generate substantially all of our revenue from advertising. Our advertising revenue is generated by displaying ad products on Facebook, Instagram, Messenger, and third-party mobile applications. Marketers pay for ad products either directly or through their relationships with advertising agencies or resellers, based on the number of impressions delivered or the number of actions, such as clicks, taken by users. We recognize revenue from the display of impression-based ads in the contracted period in which the impressions are delivered. Impressions are considered delivered when an ad is displayed to a user. We recognize revenue from the delivery of action-based ads in the period in which a user takes the action the marketer contracted for. The number of ads we show is subject to methodological changes as we continue to evolve our ads business and the structure of our ads products. In particular, the ads we show may vary by product (for example, our video and Reels products are not currently monetized at the same rate as our feed or Stories products), and from time to time we increase or decrease the number or frequency of ads we show as part of our product and monetization strategies. We calculate average price per ad as total advertising revenue divided by the number of ads delivered, representing the average price paid per ad by a marketer regardless of their desired objective such as impression or action. For advertising revenue arrangements where we are not the principal, we recognize revenue on a net basis.”</w:t>
        <w:br/>
        <w:t>8 Docs. 1-4.</w:t>
        <w:br/>
        <w:t>9 Doc. 6.</w:t>
      </w:r>
    </w:p>
    <w:p>
      <w:r>
        <w:rPr>
          <w:b/>
        </w:rPr>
        <w:t>[Pages 94–96]</w:t>
      </w:r>
    </w:p>
    <w:p>
      <w:r>
        <w:t>96 BULLETIN NO. 23 OF JUNE 10, 2024</w:t>
        <w:br/>
        <w:t>A) at the time of initial registration on the platform (website and app), the Professional would adopt a notice lacking immediacy, clarity, and completeness regarding the collection and use of user data for commercial purposes, including information generated by the user's use of Instagram apps from other companies in the Meta group, as well as from access to third-party websites/apps; specifically, upon accessing the Instagram homepage to register on the platform, the user would find no immediate evidence of the profit-making use that Meta makes of their data and the central role that such data therefore assumes in the Professional's business model.</w:t>
        <w:br/>
        <w:t>ii) Practice 2 - Regarding users already registered on the IG and FB platforms:</w:t>
        <w:br/>
        <w:t>B) the Professional would not provide adequate prior notice and justification when proceeding with the interruption - temporary or definitive - of the service provided to users, nor would it guarantee these users any opportunity for dialogue in order to identify and promptly resolve the cause of the interruption and restore, where possible, the full functionality of the service;</w:t>
        <w:br/>
        <w:t>C) the Professional would not provide adequate and effective assistance to recover accounts that users can no longer access, even as a result, for example, of a hacker attack or, more generally, due to authentication issues.</w:t>
        <w:br/>
        <w:t>The behaviors under B) and C) were highlighted by reports on file10 and by complaints published on the Google Play app store page from which the FB and IG apps are downloaded11. According to these complaints, Meta would have proceeded to interrupt the service provided without giving adequate and prior information to the user and without offering concrete options for dialogue as well as adequate assistance in resolving possible anomalies encountered.</w:t>
        <w:br/>
        <w:t>6. On June 27, 2023, the Professional submitted a defensive memorandum, simultaneously responding to some of the information requests contained in the initiation communication12 and supplementing those responses on July 10, 202313.</w:t>
        <w:br/>
        <w:t>7. On June 27, 2023, the Professional submitted, pursuant to Article 27, paragraph 7, of the Consumer Code, commitments aimed at removing the profiles of unfairness of the commercial practice in question14, transmitting a consolidated version on December 22, 202315. These commitments were rejected by the Authority with a decision communicated to Meta on February 2, 202416. On April 9, 2024, Meta submitted a request for review of the non-acceptance decision17. The Authority rejected the request for review with a decision communicated to the Professional on May 2, 202418.</w:t>
        <w:br/>
        <w:t>8. On July 20, 2023, a hearing was held with the Professional19.</w:t>
        <w:br/>
        <w:t>10 E.g. docs. 1, 2, 4, and 5-bis.</w:t>
        <w:br/>
        <w:t>11 Doc. 3, attachments 2-4.</w:t>
        <w:br/>
        <w:t>12 Doc. 25.</w:t>
        <w:br/>
        <w:t>13 Doc. 27.</w:t>
        <w:br/>
        <w:t>14 Doc. 25.</w:t>
        <w:br/>
        <w:t>15 Doc. 73.</w:t>
        <w:br/>
        <w:t>16 Doc. 84.</w:t>
        <w:br/>
        <w:t>17 Doc. 107.</w:t>
        <w:br/>
        <w:t>18 Doc. 112.</w:t>
        <w:br/>
        <w:t>19 Doc. 33.</w:t>
      </w:r>
    </w:p>
    <w:p>
      <w:r>
        <w:t>BULLETIN NO. 23 OF JUNE 10, 2024 97</w:t>
        <w:br/>
        <w:t>9. On October 3, 2023, November 3, 2023, November 27, 2023, January 17, 2024, January 26, 2024, and March 20, 2024, the Professional provided responses to further information requests20.</w:t>
        <w:br/>
        <w:t>10. The Professional accessed the case files on June 8 and 12, 2023, November 14 and 23, 2023, December 18, 2023, January 15, 2024, and March 7, 202421.</w:t>
        <w:br/>
        <w:t>11. On October 11, 2023, November 30, 2023, and March 6, 2024, the extension of the final deadline of the procedure was communicated to the Professional22.</w:t>
        <w:br/>
        <w:t>12. On March 19, 2024, the conclusion date of the investigation phase was communicated to Meta, pursuant to Article 16, paragraph 1, of the Regulation23. On April 8, 2024, the Professional submitted their final memorandum24.</w:t>
        <w:br/>
        <w:t>13. On March 26, 2024, a request was sent to the Irish Competition and Consumer Protection Commission (“CCPC”) pursuant to Article 3, paragraph 4, letter b), of Directive 2000/31/EC, transposed in Italy by Article 5, paragraph 3, letter a), of Legislative Decree April 9, 2003, no. 7025.</w:t>
        <w:br/>
        <w:t>14. On April 9, 2024, an opinion was requested from the Authority for Communications Guarantees (“AGCOM”), pursuant to Article 27, paragraph 6 of the Consumer Code26. On May 10, 2024, AGCOM transmitted its response27.</w:t>
        <w:br/>
        <w:t>15. On May 8, 2024, a notification was sent to the European Commission and the Irish Competition and Consumer Protection Commission pursuant to Article 3, paragraph 4, letter b) of Directive 2000/31/EC, transposed in Italy by Article 5, paragraph 3, letter b) of Legislative Decree April 9, 2003, no. 7028.</w:t>
        <w:br/>
        <w:t>2) The evidence acquired</w:t>
        <w:br/>
        <w:t>i) Practice 1 – Conduct under A) – The notice provided at the time of initial registration on the Instagram platform</w:t>
        <w:br/>
        <w:t xml:space="preserve">16. From the collected investigative elements29, it emerged that on the registration webpage for IG30, as shown below (figure A), the claim “Sign up to see photos and videos from your friends” is immediately evident, while at the bottom of the registration screen is the wording “find out how […] we use and share your data” without further indications, along with the hyperlinks “Terms”31, “Privacy Policy”32, and “Cookie Policy”33. </w:t>
        <w:br/>
        <w:t>By clicking on the “Terms”34 link, one accesses the IG terms of use where, after the welcome message, the paragraph describing the IG service is visible, divided into several sub-paragraphs. In the penultimate of these, titled “Connection with brands, products, and services of interest to the user,” visible after some scrolling of the webpage, it states “we use data from Instagram and other products from Meta companies, as well as from third-party partners, to show ads, offers, and other sponsored content that we think may be interesting to the user […]”. After further scrolling of the same webpage, the next section “How we fund our Service” appears, under which it was indicated that “instead of paying for the use of Instagram, by using the service governed by these Terms, the user acknowledges that Facebook (sic) may show ads whose promotion within and outside of Meta products and companies occurs through payment by companies and organizations. We use the user's personal data (e.g., information about activities and interests) to show them the most relevant ads […]”.</w:t>
        <w:br/>
        <w:t>By clicking the “Privacy Policy” and “Cookie Policy” links, one accesses webpages that contain information about the type of user information that the Professional collects and its use (for example, “We use the information we collect to provide you with a personalized experience” and “We use cookies to personalize and improve content and services”) without, however, any express reference to the specific use of the same for commercial purposes benefiting Meta.</w:t>
        <w:br/>
        <w:t>31 Doc. 3, att. 1B.</w:t>
        <w:br/>
        <w:t>32 Doc. 3, att. 1C.</w:t>
        <w:br/>
        <w:t>33 Doc. 3, att. 1D.</w:t>
        <w:br/>
        <w:t>34 In effect at the time of initiation. Subsequent updates have been taken into account (see infra).</w:t>
      </w:r>
    </w:p>
    <w:p>
      <w:r>
        <w:rPr>
          <w:b/>
        </w:rPr>
        <w:t>[Pages 97–99]</w:t>
      </w:r>
    </w:p>
    <w:p>
      <w:r>
        <w:t>BULLETIN NO. 23 OF JUNE 10, 2024 99</w:t>
        <w:br/>
        <w:t>Figure A</w:t>
        <w:br/>
        <w:t>17. Conversely, from the acquired elements35 it appears that in the app registration process, during the mobile device registration experience (see Figure B.9), there is the indication “We fund our services using your data…”. This app registration process consists of a dynamic flow of screens (Figures B.1-B.9): in the first of these, the user's contact details and a password creation are requested, while in the last one, near the “I accept” button, the above-mentioned wording “We fund our services using your data…” is present.</w:t>
        <w:br/>
        <w:t>35 Docs. 25 and 87.</w:t>
      </w:r>
    </w:p>
    <w:p>
      <w:r>
        <w:t>100 BULLETIN NO. 23 OF JUNE 10, 2024</w:t>
        <w:br/>
        <w:t>Figures B.1, B.2, and B.3</w:t>
        <w:br/>
        <w:t>Figures B.4, B.5, and B.6</w:t>
      </w:r>
    </w:p>
    <w:p>
      <w:r>
        <w:t>BULLETIN NO. 23 OF JUNE 10, 2024 101</w:t>
        <w:br/>
        <w:t>Figures B.7, B.8, and B.9</w:t>
        <w:br/>
        <w:t>18. During the investigation, on March 6, 2024, Meta introduced the possibility of subscribing to an ad-free IG subscription, in exchange for a monetary payment. Consequently, it updated the terms of use of IG36. In particular, the paragraph “Connection with brands, products, and services of interest to the user”37 and the section “Funding methods for our Service”38 were modified to acknowledge the two subscription methods for the service (with personalized ads and without monetary payment; without personalized ads and with monetary payment).</w:t>
        <w:br/>
        <w:t>19. Lastly, on March 25, 2024, Meta introduced the disclaimer “We fund our services using your personal data to show you ads” also on the IG registration webpage (see Figure C - Ed. note, emphasis added)39. By clicking on this wording, the user is redirected</w:t>
        <w:br/>
        <w:t>36 Doc. 107.</w:t>
        <w:br/>
        <w:t>37 Where it is stated that: “Based on the choices and settings selected by the user, we use information from Instagram and other Meta company Products, as well as from external partners, to personalize the user experience on Instagram, for example by showing ads (if the user sees ads on Meta Products), offers, and other sponsored content that we believe may be of interest to them. We try to make this content relevant just as much as the other user experiences on Instagram (...)”.</w:t>
        <w:br/>
        <w:t>38 “The user can choose to use the Service for free with ads or to activate the subscription to use it without ads:</w:t>
        <w:br/>
        <w:t>- If they choose to use it for free with ads, they authorize us to show ads that companies and organizations pay us to promote within or outside of Meta Products.</w:t>
        <w:br/>
        <w:t>- If they choose to activate the subscription to use Meta Products without ads, they will not see ads and we will not use their data for ads. Information regarding the fee, currency, and payment period for the ad-free subscription will be provided before completing the purchase. If the user sees these ads on Meta Products, we show relevant and useful ads to the user without revealing their identity to advertisers (...)”.</w:t>
        <w:br/>
        <w:t>39 Doc. 105.</w:t>
      </w:r>
    </w:p>
    <w:p>
      <w:r>
        <w:rPr>
          <w:b/>
        </w:rPr>
        <w:t>[Pages 100–102]</w:t>
      </w:r>
    </w:p>
    <w:p>
      <w:r>
        <w:t>102 BULLETIN NO. 23 OF JUNE 10, 2024</w:t>
        <w:br/>
        <w:t>to the section of the terms of use of IG regarding the methods of financing the service itself.</w:t>
        <w:br/>
        <w:t>Figure C</w:t>
      </w:r>
    </w:p>
    <w:p>
      <w:r>
        <w:t>BULLETIN NO. 23 OF JUNE 10, 2024 103</w:t>
        <w:br/>
        <w:t>ii) Practice 2 - Account management on Facebook and Instagram platforms</w:t>
        <w:br/>
        <w:t>Conduct sub B) – The information provided in case of interruption of social network services and the related dialogue with the user</w:t>
        <w:br/>
        <w:t>20. Regarding conduct sub B), from the collected evidentiary elements, a distinction emerged between the different measures that Meta takes against user accounts when it believes that the so-called "standards" of FB and IG have been violated. In particular, a description was provided of the gradual system of "remedies" used to counter user conduct in violation of these standards, which consist, progressively, of i) removal of the individual content (e.g., post, comment, multimedia content), ii) temporary limitation of certain account functionalities (e.g., "read-only" access, i.e., without the ability to post content; blocking of live streaming), iii) suspension of the account, and iv) its disabling.</w:t>
        <w:br/>
        <w:t>21. Content removal is the tool used to address the first violation committed by a user, which may turn into more restrictive measures in case of recurrence. In the event of content removal, Meta sends the affected user, simultaneously with the adoption of the remedy, a notification indicating on the first screen i) that the post goes against community standards ii) that therefore it is visible only to the user and not to others. On the third screen, it indicates which of the community standards is violated in the specific case and also adds that if the uploaded content should violate community standards again, the account may be subject to further restrictive measures or disabling.</w:t>
        <w:br/>
        <w:t>22. Suspension applies following repeated or particularly serious violations of Meta's platform policies. In the case of repeated violations, it is preceded by sending the user the notification regarding the removal of content, warning of the possibility that in case of recurrence, suspension may be applied.</w:t>
        <w:br/>
        <w:t>23. Conversely, definitive disabling occurs in two scenarios, namely: i) if the user appeals against the suspension and the appeal is not upheld; ii) if the user does not file an appeal within the indicated deadlines. Therefore, disabling is not applied immediately, but is always preceded by temporary suspension.</w:t>
        <w:br/>
        <w:t>24. In the face of the most serious and manifestly unlawful violations [omitted]*, the Professional stated that it must intervene "immediately," without providing prior notice and in the absence of a prior dialogue, as the legal system imposes such timeliness. Furthermore, Meta clarified that most accounts are disabled within a few minutes from the moment of their creation when Meta believes they are likely fake accounts, not representative of "authentic" and "genuine" users (so-called "bots," i.e., automated software pretending to be people in order to distribute fake news or viruses, as well as scripted accounts, i.e., accounts attempting to abuse FB and IG services).</w:t>
        <w:br/>
        <w:t>25. Also for cases of particularly serious violations [omitted] committed by a user through one of the two platforms, the restrictive measure is adopted on both platforms, with the primary aim of preventing the user from continuing such conduct using the account with which they have not (yet) committed any violation.</w:t>
        <w:br/>
        <w:t>26. From the screenshots of the flows containing the information that Meta sent to users even before August 2023 and from the clarifications provided by Meta in the final memorandum, it emerges that in the case of account suspension, the reason for the adopted measure (i.e., the indication of the violated policy) was provided on both social networks. In fact, regarding the FB platform, in the first screen of the communication that the user received in response to the account suspension, it was stated that "the account or the activity associated with it does not comply with our Community Standards," along with the indication of the violated policy in the specific case, followed by a button "See why" which opened a second screen, reiterating the specific violated policy, providing further information regarding it, including a link to the full version of the policy "Read in full." On the IG platform, the information on the first screen was similar, although the "See why" button was missing.</w:t>
        <w:br/>
        <w:t>27. In the information provided to the IG user, the method by which the platform conducted the relevant checks and evaluations was explicitly stated, information that was not given to FB users.</w:t>
        <w:br/>
        <w:t>28. Finally, as can also be inferred from the informational flows produced, the only way to contest the suspension decision that was immediately highlighted to the user on the first screen was, until August 2023, the "internal appeal," i.e., a direct contestation to Meta, for which a button was provided to activate it. This contestation, with reference to both platforms, had to be activated within a period of 30 days.</w:t>
        <w:br/>
        <w:t>29. Starting from August 2023, Meta modified the information set provided to the user on both FB and IG when applying restrictive measures on accounts. The changes and updates made concern:</w:t>
        <w:br/>
        <w:t>- in the case of suspension, also regarding the FB platform, highlighting the methods by which the decision was made in the specific case (automated or manual/human check);</w:t>
        <w:br/>
        <w:t>- in the case of removal of "content" (e.g., a so-called "post" that violated Meta's policies), better highlighting: a) the fact that the content has been removed, from the first screen, b) the specific policy violated in the specific case (a link is also provided that allows viewing of said policy); c) the method by which the evaluation was made and the decision adopted in the specific case (automated or human/manual check).</w:t>
      </w:r>
    </w:p>
    <w:p>
      <w:r>
        <w:rPr>
          <w:b/>
        </w:rPr>
        <w:t>[Pages 103–105]</w:t>
      </w:r>
    </w:p>
    <w:p>
      <w:r>
        <w:t>BULLETIN NO. 23 OF JUNE 10, 2024 105</w:t>
        <w:br/>
        <w:t>- in all cases (suspension and removal), the indication of all the tools made available to the user to "challenge" Meta's decision. In particular, it is highlighted that, in addition to the direct challenge to Meta with an "internal" appeal, the user has the option to i) refer the matter to an alternative dispute resolution body and ii) appeal to the competent judicial authority. Furthermore, the deadline for submitting an "internal" appeal is extended (from 30 days to 180 days).</w:t>
        <w:br/>
        <w:t>Moreover, although in the case of account suspension, both on FB and IG, the specific policy violated was indicated ab initio already on the first screen, some graphic modifications have been introduced, namely: this indication of the violated policy – still on the first screen for both platforms – has been placed under a specific paragraph highlighted in bold and titled "Why this happened" (NdR, "Why this happened"); a link has also been made available on IG, already present on FB ("See why", renamed on this occasion "Read more about this rule [NdR, the violated policy – "Read more about this rule"]").</w:t>
        <w:br/>
        <w:t>Conduct sub C) – Assistance provided to users who can no longer access their accounts</w:t>
        <w:br/>
        <w:t>30. Regarding conduct sub C)52, the investigation revealed that the most frequent scenarios of "loss" of the account involve compromise following a hacker attack and mere forgetfulness of access credentials, particularly in cases of using a device different from the usual one(s) for accessing one of the two platforms53. Furthermore, the Professional emphasized that the most problematic case for account recovery is that of the compromise of the user's access credentials (name and/or email/phone number and/or password) typically resulting from a hacker attack. In fact, since some of the procedures used by Meta for account recovery assume that the user requests a "recovery code" to confirm their identity and such code is sent to the contact points (email address or phone number) associated with that account, in the case of "hacking," this is made impossible by the fact that the hacker deletes those contact points and replaces them with others. In this way, the hacker seeks to prevent the legitimate owners from recovering and accessing their account by removing the original contact points associated with the account itself – such as email and phone numbers – and replacing them with contact points under their control54.</w:t>
        <w:br/>
        <w:t>31. To address this eventuality, Meta also provides its users with additional tools that allow them to recover their credentials without necessarily going through the contact points linked to the account. [omitted] 55.</w:t>
        <w:br/>
        <w:t>32. During the investigation, Meta further expanded the range of tools to assist users unable to access their accounts56. By way of example, the following have been introduced: i) [omitted] (from August 2023 for IG and FB); ii) [omitted] (from July 2023 for FB, from May 2024 for IG); iii) [omitted] (from July 2023 for FB; from December 2023 for IG).</w:t>
        <w:br/>
        <w:t>3) The defensive arguments of the Party</w:t>
        <w:br/>
        <w:t>a) Preliminary exceptions regarding the competence of the AGCM and the obligation to cooperate with other Authorities57</w:t>
        <w:br/>
        <w:t>33. As a preliminary matter, the Professional complains of a lack of competence of the Authority, with some distinctions depending on the practice in question, under the profiles summarized below58.</w:t>
        <w:br/>
        <w:t>34. Meta primarily invokes the principle of lex specialis59 as well as the primacy of European Union law60, which would prevent the application, in this case, of the regulations on unfair commercial practices.</w:t>
        <w:br/>
        <w:t>35. According to the Professional, the following European Union regulations would be relevant:</w:t>
        <w:br/>
        <w:t>With reference to conduct sub A)</w:t>
        <w:br/>
        <w:t>- Regulation (EU) 2016/679 (“GDPR”) and the related implementing law (Data Protection Act) regarding the obligations of transparency about the information that must be made available on the use of personal data;</w:t>
        <w:br/>
        <w:t>- Directive 2002/56/EC (“e-Privacy Directive”) and the Irish implementing legislation regarding information on data processing via cookies.</w:t>
        <w:br/>
        <w:t>With reference to conduct sub B) and C)</w:t>
        <w:br/>
        <w:t>- a complex system of Regulations, Directives, soft law norms, and self-regulatory norms that would comprehensively and with a multi-level approach regulate the so-called intermediary services and define, for example, rules for content moderation, account suspension, warning transparency, and complaint mechanisms61;</w:t>
        <w:br/>
        <w:t>57 Docc. 25 and 107.</w:t>
        <w:br/>
        <w:t>58 Docc. 25 and 107.</w:t>
        <w:br/>
        <w:t>59 In Docc. 25 and 107.</w:t>
        <w:br/>
        <w:t>60 Only in doc. 25.</w:t>
        <w:br/>
        <w:t>61 In doc. 25 – defensive memorandum – Meta, without acknowledging that each provision of the following laws applies to its services, cites, inter alia:</w:t>
        <w:br/>
        <w:t>i) the Audiovisual Media Services Directive 2010/13/EU, amended by Directive 2018/1808/EU (“AVMSD,” implemented in Italy by Legislative Decree No. 208/2021, the so-called “TUSMA”), which establishes a harmonized legal framework for the moderation of programs, user-generated videos, and audiovisual commercial communications to protect consumers and minors from harmful content hosted on video-sharing platforms;</w:t>
        <w:br/>
        <w:t>ii) Regulation (EU) 2021/784 on combating the dissemination of terrorist content online (“CTO”), which establishes a series of special rules for the moderation and suspension of content and accounts involved in the dissemination of terrorist content;</w:t>
        <w:br/>
        <w:t>iii) Directive (EU) 2019/790 on copyright and related rights in the digital single market (“Copyright Directive”), which provides specific moderation rules, including removal and appeal mechanisms regarding the removal of copyright-protected content hosted on content-sharing services;</w:t>
      </w:r>
    </w:p>
    <w:p>
      <w:r>
        <w:t>BULLETIN NO. 23 OF JUNE 10, 2024 107</w:t>
        <w:br/>
        <w:t>- in particular, Directive 2000/31/EC (“E-Commerce Directive”) and Legislative Decree 70/2003 implementing it in Italy, which provides for the so-called "Country of Origin Principle"62.</w:t>
        <w:br/>
        <w:t>Specifically, the imposition by the Authority of standards of professional diligence on online service provider platforms would represent a violation of the country of origin principle under the E-Commerce Directive, as stated by the Court of Justice of the EU in case C-376/22 of November 9, 2023, concerning, among others, Meta63;</w:t>
        <w:br/>
        <w:t>- in particular, Regulation (EU) 2022/2065 on the Digital Services Act (“DSA”) which would provide a framework for maximum harmonization regarding content moderation, account suspension, warning transparency, and complaint mechanisms.</w:t>
        <w:br/>
        <w:t>36. In light of the aforementioned principles: i) the AGCM could not apply measures that conflict with the aforementioned legal framework or impose obligations or additional specific requirements different from those typified by the European legislator, particularly through Regulations, so as not to undermine the objective of maximum harmonization (principle of primacy of EU law); ii) the regulations on unfair commercial practices could not apply, given the presence of sector-specific regulations with respect to which a balance would have already been struck between consumer protection and other specific interests considered by special laws (principle of lex specialis); iii) with particular regard to providers of information society services, such as Meta, the AGCM could not impose stricter obligations than those provided by the law of the country of origin of the service provider (Ireland).</w:t>
        <w:br/>
        <w:t>37. Meta also indicates what it believes to be the competent Authorities regarding the application, in this case, of the aforementioned sector-specific laws: with reference to conduct sub A), the Irish Data Protection Authority (“DPA”) would be competent; regarding conduct sub B) and C), the European Commission and/or the Irish Coimisiùn na Meàn (“CM”) would be competent.</w:t>
        <w:br/>
        <w:t>38. In the alternative, the Authority would have violated the principle of loyal cooperation under Article 4(3) of the Treaty on European Union (“TEU”)64 and (again) the Country of Origin Principle65, as it should have coordinated and cooperated with the national supervisory authorities or the relevant lead authorities, namely:</w:t>
        <w:br/>
        <w:t>iv) Regulation (EU) 2019/1150, which promotes fairness and transparency for business users of online intermediary services (“P2B”) and provides a framework for maximum harmonization for content moderation, including account suspension, concerning content and accounts of business users;</w:t>
        <w:br/>
        <w:t>v) Directive 2004/48/EC, which provides additional rules regarding the enforcement of online intellectual property rights.</w:t>
        <w:br/>
        <w:t>62 See art. 3 E-Commerce Directive and art. 5 Legislative Decree 70/2003. This principle would also be fully recognized by the aforementioned AVMS Directive and reiterated by the DSA Regulation, art. 3(2).</w:t>
        <w:br/>
        <w:t>63 Court of Justice of the EU, November 9, 2023, C-376/22 – Meta Platforms Ireland Limited and Others vs KommAustria. There the Court stated that Article 3(4) of the aforementioned Directive must be interpreted as meaning that: “general and abstract measures concerning a category of certain information society services described in general terms, and applicable indiscriminately to any provider of such a category of services, do not fall within the notion of ‘measures taken concerning a specific information society service,’ within the meaning of that provision.”</w:t>
        <w:br/>
        <w:t>64 In support of this assertion, the following are invoked: Court of Justice of the EU, July 4, 2023, C-252/21, Meta Platforms Ireland vs Bundeskartellamt and Council of State, January 15, 2024, No. 497/2024 – Telepass.</w:t>
        <w:br/>
        <w:t>65 In support, the Court of Justice of the EU, November 9, 2023, C-376/22 – Meta Platforms Ireland Limited and Others vs KommAustria is cited.</w:t>
      </w:r>
    </w:p>
    <w:p>
      <w:r>
        <w:rPr>
          <w:b/>
        </w:rPr>
        <w:t>[Pages 106–108]</w:t>
      </w:r>
    </w:p>
    <w:p>
      <w:r>
        <w:t>108 BULLETIN NO. 23 OF JUNE 10, 2024</w:t>
        <w:br/>
        <w:t>i) with reference to all three conducts, the European Commission and the Irish Competition and Consumer Protection Commission (“CCPC”), by submitting a request through the internal market information system (“IMI network”) to the competent Irish authorities, engaging in dialogue with such authorities and notifying the European Commission of the intention to take measures against the Professional;</w:t>
        <w:br/>
        <w:t>ii) regarding the conduct under A), the Irish DPA;</w:t>
        <w:br/>
        <w:t>iii) concerning the conducts under B) and C), with the European Commission and/or the Irish CM.</w:t>
        <w:br/>
        <w:t>b) The attribution of practices to Meta Platforms Inc.</w:t>
        <w:br/>
        <w:t>39. In relation to both practices subject to the proceedings, the Party has argued that Meta Platforms Inc. would not be responsible for the unlawful conducts outlined at the outset66 and subsequently specified in the communication of the conclusion of the investigation phase67. Meta Platforms Ireland Ltd. would be the sole provider of Facebook and Instagram services to users in the European Union, including those in Italy68. Therefore, attributing the practices in question to a subject other than Meta Platforms Ireland Ltd. would constitute a violation of the principle of personal responsibility.</w:t>
        <w:br/>
        <w:t>c) The exceptions on the merits of the allegations: the absence of any unfair commercial practice</w:t>
        <w:br/>
        <w:t>40. On the merits of the contested conducts, the Professional notes the following.</w:t>
        <w:br/>
        <w:t>i) Practice 1</w:t>
        <w:br/>
        <w:t>41. With reference to the conduct under A), the Professional has made observations regarding:</w:t>
        <w:br/>
        <w:t>- the availability and completeness of the information provided to users intending to register for IG about the use of their data by Meta and about the central role they play in the Professional's business model;</w:t>
        <w:br/>
        <w:t>- therefore, the compliance with the obligation of professional diligence and the Authority's attempt to introduce new rules not provided for by the sector legislation by invoking a standard of professional diligence that is not reflected in the legislation or market practices;</w:t>
        <w:br/>
        <w:t>- the inadequacy of the conduct to distort consumer behavior;</w:t>
        <w:br/>
        <w:t>- the failure to consider the introduction of the possibility to subscribe to a paid and "ad-free" subscription to Meta's services, including IG.</w:t>
        <w:br/>
        <w:t>42. In particular, Meta believes that users can easily find all the information regarding how their data is used by the Professional to support the costs necessary to provide the Instagram service without requiring any monetary outlay from users. Users could indeed find such information within the terms of use of IG69,</w:t>
        <w:br/>
        <w:t>66 Doc. 5.</w:t>
        <w:br/>
        <w:t>67 Doc. 101.</w:t>
        <w:br/>
        <w:t>68 In the respective terms of use of IG and FB (Annexes 1 and 2 to Doc. 25 as well as Annexes 1B and 5 to Doc. 3) it states that these services are provided by Meta Platforms Ireland Limited and that the respective terms of use constitute a contract between the user and Meta Platforms Ireland Limited.</w:t>
        <w:br/>
        <w:t>69 For example, in the sections "Offering personalized opportunities for creation, connection, discovery, and sharing," "Connecting with brands, products, and services of interest to the user," and in the paragraph "How we fund our Service." In particular, in this paragraph it states that "instead of paying for the use of Instagram [...] the user acknowledges that Facebook [sic] can show ads whose promotion within and outside Meta's products occurs upon payment by companies and organizations" and that their data would be used to show the user "more relevant ads" – see doc. 25.</w:t>
        <w:br/>
        <w:t>70 In particular under the subparagraph "How we use your information" and the subparagraph "How we show ads and other commercial or sponsored content" – see doc. 25.</w:t>
        <w:br/>
        <w:t>71 See the version of the IG Terms updated as of March 6, 2024 – see Doc. 107, p. 27, screen 5.</w:t>
      </w:r>
    </w:p>
    <w:p>
      <w:r>
        <w:t>109 BULLETIN NO. 23 OF JUNE 10, 2024</w:t>
        <w:br/>
        <w:t>the privacy policy70 and the cookie policy; these documents would be accessible via links included on the registration page.</w:t>
        <w:br/>
        <w:t>43. Furthermore, before completing the registration process via the app – specifically, before finalizing it by clicking the "I accept" button – the user would find the disclaimer "We fund our services using your personal data to show you ads." In this regard, Meta clarified that in the app registration, unlike the web/desktop version, there is no "static" home page, as the registration consists of a dynamic flow in which the disclaimer (along with links to the terms of use, privacy policy, cookie policy) is placed immediately before the "I accept" button. This placement would be optimal to make the consumer fully aware of the terms they are about to accept and the fact that Meta can fund its services through their data.</w:t>
        <w:br/>
        <w:t>44. Regarding the inadequacy of the conduct to distort consumer economic behavior, the Party believes, in summary, that the average consumer would already be aware of the commercial use of their data on IG and, therefore, even if the information provided were deemed lacking, misleading, or not immediate, such profiles would not constitute a detriment to the consumer. In fact, social networks (and their business model) are not a new phenomenon, but known and used for about two decades.</w:t>
        <w:br/>
        <w:t>45. Lastly, the Professional believes that the modification to Meta's business model, which occurred during the investigation, has not been duly considered. This concerns, in particular, the introduction of the possibility to use Meta's services, including IG, by activating a paid subscription in which Meta states it offers its services without using the user's data for ads and without showing the user advertisements. This modification, also distinguishing in terms of the information provided71 between service provided with and without ads, would make it even clearer and more explicit that the provision of the service without monetary outlay would imply the transfer of the user's data for their economic exploitation.</w:t>
        <w:br/>
        <w:t>ii) Practice 2</w:t>
        <w:br/>
        <w:t>46. With reference to both conducts constituting Practice 2, Meta has first argued that the related allegations of the Authority would be based on a relatively low number of complaints and negative reviews.</w:t>
        <w:br/>
        <w:t>47. Regarding the conduct under B), the Professional has made observations regarding:</w:t>
        <w:br/>
        <w:t>- the notice of interruption of its services to be provided to the user, which would actually be provided and, under certain conditions, its non-mandatory nature under national and European law;</w:t>
        <w:br/>
        <w:t>- the completeness of the information provided at the time of the interruption of its services – account suspension – even before August 2023 regarding the related causes;</w:t>
        <w:br/>
        <w:t>- the indication of the ways in which the decision to suspend an account is concretely adopted, already present on IG;</w:t>
        <w:br/>
        <w:t>- the irrelevance of the information regarding the possibility of appealing to an extrajudicial dispute resolution body or a court to contest such a decision, as it is already known to the average user;</w:t>
        <w:br/>
        <w:t>- the inadequacy of the conduct to distort consumer behavior.</w:t>
        <w:br/>
        <w:t>48. In particular, regarding the duty to provide notice before proceeding with the interruption - temporary or definitive - of its services, Meta has observed that: i) the national and European legal systems do not impose any obligation of prior notice; ii) such an obligation would be difficult to reconcile with what is instead imposed on host providers by the legal system, namely to act promptly in the presence of illegal content; iii) without prejudice to cases of particularly serious violations, before proceeding with the suspension of its services and when applying less "severe" measures, Meta believes it provides an appropriate notice as it informs the user that repeating behavior similar to that contested within a certain period of time could lead to more severe limitations, even account suspension.</w:t>
        <w:br/>
        <w:t>49. In its final memorandum, Meta emphasizes that it has adequately informed the user, even before August 2023, about the reasons that led to the adoption of restrictive measures on their account, including suspension. In fact, the Professional would always indicate both on FB and IG the policy that was concretely violated. Moreover, starting from August 2023, the information set provided to the user would have been further improved and, today, more information regarding the "why" of the service interruption would be provided with greater immediacy.</w:t>
        <w:br/>
        <w:t>50. Regarding the lack of explicitness, on FB and until August 2023, of the ways in which Meta made the decision to suspend the service (automated control vs manual control), for the Professional this would not constitute an unfair behavior as it would not impact the economic choices of an average consumer and was not imposed, until August 2023, by any regulatory source.</w:t>
        <w:br/>
        <w:t>51. Meta also believes that it has ensured, even before August 2023, an appropriate contradiction with the user affected by a restrictive measure on their account, including suspension, as they would be ensured the possibility to request a review of the decision from Meta and to ask for the imposed restrictions to be lifted. As of August, the deadlines for requesting an internal review of a decision would have been significantly extended and the user would now be informed of the possibility to appeal the decision before a court or through extrajudicial means.</w:t>
        <w:br/>
        <w:t>52. Ultimately, the conduct in question would be inadequate to distort the economic behavior of the average consumer, as it would concern internal procedures related to communications in case of violations and respective complaints, that is to pathological situations, which would not impact users' commercial decisions because they relate to a phase in which the consumer has chosen to subscribe to the services of FB and IG.</w:t>
        <w:br/>
        <w:t>53. Finally, regarding the conduct under C), the Professional has made observations on:</w:t>
        <w:br/>
        <w:t>- the compliance with the obligation of professional diligence, as Meta would offer (and has offered since the start of the proceedings) advanced and adequate assistance to resolve users' access issues to their accounts, including those compromised by a hacker attack;</w:t>
        <w:br/>
        <w:t>- the inadequacy of the conduct to distort the economic behavior of the average consumer as it is not related to the phase in which the user should decide whether or not to subscribe to one of the services.</w:t>
      </w:r>
    </w:p>
    <w:p>
      <w:r>
        <w:rPr>
          <w:b/>
        </w:rPr>
        <w:t>[Pages 109–111]</w:t>
      </w:r>
    </w:p>
    <w:p>
      <w:r>
        <w:t>BULLETIN NO. 23 OF JUNE 10, 2024 111</w:t>
        <w:br/>
        <w:t>of Meta, but to a subsequent and pathological phase in which consumers would make non-economic choices in order to regain access to such services;</w:t>
        <w:br/>
        <w:t>- the "dynamism" of cyber piracy phenomena and the updates made, and still ongoing, to its systems to cope with the new strategies implemented by hackers, balancing the need to provide its users with information regarding prevention and assistance measures in case of account loss with the need to prevent malicious actors from using such information precisely to circumvent the measures adopted by Meta72.</w:t>
        <w:br/>
        <w:t>4) Changes to practices already implemented during the investigation</w:t>
        <w:br/>
        <w:t>54. From the elements acquired in the records, it appears that the Professional has modified the conduct subject to the ongoing investigation, specifically:</w:t>
        <w:br/>
        <w:t>55. Conduct sub A) – and, therefore, Practice 1: as of March 25, 2024, Meta has included in the web registration page for IG, from the very first screen, the additional indication "We finance our services using your personal data to show you advertisements."</w:t>
        <w:br/>
        <w:t>56. Conduct sub B) – Practice 2: starting from August 2023, Meta has modified the information set provided to the user for both FB and IG during the application of restrictive measures, including account suspension.</w:t>
        <w:br/>
        <w:t>57. Conduct sub C) – Practice 2: Meta has made available [omitted] (from August 2023 for FB and IG), [omitted] (from July 2023 for FB; from December 2023 for IG), [omitted] (starting from July 2023 on FB; from May 2024 for IG73).</w:t>
        <w:br/>
        <w:t>IV. OPINION OF THE AUTHORITY FOR GUARANTEES IN COMMUNICATIONS</w:t>
        <w:br/>
        <w:t>58. Since the commercial practice subject to this provision has been disseminated through telecommunications means, on April 9, 2024, the opinion was requested from the Authority for Guarantees in Communications, pursuant to Article 27, paragraph 6, of the Consumer Code.</w:t>
        <w:br/>
        <w:t>59. With communication received on May 10, 2024, the aforementioned Authority transmitted its resolution stating "not to proceed with the issuance of the requested opinion," considering that the case falls within its exclusive competencies. According to AGCOM, in fact, the profiles of contestation of the conduct "do not appear to be linked to any commercial practice."</w:t>
        <w:br/>
        <w:t>60. In particular, according to AGCOM, the alleged violations would not constitute the elements of an unfair commercial practice, rather qualifying as direct violations of Articles 17 and 23 of the DSA Regulation, a sector regulation under AGCOM's own competence that would require said Authority "to adopt measures aimed at effective and efficient protection of users also in line with the functions assigned to it as a digital service coordinator."</w:t>
        <w:br/>
        <w:t>61. AGCOM finally announces that it reserves the right to proceed with the follow-ups of competence pursuant to Article 58 DSA ("Cross-border cooperation between digital service coordinators").</w:t>
        <w:br/>
        <w:t>72 Doc. 62.</w:t>
        <w:br/>
        <w:t>73 [Omitted].</w:t>
      </w:r>
    </w:p>
    <w:p>
      <w:r>
        <w:t>112 BULLETIN NO. 23 OF JUNE 10, 2024</w:t>
        <w:br/>
        <w:t>V. CONCLUDING ASSESSMENTS</w:t>
        <w:br/>
        <w:t>a) Preliminary assessments on AGCM's competence</w:t>
        <w:br/>
        <w:t>62. As a preliminary matter, the exceptions raised by Meta regarding the Authority's lack of competence to assess the conduct subject to the proceedings cannot be shared.</w:t>
        <w:br/>
        <w:t>63. First of all, the principle of primacy of European Union law seems to be invoked incorrectly, given that even the regulation concerning unfair commercial practices has community rank.</w:t>
        <w:br/>
        <w:t>64. Regarding the invoked principle of specialty enshrined in Article 3(4) of Directive 2005/29/EC ("Unfair Commercial Practices Directive") and transposed by Article 19, paragraph 3, of the Consumer Code to support the inapplicability of consumer law and, therefore, AGCM's lack of competence, it should be noted that the scope of application of the Consumer Code, due to its horizontal nature and the breadth of the notion of commercial practice, extends to all activities carried out by professionals (also towards users of digital services) before, during, and after the commercial transaction. It is also worth recalling the interpretation provided by the Court of Justice74 of Article 3(4) of the Unfair Commercial Practices Directive according to which the "conflict" between the provisions of that directive and other community rules exists only where the latter regulate specific aspects of unfair commercial practices imposing on professionals, without any margin of maneuver, obligations incompatible with those established by Directive 2005/29/EC. In terms of enforcement, Article 27, paragraph 1-bis, of the Consumer Code, which constitutes the transposition of this European norm, identifies a general criterion for the preventive allocation of competencies between AGCM and Regulatory Authorities in all regulated sectors, exclusively assigning to AGCM the enforcement regarding all conduct that gives rise to an unfair commercial practice, including those that simultaneously integrate a violation of a sector rule. The competence of the sector Regulatory Authorities is residual, confined to the hypothesis where the behavior does not simultaneously constitute an unfair commercial practice.</w:t>
        <w:br/>
        <w:t>65. With specific regard to Practice 1, Meta believes that instead of the regulation on unfair commercial practices, the GDPR (and the respective Irish implementing law) and the e-Privacy Directive (as transposed in Ireland) would apply, resulting in the exclusive competence of the Irish DPA.</w:t>
        <w:br/>
        <w:t>66. In this specific case, however, there is no incompatibility or antinomy between the provisions regarding data protection/privacy and those regarding consumer protection. In fact, the subject of investigation does not pertain to the correctness of the processing of personal data by the platform, but to the clarity, immediacy, and completeness of the information regarding the exploitation of such data for commercial purposes within a "consumer relationship." Such a relationship is configured even in the absence of a monetary outlay. This is because, to date75, the informational asset constituted by user data is recognized as having economic value. In this regard, it is worth recalling the established position of the European Commission, aimed at recognizing that "[p]ersonal data, consumer preferences, and other user-generated content have economic value de facto"76. In line with this assumption, administrative jurisprudence has explicitly recognized the phenomenon of the "capitalization" of personal data, typical of the new economies of digital markets, and the consequent applicability of consumer law, asserting that "the informational asset constituted by user data and the profiling of users themselves for commercial use and marketing purposes (...) acquires, precisely because of such use, an economic value suitable (...) to configure the existence of a consumer relationship between the Professional and the user"77. The judge also specified that "the capitalization of personal data (...) constitutes the result of the intervention of the companies (Note: the then Facebook Inc. and Facebook Ireland Ltd.) through the provision of the data - and the profiling of the user - for commercial purposes"78. It follows that "operators [must] comply in their respective commercial transactions with those obligations of clarity, completeness, and non-deceptiveness of the information provided for by consumer protection legislation, which must inform the consumer of the exchange of performances underlying the adherence to a contract for the enjoyment of a service, such as that of using a social network"79. The user who makes their data available in order to use the services offered by IG for free "technically transforms into a consumer"80: as such, they have the right for the related commercial practices to be carried out according to the principles of good faith, fairness, and loyalty.</w:t>
        <w:br/>
        <w:t>67. Regarding Practice 2, the Professional believes that a complex system of Regulations, Directives, soft law norms, and self-regulatory norms would fully and multilayeredly regulate the so-called intermediary services.</w:t>
        <w:br/>
        <w:t>68. With regard to the relationships between this regulatory complex and consumer law, the above-mentioned points regarding the horizontal nature of the Consumer Code, the breadth of the notion of commercial practice, and the scope of the principle of specialty are reiterated.</w:t>
        <w:br/>
        <w:t>69. Furthermore, with specific reference to the DSA, there is no conflict between the provisions regarding consumer protection and those dictated by this Regulation. In fact, it is the DSA itself (see Article 2, but also Recital 10) that expressly preserves European law regarding consumer protection81. Moreover, the "Resolution of the European Parliament of December 12, 2023, on the design of online services that create addiction and on consumer protection in the EU single market," while acknowledging the various regulatory provisions already in force, including the DSA (expressly mentioned in the "recitals"), considers it possible to prohibit such conduct within the current consumer protection regulatory framework (point 6).</w:t>
        <w:br/>
        <w:t>76 European Commission, "Guidelines for the implementation/application of Directive 2005/29/EC on unfair commercial practices," SWD (2016) /0163, p. 28.</w:t>
        <w:br/>
        <w:t>77 Lazio TAR, January 10, 2020, nos. 260, 261, PS11112 – Facebook, later confirmed by the Council of State. The ruling was then reiterated in the same terms by Lazio TAR, November 18, 2022, no. 15326, PS11147 – Google.</w:t>
        <w:br/>
        <w:t>78 Council of State, March 29, 2021, no. 2630, PS11112 – Facebook.</w:t>
        <w:br/>
        <w:t>79 Lazio TAR, January 10, 2020, no. 260, confirmed by the Council of State, March 29, 2021, no. 2631.</w:t>
        <w:br/>
        <w:t>80 Council of State, March 29, 2021, no. 2631.</w:t>
        <w:br/>
        <w:t>81 Art. 2(4) DSA: "This regulation does not prejudice the rules established by other legal acts of the Union that regulate further aspects of the provision of intermediary services in the internal market or that specify and complement this regulation, in particular the following acts: (…) f) Union law on consumer protection and product safety, including Regulations (EU) 2017/2394 and (EU) 2019/1020 and Directives 2001/95/EC and 2013/11/EU."</w:t>
      </w:r>
    </w:p>
    <w:p>
      <w:r>
        <w:rPr>
          <w:b/>
        </w:rPr>
        <w:t>[Pages 112–114]</w:t>
      </w:r>
    </w:p>
    <w:p>
      <w:r>
        <w:t>114 BULLETIN NO. 23 OF JUNE 10, 2024</w:t>
        <w:br/>
        <w:t>70. The objection raised by Meta regarding the Country of Origin Principle (and the recent statements of the Court of Justice82) does not appear to be well-founded, as it would prevent the Authority from imposing on the Professional "regulatory" obligations different from those provided by the legal system where the Professional is established. It is reiterated that the Authority does not adopt a general and abstract measure applicable indiscriminately to any provider of a category of information society services but, on the contrary, a "necessary" and "proportionate" measure for the safeguarding of a specific interest, namely consumer protection, directed against a specific Professional and concerning a "particular" service (FB and IG). This is expressly permitted by Article 3, paragraph 4, of the E-Commerce Directive83.</w:t>
      </w:r>
    </w:p>
    <w:p>
      <w:r>
        <w:t>71. In light of all the above, all objections regarding the competence of the Authority are deemed unfounded.</w:t>
      </w:r>
    </w:p>
    <w:p>
      <w:r>
        <w:t>72. Finally, all objections invoking the Principle of loyal cooperation and, again, that of the Country of Origin, which accuse the Authority of not having preliminarily coordinated and involved the European Commission and the Irish authorities deemed competent by Meta (CCPC, DPA, CM), do not appear to be well-founded.</w:t>
      </w:r>
    </w:p>
    <w:p>
      <w:r>
        <w:t>73. As specified in describing the procedural process, in fact, the Authority first submitted a request to the CCPC via the IMI network, pursuant to Article 5, paragraph 3, letter a), of Legislative Decree 70/2003. This request went unanswered. Subsequently, the AGCM transmitted to the same CCPC and to the European Commission, via the internal market information system, the notification referred to in Article 5, paragraph 3, letter a), of Legislative Decree 70/2003.</w:t>
      </w:r>
    </w:p>
    <w:p>
      <w:r>
        <w:t>b) Assessments on the attribution of practices to Meta Platforms Inc.</w:t>
      </w:r>
    </w:p>
    <w:p>
      <w:r>
        <w:t>74. The conducts are attributed to:</w:t>
        <w:br/>
        <w:t>- Meta Platforms Ireland Ltd., as, based on the evidence acquired, it is the responsible entity for providing FB and IG services throughout the European Union, including Italy;</w:t>
        <w:br/>
        <w:t>- Meta Platforms Inc., as the 100% parent company of Meta Platforms Ireland Ltd.84 and the entity that economically benefits from the conducts under examination, being the parent company of the "Meta group." The consolidated revenue of Meta Inc. for 2023 is, in fact, composed of almost 98% from advertising disseminated on the group's apps based, among other things, on the use of its users' data for profiling purposes85.</w:t>
      </w:r>
    </w:p>
    <w:p>
      <w:r>
        <w:t>Regarding the attribution of the practices also to Meta Platforms Inc., in response to the arguments of the Party, the principle established by jurisprudence is recalled, according to which “[i]n antitrust matters [...] in the presence of a company that holds 100% of the share capital of another company, it is presumed that the parent company exerts a decisive influence on the conduct of the subsidiary, such that it is considered responsible for the unlawful acts materially carried out by the latter. [...] The principle that the parent company is liable for the antitrust violation committed by the subsidiary must also be applied in the context of sanctions for unfair commercial practices. [...] The reported diversity of the two regulatory packages (antitrust and consumer protection) does not eliminate the common matrix and rationale of both, which, even from different perspectives, pertain, for both, to the protection of the duality constituted by the market and the freedom of competition”86. It is also worth recalling what was stated by the Council of State in relation to a previous proceeding in which unfair commercial practices were attributed to the same Meta Platforms Inc. and Meta Platforms Ireland Ltd.87, namely that “in antitrust law, the substantial notion of an enterprise is relevant, based on the notion of a single economic unit that can be subject to administrative sanctions. In the logic of internal civil law categories, the notions of parent company and controlled companies come into play. In these cases, to have a substantial unitary notion of an enterprise, it is necessary that the parent company controls the other companies and is able to exert a dominant influence. However, the existence of a dominant influence does not exclude, as occurred in this case, that a 'conduct' (even omissive) liability can be attributed to the parent company”88. Therefore, in such cases, there is no assertion of "position liability," but rather an assessment that each company, through its conduct, as a result of a common strategy, has violated consumer protection regulations, all “in application of antitrust law and in accordance with the principles of personal liability”89.</w:t>
      </w:r>
    </w:p>
    <w:p>
      <w:r>
        <w:t>75. In light of the aforementioned principles, it is believed that the conducts subject to the proceeding must also be attributed to Meta Platforms Inc. as a company capable of exercising, due to total control, a decisive influence on the activities of Meta Platforms Ireland Ltd. In any case, Meta Platforms Inc. contributed with its behavior to the realization of the unfair commercial practices and benefited from the unfair conducts of Meta Platforms Ireland Ltd.</w:t>
      </w:r>
    </w:p>
    <w:p>
      <w:r>
        <w:t>c) Assessments on the merits</w:t>
      </w:r>
    </w:p>
    <w:p>
      <w:r>
        <w:t>76. The initiation of the proceeding hypothesized two violations by Meta in relation to the commercial practices described in section II, the unfairness of which is confirmed within the limits highlighted below, in light of the evidentiary findings.</w:t>
      </w:r>
    </w:p>
    <w:p>
      <w:r>
        <w:t>In particular:</w:t>
        <w:br/>
        <w:t>i) Practice 1</w:t>
      </w:r>
    </w:p>
    <w:p>
      <w:r>
        <w:t>77. The Professional, by implementing the conduct referred to in A), until March 25, 2024, did not immediately and adequately inform, in the web registration process to the IG platform (i.e., the experience via desktop/browser), about the collection and use of user data for commercial purposes, thus distorting their behavior and inducing them to make a commercial decision that they would not have otherwise made (i.e., whether to register for IG or not).</w:t>
      </w:r>
    </w:p>
    <w:p>
      <w:r>
        <w:t>78. In light of the evidentiary elements collected, it is indeed found that Meta failed to provide the indication “We fund our services using your personal data to show you ads” to its users, which was already present in the registration flow via the app.</w:t>
      </w:r>
    </w:p>
    <w:p>
      <w:r>
        <w:t>79. In this way, the Professional did not provide the consumer with immediate and adequate information on an essential element of the consumer relationship, constituted by the use of user data for profit-making purposes90.</w:t>
      </w:r>
    </w:p>
    <w:p>
      <w:r>
        <w:t>80. The information available by clicking on the links included in the registration process, even following the changes made on March 6, 2024, does not remedy the informational gaps found. In particular, regarding the terms of use of IG to which one of the aforementioned links redirects, (some) information on the use of user data can be found within a broad and generalized notice on the use of the platform only after several scrolls. Moreover, in this context, the use of user data by Meta is presented primarily in terms of improving the service offered, thus “diluting” the information related to the risks associated with the transfer of their data.</w:t>
      </w:r>
    </w:p>
    <w:p>
      <w:r>
        <w:t>81. The information was therefore provided in a misleading, incomplete manner and without the necessary immediacy, thus inducing the consumer to make a decision – whether to register for IG or not – different from the one they would have made if they had been correctly informed. In this regard, it is noted that Meta's conduct must be calibrated with respect to an average consumer, that is, neither fully informed and prudent nor completely uninformed and unsuspecting. Contrary to what the Professional believes, therefore, this figure cannot coincide with a type of consumer who necessarily has particular familiarity and frequentation of websites, which allows them to navigate, with prudent familiarity and secure practice, between “links” and references from one section to another of the site91 nor particular knowledge of the Professional's business model.</w:t>
      </w:r>
    </w:p>
    <w:p>
      <w:r>
        <w:t>82. This conduct is therefore found to be misleading and, at the same time, contrary to those rules of behavior corresponding to a level of specialized knowledge of care and attention that consumers reasonably expect from a Professional like Meta92.</w:t>
      </w:r>
    </w:p>
    <w:p>
      <w:r>
        <w:t>83. Moreover, in this case, the general principles of fairness and good faith in the sector of Meta's activities – and, therefore, the level of professional diligence expected by the legal system – were concretely known to the Professional from the time of initiation. This is because a similar conduct, regarding to 90 See Council of State, March 29, 2021, No. 2631, PS11112 – Facebook, particularly §11, but also consolidated jurisprudence referenced therein. 91 See Lazio TAR, March 3, 2020, No. 1418, PS10702 - Wind 3 (formerly H3g); and, similarly, Lazio TAR, I, July 21, 2023, No. 12340, PS12003 – Vinted. 92 See Court of Justice EU, September 19, 2013, case C-435/11: “The verification of the misleading nature of the commercial practice integrates by itself the contrariety to ‘professional diligence’ and there is therefore no need to verify whether the related requirement is also satisfied.”</w:t>
      </w:r>
    </w:p>
    <w:p>
      <w:r>
        <w:rPr>
          <w:b/>
        </w:rPr>
        <w:t>[Pages 115–117]</w:t>
      </w:r>
    </w:p>
    <w:p>
      <w:r>
        <w:t>BULLETIN NO. 23 OF JUNE 10, 2024 117</w:t>
        <w:br/>
        <w:t>FB had already been examined and criticized by the Authority93, with a decision later confirmed by the jurisprudence94.</w:t>
        <w:br/>
        <w:t>84. As of March 25, 2024, the described informational omission has been remedied, as Meta has included the aforementioned disclaimer on the IG registration webpage, making the information available in the desktop/browser experience just as it was in the app experience.</w:t>
        <w:br/>
        <w:t>i) Practice 2</w:t>
        <w:br/>
        <w:t>85. Preliminary, it should be noted that the observations regarding the low number of complaints and negative reviews considered by the Authority are unfounded. In fact, the alleged insignificance of the reports does not matter for the configuration of the unfairness of the practices. This is because, according to established jurisprudence, unfair commercial practices constitute a danger offense, with the consequence that a prognostic judgment must be made ex ante regarding the potentially harmful nature of the Professional's behavior. Therefore, offensiveness should not be determined with reference to the number of reports actually received (or found) by the Authority, but solely with regard to the potential harmfulness of the practices95.</w:t>
        <w:br/>
        <w:t>86. Regarding the first of the two behaviors constituting Practice 2 – namely the behavior under B) – it should first be noted that Meta does not provide a prior notice of account suspension where the legal framework requires the platform's immediate intervention96. Furthermore, the Professional has demonstrated, in other cases, to provide such prior notice, in the form of a "warning," at the time of the prior removal of content.</w:t>
        <w:br/>
        <w:t>87. In light of the new elements presented or better specified by Meta in its concluding memorandum, it has emerged that Meta originally provided, regarding both platforms, an indication of the violated policy and, therefore, the reasons that led to the interruption of the service in the form of account suspension.</w:t>
        <w:br/>
        <w:t>88. Given the above, Meta is found:</w:t>
        <w:br/>
        <w:t>a) not to have indicated the methods (automated or manual) by which the decision to suspend the account, i.e., to interrupt its services, was made, but this only regarding FB;</w:t>
        <w:br/>
        <w:t>b) not to have provided indications, regarding both social networks, of the possibility to contest the decision, in addition to internal appeal, also by resorting to an extrajudicial dispute resolution body or by going to a judge to contest the Professional's decision and having provided a relatively short term (of 30 days) to contest the decision of the Professional through an internal appeal directed to Meta.</w:t>
        <w:br/>
        <w:t>89. Both profiles are considered overcome in light of the changes made by Meta in August 2023 and, therefore, are currently ceased. The missing information has indeed been added to the information provided to users at the time of account suspension, and the term for internal appeal has been extended to 180 days.</w:t>
        <w:br/>
        <w:t>90. According to Meta, such behaviors would not be characterized by unfairness as they are incapable of impacting the economic choices of an average consumer since they do not pertain to a contractual choice but to a subsequent and pathological phase. Furthermore, regarding the omitted indication of the means to contest the decision made by Meta other than the "internal appeal," the average user would be aware of the possibility of resorting to judicial avenues.</w:t>
        <w:br/>
        <w:t>91. Regarding the first observation, the omission of useful information to contest the interruption of FB and IG services cannot be considered compliant with the professional diligence expected from an operator like Meta. For the consumer, it is not indifferent, for the purposes of a possible contestation of the decision made by the Professional, to know the methods by which that decision was adopted. The indication of alternative means to the internal appeal (judicial or extrajudicial body) is also relevant, as the consumer may believe, in the absence of such indication, that the latter is the only means available to contest Meta's decision. The consumer, in fact, might consider that social networks like IG and FB, being of "supranational" dimension, are somehow unassailable by the national judge or by entities other than Meta, such as extrajudicial dispute resolution bodies (ADR).</w:t>
        <w:br/>
        <w:t>92. Moreover, the interruption of the services offered by Meta, in practice, prevents the user from carrying out social or professional activities connected to it and considered "essential" in contemporary society (so-called "de-platforming"): the diligent Professional should therefore have provided the widest information to private service users, including regarding the methods of contestation and possible resolution of the issues encountered, in order to "reinstate" the user affected by the suspension measure in the social network.</w:t>
        <w:br/>
        <w:t>93. Regarding the second defense formulated by Meta, it should be recalled that the definition of commercial practice, provided by Article 18, letter d), of the Consumer Code has a very broad scope. It indeed includes any practice, active or omissive, carried out before, during, and after a commercial operation concerning a product or service, including a digital service97. The objective scope thus extends from the first contact between the parties to the execution of the contract and even after the termination of the same contract. Therefore, the fact that the practice does not concern a strictly "negotiable" or "pre-negotiable" phase, but an executive/subsequent phase, albeit pathological, of the contract between Meta and the user, does not exclude that it is capable of distorting their commercial choices.</w:t>
        <w:br/>
        <w:t>94. Regarding the second behavior constituting Practice 2 – behavior under C) – following the investigation, it appears that:</w:t>
        <w:br/>
        <w:t>- Meta originally made available for both social networks tools that do not rely on sending "recovery codes" to users' contact points (email addresses or phone numbers): for example, [omitted];</w:t>
        <w:br/>
        <w:t>- recognition via [omitted] had always been available for both platforms and was added to the other recovery tools mentioned above.</w:t>
        <w:br/>
        <w:t>Finally, although the recovery tools were already sufficient, Meta voluntarily introduced additional tools during the investigation, such as [omitted] (August 2023 for both platforms), [omitted] (introduced in July 2023 for FB and in December 2023 for IG), [omitted] (introduced in July 2023 for FB and in May 2024 for IG).</w:t>
        <w:br/>
        <w:t>d) Assessments on the position of the Authority for Guarantees in Communications</w:t>
        <w:br/>
        <w:t>95. AGCOM has decided not to proceed with the issuance of the requested opinion regarding the "conduct described in the attached documentation," invoking the applicability of what the same Authority defines as "sector regulation" under its competence – namely Articles 17 and 23 of the DSA – and believing that the profiles of contestation of the "conduct" in question do not appear "connected to any commercial practice." In this regard, the following observations are made.</w:t>
        <w:br/>
        <w:t>96. First of all, AGCOM, making a generic reference to the "conduct described in the attached documentation" and the respective "profiles of contestation of the conduct as outlined in the request for opinion," has expressed its considerations only in relation to the second of the two contested commercial practices, and specifically to the only conduct under B) within it, completely omitting to express itself on the first practice. In fact, the invoked Articles 17 and 23 DSA do not seem to intersect even abstractly with the profiles related to Practice 1.</w:t>
        <w:br/>
        <w:t>97. In any case, regarding the merits of the evaluations formulated by AGCOM concerning Practice 2, it is worth recalling what has already been extensively clarified regarding the rationale and significance of Article 27, paragraph 1-bis, of the Consumer Code, which identifies a general criterion for the preventive allocation of competences between AGCM and the Supervisory Authority in all regulated sectors, assigning exclusively to AGCM the enforcement regarding all behaviors that give rise to an unfair commercial practice, including those that could simultaneously integrate the violation of a sector norm. The consumer protection discipline does not indeed apply "only when provisions foreign to it, governing specific aspects of unfair commercial practices, impose on professionals, without any margin of maneuver, obligations incompatible with those established by Directive 2005/29"98. This principle has also been widely confirmed in national administrative jurisprudence99.</w:t>
        <w:br/>
        <w:t>98. In this case, there is no "conflict" in the terms recalled above. With reference to Practice 2, the two cited provisions (17 and 23 DSA) do not indeed identify obligations incompatible with those established by Directive 2005/29/EC, but rather are perfectly consistent with the evaluations made in this case under consumer protection discipline.</w:t>
        <w:br/>
        <w:t>99. In particular, the first of these provisions (Article 17 DSA) provides that the platform must provide users with a clear and specific justification for the restrictive measures applied in response to illegal or incompatible content with its general conditions "at the latest from the date from which the restriction is imposed" and that such information must be "as precise and specific as possible" and "such as to reasonably allow the recipient of the service concerned to effectively exploit the possibilities of appeal." In the same sense, the PS12566 procedure has been aimed, since its inception, at ensuring users of the two platforms managed by META an informative characterized by the nature of preventiveness or at most of contemporaneity (in case of suspension), clear and exhaustive regarding the reasons underlying Meta's adoption of the restrictive measures taken, with particular attention to the indication of the specific policy.</w:t>
        <w:br/>
        <w:t>98 Court of Justice EU, September 13, 2018, joined cases C-54/17 and C-55/17, cited.</w:t>
        <w:br/>
        <w:t>99 Council of State October 1, 2021, no. 6596; idem, December 27, 2021, no. 8620; idem, February 27, 2023, no. 1953.</w:t>
      </w:r>
    </w:p>
    <w:p>
      <w:r>
        <w:rPr>
          <w:b/>
        </w:rPr>
        <w:t>[Pages 118–120]</w:t>
      </w:r>
    </w:p>
    <w:p>
      <w:r>
        <w:t>120 BULLETIN NO. 23 OF JUNE 10, 2024</w:t>
        <w:br/>
        <w:t>violated by the user in the individual case, in order to ensure the latter a space for contradiction and effective contestation of the measures imposed from time to time, also through the extension of the term for internal appeal.</w:t>
        <w:br/>
        <w:t>100. At the same time, Article 23 DSA requires online platforms that suspend their services due to the repeated provision by the user of manifestly illegal content to issue a "prior notice": even with respect to this regulatory provision, the PS12566 procedure is perfectly consistent, being aimed – as already mentioned – at ensuring consumers a preventive communication and having verified in this regard that Meta uses the system of so-called warnings in the event of removal of manifestly illegal content, warning them of the possibility of incurring suspension in case of repetition, and sending, at the time of account suspension, the above-mentioned notice.</w:t>
        <w:br/>
        <w:t>101. Therefore, while there is no "conflict" between consumer protection regulations and the rules invoked by AGCOM, it is reiterated that it is the DSA itself – defined by AGCOM as "sector-specific legislation" – that does not prejudice the acquis in the field of consumer protection (see Article 2 and Recital 10 DSA).</w:t>
        <w:br/>
        <w:t>102. In light of all this, although it is theoretically possible to send a request for cross-border cooperation under Article 58 DSA to the coordinator of digital services in the place of establishment of the intermediary service provider (the Irish authority Coimisiùn na Meàn), this does not imply or justify AGCOM's assessment that no commercial practice would be integrated. Such assessment, pursuant to Article 27, paragraph 1-bis of the Consumer Code, is exclusively the responsibility of AGCM, which has ascertained, in this specific case, the violation of the duty of diligence imposed on the Professional by Article 20 of the Consumer Code.</w:t>
        <w:br/>
        <w:t>e) Conclusions</w:t>
        <w:br/>
        <w:t>103. In light of the evidence presented and the considerations that precede, the two unfair commercial practices contested at the outset are confirmed, within the limits highlighted above.</w:t>
        <w:br/>
        <w:t>104. Practice 1 constitutes a violation of Articles 20, 21, and 22 of the Consumer Code as the Professional, by implementing the conduct under A), until March 25, 2024, did not immediately inform, that is, at the activation stage and before the registration of the IG account via the web, of the activity of collection and use, for commercial purposes, of the user's data, thus inducing him to make a commercial decision that he would not have otherwise made (registration on the IG platform to take advantage of the eponymous social network service).</w:t>
        <w:br/>
        <w:t>105. Practice 2 constitutes a violation of Article 20 of the Consumer Code as, by implementing the conduct under B), Meta, until August 2023, contrary to the obligations arising from the professional diligence expected from the platform, failed to: i) with regard to the FB platform, indicate the methods (automated or manual) by which the decision to suspend the account was made, that is, to interrupt its services; ii) with regard to both social networks, provide indications of the possibility to contest the decision to suspend the account, not only through internal appeal but also by resorting to an extrajudicial dispute resolution body or going to a judge to contest the Professional's decision and having provided a relatively short term (of 30 days) to contest through internal appeal directed to Meta the decision of the Professional.</w:t>
      </w:r>
    </w:p>
    <w:p>
      <w:r>
        <w:t>BULLETIN NO. 23 OF JUNE 10, 2024 121</w:t>
        <w:br/>
        <w:t>VI. QUANTIFICATION OF THE SANCTION</w:t>
        <w:br/>
        <w:t>106.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w:t>
        <w:br/>
        <w:t>107. In this regard, it is noted that, for the reasons described above, the conduct in question continued even after the entry into force, on April 2, 2023, of the new sanctioning regime, which increased the maximum penalty for consumer protection violations from five to ten million euros. This conduct is comparable to a case of permanent or continuous offense, with respect to which, by virtue of the principle tempus regit actum, the sanctioning regime in force at the time the administration proceeds to impose the sanction itself applies, namely the new version of the aforementioned Article 27, paragraph 9, of the Consumer Code.</w:t>
        <w:br/>
        <w:t>108. In the presence of multiple conduct with structural and functional autonomy, attributed to the responsibility of the professionals, the criterion of material accumulation of sanctions applies100.</w:t>
        <w:br/>
        <w:t>109. Regarding the quantification of the sanctions,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110. For the purposes of assessing the severity of both Practices, it is taken into account that the consolidated revenue of Meta Platforms Inc., as of December 31, 2023, amounts to €122.23 billion (source SEC, based on the euro/dollar exchange rate as of December 31, 2023), with a gross operating margin of approximately €42 billion. The revenue of Meta Platforms Ireland Ltd., as of December 31, 2022 (the last certified financial statement provided by the Party), amounts to €58.06 billion, with a gross operating margin of approximately €1.3 billion.</w:t>
        <w:br/>
        <w:t>111. Regarding the severity of Practice 1, implemented through the conduct under A), account must also be taken of the harm suffered by consumers, as this practice concerns a social media service that uses the informational assets constituted by user data for their profiling for commercial use, resulting in these data acquiring a specific economic value.</w:t>
        <w:br/>
        <w:t>112. However, the practice had only partial dissemination, affecting only the web registration process (desktop browser) and not also that via app (mobile device). Furthermore, unlike the information that was previously disseminated regarding FB, in the current case there was no claim of free service.</w:t>
        <w:br/>
        <w:t>113. As for the duration of the violation, from the elements available in the records, it appears that the commercial practice was carried out from March 28, 2023101 to March 25, 2024, having ceased due to the changes made by the professional.</w:t>
        <w:br/>
        <w:t>114. Based on these elements, it is deemed appropriate to determine the base amount of the administrative pecuniary sanction applicable to Meta Platforms Inc. and Meta Platforms Ireland Ltd. jointly in the amount of €2,500,000 (two million five hundred thousand euros).</w:t>
        <w:br/>
        <w:t>100 See, among others, Council of State, January 19, 2012, No. 209.</w:t>
        <w:br/>
        <w:t>101 See doc. 3.</w:t>
      </w:r>
    </w:p>
    <w:p>
      <w:r>
        <w:t>122 BULLETIN NO. 23 OF JUNE 10, 2024</w:t>
        <w:br/>
        <w:t>115. Considering that there is, in this specific case, an aggravating circumstance as the Professional has engaged in conduct that partially reiterates that already sanctioned by the Authority in relation to FB (PS11112), it is deemed appropriate to determine the amount of the sanction in the amount of €3,000,000 (three million euros).</w:t>
        <w:br/>
        <w:t>116. Regarding Practice 2, resulting from the combination of the conduct under B) and C), concerning the severity of the violation, account is taken of the fact that the information provided by Meta to users at the time of service suspension, while being preventive where possible and indicating the reason for the measure adopted (policy violated), failed to specify with respect to FB the methods by which the violation was detected and did not indicate, with respect to both platforms, the means of contestation other than "internal appeal," made available to the user to challenge this measure; finally, Meta provided a relatively "short" term to activate the internal appeal procedure. It must also be taken into account that the tools for account recovery made available by Meta were sufficient to provide adequate protection for the user to face situations that were nonetheless diverse from one another.</w:t>
        <w:br/>
        <w:t>117. Regarding the duration of the violation, from the elements available in the records, it appears that the commercial practice was carried out from March 28, 2023102 to August 2023, having ceased due to the changes made by the Professional.</w:t>
        <w:br/>
        <w:t>118. Based on these elements, it is deemed appropriate to determine the base amount of the administrative pecuniary sanction applicable to Meta Platforms Inc. and Meta Platforms Ireland Ltd. jointly in the amount of €1,000,000 (one million euros).</w:t>
        <w:br/>
        <w:t>119. Considering that there is, in this specific case, a mitigating circumstance as the Professional has offered active cooperation by adopting further improvements to the account recovery measures during the investigation, which are already sufficient in themselves, it is deemed appropriate to determine the amount of the sanction in the amount of €500,000 (five hundred thousand euros).</w:t>
        <w:br/>
        <w:t>THEREFORE, based on the considerations set forth, Practice 1 is deemed unfair under Articles 20, 21, and 22 of the Consumer Code as it is contrary to professional diligence and suitable, due to the non-immediate information – that is, at the activation stage and before the registration of the IG account via the web – of the activity of collection and use, for commercial purposes, of the user's data, to appreciably distort the economic behavior of the average consumer, thus inducing him to make a commercial decision that he would not have otherwise made in relation to the service offered by the Professional;</w:t>
        <w:br/>
        <w:t>THEREFORE, it is deemed, contrary to what was decided by the Authority for Guarantees in Communications and based on the considerations set forth, that Practice 2 is deemed unfair under Article 20 of the Consumer Code as it is contrary to professional diligence and suitable, through i) the failure to indicate the methods (automated or manual) by which the decision to suspend the account was made, with respect to FB and ii) the failure to indicate, with respect to both social networks, the possibility to contest the decision to suspend the account, not only through internal appeal but also by resorting to an extrajudicial dispute resolution body or going to a judge to contest the decision of the Professional, as well as the provision of a relatively short term (of 30 days) to contest through internal appeal directed to Meta the decision of the Professional.</w:t>
      </w:r>
    </w:p>
    <w:p>
      <w:r>
        <w:rPr>
          <w:b/>
        </w:rPr>
        <w:t>[Pages 121–123]</w:t>
      </w:r>
    </w:p>
    <w:p>
      <w:r>
        <w:t>BULLETIN NO. 23 OF JUNE 10, 2024 123</w:t>
        <w:br/>
        <w:t>the decision of the Professional, significantly distorting the economic behavior of the average consumer in relation to the service offered by the Professional;</w:t>
      </w:r>
    </w:p>
    <w:p>
      <w:r>
        <w:t>RESOLUTION</w:t>
        <w:br/>
        <w:t>a) that the commercial practice described in point II sub i) - Practice 1 - of this provision, carried out by the companies Meta Platforms Inc. and Meta Platforms Ireland Ltd., constitutes, for the reasons and within the limits set out in the reasoning, an unfair commercial practice pursuant to Articles 20, 21, and 22 of the Consumer Code and prohibits its repetition;</w:t>
        <w:br/>
        <w:t>b) that the commercial practice described in point II sub ii) - Practice 2 - of this provision, carried out by the companies Meta Platforms Inc. and Meta Platforms Ireland Ltd., constitutes, for the reasons and within the limits set out in the reasoning, an unfair commercial practice pursuant to Article 20 of the Consumer Code and prohibits its repetition;</w:t>
        <w:br/>
        <w:t>c) to impose jointly on the companies Meta Platforms Inc. and Meta Platforms Ireland Ltd., an administrative pecuniary sanction of €3,000,000 (three million euros) for the violation referred to in letter a);</w:t>
        <w:br/>
        <w:t>d) to impose jointly on the companies Meta Platforms Inc. and Meta Platforms Ireland Ltd., an administrative pecuniary sanction of €500,000 (five hundred thousand euros) for the violation referred to in letter b);</w:t>
      </w:r>
    </w:p>
    <w:p>
      <w:r>
        <w:t>The administrative sanctions imposed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date on which the role is transmitted to the collector for collection; in this case, the increase absorbs the late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Competition and Market Authority.</w:t>
      </w:r>
    </w:p>
    <w:p>
      <w:r>
        <w:t>124 BULLETIN NO. 23 OF JUNE 10, 2024</w:t>
        <w:b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Guido Stazi Roberto Rustichelli</w:t>
      </w:r>
    </w:p>
    <w:p>
      <w:r>
        <w:t>Competition and Market Authority Weekly Bulletin</w:t>
        <w:br/>
        <w:t>Year XXXIV - No. 23 - 2024</w:t>
        <w:br/>
        <w:t>Editorial Coordination Giulia Antenucci</w:t>
        <w:br/>
        <w:t>Editorial Staff Angela D’Auria, Valerio Ruocco, Manuela Villani</w:t>
        <w:br/>
        <w:t>Competition and Market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