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https://www.agcm.it/dotcmsdoc/bollettini/2019/24-19.pdf</w:t>
      </w:r>
    </w:p>
    <w:p>
      <w:r>
        <w:t>Pages translated : 28</w:t>
      </w:r>
    </w:p>
    <w:p/>
    <w:p>
      <w:r>
        <w:rPr>
          <w:b/>
        </w:rPr>
        <w:t>[Pages 1–3]</w:t>
      </w:r>
    </w:p>
    <w:p>
      <w:r>
        <w:t>Bulletin</w:t>
        <w:br/>
        <w:t>Weekly</w:t>
        <w:br/>
        <w:t>Year XXIX - No. 24</w:t>
        <w:br/>
        <w:t>Published on the website www.agcm.it</w:t>
        <w:br/>
        <w:t>June 17, 2019</w:t>
      </w:r>
    </w:p>
    <w:p>
      <w:r>
        <w:t>SUMMARY</w:t>
        <w:br/>
        <w:t>CONCENTRATION OPERATIONS 5</w:t>
        <w:br/>
        <w:t>C12229 - MD/21 BUSINESS BRANCHES OF ROBERTO ABATE</w:t>
        <w:br/>
        <w:t>Provision No. 27788 5</w:t>
        <w:br/>
        <w:t>NOTIFICATION AND CONSULTATIVE ACTIVITIES 10</w:t>
        <w:br/>
        <w:t>AS1585 – MUNICIPALITY OF IMPERIA – ORDINARY AND EXTRAORDINARY MAINTENANCE OF</w:t>
        <w:br/>
        <w:t>PUBLIC LIGHTING INSTALLATIONS 10</w:t>
        <w:br/>
        <w:t>AS1586 – MUNICIPALITY OF SAN BONIFACIO (VR) - ESTABLISHMENT BY AGSM VERONA S.P.A.</w:t>
        <w:br/>
        <w:t>OF A NEWCO TO ACQUIRE SHARES OF UNI.CO.G.E. S.R.L. 16</w:t>
        <w:br/>
        <w:t>AS1587 – MUNICIPALITY OF COLOGNA VENETA (VR) - ESTABLISHMENT BY AGSM VERONA</w:t>
        <w:br/>
        <w:t>S.P.A. OF A NEWCO TO ACQUIRE SHARES OF UNI.CO.G.E. S.R.L. 19</w:t>
        <w:br/>
        <w:t>AS1588 – AUTONOMOUS PROVINCE OF TRENTO – PUBLIC CONTRIBUTIONS FOR CULTURAL</w:t>
        <w:br/>
        <w:t>EVENTS 23</w:t>
        <w:br/>
        <w:t>AS1589 - DISTORTIONS OF COMPETITION IN THE REGULATED PROFESSIONS SECTOR - MODALITIES</w:t>
        <w:br/>
        <w:t>FOR APPLICATION OF ARTICLE 10 PARAGRAPH 4 LETTER B) OF LAW 183/2011 (STABILITY LAW</w:t>
        <w:br/>
        <w:t>2012) 25</w:t>
        <w:br/>
        <w:t>AS1589B - DISTORTIONS OF COMPETITION IN THE REGULATED PROFESSIONS SECTOR - ARTICLE 10</w:t>
        <w:br/>
        <w:t>PARAGRAPH 4 LETTER B) OF LAW 183/2011 (STABILITY LAW 2012) 28</w:t>
      </w:r>
    </w:p>
    <w:p>
      <w:r>
        <w:t>BULLETIN NO. 24 OF JUNE 17, 2019 5</w:t>
        <w:br/>
        <w:t>CONCENTRATION OPERATIONS</w:t>
        <w:br/>
        <w:t>C12229 - MD/21 BUSINESS BRANCHES OF ROBERTO ABATE</w:t>
        <w:br/>
        <w:t>Provision No. 27788</w:t>
        <w:br/>
        <w:t>THE ITALIAN COMPETITION AUTHORITY</w:t>
        <w:br/>
        <w:t>IN ITS MEETING of May 29, 2019;</w:t>
        <w:br/>
        <w:t>HEARD the Rapporteur Dr. Gabriella Muscolo;</w:t>
        <w:br/>
        <w:t>HAVING REGARD TO Law No. 287 of October 10, 1990;</w:t>
        <w:br/>
        <w:t>HAVING REGARD TO D.P.R. No. 217 of April 30, 1998;</w:t>
        <w:br/>
        <w:t>HAVING REGARD TO the communication from MD S.p.A., received on April 16, 2019 and supplemented on</w:t>
        <w:br/>
        <w:t>May 2, 2019;</w:t>
        <w:br/>
        <w:t>HAVING REGARD TO its request for information, sent on May 9, 2019, with which the deadlines for the</w:t>
        <w:br/>
        <w:t>evaluation of the transaction pursuant to Article 5, paragraph 3, of D.P.R. No. 217/1998 were interrupted;</w:t>
        <w:br/>
        <w:t>HAVING REGARD TO the response from MD S.p.A., received on May 17, 2019;</w:t>
        <w:br/>
        <w:t>HAVING REGARD TO the documentation on file;</w:t>
        <w:br/>
        <w:t>CONSIDERING the following:</w:t>
        <w:br/>
        <w:t>I. THE PARTIES</w:t>
        <w:br/>
        <w:t>1. MD S.p.A. (hereinafter "MD", the "acquiring" company or the "Party") is a company active in the</w:t>
        <w:br/>
        <w:t>modern distribution sector of food and non-food products of mass and general consumption (hereinafter</w:t>
        <w:br/>
        <w:t>"GDO"), with a chain of directly controlled sales points (hereinafter "direct sales points") and affiliated</w:t>
        <w:br/>
        <w:t>ones, bearing the trade name "MD", distributed throughout the national territory.</w:t>
        <w:br/>
        <w:t>In 2017, the direct sales points under the "MD" brand amounted to 497 (of which 252 in Northern Italy and</w:t>
        <w:br/>
        <w:t>Sardinia and 245 in Southern Italy and Sicily) while those in affiliation were 220 (of which 98 in the</w:t>
        <w:br/>
        <w:t>Northern Italy and Sardinia area and 122 in the Southern Italy and Sicily area).</w:t>
        <w:br/>
        <w:t>MD is a company of the group headed by the Podini family (hereinafter "Podini Group") and is</w:t>
        <w:br/>
        <w:t>subject to the control of the holding Lillo S.p.A. (hereinafter "Lillo").</w:t>
        <w:br/>
        <w:t>The Podini Group is active, in addition to GDO with the company MD, in the real estate, photovoltaic,</w:t>
        <w:br/>
        <w:t>logistics, information systems, publishing, and food retail sectors. The Podini Group achieved a consolidated</w:t>
        <w:br/>
        <w:t>turnover of over [2-3]1 billion euros from sales in Italy in 2017.</w:t>
        <w:br/>
        <w:t>1 In this version, some data are omitted, as elements of confidentiality or secrecy of the information were deemed to exist.</w:t>
      </w:r>
    </w:p>
    <w:p>
      <w:r>
        <w:rPr>
          <w:b/>
        </w:rPr>
        <w:t>[Pages 4–6]</w:t>
      </w:r>
    </w:p>
    <w:p>
      <w:r>
        <w:t>6 BULLETIN NO. 24 OF JUNE 17, 2019</w:t>
      </w:r>
    </w:p>
    <w:p>
      <w:r>
        <w:t>2. Roberto Abate S.p.A. in liquidation (hereinafter "RA in liquidation") is a company that has historically operated in Sicily in the large-scale retail sector, developing its turnover mainly in the Sicilian provinces of Catania, Siracusa, Messina, and Enna with various brands and formats, from small proximity stores to hypermarkets. In 2018, the Group managed - through the brands A&amp;O, Famila, and ARD - 79 points of sale, of which 63 were directly managed and 16 were affiliated (9 under concession and in lease of business branch). The 21 points of sale subject to acquisition - specifically, medium-small supermarkets located in the province of Catania (17), in the province of Siracusa (2), and in the province of Enna (2) - generated a total turnover of [30-100] million euros in 2017 and [30-100] million euros in 2018, for sales in Italy.</w:t>
      </w:r>
    </w:p>
    <w:p>
      <w:r>
        <w:t>II. DESCRIPTION OF THE TRANSACTION</w:t>
      </w:r>
    </w:p>
    <w:p>
      <w:r>
        <w:t>3. The transaction in question involves the acquisition, from the preventive agreement of RA in liquidation, through a competitive judicial auction procedure, of 21 active points of sale in the large-scale retail sector, located in the provinces of Catania (17), Siracusa (2), and Enna (2), all having a size between 400 and 1500 square meters, except for one point of sale of approximately 300 square meters (see Table 1).</w:t>
      </w:r>
    </w:p>
    <w:p>
      <w:r>
        <w:t>Table 1 – Points of sale subject to acquisition</w:t>
      </w:r>
    </w:p>
    <w:p>
      <w:r>
        <w:t>| N. | Brand | Province | Address | Total sqm | Sale sqm |</w:t>
        <w:br/>
        <w:t>|----|-------|----------|---------|-----------|----------|</w:t>
        <w:br/>
        <w:t>| 1  | UNO D. | Gravina CT | Gravina (CT) Via Etnea, 18 | 1218 | 770 |</w:t>
        <w:br/>
        <w:t>| 2  | UNO D. | Viale Ulisse CT | Catania Viale Ulisse, 13 | 1020 | 804 |</w:t>
        <w:br/>
        <w:t>| 3  | UNO D. | Viale Vitt. Veneto CT | Catania Via V. Veneto, 60 | 991 | 669 |</w:t>
        <w:br/>
        <w:t>| 4  | UNO D. | Calatabiano CT | Calatabiano (CT) Via Garibaldi, 177 | 786 | 470 |</w:t>
        <w:br/>
        <w:t>| 5  | UNO D. | Pedara CT | Pedara (CT) Via G.Verga, 20/22 | 310 | 281 |</w:t>
        <w:br/>
        <w:t>| 6  | UNO D. | Adrano CT | Adrano (CT) Via Pastore, s.n.c. | 1150 | 820 |</w:t>
        <w:br/>
        <w:t>| 7  | UNO D. | Acquicella CT | Catania Via Acquicella Porto, 7 | 1705 | 1250 |</w:t>
        <w:br/>
        <w:t>| 8  | UNO D. | Via Balatelle CT | Paternò (CT) Via Balatelle, 15 | 1450 | 1000 |</w:t>
        <w:br/>
        <w:t>| 9  | UNO D. | Belpasso Timpa Magna BELPASSO CT | Belpasso (CT) Contrada Timpa Magna | 1195 | 970 |</w:t>
        <w:br/>
        <w:t>| 10 | UNO D. | Randazzo Campo Re CT | Randazzo (CT) Contrada Campo Re | 1410 | 938 |</w:t>
        <w:br/>
        <w:t>| 11 | UNO D. | Valcorrente (BELPASSO ETNAPOLIS) CT | Belpasso (CT) Via Valcorrente, 6 | 965 | 725 |</w:t>
        <w:br/>
        <w:t>| 12 | UNO D. | Giarre CT | Giarre (CT) Viale delle Province, 70 | 840 | 520 |</w:t>
        <w:br/>
        <w:t>| 13 | UNO D. | Catania Librino CT | Catania Viale Librino, 15 | 1369 | 938 |</w:t>
        <w:br/>
        <w:t>| 14 | UNO D. | Giarre Ruggero I CT | Giarre (CT) Via Ruggero I, 65 | 1600 | 960 |</w:t>
        <w:br/>
        <w:t>| 15 | UNO D. | S.M. La Stella CT | S.M. la Stella (CT) Contrada Cantagallo | 1835 | 999 |</w:t>
        <w:br/>
        <w:t>| 16 | UNO D. | Bronte CT | Bronte (CT) Via Palermo | 900 | 758 |</w:t>
        <w:br/>
        <w:t>| 17 | UNO D. | PATERNO' CT | Paternò Via Sardegna | 1283 | 761 |</w:t>
        <w:br/>
        <w:t>| 18 | UNO D. | Leonforte EN | Leonforte (EN) Via dei 100 Comuni d'Italia s.n.c. | 1100 | 776 |</w:t>
        <w:br/>
        <w:t>| 19 | UNO D. | Piazza Armerina EN | Piazza Armerina (EN) Contrada Bellia | 1538 | 995 |</w:t>
        <w:br/>
        <w:t>| 20 | UNO D. | Augusta SR | Augusta (SR) Contrada Monte Tauro (Via Zuppello) | 1486 | 1000 |</w:t>
        <w:br/>
        <w:t>| 21 | UNO D. | Augusta SR | Augusta (SR) Via Marina di Ponente | 2050 | 1000 |</w:t>
      </w:r>
    </w:p>
    <w:p>
      <w:r>
        <w:t>Source: the Party</w:t>
      </w:r>
    </w:p>
    <w:p>
      <w:r>
        <w:t>2 Court Order of the Court of Catania of 14.03.2019, as supplemented by the Court Order of Catania of 19.03.2019.</w:t>
      </w:r>
    </w:p>
    <w:p>
      <w:r>
        <w:t>BULLETIN NO. 24 OF JUNE 17, 2019</w:t>
      </w:r>
    </w:p>
    <w:p>
      <w:r>
        <w:t>III. QUALIFICATION OF THE TRANSACTION</w:t>
      </w:r>
    </w:p>
    <w:p>
      <w:r>
        <w:t>4. The notified transaction, as it involves the acquisition of control of parts of a business, constitutes a concentration pursuant to Article 5, paragraph 1, letter b), of Law No. 287/90.</w:t>
      </w:r>
    </w:p>
    <w:p>
      <w:r>
        <w:t>5. It falls within the scope of application of Law No. 287/90 as the conditions of Article 1 of Regulation EC 139/04 do not apply, and it is subject to the obligation of prior notification provided by Article 16, paragraph 1, of the same law, since the total turnover achieved, in the last financial year at the national level, by all the companies involved in the transaction exceeded 498 million euros and the turnover achieved in the last financial year at the national level by at least two of the companies involved exceeded 30 million euros.</w:t>
      </w:r>
    </w:p>
    <w:p>
      <w:r>
        <w:t>IV. EVALUATION OF THE CONCENTRATION</w:t>
      </w:r>
    </w:p>
    <w:p>
      <w:r>
        <w:t>The product market</w:t>
      </w:r>
    </w:p>
    <w:p>
      <w:r>
        <w:t>6. According to the established practice of the Authority, in the large-scale retail sector (GDO), multiple operators with extremely varied sizes, characteristics, and organizational formulas operate at the national level. In particular, the GDO is usually divided into: Large Distribution (GD), which includes large retail chains organized in the form of a company or group of companies, and Organized Distribution (DO), which includes chains made up of distinct legal entities, but "linked" by common adherence to various types of associative formulas, such as consortia, voluntary unions, service companies, consumer cooperatives, etc.</w:t>
      </w:r>
    </w:p>
    <w:p>
      <w:r>
        <w:t>7. Within the GDO, different categories of points of sale (hypermarkets, supermarkets, convenience stores, and discount stores) can be distinguished, which differ based on a set of characteristics (size, positioning, range of products offered, presence of fresh food counters, etc.) that contribute to determining their quality and level of services offered.</w:t>
      </w:r>
    </w:p>
    <w:p>
      <w:r>
        <w:t>8. Based on a consolidated orientation of the Authority, there exists a chain of substitutability among the different types of points of sale, which means that the most significant relationships, for the purposes of market delimitation, are limited to the categories immediately adjacent in terms of size. The relationships of substitutability are not necessarily symmetric, as it can be hypothesized that larger points of sale exert greater competitive pressure.</w:t>
      </w:r>
    </w:p>
    <w:p>
      <w:r>
        <w:t>9. In its previous decisions, the Authority has consequently identified the existence of distinct product markets for each size category of points of sale, defined in particular as follows:</w:t>
        <w:br/>
        <w:t>i) the market for convenience stores (100-400 sqm), composed of the same convenience stores and medium-small supermarkets (having an area between 400 and 1,500 sqm);</w:t>
        <w:br/>
        <w:t>ii) the market for supermarkets (400-2,500 sqm), composed of all supermarkets, convenience stores, and hypermarkets;</w:t>
        <w:br/>
        <w:t>iii) the market for hypermarkets (2,500 sqm and above), composed of hypermarkets and large supermarkets (of size equal to or greater than 1,500 sqm).</w:t>
      </w:r>
    </w:p>
    <w:p>
      <w:r>
        <w:t>10. For the 20 business branches subject to acquisition, consisting of points of sale with sizes greater than 400 sqm and less than 1500 sqm, the relevant product market for this transaction is that of supermarkets. For the remaining point of sale, whose size is less than 400 sqm, the product market is that of convenience stores.</w:t>
      </w:r>
    </w:p>
    <w:p>
      <w:r>
        <w:t>The geographical market</w:t>
      </w:r>
    </w:p>
    <w:p>
      <w:r>
        <w:t>11. From a geographical perspective, the markets of the GDO have a local dimension, considering the purchasing behaviors of consumers and the importance they attribute to the proximity of points of sale. However, the exact delimitation of the geographical dimension of the markets must be carried out on a case-by-case basis, based on the size of the catchment areas of the individual points of sale of the companies involved and their level of overlap. It is the Authority's practice to assess the competitive conditions existing in specific portions of territory delimited by isochrone or isometric curves constructed around the individual points of sale involved in the transaction.</w:t>
      </w:r>
    </w:p>
    <w:p>
      <w:r>
        <w:t>12. Taking into account the territorial distribution of the points of sale subject to acquisition, the geographical markets affected by this transaction are therefore identified by the area delimited by isochrone curves of 20 minutes of driving constructed around the points of sale involved.</w:t>
      </w:r>
    </w:p>
    <w:p>
      <w:r>
        <w:t>The effects of the transaction</w:t>
      </w:r>
    </w:p>
    <w:p>
      <w:r>
        <w:t>13. For six points of sale, belonging to the supermarket market, there is no horizontal overlap between the Parties within their respective 20-minute isochrones. For these business branches, therefore, the concentration transaction consists merely of the replacement of one competitor with another.</w:t>
      </w:r>
    </w:p>
    <w:p>
      <w:r>
        <w:t>14. Regarding 10 points of sale, belonging to the supermarket market, and the only point of sale belonging to the convenience store market, the relevant market share held by the Party within each isochrone, as a result of the transaction, is less than 15% and, as such, does not raise competitive concerns.</w:t>
      </w:r>
    </w:p>
    <w:p>
      <w:r>
        <w:t>15. In relation to 3 points of sale, belonging to the product market of supermarkets, the market share held by the parties, as a result of the concentration, within the respective isochrone is greater than 15%. In particular:</w:t>
        <w:br/>
        <w:t>• a market share of [15-20]% in the isochrone centered on the point of sale on Via Sardegna in Paternò (n. 8 of Table 1);</w:t>
        <w:br/>
        <w:t>• a market share of [15-20]% in the isochrone centered on the point of sale in Belpasso (n. 9 of Table 1);</w:t>
      </w:r>
    </w:p>
    <w:p>
      <w:r>
        <w:rPr>
          <w:b/>
        </w:rPr>
        <w:t>[Pages 7–9]</w:t>
      </w:r>
    </w:p>
    <w:p>
      <w:r>
        <w:t>BULLETIN NO. 24 OF JUNE 17, 2019 9</w:t>
      </w:r>
    </w:p>
    <w:p>
      <w:r>
        <w:t>• a market share of [15-20]% in the isochrone centered on the point of sale in Paternò (n. 17 of table 1). However, in all three cases, large groups active in the GDO within such isochrone curves – such as the Vege Group, CRAI, and Eurospin - with market shares similar to or higher than that of the Party, appear capable of exerting significant current and potential competitive pressure.</w:t>
      </w:r>
    </w:p>
    <w:p>
      <w:r>
        <w:t>16. In relation to the point of sale Uno D. Leonforte in the province of Enna, the market share that the Party will hold as a result of the concentration operation is [30-35]%. The main competitors hold significant shares (Vege [20-25]%, Conad [15-20]%, CRAI [15-20%], and Despar [5-10%]) and are primary operators at the national level in the GDO sector, capable of exerting significant current and potential competition.</w:t>
      </w:r>
    </w:p>
    <w:p>
      <w:r>
        <w:t>17. In conclusion, the concentration operation does not appear to substantially alter the level of competition in the relevant markets considered.</w:t>
      </w:r>
    </w:p>
    <w:p>
      <w:r>
        <w:t>CONSIDERED, therefore, that the operation in question does not result, pursuant to Article 6, paragraph 1, of Law No. 287/90, in the establishment or strengthening of a dominant position in the affected markets such as to eliminate or substantially and durably reduce competition;</w:t>
      </w:r>
    </w:p>
    <w:p>
      <w:r>
        <w:t>RESOLVES</w:t>
      </w:r>
    </w:p>
    <w:p>
      <w:r>
        <w:t>not to initiate the investigation referred to in Article 16, paragraph 4, of Law No. 287/90. The above conclusions will be communicated, pursuant to Article 16, paragraph 4, of Law No. 287/90, to the companies involved and to the Minister of Economic Development. This provision will be published in the Bulletin of the Italian Competition Authority.</w:t>
      </w:r>
    </w:p>
    <w:p>
      <w:r>
        <w:t>THE SECRETARY GENERAL THE PRESIDENT</w:t>
        <w:br/>
        <w:t>Filippo Arena Roberto Rustichelli</w:t>
      </w:r>
    </w:p>
    <w:p>
      <w:r>
        <w:t>BULLETIN NO. 24 OF JUNE 17, 2019</w:t>
      </w:r>
    </w:p>
    <w:p>
      <w:r>
        <w:t>ACTIVITY OF REPORTING AND CONSULTATION</w:t>
      </w:r>
    </w:p>
    <w:p>
      <w:r>
        <w:t>AS1585 – MUNICIPALITY OF IMPERIA – ORDINARY AND EXTRAORDINARY MAINTENANCE OF PUBLIC LIGHTING SYSTEMS</w:t>
      </w:r>
    </w:p>
    <w:p>
      <w:r>
        <w:t>Rome, March 11, 2019</w:t>
      </w:r>
    </w:p>
    <w:p>
      <w:r>
        <w:t>Municipality of Imperia</w:t>
      </w:r>
    </w:p>
    <w:p>
      <w:r>
        <w:t>Municipal Council</w:t>
      </w:r>
    </w:p>
    <w:p>
      <w:r>
        <w:t>The Italian Competition Authority, in the meeting of March 7, 2019, resolved to express its opinion pursuant to Article 21-bis of Law No. 287 of October 10, 1990, regarding the content of Resolution No. 404, adopted by the Municipal Council of Imperia on December 28, 2018, concerning "Public lighting systems: ordinary and extraordinary maintenance service with simultaneous acquisition of ownership by the Municipality of Imperia - Directive Act."</w:t>
      </w:r>
    </w:p>
    <w:p>
      <w:r>
        <w:t>The public lighting network of the Municipality of Imperia, by virtue of a Convention concluded on October 1, 2006, which expired on September 31, 2012, and has since been repeatedly extended, is currently managed and maintained by the company Enel Sole S.r.l., which is the owner of 2,291 light points out of the 5,000 that make up the network.</w:t>
      </w:r>
    </w:p>
    <w:p>
      <w:r>
        <w:t>With the aforementioned provision, the Municipal Council of Imperia has resolved to adhere to the proposal presented by the company Enel Sole S.r.l. at the request of the Municipality itself, to provide, for a duration of nine years and for the portion of the public lighting network owned by Enel Sole S.r.l., the following services: (i) ordinary maintenance of all light points owned by the proposing company (as mentioned, equal to 2,291 out of a total of 5,000), for a total annual cost of 83,346.72 euros; (ii) extraordinary maintenance of 1,004 of the 2,291 light points owned by Enel Sole S.r.l.; (iii) energy efficiency works, by replacing obsolete mercury vapor lamps with other proprietary LED technology, of 882 of the remaining 1,287 light points owned by Enel Sole, for an average annual expenditure quantified at a total of 61,027 euros and purchase of the related ownership by the Municipality upon completion of the works; (iv) energy efficiency works, by replacing obsolete mercury vapor lamps with other proprietary LED technology, of 405 of the aforementioned 1,287 light points, with costs borne by Enel Sole S.r.l., which will remain the owner. The Municipality believes that the indicated costs will be fully covered by the expected savings from the drastic reduction in energy consumption generated by the lighting modernization of the aforementioned 1,287 light points, estimated at 103,466.03 euros per year.</w:t>
      </w:r>
    </w:p>
    <w:p>
      <w:r>
        <w:t>Finally, regarding the light points already owned by the Municipality (equal to 2,709) and for the light points owned by Enel Sole S.r.l. not involved in the lighting modernization works (equal to 1,004), the Resolution in question provides that the service contract concluded between Enel Sole S.r.l. and the Administration within the aforementioned Convention of December 1, 2006, which expired on September 31, 2012, and, as mentioned, has been repeatedly extended, continues to apply.</w:t>
      </w:r>
    </w:p>
    <w:p>
      <w:r>
        <w:t>In support of this choice of direct assignment without a tender, the Resolution refers to the applicability to the case at hand of Article 63, paragraph 2, letter b), paragraph 2, letter c), and paragraph 3, letter b), of Legislative Decree No. 50/2016 (c.d. Public Contracts Code), namely the possibility of derogating from the principle of awarding through a public tender in cases of non-substitutability of the supplier determined either by the purpose of the contract (creation or acquisition of a unique work of art or artistic representation), or by the absence of competition for technical reasons or the protection of exclusive rights including industrial property rights or, to the extent strictly necessary, when due to extreme urgency arising from unforeseeable events of the awarding administration the deadlines for open procedures or for restricted procedures or for competitive procedures with negotiation cannot be met or, finally, in the case of complementary deliveries made by the original supplier and intended for the partial renewal of supplies or systems or for the expansion of existing supplies or systems, where the change of supplier would require the awarding administration to purchase supplies with different technical characteristics whose use or maintenance would involve incompatibilities or disproportionate technical difficulties.</w:t>
      </w:r>
    </w:p>
    <w:p>
      <w:r>
        <w:t>The Authority, regarding this Resolution, intends to make the following considerations.</w:t>
      </w:r>
    </w:p>
    <w:p>
      <w:r>
        <w:t>First, regarding the portion of light points that will simultaneously be subject to ordinary maintenance, extraordinary maintenance, energy efficiency works by Enel Sole S.r.l. and subsequent transfer of ownership to the Municipality of Imperia (882 systems), it is noted, as already represented in similar precedents, that the decision to directly award to Enel Sole S.r.l., without a competitive procedure, the entire set of services and works provided constitutes a means to circumvent the application of the rules regarding both public contracts and the awarding of local public services.</w:t>
      </w:r>
    </w:p>
    <w:p>
      <w:r>
        <w:t>In this regard, the argument based on the applicability of Article 63, paragraph 2, letter b), paragraph 2, letter c), and paragraph 3, letter b), of Legislative Decree No. 50/2016 does not appear to be shareable.</w:t>
      </w:r>
    </w:p>
    <w:p>
      <w:r>
        <w:t>On this point, the Resolution appears to be flawed by an initial evident serious defect of motivation in that it does not clearly identify which of the indicated hypotheses in which recourse to the negotiated procedure without prior publication of the notice is permitted, pursuant to Article 63, Legislative Decree No. 50/2016, is applicable to the case at hand. This defect appears, moreover, all the more serious considering that the cases listed in the aforementioned provision are of strict interpretation, as they derogate from the general principle of recourse to the public tender procedure.</w:t>
      </w:r>
    </w:p>
    <w:p>
      <w:r>
        <w:t>1 Legislative Decree of April 18, 2016, No. 50, implementing "Directives 2014/23/EU, 2014/24/EU and 2014/25/EU on the award of concession contracts, public procurement and procurement procedures of contracting authorities in the sectors of water, energy, transport and postal services, as well as for the reorganization of the existing regulations on public contracts relating to works, services, and supplies," in G.U.R.I. April 19, 2016, No. 91, S.O.</w:t>
      </w:r>
    </w:p>
    <w:p>
      <w:r>
        <w:rPr>
          <w:b/>
        </w:rPr>
        <w:t>[Pages 10–12]</w:t>
      </w:r>
    </w:p>
    <w:p>
      <w:r>
        <w:t>12 BULLETIN NO. 24 OF JUNE 17, 2019</w:t>
      </w:r>
    </w:p>
    <w:p>
      <w:r>
        <w:t>In any case, if one were to identify by exclusion the specific case to which the Local Authority intends to refer in that typified by Article 63, paragraph 2, letter b), of Legislative Decree No. 50/2016, namely “[the] absence of competition for technical reasons” due to the circumstance - reported in the Resolution - that Enel Sole S.r.l. is the owner of the installations in question, resulting in the exclusion of direct interventions by the Municipality on the same, the argument does not appear to be founded.</w:t>
      </w:r>
    </w:p>
    <w:p>
      <w:r>
        <w:t>In fact, as already observed in the past by the Authority, the third-party ownership of part of the public lighting network is not in itself a circumstance that excludes the application of competitive rules in the related assignments of contracts or services. On the contrary, in this circumstance, it is provided that the Municipality first proceeds to the purchase (amicable or through the redemption procedure) of all public lighting installations, and then, upon the expiration of any Convention legitimately in place with Enel Sole S.r.l. for the management of the service, proceeds to the assignment of the management, maintenance, and modernization of the lighting system using one of the methods permitted by the legal framework (public tender, so-called double object tender, adherence to the Consip Convention, in-house providing).</w:t>
      </w:r>
    </w:p>
    <w:p>
      <w:r>
        <w:t>Nor can the alleged existence of a greater economic convenience of the solution chosen in the Resolution, namely the purchase of that portion of the network through the agreement that provides for its prior lighting adjustment by the current owning company, be considered an obstacle to this path. In this regard, the Resolution does not appear to adequately and specifically justify the economic rationale of the choice made by the Local Authority compared to the alternative of proceeding with the redemption of all the light points currently owned by Enel Sole S.r.l., limiting itself, in particular, to generic references to the alleged redemption cost of the individual installation contained in unspecified appraisals submitted by Enel Sole S.r.l. in the context of disputes arising with other Municipalities for the quantification of the redemption of public lighting installations.</w:t>
      </w:r>
    </w:p>
    <w:p>
      <w:r>
        <w:t>Regarding the argument concerning the higher costs and times due to a potential dispute with Enel Sole S.r.l., it is noted that many municipal administrations have effectively activated themselves - in line with the indications provided by the Authority and ANAC - to obtain ownership of the public lighting installations owned by third parties, subsequently proceeding to the correct assignment of the related management, maintenance, and modernization service. Likewise, the potential legitimate existence of a Convention between a municipality and Enel Sole S.r.l. for the management of the public lighting service and maintenance of the related installations does not constitute an obstacle to the redemption or amicable purchase of public lighting installations. This circumstance, in fact, only prevents the Municipality from proceeding with the assignment of the management and maintenance of the service before the expiration of the Convention.</w:t>
      </w:r>
    </w:p>
    <w:p>
      <w:r>
        <w:t>BULLETIN NO. 24 OF JUNE 17, 2019 13</w:t>
      </w:r>
    </w:p>
    <w:p>
      <w:r>
        <w:t>Convention in force. In the case at hand, moreover, the Resolution under examination appears to be objectionable also considering the fact that the agreement with Enel Sole S.r.l. results in the more general effect of confirming, effectively extending for another nine years, the validity of the Convention in place between the Municipality and the Companies for the management and maintenance of the installations excluded from the lighting modernization works.</w:t>
      </w:r>
    </w:p>
    <w:p>
      <w:r>
        <w:t>Finally, the so-called electrical or mechanical promiscuity of the installations currently owned by Enel Sole S.r.l., to which the Resolution also intends to refer, cannot be considered as a reason for the alleged non-substitutability of the services provided by Enel Sole S.r.l. This technical aspect is, in fact, mandatorily regulated by a specific regulation between the local electricity distributor and the owner of the light point involved in the promiscuity, and therefore, the Municipality, purchasing or redeeming the installations of Enel Sole S.r.l., will succeed to the latter in the aforementioned regulation with the distributor.</w:t>
      </w:r>
    </w:p>
    <w:p>
      <w:r>
        <w:t>The Authority therefore believes, in accordance with its established position, that the violation of the rules regarding procurement procedures constitutes in itself a breach of competition, as it, in any case, removes part of the offer from competitive comparison.</w:t>
      </w:r>
    </w:p>
    <w:p>
      <w:r>
        <w:t>Moreover, it is noted that these reasons for illegitimacy could also jeopardize the proper conduct of both the future tender for the assignment of the management and maintenance of the municipal lighting installations and that for the assignment of the works for the redevelopment and energy efficiency of the portion of the network that does not fall within the currently awarded works.</w:t>
      </w:r>
    </w:p>
    <w:p>
      <w:r>
        <w:t>In this regard, it must be observed that Enel Sole S.r.l., at the time of the tender for the assignment of the management and maintenance of the installations, will not only find itself in the advantageous position typical of the outgoing operator but will also be further favored by the circumstance of having proceeded with the modernization of part of the municipal public lighting network and, therefore, by the detailed knowledge of the technical characteristics and maintenance needs of the installations of the Municipality of Imperia.</w:t>
      </w:r>
    </w:p>
    <w:p>
      <w:r>
        <w:t>The same Company will also find itself in a position of advantage even in the event of the tender for the lighting redevelopment of the remaining municipal installations, because it will be able to present a redevelopment plan that homogenizes the technology already in use that will be employed for the energy efficiency works provided for by the Resolution in question.</w:t>
      </w:r>
    </w:p>
    <w:p>
      <w:r>
        <w:t>The described situation appears, in this case, further aggravated by the contractual provision - reported in the contested Resolution - whereby 405 of the current 1,287 light points owned by Enel Sole S.r.l. will remain the property of the company, which will bear the modernization costs.</w:t>
      </w:r>
    </w:p>
    <w:p>
      <w:r>
        <w:t>The contested Resolution is also suitable for favoring Enel Sole S.r.l. for these reasons, as it would strengthen the Municipality's future dependence on Enel Sole S.r.l. for the management/maintenance of the entire service: the Company, in fact, will remain the owner of both a part of the light points subject to lighting modernization (405) and its light points excluded from the current agreement (amounting to 1,004), and this circumstance, upon the expiration of the already long nine-year duration of the contract referred to in the Resolution under examination, could jeopardize or, in any case, make even more burdensome the Municipality's future decisions regarding the management of the public lighting service and the potential need for modernization of the installations already owned by it and the 1,004 installations of Enel Sole S.r.l. excluded from the current contract.</w:t>
      </w:r>
    </w:p>
    <w:p>
      <w:r>
        <w:t>In this case, therefore, the choice of the Municipality of Imperia could determine a de facto non-substitutability of the management and maintenance services of the municipal public lighting offered by Enel Sole S.r.l. that would not be attributable to the intrinsic technical characteristics of the same (as provided for by Article 63, paragraph 2, letter b), No. 2, of Legislative Decree No. 50/2016) but to decisions of the same Municipal Administration that have accommodated strategic behaviors of the economic counterpart (so-called lock-in).</w:t>
      </w:r>
    </w:p>
    <w:p>
      <w:r>
        <w:t>In conclusion, the Resolution in question, in ratifying the agreement reached between the Municipality of Imperia and Enel Sole S.r.l., appears not sufficiently motivated in terms of the actual occurrence of the prerequisites that allow, in the only cases of strict interpretation referred to in Article 63 of Legislative Decree No. 50/2016, to derogate from the principle of assignment through tender.</w:t>
      </w:r>
    </w:p>
    <w:p>
      <w:r>
        <w:t>The Authority therefore believes that the Resolution of the Municipal Council of Imperia No. 404, extending for another nine years the Convention with Enel Sole S.r.l. and directly assigning to that Company, pursuant to Article 63 of Legislative Decree No. 50/2016, the ordinary management of all the light points owned by the same company as well as the extraordinary maintenance and lighting efficiency of part of the installations, without the invoked prerequisites being met, constitutes, for the reasons stated, a violation of the principle of free competition which, together with the necessarily related principles of equal treatment, non-discrimination, transparency, proportionality, economic efficiency, and publicity, must inform the assignment procedures and the execution of works, public works, services, and supplies.</w:t>
      </w:r>
    </w:p>
    <w:p>
      <w:r>
        <w:rPr>
          <w:b/>
        </w:rPr>
        <w:t>[Pages 13–15]</w:t>
      </w:r>
    </w:p>
    <w:p>
      <w:r>
        <w:t>BULLETIN NO. 24 OF JUNE 17, 2019 15</w:t>
      </w:r>
    </w:p>
    <w:p>
      <w:r>
        <w:t>Pursuant to Article 21-bis, paragraph 2, of Law No. 287/1990, the Municipality of Imperia must communicate to the Authority, within sixty days from the receipt of this opinion, the initiatives taken to remove the aforementioned competition violation. If, within the aforementioned term, such initiatives do not comply with the competition principles expressed above, the Authority may file an appeal within the following thirty days.</w:t>
      </w:r>
    </w:p>
    <w:p>
      <w:r>
        <w:t xml:space="preserve">THE PRESIDENT f.f.  </w:t>
        <w:br/>
        <w:t xml:space="preserve">Gabriella Muscolo  </w:t>
        <w:br/>
        <w:t xml:space="preserve">__________________________________________________________  </w:t>
        <w:br/>
        <w:t>Communication regarding the non-compliance of the Municipality of Imperia with the opinion expressed by the Authority, pursuant to Article 21-bis of Law No. 287/1990, regarding Resolution No. 404 of the Executive Board, dated December 28, 2018, concerning: "Public lighting systems: ordinary and extraordinary maintenance service with simultaneous acquisition of ownership by the Municipality of Imperia - Directive Act."</w:t>
      </w:r>
    </w:p>
    <w:p>
      <w:r>
        <w:t>The Italian Competition Authority, in the meeting of May 22, 2019, decided to challenge before the competent TAR the Resolution of the Executive Board No. 404/2018, transmitted pursuant to Article 5, paragraph 3, Legislative Decree No. 175/2016 and subsequent amendments, by which the Municipality of Imperia decided to entrust the ordinary maintenance of all the light points owned by the same company to Enel Sole S.r.l., pursuant to Article 63, Legislative Decree No. 50/2016 (Public Contracts Code), as well as the extraordinary maintenance and the energy efficiency works of a subset of such installations that, in part, will pass into the ownership of the Municipality upon completion of the efficiency works.</w:t>
      </w:r>
    </w:p>
    <w:p>
      <w:r>
        <w:t>In relation to this Resolution, the Authority had indeed decided, in the meeting of March 7, 2019, to send a reasoned opinion to the aforementioned Municipality, pursuant to Article 21-bis, Law No. 287/1990, due to a conflict not only with Article 63 of the Public Contracts Code, for which the applicable conditions are not found in this case, but also with the principles governing the awarding of local public services, resulting in a serious breach of the so-called competition for the market and possible prejudice also for future tenders for the awarding of ordinary maintenance, extraordinary maintenance, and energy efficiency works of the municipal public lighting network.</w:t>
      </w:r>
    </w:p>
    <w:p>
      <w:r>
        <w:t>The Municipality of Imperia, following the receipt of the reasoned opinion, did not, within the legal term of sixty days, communicate to the Authority the initiatives taken to remove the criticized competition violation. Therefore, the Authority, having noted the Municipality of Imperia's failure to comply with the aforementioned reasoned opinion, resolved to challenge the Resolution in question before the competent TAR.</w:t>
      </w:r>
    </w:p>
    <w:p>
      <w:r>
        <w:t xml:space="preserve">16 BULLETIN NO. 24 OF JUNE 17, 2019  </w:t>
        <w:br/>
        <w:t xml:space="preserve">AS1586 – MUNICIPALITY OF SAN BONIFACIO (VR) - ESTABLISHMENT BY AGSM VERONA S.P.A. OF A NEWCO TO ACQUIRE SHARES OF UNI.CO.G.E. S.R.L.  </w:t>
        <w:br/>
        <w:t xml:space="preserve">Rome, March 18, 2019  </w:t>
        <w:br/>
        <w:t xml:space="preserve">Municipality of San Bonifacio - Municipal Council  </w:t>
        <w:br/>
        <w:t>The Italian Competition Authority, in the meeting of March 12, 2019, resolved to express its opinion pursuant to Article 21-bis of Law No. 287 of October 10, 1990, regarding the content of Resolution No. 1/2019, adopted by the Municipal Council of San Bonifacio on January 10, 2019, concerning "Participated Entities - Uni.Co.G.E. srl Company - Transfer of shares of Uni.Co.G.E. s.r.l. in AGSM Energia Est Veronese srl for the acquisition of additional shares of Uni.Co.G.E. s.r.l. - Exercise of the right of pre-emption," and transmitted to this Authority on January 21, 2019, pursuant to Article 5, paragraph 3 of Legislative Decree No. 175 of August 19, 2016.</w:t>
      </w:r>
    </w:p>
    <w:p>
      <w:r>
        <w:t>With the Resolution in question, in particular, this Municipality approved a) the statute of the company AGSM Energia Est Veronese S.r.l. (AGSM Est hereinafter), a newco established with the Municipality of San Bonifacio and with the company AGSM (100% controlled by the Municipality of Verona) and the related shareholders' agreements, b) the subscription by the Municipality of the reserved capital increase in said company through the transfer of its shares of Uni.Co.G.E. Srl (a company participated by the Municipality, by five other municipalities, including San Bonifacio, and by two private companies) that carries out activities of production, procurement, and sale of electricity and gas, and whose value was established through an appraisal, c) the simultaneous transfer to the aforementioned company AGSM Est of the ownership of the right of pre-emption on the shares of the remaining shareholders of Uni.Co.G.E., d) the subsequent cash capital increase of AGSM Est reserved for the company AGSM, and finally e) the exercise of the right of pre-emption by AGSM Est on the largest possible number of shares put up for sale by the shareholders of Uni.Co.G.E.</w:t>
      </w:r>
    </w:p>
    <w:p>
      <w:r>
        <w:t>With the described complex corporate operation, the Municipal Council of this Municipality has thus approved the acquisition of the stake in AGSM Est through the subscription of the specific capital increase of the latter, financed through the transfer of the shares held in Uni.Co.G.E to the same AGSM Est, for the purpose of exercising the right of pre-emption by the latter on the shares subject to transfer by the other public shareholders, moreover at a value determined on a basis different from the market valuation. Once the right of pre-emption is acquired, it will be AGSM Est to exercise it, thus becoming the majority shareholder of Uni.Co.G.E.</w:t>
      </w:r>
    </w:p>
    <w:p>
      <w:r>
        <w:t>The Authority intends to make the following considerations regarding this Resolution. The transfer of Uni.Co.G.E shares to AGSM Est by the Municipality of San Bonifacio, in exchange for shares of AGSM Est, essentially constitutes a true transfer of a public asset (the stakes in Uni.Co.G.E) without any public procedure being carried out to a subject (AGSM Est) in which a third-party company (AGSM) holds a significant share of the capital and, above all, in light of the indications contained in the approved Shareholders' Agreements, a decisive influence on governance.</w:t>
      </w:r>
    </w:p>
    <w:p>
      <w:r>
        <w:t>The Authority therefore observes, first of all, that the direct transfer of the aforementioned assets by the Municipality appears to have been carried out in violation of the provisions of paragraph 2 of Article 10 of Legislative Decree No. 175/2016, which expressly provides for procedures that respect the principles of publicity, transparency, and non-discrimination for the transfer of stakes by public administrations. It should be noted that the same norm allows alienation by direct assignment only in exceptional cases, which the local authority must duly justify by providing "detailed evidence of the economic convenience of the operation, with particular reference to the appropriateness of the sale price," a circumstance not applicable to the case at hand, where only a summary verification with two other hypothetical contractors is reported, briefly described in the communicated resolution. Finally, the norm itself also preserves the right of pre-emption; this, provided for by the statute of Uni.Co.G.E in favor of the original shareholders, however, results in being exercisable by a third party such as AGSM.</w:t>
      </w:r>
    </w:p>
    <w:p>
      <w:r>
        <w:t xml:space="preserve">1 According to the operation plan, therefore, once the pre-emption is exercised, AGSM Est will hold a stake in Uni.Co.G.E that is not precisely determinable but certainly a majority and not less than 74% of the total.  </w:t>
        <w:br/>
        <w:t>2 From a corporate perspective, based on the available information, AGSM Est will be participated by AGSM at 40%, by the Municipality of Cologna Veneta at 19%, and by the Municipality of San Bonifacio at 41%. However, the approved shareholders' agreements regulate the governance of both AGSM Est and the (future) controlled Uni.Co.G.E, which therefore do not depend on mere ownership of the majority of shares (the 60% of shares held by the two municipal shareholders). The resolution reports the proposal made by AGSM to the municipality, which expressly provides that "AGSM Verona Spa will maintain the governance of AGSM Energia Est Veronese Srl either itself or through another company of the Group." The Shareholders' Agreements identify (Article 6) the configuration of the governing bodies of AGSM Est and Uni.Co.G.E, establishing that both will be led by a sole director (appointed by AGSM) or, alternatively, by a Board of Directors whose members in the case of AGSM Est will be appointed mainly by AGSM and in the case of Uni.Co.G.E will necessarily be three, each appointed by one of the shareholders. Accordingly, the general lines of the distribution of competencies between municipalities and AGSM in the management of AGSM Est are then specified in Article 7 of the shareholders' agreements, titled "Sharing of the management of AGSM Est," according to which "In particular, the Municipalities of San Bonifacio and Cologna Veneta will be responsible for expressing the general strategic guidelines of the Company and AGSM those related to its industrial management in order to ensure operational utility."</w:t>
      </w:r>
    </w:p>
    <w:p>
      <w:r>
        <w:t xml:space="preserve">3 "The transfer of stakes is carried out in compliance with the principles of publicity, transparency, and non-discrimination. In exceptional cases, following a reasoned resolution of the competent body pursuant to paragraph 1, which provides detailed evidence of the economic convenience of the operation, with particular reference to the appropriateness of the sale price, the transfer may be carried out through direct negotiation with a single buyer. The right of pre-emption of the shareholders provided for by law or by the statute is reserved."  </w:t>
        <w:br/>
        <w:t xml:space="preserve">4 These are the cases of identification in Lupatotina gas and Luce or in AIM Vicenza of the "partners" of the operation instead of AGSM.  </w:t>
        <w:br/>
        <w:t>5 The violation of the norm regulating the alienation of public stakes is also characterized, in this case, by the fact that the choice made allows AGSM Est to exercise the right of pre-emption on the shares of Uni.Co.G.E using a value that, based on an appraisal, could not benefit from a real market evaluation resulting from a public tender, which could have probably defined a higher transfer value.</w:t>
      </w:r>
    </w:p>
    <w:p>
      <w:r>
        <w:rPr>
          <w:b/>
        </w:rPr>
        <w:t>[Pages 16–18]</w:t>
      </w:r>
    </w:p>
    <w:p>
      <w:r>
        <w:t>18 BULLETIN NO. 24 OF JUNE 17, 2019</w:t>
      </w:r>
    </w:p>
    <w:p>
      <w:r>
        <w:t>Secondly, regarding the nature of the activities carried out by AGSM Est through the subsidiary Uni.Co.G.E, consisting of the procurement, production, and sale of gas and electricity, the Resolution in question may also prove to be in conflict with the provisions of Article 4 of Legislative Decree No. 175/2016. This is because the municipality's power to self-determine its objectives, and the verification regarding the strict necessity of exercising such activities for the pursuit of institutional objectives finds, as is known, based on recent case law, its limit in the need to ensure the requirement of control and, therefore, the possibility of effectively directing the conduct of the enterprise towards the satisfaction of the social utility purposes of the local community; a circumstance that in this case does not appear, prima facie, to be unequivocally determined.</w:t>
      </w:r>
    </w:p>
    <w:p>
      <w:r>
        <w:t>Pursuant to Article 21-bis, paragraph 2, of Law No. 287/1990, the Municipality of San Bonifacio must communicate to the Authority, within sixty days from the receipt of this opinion, the initiatives taken to remove the aforementioned competition violations. If within the aforementioned term such initiatives do not prove to be compliant with the aforementioned competition principles, the Authority may file an appeal within the subsequent thirty days.</w:t>
      </w:r>
    </w:p>
    <w:p>
      <w:r>
        <w:t xml:space="preserve">THE PRESIDENT f.f.  </w:t>
        <w:br/>
        <w:t>Gabriella Muscolo</w:t>
      </w:r>
    </w:p>
    <w:p>
      <w:r>
        <w:t>6 Court of Auditors Lombardy - Control Section (Resolution No. 398 of December 21, 2016); Council of State, January 23, 2019, No. 578</w:t>
      </w:r>
    </w:p>
    <w:p>
      <w:r>
        <w:t>BULLETIN NO. 24 OF JUNE 17, 2019 19</w:t>
      </w:r>
    </w:p>
    <w:p>
      <w:r>
        <w:t xml:space="preserve">AS1587 – MUNICIPALITY OF COLOGNA VENETA (VR) - ESTABLISHMENT BY AGSM VERONA S.P.A. OF A NEWCO TO ACQUIRE SHARES OF UNI.CO.G.E. S.R.L.  </w:t>
        <w:br/>
        <w:t xml:space="preserve">Rome, March 18, 2019  </w:t>
        <w:br/>
        <w:t xml:space="preserve">Municipality of Cologna Veneta - Municipal Council  </w:t>
        <w:br/>
        <w:t>The Italian Competition Authority, in the meeting of March 12, 2019, resolved to express its opinion pursuant to Article 21-bis of Law No. 287 of October 10, 1990, regarding the content of Resolution No. 1/2019, adopted by the Municipal Council of Cologna Veneta on January 9, 2019, concerning "Participated Entities - Uni.Co.G.E. srl Company - Transfer of shares of Uni.Co.G.E. s.r.l. in AGSM Energia Est Veronese srl for the acquisition of additional shares of Uni.Co.G.E. s.r.l. - Exercise of the right of pre-emption," and transmitted to this Authority on January 21, 2019, pursuant to Article 5, paragraph 3 of Legislative Decree No. 175 of August 19, 2016.</w:t>
      </w:r>
    </w:p>
    <w:p>
      <w:r>
        <w:t>With the Resolution in question, in particular, this Municipality approved a) the bylaws of the company AGSM Energia Est Veronese S.r.l. (AGSM Est hereinafter) newly established with the Municipality of San Bonifacio and with the company AGSM (100% controlled by the Municipality of Verona) and the related shareholders' agreements, b) the subscription by the Municipality of the reserved capital increase in said company through the contribution of its shares of Uni.Co.G.E. Srl. (a company participated by the Municipality, by five other municipalities, including that of San Bonifacio, and by two private companies) that carries out activities of production, procurement, and sale of electricity and gas and whose value was established through an appraisal c) the simultaneous transfer to the aforementioned AGSM Est of the ownership of the right of pre-emption on the shares of the remaining partners of Uni.Co.G.E., d) the subsequent cash capital increase of AGSM Est reserved for the company AGSM, and finally e) the exercise of the right of pre-emption by AGSM Est on the largest possible number of shares put up for sale by the partners of Uni.Co.G.E.</w:t>
      </w:r>
    </w:p>
    <w:p>
      <w:r>
        <w:t>With the described complex corporate operation, the Municipal Council of this Municipality has thus approved the acquisition of the participation in AGSM Est through the subscription of the appropriate capital increase of the latter, financed through the contribution of the shares held in Uni.Co.G.E to the same AGSM Est, for the purpose of exercising the right of pre-emption by the latter on the shares subject to transfer by the other public partners, moreover at a value determined on a basis different from the market valuation. Once the right of pre-emption is acquired, it will be AGSM Est that will exercise it, thus becoming the majority shareholder of Uni.Co.G.E.</w:t>
      </w:r>
    </w:p>
    <w:p>
      <w:r>
        <w:t>The Authority, regarding this Resolution, intends to make the following considerations. The transfer of Uni.Co.G.E shares to AGSM Est by the Municipality of Cologna Veneta, in exchange for shares of AGSM Est itself, essentially constitutes a true transfer of a public asset (the stakes in Uni.Co.G.E) without the conduct of any public procedure to a subject (AGSM Est) in which a third-party company (AGSM) holds a significant share of the capital and, above all, in light of the indications contained in the approved Shareholders' Agreements, a decisive influence on governance.</w:t>
      </w:r>
    </w:p>
    <w:p>
      <w:r>
        <w:t>The Authority therefore observes, first of all, that the direct transfer of the aforementioned assets by the Municipality appears to have been carried out in violation of the provisions of paragraph 2 of Article 10 of Legislative Decree No. 175/2016, which expressly provides for procedures that respect the principles of publicity, transparency, and non-discrimination for the transfer of stakes by public administrations. It should be noted that the same norm admits alienation by direct assignment only in exceptional cases, which the local authority must duly justify by providing "detailed evidence of the economic convenience of the operation, with particular reference to the appropriateness of the sale price," a circumstance that cannot be attributed to the case at hand in which there is only news of a summary verification with two other hypothetical contractors, briefly described in the communicated resolution. Finally, the norm itself also preserves the right of pre-emption; this, provided for by the bylaws of Uni.Co.G.E in favor of the original partners, following the described operation, however, results in being exercisable by a third party such as AGSM.</w:t>
      </w:r>
    </w:p>
    <w:p>
      <w:r>
        <w:t>Secondly, regarding the nature of the activities carried out by AGSM Est through the subsidiary Uni.Co.G.E, consisting of the procurement, production, and sale of gas and electricity.</w:t>
      </w:r>
    </w:p>
    <w:p>
      <w:r>
        <w:rPr>
          <w:b/>
        </w:rPr>
        <w:t>[Pages 19–21]</w:t>
      </w:r>
    </w:p>
    <w:p>
      <w:r>
        <w:t>BULLETIN NO. 24 OF JUNE 17, 2019 21</w:t>
      </w:r>
    </w:p>
    <w:p>
      <w:r>
        <w:t>electricity, the Resolution in question could also prove to be in conflict with the provisions of Article 4 of Legislative Decree No. 175/2016. This is because the power of self-determination of its own purposes, by the Municipality, and the verification regarding the "strict necessity" of carrying out such activities for the pursuit of institutional purposes finds, as is known, based on recent jurisprudence, its limit in the need to ensure the requirement of control and therefore the possibility of effectively directing the conduct of the enterprise towards the satisfaction of the social utility purposes of the local community; a circumstance that in this case does not appear, prima facie, unequivocally determined.</w:t>
      </w:r>
    </w:p>
    <w:p>
      <w:r>
        <w:t>Pursuant to Article 21-bis, paragraph 2, of Law No. 287/1990, the Municipality of Cologna Veneta must communicate to the Authority, within sixty days from the receipt of this opinion, the initiatives adopted to remove the aforementioned competition violations. If within the aforementioned term such initiatives do not prove to be compliant with the aforementioned competitive principles, the Authority may file an appeal within the subsequent thirty days.</w:t>
      </w:r>
    </w:p>
    <w:p>
      <w:r>
        <w:t xml:space="preserve">THE PRESIDENT f.f.  </w:t>
        <w:br/>
        <w:t xml:space="preserve">Gabriella Muscolo  </w:t>
        <w:br/>
        <w:t xml:space="preserve">__________________________________________________________  </w:t>
        <w:br/>
        <w:t>Communication regarding the Authority's decision not to appeal pursuant to Article 21-bis of Law No. 287/1990, against the Resolution of the Municipal Council of the Municipality of San Bonifacio No. 1 of January 10, 2019 and the Resolution of the Municipal Council of Cologna Veneta No. 1 of January 9, 2019, both concerning: "Transfer of shares of Uni.Co.Ge. srl in AGSM Energia Est Veronese Srl for the acquisition of additional shares of Uni.Co.Ge. Srl – Exercise of the right of pre-emption."</w:t>
      </w:r>
    </w:p>
    <w:p>
      <w:r>
        <w:t>The Italian Competition Authority, in its meeting of May 29, 2019, decided not to challenge before the competent TAR the Resolution of the Municipal Council of the Municipality of San Bonifacio No. 1 of January 10, 2019 and the Resolution of the Municipal Council of Cologna Veneta No. 1 of January 9, 2019, both concerning: "Transfer of shares of Uni.Co.Ge. srl in AGSM Energia Est Veronese Srl for the acquisition of additional shares of Uni.Co.Ge. Srl – Exercise of the right of pre-emption."</w:t>
      </w:r>
    </w:p>
    <w:p>
      <w:r>
        <w:t>On March 12, 2019, the Authority had resolved to send a reasoned opinion pursuant to Article 21-bis of Law No. 287/1990, within which it noted competitive criticalities of the aforementioned resolutions, for contrast both with the provisions of paragraph 2 of Article 10 of Legislative Decree 175/2016, as the transfer of shares of Uni.Co.Ge. Srl to AGSM Energia Est Srl appears to have occurred without compliance with the principles of publicity, transparency, and non-discrimination provided by the cited norm, and with the provisions of Article 4 of the same decree, according to which public administrations can establish or own companies having as their object the production of goods and services only if strictly necessary for the pursuit of their institutional purposes.</w:t>
      </w:r>
    </w:p>
    <w:p>
      <w:r>
        <w:t>Taking note of what was subsequently stated by the two Municipalities in relation to the aforementioned reasoned opinion, and in particular the circumstance that the contested resolutions are already, within the context of a judgment to be defined soon, the subject of an appeal before the TAR Veneto for profiles similar to those contested, the Authority decided, in its meeting of May 29, 2019, not to file an appeal before the same administrative judge.</w:t>
      </w:r>
    </w:p>
    <w:p>
      <w:r>
        <w:t>BULLETIN NO. 24 OF JUNE 17, 2019 23</w:t>
      </w:r>
    </w:p>
    <w:p>
      <w:r>
        <w:t>AS1588 – AUTONOMOUS PROVINCE OF TRENTO – PUBLIC CONTRIBUTIONS FOR CULTURAL EVENTS</w:t>
      </w:r>
    </w:p>
    <w:p>
      <w:r>
        <w:t xml:space="preserve">Rome, May 9, 2019  </w:t>
        <w:br/>
        <w:t xml:space="preserve">Autonomous Province of Trento  </w:t>
        <w:br/>
        <w:t>With reference to the resolution of the Provincial Council of February 15, 2019 No. 202 and to certain managerial determinations adopted on March 4, 2019, relating to the management of cultural events, based on the "Criteria and methods for granting economic benefits to support cultural activities of provincial significance and activities that involve the use of music for rehabilitative purposes for individuals with disabilities," approved by the provincial council resolution of May 17, 2013, No. 913 and attached to Law No. 15 of October 3, 2007, the Italian Competition Authority, in its meeting of April 30, 2019, deemed it appropriate to carry out, pursuant to Article 21 of Law No. 287 of October 10, 1990, the following considerations regarding the potential impact on competition of the methods chosen for the stipulation of agreements preliminary to the provision of public contributions for the conduct of cultural events, thus far followed by this Administration.</w:t>
      </w:r>
    </w:p>
    <w:p>
      <w:r>
        <w:t>In particular, the Authority, while appreciating the initiative to select, through public evidence procedures, the subjects with whom to enter into the aforementioned agreements, points out that some of the criteria based on which the selection occurs appear to be discriminatory and restrictive, in that they are likely to prevent access to the market for new operators.</w:t>
      </w:r>
    </w:p>
    <w:p>
      <w:r>
        <w:t>Specifically, certain provisions contained in Articles 13, 15, 17, 20, and 36 of the "Criteria and methods for granting economic benefits to support cultural activities of provincial significance and activities that involve the use of music for rehabilitative purposes for individuals with disabilities," approved by the provincial council resolution of May 17, 2013, No. 913 and attached to Law No. 15 of October 3, 2007, appear to require attention.</w:t>
      </w:r>
    </w:p>
    <w:p>
      <w:r>
        <w:t>It is noted, in this context, the request to have incurred average costs in recent years, corresponding to certain amounts, depending on the activity carried out. The conditioning of the possibility of accessing a public contribution to having incurred a certain level of costs appears to be an arguable and discriminatory criterion, in that – in cases where, as occurs in most of the instances –</w:t>
      </w:r>
    </w:p>
    <w:p>
      <w:r>
        <w:t>1 Pursuant to Article 13, the average annual cost is quantified as follows: 300,000 euros for festivals; in the case of film festivals, the average annual cost must not be less than 90,000 euros; 400,000 euros for distribution activities; 100,000 euros for visual arts events; 50,000 euros for competitive activities, training of artists and sector operators.</w:t>
      </w:r>
    </w:p>
    <w:p>
      <w:r>
        <w:rPr>
          <w:b/>
        </w:rPr>
        <w:t>[Pages 22–24]</w:t>
      </w:r>
    </w:p>
    <w:p>
      <w:r>
        <w:t>24 BULLETIN NO. 24 OF JUNE 17, 2019</w:t>
      </w:r>
    </w:p>
    <w:p>
      <w:r>
        <w:t>In cases where the events generate revenues, less efficient entities that have certified a higher volume of costs compared to more efficient entities could benefit from the contribution. Attention is also drawn to the provision of Article 15, concerning the absence of profit-making purpose of the entities that can participate in the selection, as this provision appears to unjustifiably restrict the possibility of participation in the management of events and the consequent disbursement of public contributions, excluding a large part of the entities potentially interested in the same, namely all economic operators potentially interested in organizing events who operate (also) with a profit-making purpose. The choice to limit the possibility of participation to non-profit entities alone does not seem to be motivated by objective reasons, as it concerns the entrustment of the organization of recreational activities, which are nonetheless of an economic nature, for which a public contribution is granted.</w:t>
      </w:r>
    </w:p>
    <w:p>
      <w:r>
        <w:t>Another aspect that appears to require further investigation is that related to the requested duration of the previous activity continuously carried out in the sector. The provisions of Articles 13, 15, and 17 identify a particularly broad time frame for the continuous conduct of activities – ranging from ten to fifty years – which does not seem proportional to the peculiarities of the sector but rather aimed at excluding from participation in the selection operators who have been in the relevant market for a shorter time.</w:t>
      </w:r>
    </w:p>
    <w:p>
      <w:r>
        <w:t>In this regard, it is recalled that, based on the constant orientation of the Authority, confirmed by national and community jurisprudence on the matter, the entrustment by public entities of services to private entities must be based on the principles of transparency and non-discrimination, which are usually ensured through the entrustment following the performance of transparent selection procedures with public evidence, based on objective and non-discriminatory criteria.</w:t>
      </w:r>
    </w:p>
    <w:p>
      <w:r>
        <w:t>The Authority therefore hopes for a revision of the current practice followed by this Administration in the stipulation of the Conventions preceding the disbursement of public contributions for the conduct of cultural events, in order to make it consistent with the principles for the protection of competition mentioned above.</w:t>
      </w:r>
    </w:p>
    <w:p>
      <w:r>
        <w:t>The Authority invites communication, within a period of sixty days from the receipt of this, regarding the determinations made concerning the issue presented above. This report will be published in the Bulletin of the Italian Competition Authority. Any confidentiality needs must be communicated to the Authority within thirty days from the receipt of this report, specifying the reasons.</w:t>
      </w:r>
    </w:p>
    <w:p>
      <w:r>
        <w:t>THE PRESIDENT f.f.</w:t>
        <w:br/>
        <w:t>Gabriella Muscolo</w:t>
      </w:r>
    </w:p>
    <w:p>
      <w:r>
        <w:t>2 See, for all, precisely in the sector of organizing live performances, the report AS 463 of July 29, 2008.</w:t>
      </w:r>
    </w:p>
    <w:p>
      <w:r>
        <w:t>BULLETIN NO. 24 OF JUNE 17, 2019 25</w:t>
      </w:r>
    </w:p>
    <w:p>
      <w:r>
        <w:t>AS1589 - DISTORTIONS OF COMPETITION IN THE REGULATED PROFESSIONS SECTOR - MODALITIES OF APPLICATION OF ARTICLE 10 PARAGRAPH 4 LETTER B) OF LAW 183/2011 (STABILITY LAW 2012)</w:t>
      </w:r>
    </w:p>
    <w:p>
      <w:r>
        <w:t>Rome, June 12, 2019</w:t>
        <w:br/>
        <w:t>Ministry of Justice</w:t>
        <w:br/>
        <w:t>Ministry of Economic Development</w:t>
      </w:r>
    </w:p>
    <w:p>
      <w:r>
        <w:t>The Italian Competition Authority, within the scope of the tasks assigned to it pursuant to Article 21 of Law No. 287 of October 10, 1990, in its meeting of May 22, 2019, resolved to report the limitations of competition in the regulated professions sector, arising from the modalities of application of Article 10, paragraph 4, letter b), of Law No. 183 of November 12, 2011 (Stability Law 2012).</w:t>
      </w:r>
    </w:p>
    <w:p>
      <w:r>
        <w:t>In particular, the aforementioned provision, which has definitively overcome the traditional prohibition on exercising professional activities in corporate form, provides that the qualification of professional partnership (hereinafter STP) can be assumed by companies whose articles of association provide, among other things: “the admission as partners of only professionals registered in orders, registers, and colleges, even in different sections, as well as citizens of the Member States of the European Union, provided they hold the qualifying degree, or non-professional subjects only for technical services, or for investment purposes. In any case, the number of professional partners and the participation in the share capital of the professionals must be such as to determine a two-thirds majority in the resolutions or decisions of the partners; the loss of this condition constitutes a cause for the dissolution of the company and the professional order or college where the company is registered proceeds to its cancellation from the register, unless the company has restored the predominance of professional partners within the peremptory term of six months” (emphasis added).</w:t>
      </w:r>
    </w:p>
    <w:p>
      <w:r>
        <w:t>The Authority has become aware of the existence of divergent interpretations of the aforementioned regulatory provision. In particular, some Councils and/or Federations of Professional Orders have adopted an interpretation of Article 10, paragraph 4, letter b), of Law No. 183/2011, according to which the two participation requirements indicated therein - two-thirds majority in terms of the number of professional partners and participation in the share capital - must occur cumulatively, regardless of who exercises actual control over the company. Other Councils and/or Federations of Professional Orders, on the other hand, propose an interpretation in line with the rationale of the aforementioned provision, according to which the two requirements do not need to occur cumulatively, as the statutory autonomy and the possibility of entering into shareholders' agreements provided for by current corporate law allow for ensuring control over the strategic decisions of the STP by professional partners regardless of their number and/or participation in the share capital compared to non-professional partners. Reasoning otherwise would reduce the effectiveness of the corporate instrument now available to professionals, unjustifiably restricting its dissemination. More generally, however, the Councils and/or Federations of Professional Orders complain about the existence of interpretative doubts due to the gaps present in the regulation in question.</w:t>
      </w:r>
    </w:p>
    <w:p>
      <w:r>
        <w:t>In this regard, reference is made to the previous interventions of the Authority, in which it was noted that organizing in corporate form can bring a series of advantages for professionals, allowing them to attract investments, become more competitive, and face the challenges posed by international competition. The European Commission has also expressed its views on the forms of organization among professionals in the Communication regarding the Report on competition in professional services of 2004, stating that restrictive regulations regarding corporate structure can have a negative economic impact if they prevent providers from developing new services or cost-efficient business models.</w:t>
      </w:r>
    </w:p>
    <w:p>
      <w:r>
        <w:t>The Authority, therefore, believes that in order to allow professionals to fully seize the opportunities offered by the regulations concerning STPs and the related pro-competitive impulses, the interpretation of the norm should be favored, according to which the two requirements of the two-thirds majority “by head” and “by share capital” referred to in Article 10, paragraph 4, letter b), of Law No. 183/2011 are not to be considered cumulative. In this regard, the rationale underlying the request for these two requirements is represented by the need to limit the decision-making capacity of non-professional partners, so as to prevent them from influencing the strategic choices of the STP and the performance of professional services. This objective can be ensured by using the various instruments provided for by the civil code that allow for limiting or expanding the rights and powers attributed to partners in relation to the type of company chosen and the related governance.</w:t>
      </w:r>
    </w:p>
    <w:p>
      <w:r>
        <w:t>In fact, STPs do not constitute an autonomous type of company, but can take one of the corporate forms provided for by the civil code and are therefore subject to the legal discipline of the chosen model.</w:t>
      </w:r>
    </w:p>
    <w:p>
      <w:r>
        <w:t>Indeed, depending on the corporate model adopted, shareholders' agreements or statutory clauses can be adopted that ensure professional partners exercise control over the company, even in situations where, within the corporate structure, they are fewer than two-thirds and/or hold less than two-thirds of the share capital (for example, in the case of limited liability companies, granting professional partners the special rights referred to in Article 2468, paragraph 3, of the civil code, or in the case of joint-stock companies, limiting the voting rights of non-professionals by resorting to a maximum measure or staggered voting pursuant to Article 2351, paragraphs 2 and 3, of the civil code, or again resorting to non-voting special shares).</w:t>
      </w:r>
    </w:p>
    <w:p>
      <w:r>
        <w:t>The Authority believes that the interpretation of the norm adopted by some Councils and/or Federations of Professional Orders may, instead, lead to limitations of competition, as it results in an unjustified obstacle to the possibility for professionals to organize themselves in the form of STP.</w:t>
      </w:r>
    </w:p>
    <w:p>
      <w:r>
        <w:rPr>
          <w:b/>
        </w:rPr>
        <w:t>[Pages 25–27]</w:t>
      </w:r>
    </w:p>
    <w:p>
      <w:r>
        <w:t>BULLETIN NO. 24 OF JUNE 17, 2019 27</w:t>
      </w:r>
    </w:p>
    <w:p>
      <w:r>
        <w:t>Indeed, the request for the cumulation of the two requirements implies that only by forming a specific corporate structure, in which both the number of professional partners and their share of participation in the share capital are greater than two-thirds, can professionals organize themselves in STP and register in the special section of the relevant professional register, regardless of the type of company adopted and, more importantly, the presence of shareholders' agreements and/or statutory clauses on voting rights.</w:t>
      </w:r>
    </w:p>
    <w:p>
      <w:r>
        <w:t>According to the Authority, therefore, the aforementioned literal interpretation of Article 10, paragraph 4, letter b), of Law No. 183 of November 12, 2011, as it hinders the possibility for professionals to choose the organization and corporate structure deemed most suitable for their needs, translates into an unjustified limitation of competition, in contrast to the spirit of the provision aimed at completely overcoming the prohibition for professionals to establish themselves in companies.</w:t>
      </w:r>
    </w:p>
    <w:p>
      <w:r>
        <w:t>The Authority hopes that the addressed Ministries will undertake, within their respective competencies, initiatives suitable to ensure a uniform interpretation of what is provided by Article 10, paragraph 4, letter b), of Law No. 183/2011, in line with the rationale of the provision and the established competitive principles to which it is inspired.</w:t>
      </w:r>
    </w:p>
    <w:p>
      <w:r>
        <w:t>This report will be published in the Bulletin referred to in Article 26 of Law No. 287/90.</w:t>
      </w:r>
    </w:p>
    <w:p>
      <w:r>
        <w:t>THE PRESIDENT</w:t>
        <w:br/>
        <w:t>Roberto Rustichelli</w:t>
      </w:r>
    </w:p>
    <w:p>
      <w:r>
        <w:t>28 BULLETIN NO. 24 OF JUNE 17, 2019</w:t>
      </w:r>
    </w:p>
    <w:p>
      <w:r>
        <w:t>AS1589B - DISTORTIONS OF COMPETITION IN THE REGULATED PROFESSIONS SECTOR - ARTICLE 10 PARAGRAPH 4 LETTER B) OF LAW 183/2011 (STABILITY LAW 2012)</w:t>
      </w:r>
    </w:p>
    <w:p>
      <w:r>
        <w:t>Rome, June 12, 2019</w:t>
        <w:br/>
        <w:t>Senate of the Republic</w:t>
        <w:br/>
        <w:t>Chamber of Deputies</w:t>
        <w:br/>
        <w:t>Presidency of the Council of Ministers</w:t>
      </w:r>
    </w:p>
    <w:p>
      <w:r>
        <w:t>The Italian Competition Authority, within the tasks assigned to it pursuant to Article 21 of Law No. 287 of October 10, 1990, in its meeting of May 22, 2019, resolved to report the limitations of competition in the regulated professions sector, arising from the application methods of Article 10, paragraph 4, letter b), of Law No. 183 of November 12, 2011 (Stability Law 2012), which have also been brought to the attention of the Ministry of Justice and the Ministry of Economic Development for their respective competencies.</w:t>
      </w:r>
    </w:p>
    <w:p>
      <w:r>
        <w:t>With the aforementioned provision, the traditional prohibition on exercising professional activities in corporate form has indeed been definitively overcome, providing that companies whose articles of association provide, among other things: “the admission as partners of only professionals registered in orders, registers, and colleges, even in different sections, as well as citizens of the Member States of the European Union, provided they hold the qualifying degree, or non-professional subjects only for technical services, or for investment purposes. In any case, the number of professional partners and the participation in the share capital of the professionals must be such as to determine a majority of two-thirds in the resolutions or decisions of the partners; the failure of this condition constitutes a cause for the dissolution of the company and the professional order or college where the company is registered proceeds to its cancellation from the register, unless the company has restored the predominance of professional partners within the peremptory term of six months” (emphasis added).</w:t>
      </w:r>
    </w:p>
    <w:p>
      <w:r>
        <w:t>The Authority welcomed this provision as, as noted on numerous occasions, the possibility for professionals to organize themselves in corporate form can bring a series of advantages, allowing them to attract investments, become more competitive, and face the challenges posed by international competition.</w:t>
      </w:r>
    </w:p>
    <w:p>
      <w:r>
        <w:t>29 BULLETIN NO. 24 OF JUNE 17, 2019</w:t>
      </w:r>
    </w:p>
    <w:p>
      <w:r>
        <w:t>In the course of its institutional activities, however, the Authority has become aware of the existence of divergent interpretations and interpretative uncertainties regarding the provisions of Article 10, paragraph 4, letter b), of Law No. 183/2011, particularly concerning the two participation requirements indicated therein, the two-thirds majority in terms of the number of professional partners and participation in the share capital. In particular, some Councils and/or Federations of Professional Orders require that these requirements be met cumulatively for the establishment and registration of the STP in the special section of the relevant professional register, while other Councils and/or Federations of Professional Orders emphasize in their interpretation of the provision the actual exercise of control powers over the company.</w:t>
      </w:r>
    </w:p>
    <w:p>
      <w:r>
        <w:t>The Authority believes that the requirements referred to in Article 10, paragraph 4, letter b), of Law No. 183/2011 should be read in light of the rationale underlying the provision in question, represented by the need to limit the decision-making capacity of non-professional partners, so as to prevent them from influencing the strategic choices of the STP and the performance of professional services, ensuring that such direction is maintained by the professional partners. In this regard, it is intended to highlight how the objective in question can be ensured by resorting to the various instruments provided by the civil code that allow for the limitation or expansion of the rights and powers attributed to partners in relation to the type of company chosen and the related governance.</w:t>
      </w:r>
    </w:p>
    <w:p>
      <w:r>
        <w:t>Indeed, STPs do not constitute an autonomous type of company, but can take on the different corporate models provided by the civil code and are therefore subject to the legal discipline of the chosen model.</w:t>
      </w:r>
    </w:p>
    <w:p>
      <w:r>
        <w:t>The Authority notes that a different interpretation of Article 10, paragraph 4, letter b), of Law No. 183 of November 12, 2011, which requires the cumulation of the two requirements, hinders the possibility for professionals to choose the organization and corporate structure deemed most suitable for their needs, resulting in unjustified limitations of competition and being in contrast with the spirit of the provision, aimed at completely overcoming the prohibition for professionals to establish themselves in companies.</w:t>
      </w:r>
    </w:p>
    <w:p>
      <w:r>
        <w:t>Therefore, based on the above, the Authority hopes for an intervention on the text of Article 10, paragraph 4, letter b), of Law No. 183/2011 concerning the requirements indicated therein, in order to clarify its formulation, thus ensuring a uniform application by all Councils and/or Federations of Professional Orders, taking into account the spirit of the provision and the established competitive principles to which it is inspired.</w:t>
      </w:r>
    </w:p>
    <w:p>
      <w:r>
        <w:t>This report will be published in the Bulletin referred to in Article 26 of Law No. 287/90.</w:t>
      </w:r>
    </w:p>
    <w:p>
      <w:r>
        <w:t>THE PRESIDENT</w:t>
        <w:br/>
        <w:t>Roberto Rustichelli</w:t>
      </w:r>
    </w:p>
    <w:p>
      <w:r>
        <w:rPr>
          <w:b/>
        </w:rPr>
        <w:t>[Pages 28–28]</w:t>
      </w:r>
    </w:p>
    <w:p>
      <w:r>
        <w:t>Antitrust Authority Weekly Bulletin</w:t>
        <w:br/>
        <w:t>of Competition and Market Year XXIX - No. 24 - 2019</w:t>
        <w:br/>
        <w:t>Editorial Coordination Giulia Antenucci</w:t>
        <w:br/>
        <w:t>Editorial Staff Sandro Cini, Valerio Ruocco, Simonetta Schettini,</w:t>
        <w:br/>
        <w:t>Manuela Villani</w:t>
        <w:br/>
        <w:t>Italian Competition Authority</w:t>
        <w:br/>
        <w:t>Office of Statistics and IT Applications</w:t>
        <w:br/>
        <w:t>Piazza Giuseppe Verdi, 6/a - 00198 Rome</w:t>
        <w:br/>
        <w:t>Tel.: 06-858211 Fax: 06-85821256</w:t>
        <w:br/>
        <w:t>Web: http://www.agcm.it</w:t>
        <w:br/>
        <w:t>Graphic Design Area Strategic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