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https://www.agcm.it/dotcmsdoc/bollettini/2020/24-20.pdf</w:t>
      </w:r>
    </w:p>
    <w:p>
      <w:r>
        <w:t>Pages translated : 26</w:t>
      </w:r>
    </w:p>
    <w:p/>
    <w:p>
      <w:r>
        <w:rPr>
          <w:b/>
        </w:rPr>
        <w:t>[Pages 1–3]</w:t>
      </w:r>
    </w:p>
    <w:p>
      <w:r>
        <w:t>Bulletin</w:t>
        <w:br/>
        <w:t>Weekly</w:t>
        <w:br/>
        <w:t>Year XXX - No. 24</w:t>
        <w:br/>
        <w:t>Published on the website www.agcm.it</w:t>
        <w:br/>
        <w:t>June 15, 2020</w:t>
      </w:r>
    </w:p>
    <w:p>
      <w:r>
        <w:t>SUMMARY</w:t>
        <w:br/>
        <w:t>AGREEMENTS AND ABUSE OF DOMINANT POSITION 5</w:t>
        <w:br/>
        <w:t>I832 - TAXI TRANSPORT BOOKING SERVICES - NAPLES</w:t>
        <w:br/>
        <w:t>Measure no. 28252 5</w:t>
        <w:br/>
        <w:t>CONCENTRATION OPERATIONS 6</w:t>
        <w:br/>
        <w:t>C12291 - DEA CAPITAL ALTERNATIVE FUNDS SGR/PIERALISI MAIP</w:t>
        <w:br/>
        <w:t>Measure no. 28250 6</w:t>
        <w:br/>
        <w:t>C12293 - F2I SGR/ITALIAN RAILWAY COMPANY</w:t>
        <w:br/>
        <w:t>Measure no. 28251 10</w:t>
        <w:br/>
        <w:t>REPORTING AND CONSULTATIVE ACTIVITIES 14</w:t>
        <w:br/>
        <w:t>AS1673 – MUNICIPALITY OF MANTOVA - TOURIST GUIDE INCENTIVES 14</w:t>
        <w:br/>
        <w:t>AS1674 - ABRUZZO REGION - AMENDMENTS TO THE REGULATIONS ON BED AND BREAKFAST ACTIVITIES 16</w:t>
        <w:br/>
        <w:t>UNFAIR COMMERCIAL PRACTICES 21</w:t>
        <w:br/>
        <w:t>PS11573 - IDRO KERATIN</w:t>
        <w:br/>
        <w:t>Measure no. 28253 21</w:t>
      </w:r>
    </w:p>
    <w:p>
      <w:r>
        <w:t>BULLETIN NO. 24 OF JUNE 15, 2020 5</w:t>
        <w:br/>
        <w:t>AGREEMENTS AND ABUSE OF DOMINANT POSITION</w:t>
        <w:br/>
        <w:t>I832 - TAXI TRANSPORT BOOKING SERVICES - NAPLES</w:t>
        <w:br/>
        <w:t>Measure no. 28252</w:t>
        <w:br/>
        <w:t>THE COMPETITION AND MARKET AUTHORITY</w:t>
        <w:br/>
        <w:t>IN ITS MEETING of May 27, 2020;</w:t>
        <w:br/>
        <w:t>HEARD the Rapporteur Dr. Gabriella Muscolo;</w:t>
        <w:br/>
        <w:t>HAVING REGARD to article 101 of the Treaty on the Functioning of the European Union (TFEU);</w:t>
        <w:br/>
        <w:t>HAVING REGARD to Council Regulation No. 1/2003 of December 16, 2002;</w:t>
        <w:br/>
        <w:t>HAVING REGARD to the law of October 10, 1990, no. 287;</w:t>
        <w:br/>
        <w:t>HAVING REGARD to the D.P.R. of April 30, 1998, no. 217;</w:t>
        <w:br/>
        <w:t>HAVING REGARD to its measure no. 27553 of February 13, 2019, with which an investigation procedure was initiated against Consortaxi, Taxi Napoli S.r.l., Radio Taxi Partenope S.c. a r.l. and Desa Radiotaxi S.r.l. simplified, pursuant to article 14 of law no. 287/90, to ascertain the existence of a violation of article 101 of the TFEU and article 2 of law no. 287/90, consisting of having signed, on November 15, 2018, an agreement aimed at mutually binding themselves to prohibit the taxi drivers adhering to their respective radio taxis from using competing open platforms;</w:t>
        <w:br/>
        <w:t>HAVING REGARD to its measure no. 27933 of October 1, 2019, with which the deadline for closing the procedure was extended to June 30, 2020;</w:t>
        <w:br/>
        <w:t>HAVING REGARD to the acts of the procedure;</w:t>
        <w:br/>
        <w:t>CONSIDERING it necessary to replace the person responsible for the procedure due to unforeseen organizational needs;</w:t>
        <w:br/>
        <w:t>RESOLVES</w:t>
        <w:br/>
        <w:t>to replace Dr. Bianca Maria Cammino with Dr. Chiara de Mari as the person responsible for the procedure.</w:t>
        <w:br/>
        <w:t>This measure will be notified to the interested parties and published in the bulletin of the Competition and Market Authority.</w:t>
        <w:br/>
        <w:t>THE SECRETARY GENERAL THE PRESIDENT</w:t>
        <w:br/>
        <w:t>Filippo Arena Roberto Rustichelli</w:t>
      </w:r>
    </w:p>
    <w:p>
      <w:r>
        <w:rPr>
          <w:b/>
        </w:rPr>
        <w:t>[Pages 4–6]</w:t>
      </w:r>
    </w:p>
    <w:p>
      <w:r>
        <w:t>6 BULLETIN NO. 24 OF JUNE 15, 2020</w:t>
        <w:br/>
        <w:t>CONCENTRATION OPERATIONS</w:t>
        <w:br/>
        <w:t>C12291 - DEA CAPITAL ALTERNATIVE FUNDS SGR/PIERALISI MAIP</w:t>
        <w:br/>
        <w:t>Measure no. 28250</w:t>
        <w:br/>
        <w:t>THE COMPETITION AND MARKET AUTHORITY</w:t>
        <w:br/>
        <w:t>IN ITS MEETING of May 27, 2020;</w:t>
        <w:br/>
        <w:t>HEARD the Rapporteur Dr. Gabriella Muscolo;</w:t>
        <w:br/>
        <w:t>HAVING REGARD to the law of October 10, 1990, no. 287;</w:t>
        <w:br/>
        <w:t>HAVING REGARD to the D.P.R. of April 30, 1998, no. 217;</w:t>
        <w:br/>
        <w:t>HAVING REGARD to article 103 of the D.L. of March 17, 2020, no. 18, converted with modifications by the law of April 24, 2020, no. 27;</w:t>
        <w:br/>
        <w:t>HAVING REGARD to article 37 of the D.L. of April 8, 2020, no. 23;</w:t>
        <w:br/>
        <w:t>HAVING REGARD to the Communication on the interpretation of art. 103 of the decree law of March 17, 2020, no. 18, as modified by art. 37 of the D.L. of April 8, 2020, no. 23, approved by the Authority's Board in the sessions of April 1 and April 10, 2020;</w:t>
        <w:br/>
        <w:t>HAVING REGARD to the communication from Dea Capital Alternative Funds S.g.r. S.p.A., received on April 1, 2020;</w:t>
        <w:br/>
        <w:t>CONSIDERING the following:</w:t>
        <w:br/>
        <w:t>I. THE PARTIES</w:t>
        <w:br/>
        <w:t>1. Dea Capital Alternative Funds S.g.r. S.p.A. (hereinafter also “Dea Capital AF”) is a company active in collective investment management, in management under delegation conferred by entities providing collective investment management services and by foreign collective investment bodies, in the provision of advisory services in financial investments, the ancillary service of custody and administration of financial instruments, as well as in the exercise of activities related and/or instrumental to collective investment management. In particular, Dea Capital AF manages IDeA Corporate Credit Recovery II (hereinafter also “IDeA CCR II”), a closed-end fund under Italian law reserved for qualified investors, specialized in corporate restructuring operations through the Credit Segment and the New Finance Segment.</w:t>
        <w:br/>
        <w:t>2. The share capital of Dea Capital AF is 100% owned by Dea Capital S.p.A. (hereinafter also “DEA”), a company active in the private equity and alternative asset management sector. DEA is in turn controlled by De Agostini S.p.A. (hereinafter also “De Agostini Group”), due to a 67.1% shareholding in its capital.</w:t>
        <w:br/>
        <w:t>3. In 2018, the De Agostini Group achieved a consolidated revenue of approximately 4.5 billion euros worldwide, of which approximately [2-3]* billion euros from sales in the European Union and approximately [1-2] billion euros from sales in Italy.</w:t>
        <w:br/>
        <w:t>4. Pieralisi Maip S.p.A. (hereinafter Pieralisi) is a company operating in the production and marketing of plants for olive oil extraction and industrial machinery that develops centrifugal force (centrifugal decanters, separators, pre-processing machines, etc.), for which it also offers after-sales assistance services.</w:t>
        <w:br/>
        <w:t>5. Pieralisi is controlled by Frapi S.p.A. and has exclusive control over the following commercial companies operating in Italy and abroad: Pieralisi S.p.A., Pieralisi Northern Europe, Pieralisi France, Pieralisi North America Inc., Pieralisi China, Pieralisi Hellas A.E., Pieralisi Tunisia, Pieralisi Espana S.L., Pieralisi Do Brasil S.A., Pieralisi Argentina S.A. Pieralisi also holds 99% of the share capital of Pieralisi International, the group's financial company.</w:t>
        <w:br/>
        <w:t>6. In 2019, the Pieralisi Group achieved a worldwide revenue of approximately 102.6 million euros, of which approximately [31-100] million euros from sales in the European Union and approximately [31-100] million euros from sales in Italy.</w:t>
        <w:br/>
        <w:t>II. DESCRIPTION OF THE TRANSACTION</w:t>
        <w:br/>
        <w:t>7. The transaction in question takes place within the framework of a restructuring agreement pursuant to article 67, paragraph three, letter (d), of the Bankruptcy Law between Pieralisi Maip S.p.A. (and its subsidiaries) and its creditors (hereinafter also “Restructuring Plan”).</w:t>
        <w:br/>
        <w:t>8. In particular, according to the communication, Dea Capital AF, as the manager of the Credit Segment of the IDeA CCR II fund, will acquire 51% of the share capital of Pieralisi by subscribing to a capital increase with the issuance of new category shares (category A), while the current shareholders holding the remaining 49% will be allocated category B1 shares.</w:t>
        <w:br/>
        <w:t>9. Following the transaction, the board of directors of Pieralisi will consist of 3, 5, or 7 members at the discretion of the Credit Segment of the IDeA CCR II fund, which will designate, respectively, 2, 3, or 5 members, including the CEO; furthermore, 1 or 2 members (depending on the case), including the Chairman, will not have operational delegations with a statutory provision of the so-called “simul stabunt simul cadent” clause. The board of directors will decide by a majority of its members.</w:t>
        <w:br/>
        <w:t>10. It is also provided that the Board of Statutory Auditors will consist of 3 effective members, of which 2, including the Chairman, will be appointed by the Credit Segment of the IDeA CCR II fund, and 2 alternate auditors, of which 1 will be appointed by the Credit Segment of the IDeA CCR II fund.</w:t>
        <w:br/>
        <w:t>* In this version, some data are omitted, as elements of confidentiality or secrecy of the information were deemed to exist.</w:t>
        <w:br/>
        <w:t>1 In the context of the transaction, moreover, the New Finance Segment of Dea Capital AF will provide the acquired company with new financing.</w:t>
      </w:r>
    </w:p>
    <w:p>
      <w:r>
        <w:t>8 BULLETIN NO. 24 OF JUNE 15, 2020</w:t>
        <w:br/>
        <w:t>11. Therefore, as a result of the Transaction, DeA Capital AF will hold the majority of the share capital of Pieralisi and, by virtue of the governance agreements, will have exclusive control of that company.</w:t>
        <w:br/>
        <w:t>12. According to the statements made by the Parties, the transaction does not involve ancillary restrictions.</w:t>
        <w:br/>
        <w:t>III. QUALIFICATION OF THE TRANSACTION</w:t>
        <w:br/>
        <w:t>13. The notified transaction, as it involves the acquisition of exclusive control of a company, constitutes a concentration pursuant to article 5, paragraph 1, letter b), of law no. 287/90.</w:t>
        <w:br/>
        <w:t>14. It falls within the scope of application of law no. 287/90, as the conditions of article 1 of EC Regulation no. 139/04 do not apply, and is subject to the obligation of prior notification provided for by article 16, paragraph 1, of the same law, as amended by article 1, paragraph 177, of law no. 124 of August 4, 2017, since the total revenue achieved in the last financial year at the national level by the group of companies involved was over 504 million euros and the revenue achieved individually at the national level by at least two of the companies involved was over 31 million euros.</w:t>
        <w:br/>
        <w:t>IV. EVALUATION OF THE CONCENTRATION</w:t>
        <w:br/>
        <w:t>15. The transaction concerns the sectors of production and marketing of plants and industrial machinery, within which, considering the type of productions of Pieralisi, it is possible to distinguish the market for the production and marketing of plants intended for the olive oil industry and the market for the production and marketing of machinery that develops centrifugal force. It is appropriate to preface that, for the purposes of evaluating the transaction in question, it is not necessary to arrive at a precise identification of the product markets and their geographical dimension since, even in the most restrictive hypothesis, the assessment of the competitive impact, as will be seen below, would not change.</w:t>
        <w:br/>
        <w:t>17. That said, the market for the production and marketing of plants intended for the olive oil industry has a supranational geographical dimension, extendable worldwide. In fact, the demand is represented by European and non-European producers, as olive oil production is 80% located in Spain, Italy, Greece, Morocco, Tunisia, and Turkey. According to the information provided by the party, moreover, this market does not appear to be characterized by significant barriers to entry, with strong synergies in terms of know-how, mechanical processing, and R&amp;D activities.</w:t>
        <w:br/>
        <w:t>18. Pieralisi's market share, at the global level, is estimated at approximately [30-35%] and there are other significant producers, also operating at a supranational level, such as Ameduni Nicola S.p.A., Mori-Tem S.r.l., Centrofugatio Alemanna S.L., Polat Machina A.S., etc. Neither the IDeA CCR II fund nor the other funds managed by Dea Capital AF or by other SGRs belonging to Dea Capital AF are active in the relevant market or in vertically related markets.</w:t>
        <w:br/>
        <w:t>19. The second market in which Pieralisi operates is that of the production and marketing of machinery that develops centrifugal force, allowing the separation of materials (solid-liquid and liquid-solid), and which are used in the following activity segments: chemical, environmental, food &amp; beverage, oil &amp; gas, ecological.</w:t>
      </w:r>
    </w:p>
    <w:p>
      <w:r>
        <w:rPr>
          <w:b/>
        </w:rPr>
        <w:t>[Pages 7–9]</w:t>
      </w:r>
    </w:p>
    <w:p>
      <w:r>
        <w:t>BULLETIN NO. 24 OF JUNE 15, 2020</w:t>
      </w:r>
    </w:p>
    <w:p>
      <w:r>
        <w:t>9</w:t>
        <w:br/>
        <w:t>The geographical dimension of this market, according to what was communicated by the party, extends at least at the European level, considering the uses of such productions, as well as the fact that transportation costs are very low (0-5%) compared to the purchase price. Furthermore, although the producer is required to offer after-sales support services for the sold machinery, it is not necessary to have a local presence, as these activities can be carried out by independent local technicians or other after-sales service providers.</w:t>
      </w:r>
    </w:p>
    <w:p>
      <w:r>
        <w:t>20. According to the information provided, Pieralisi is present in each of the different activity segments to which its products are destined, with the following shares held at the European level: approximately [5-10%] in the chemical sector, approximately [5-10%] in the environmental sector, approximately [5-10%] in food &amp; beverage; approximately [0-5%] in the ecological sector and less than 1% in oil &amp; gas. In this market, there are numerous competitors present in each of the identified activity segments, operating at a supranational level, including Alfa Laval AB, Andritz AG, Gea Group AG, SPX Flow, Mitsubishi Kakoki Kaisha, etc. Furthermore, none of the companies in the De Agostini Group is present in the relevant market or in vertically related markets.</w:t>
      </w:r>
    </w:p>
    <w:p>
      <w:r>
        <w:t>21. In light of the above, it is believed that in the relevant markets the transaction will not have adverse effects on competition, not resulting in substantial changes in the competitive structure of the same.</w:t>
      </w:r>
    </w:p>
    <w:p>
      <w:r>
        <w:t>IT IS THEREFORE CONSIDERED that the transaction in question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measure will be published in the Bulletin of the Competition and Market Authority.</w:t>
      </w:r>
    </w:p>
    <w:p>
      <w:r>
        <w:t>THE SECRETARY GENERAL THE PRESIDENT</w:t>
        <w:br/>
        <w:t>Filippo Arena Roberto Rustichelli</w:t>
      </w:r>
    </w:p>
    <w:p>
      <w:r>
        <w:t>10 BULLETIN NO. 24 OF JUNE 15, 2020</w:t>
      </w:r>
    </w:p>
    <w:p>
      <w:r>
        <w:t>C12293 - F2I SGR/COMPAGNIA FERROVIARIA ITALIANA</w:t>
        <w:br/>
        <w:t>Measure no. 28251</w:t>
        <w:br/>
        <w:t>THE COMPETITION AND MARKET AUTHORITY</w:t>
        <w:br/>
        <w:t>IN ITS MEETING of May 27, 2020;</w:t>
        <w:br/>
        <w:t>HEARD the Rapporteur, Dr. Gabriella Muscolo;</w:t>
        <w:br/>
        <w:t>HAVING REGARD to Law of October 10, 1990, no. 287;</w:t>
        <w:br/>
        <w:t>HAVING REGARD to the D.P.R. of April 30, 1998, no. 217;</w:t>
        <w:br/>
        <w:t>HAVING REGARD to art. 103, paragraph 1, of the D.L. of March 17, 2020, no. 18, containing “Measures to strengthen the National Health Service and economic support for families, workers, and businesses related to the COVID-19 epidemiological emergency,” as modified by art. 37 of the D.L. of April 8, 2020, no. 23;</w:t>
        <w:br/>
        <w:t>HAVING REGARD to the “Communication on the interpretation of art. 103 of the decree law of March 17, 2020, no. 18, as modified by art. 37 of the decree law of April 8, 2020, no. 23, approved by the Authority's Board in the sessions of April 1 and April 10, 2020”;</w:t>
        <w:br/>
        <w:t>HAVING REGARD to the communication from F2I SGR S.p.A. received on April 29, 2020, supplemented on May 12, 2020;</w:t>
        <w:br/>
        <w:t>HAVING REGARD to the documentation on file;</w:t>
      </w:r>
    </w:p>
    <w:p>
      <w:r>
        <w:t>CONSIDERED the following:</w:t>
      </w:r>
    </w:p>
    <w:p>
      <w:r>
        <w:t>I. THE PARTIES</w:t>
      </w:r>
    </w:p>
    <w:p>
      <w:r>
        <w:t>1. F2I SGR S.p.A. (hereinafter ‘F2I’) is an asset management company that currently manages three closed-end alternative investment funds: F2I – Second Italian Fund for Infrastructure (hereinafter ‘Second Fund’); F2I – Third Fund for Infrastructure (hereinafter ‘Third Fund’); ANIA F2I Fund (hereinafter ‘ANIA Fund’), established in December 2019. The investment strategy of the funds managed by F2I aims to ensure the efficiency of industrial and financial management, as well as the development of acquired holdings in the most important infrastructural sectors including airports, highways, gas distribution, water services, telecommunications, renewable energies, local public services, and social infrastructure. Of particular interest in this concentration operation is that F2I, and in particular the Third Fund, manages several terminals in the port of Carrara. The share capital of F2I is owned by numerous parties, none of whom exercise exclusive or joint control. In 2018, the revenue generated in Italy by F2I was, at the consolidated level, approximately [2-3]* billion euros.</w:t>
      </w:r>
    </w:p>
    <w:p>
      <w:r>
        <w:t>* In this version, some data is omitted, as there were deemed to be elements of confidentiality or secrecy of the information.</w:t>
      </w:r>
    </w:p>
    <w:p>
      <w:r>
        <w:t>BULLETIN NO. 24 OF JUNE 15, 2020</w:t>
      </w:r>
    </w:p>
    <w:p>
      <w:r>
        <w:t>11</w:t>
        <w:br/>
        <w:t>2. Compagnia Ferroviaria Italiana S.p.A. - CFI (hereinafter ‘CFI’) - is a company that operates in the rail freight transport sector for steel, automotive, chemical products, and hazardous goods. In addition to freight transport by train, through its subsidiaries CFI Intermodal S.r.l. and Manutenzioni Ferroviarie S.r.l., CFI carries out intermodal transport activities and related maintenance and repair activities for railway vehicles. In 2018, the total revenue generated in Italy by CFI was approximately [31-100] million euros.</w:t>
      </w:r>
    </w:p>
    <w:p>
      <w:r>
        <w:t>II. DESCRIPTION OF THE TRANSACTION</w:t>
      </w:r>
    </w:p>
    <w:p>
      <w:r>
        <w:t>3. The notified concentration operation consists of the acquisition of exclusive control over CFI by F2I, on behalf of and in the interest of the ANIA Fund, through the purchase of 92.5% of the share capital of CFI, currently held by Guido Bernardini S.r.l., Icaria S.p.A., Nikel S.r.l., and an individual. Following the transaction, the latter will hold the remaining part of the share capital of CFI. The transaction includes non-competition obligations, for a period of 30 months, on the part of the sellers Guido Bernardini S.r.l., Icaria S.p.A., and Nikel S.r.l. concerning the activities carried out by CFI and CFI Intermodal S.r.l. The geographical scope of the non-competition obligations extends, in addition to the Italian territory, to other Member States of the European Union and Switzerland. Finally, the individual holding 7.5% of the capital of CFI, for the duration of the positions held in CFI1, and except for the current roles held in the associations Fercargo and Confetra, may not perform, without prior authorization from CFI, any other type of work for companies other than CFI and its subsidiaries, even if in favor of companies not in competition with CFI.</w:t>
      </w:r>
    </w:p>
    <w:p>
      <w:r>
        <w:t>III. QUALIFICATION OF THE TRANSACTION</w:t>
      </w:r>
    </w:p>
    <w:p>
      <w:r>
        <w:t>4. The notified transaction, as it involves the acquisition of control of a company, constitutes a concentration pursuant to Article 5, paragraph 1, letter b), of Law No. 287/90. It falls within the scope of application of Law No. 287/90, as the conditions of Article 1 of Regulation (EC) No. 139/04 do not apply, and is subject to the obligation of prior notification provided for by Article 16, paragraph 1, of the same law as the total revenue generated, in the last financial year at the national level, by the group of companies involved was over 504 million euros and the total revenue generated, in the last financial year at the national level, by at least two of the companies involved was over 31 million euros.</w:t>
      </w:r>
    </w:p>
    <w:p>
      <w:r>
        <w:t>5. The non-competition agreement described above constitutes a restriction directly connected and necessary for the realization of the transaction, as it is strictly functional to safeguarding the value of the acquired company. In particular, in this case, the commitments made by the sellers benefit the buyer and respond to the need to ensure the transfer of the actual value of the company being acquired, provided that such agreement has a limited duration in time, not exceeding three years, and that such agreement</w:t>
      </w:r>
    </w:p>
    <w:p>
      <w:r>
        <w:t>1 Under the Administration Contract, the individual, a minority shareholder, undertakes to exercise the powers of managing director of CFI and sole director of its subsidiaries CFI Intermodal S.r.l. and Società Manutenzioni Ferroviarie S.r.l. until December 31, 2022. Upon expiration, they may decide whether or not to renew these positions.</w:t>
      </w:r>
    </w:p>
    <w:p>
      <w:r>
        <w:rPr>
          <w:b/>
        </w:rPr>
        <w:t>[Pages 10–12]</w:t>
      </w:r>
    </w:p>
    <w:p>
      <w:r>
        <w:t>12 BULLETIN NO. 24 OF JUNE 15, 2020</w:t>
      </w:r>
    </w:p>
    <w:p>
      <w:r>
        <w:t>is limited to the product and geographic scope in which the acquired company has so far conducted its activities.</w:t>
      </w:r>
    </w:p>
    <w:p>
      <w:r>
        <w:t>6. Regarding the clause concerning the exclusivity of the work performance of the future minority shareholder, since it is not functional to safeguarding the value of the acquired company, insofar as the individual was and will still be a shareholder of CFI, it cannot be considered an ancillary restriction to the concentration and therefore does not constitute the subject of the present evaluation.</w:t>
      </w:r>
    </w:p>
    <w:p>
      <w:r>
        <w:t>IV. EVALUATION OF THE TRANSACTION</w:t>
      </w:r>
    </w:p>
    <w:p>
      <w:r>
        <w:t>7. The transaction concerns the rail freight transport considered both individually and within the broader context of intermodal freight transport.</w:t>
      </w:r>
    </w:p>
    <w:p>
      <w:r>
        <w:t>8. With reference to rail freight transport, a complete definition of the product market cannot disregard the type of goods transported, the transport costs, as well as the delivery times and the geographical location of the served customers, which can make, in specific cases, the service substitutable with other modes of transport (mainly by road, but also by water or air). Furthermore, in the decision-making practice of the Commission, there is a possible further subdivision of rail freight transport into "full train traffic" - that is, entire trains set up for a single customer, connecting a single point of origin to a single point of destination - and "distributed train traffic" - that is, trains assembled for multiple customers who have the same destination region, which are transported to sorting areas to then be divided into individual wagons destined to reach the customer at the final destination. According to the precedents of the European Commission, rail freight transport can finally be further segmented depending on the final destination of the transported goods, namely short-distance transport, if the destination is within the national territory of departure, or long-distance transport, if beyond the border.</w:t>
      </w:r>
    </w:p>
    <w:p>
      <w:r>
        <w:t>9. With regard to intermodal transport, it concerns the transport of goods, usually by means of containers, from point to point over long distances. The organization of this type of transport is characterized by the use of different modes (maritime, road, rail), for the integrated execution of coordination between the different means employed and for the management of sorting points.</w:t>
      </w:r>
    </w:p>
    <w:p>
      <w:r>
        <w:t>10. In particular, CFI is active at the national level in offering services of i) "full train traffic" transport and ii) intermodal transport, as well as in offering logistical activities related to train handling. Given that F2I will be active for the first time in these sectors as a result of the transaction, it is not necessary to precisely establish the product and geographic boundaries of each relevant market, as the evaluation would not change.</w:t>
      </w:r>
    </w:p>
    <w:p>
      <w:r>
        <w:t>11. According to the data provided by the party, CFI is attributed a turnover in value and volume (trains/km), for the year 2018, equal to approximately [5-10%], against the presence in the sector of operators of primary relevance both national and international.</w:t>
      </w:r>
    </w:p>
    <w:p>
      <w:r>
        <w:t>12. The Party also highlights a marginal presence of F2I, through the Third Fund, in the upstream market of port services, particularly in the commercial port of Marina di Carrara, with a share in terms of volumes handled equal to about 1%, which therefore does not raise competitive concerns at the level of vertical integration with the rail freight transport activity carried out by CFI.</w:t>
      </w:r>
    </w:p>
    <w:p>
      <w:r>
        <w:t>13. Considering that, from a horizontal perspective, the concentration results in the mere substitution of one operator with another and that, from a vertical perspective, there is a low level of integration between the Parties, the transaction does not appear to be capable of altering competitive dynamics in the affected markets.</w:t>
      </w:r>
    </w:p>
    <w:p>
      <w:r>
        <w:t>CONSIDERING, therefore, that the transaction in question does not entail, pursuant to Article 6, paragraph 1, of law no. 287/90, the establishment or strengthening of a dominant position in the affected markets, such as to eliminate or substantially and durably reduce competition;</w:t>
      </w:r>
    </w:p>
    <w:p>
      <w:r>
        <w:t>CONSIDERING, furthermore, that the non-compete agreement is ancillary to the present transaction only within the product and geographic limits described above, reserving the Authority the right to evaluate, where the conditions exist, whether the aforementioned agreement is realized beyond the limits indicated therein;</w:t>
      </w:r>
    </w:p>
    <w:p>
      <w:r>
        <w:t>CONSIDERING, finally, that the exclusivity clause of the work performance of the future minority shareholder does not constitute the subject of this resolution as it is not ancillary to the concentration transaction in question, and that the Authority, therefore, reserves the right to evaluate, where the conditions exist, the aforementioned clause;</w:t>
      </w:r>
    </w:p>
    <w:p>
      <w:r>
        <w:t>RESOLVES</w:t>
      </w:r>
    </w:p>
    <w:p>
      <w:r>
        <w:t>not to initiate the investigation pursuant to Article 16, paragraph 4, of law no. 287/90.</w:t>
      </w:r>
    </w:p>
    <w:p>
      <w:r>
        <w:t>The above conclusions will be communicated, pursuant to Article 16, paragraph 4, of law no. 287/90, to the interested companies and to the Ministry of Economic Development.</w:t>
      </w:r>
    </w:p>
    <w:p>
      <w:r>
        <w:t>This measure will be published in the Bulletin of the Competition and Market Authority.</w:t>
      </w:r>
    </w:p>
    <w:p>
      <w:r>
        <w:t>THE SECRETARY GENERAL THE PRESIDENT</w:t>
        <w:br/>
        <w:t>Filippo Arena Roberto Rustichelli</w:t>
      </w:r>
    </w:p>
    <w:p>
      <w:r>
        <w:t>14 BULLETIN NO. 24 OF JUNE 15, 2020</w:t>
      </w:r>
    </w:p>
    <w:p>
      <w:r>
        <w:t>REPORTING AND CONSULTATIVE ACTIVITIES</w:t>
      </w:r>
    </w:p>
    <w:p>
      <w:r>
        <w:t>AS1673 – MUNICIPALITY OF MANTOVA - INCENTIVES FOR TOURIST GUIDES</w:t>
      </w:r>
    </w:p>
    <w:p>
      <w:r>
        <w:t>Rome, June 5, 2020</w:t>
      </w:r>
    </w:p>
    <w:p>
      <w:r>
        <w:t>Municipality of Mantova</w:t>
      </w:r>
    </w:p>
    <w:p>
      <w:r>
        <w:t>The Competition and Market Authority, in its meeting of May 27, 2020, deemed it appropriate to make some observations, pursuant to Article 21 of law of October 10, 1990, no. 287, regarding the restrictions on the operation of tourist guides based on the regional scope in which they have obtained their qualification.</w:t>
      </w:r>
    </w:p>
    <w:p>
      <w:r>
        <w:t>In particular, the Municipality of Mantova, with Resolution of the Giunta no. 46 of February 19, 2020, concerning "Reductions of parking fees for tourist buses whose passengers use a guide or a qualified tourist escort", approved, starting from March 1, 2020, modifications to a previous resolution, "providing, on a trial basis, a 25% reduction of fees for tourist buses whose passengers use a guide or qualified tourist escort registered in the lists drawn up by the province of Mantova, pursuant to Article 52 of the Lombardy Regional Law of October 1, 2015, no. 27".</w:t>
      </w:r>
    </w:p>
    <w:p>
      <w:r>
        <w:t>The discounts applied to bookings of tourist buses made through local tourist guides, approved by the aforementioned resolution, are discriminatory against tourist guides qualified in other geographical areas, as, due to the discount denied to them, tour operators or groups of tourists are incentivized to use local guides in order to benefit from a lower price.</w:t>
      </w:r>
    </w:p>
    <w:p>
      <w:r>
        <w:t>The Authority has repeatedly pointed out that such preferential treatment is not justified by particular needs to protect community interests, resulting in an unjustified discrimination.</w:t>
      </w:r>
    </w:p>
    <w:p>
      <w:r>
        <w:t>1 The D.G.C. no. 171 of July 18, 2019, which established the fees for tourist buses in the Limited Traffic Zone in the city of Mantova.</w:t>
      </w:r>
    </w:p>
    <w:p>
      <w:r>
        <w:t>2 See, lastly, the reports AS1635 - MUNICIPALITIES OF PISA LUCCA AND CARRARA - LIMITS ON THE EXERCISE OF THE PROFESSIONAL ACTIVITY OF TOURIST GUIDES of January 14, 2020, in Bulletin no. 5/2020 and AS1607 - MUNICIPALITY OF BOLOGNA - DISCOUNTED FEES FOR TOURIST BUSES WITH LOCAL GUIDES of July 31, 2019, in Bulletin 33/2019. Also in this regard, see the reports AS1549 - PROVISIONS THAT DETERMINE DISPARITIES IN TREATMENT OF TOURIST GUIDES BASED ON THE REGIONAL SCOPE IN WHICH THEY OBTAINED THEIR QUALIFICATION of December 6, 2018, in Bulletin 48/2018; AS1584, LAZIO REGION - LAW 7/2018 - PROVISIONS RELATING TO TOURIST GUIDES of December 6, 2018, in Bulletin 48/2018 and AS1339 - OBSTACLES TO THE EXERCISE OF THE PROFESSION OF TOURIST GUIDES IN ITALY of December 21, 2016, in Bulletin 48/2016.</w:t>
      </w:r>
    </w:p>
    <w:p>
      <w:r>
        <w:rPr>
          <w:b/>
        </w:rPr>
        <w:t>[Pages 13–15]</w:t>
      </w:r>
    </w:p>
    <w:p>
      <w:r>
        <w:t>BULLETIN NO. 24 OF JUNE 15, 2020</w:t>
      </w:r>
    </w:p>
    <w:p>
      <w:r>
        <w:t>the segmentation of the national market that contrasts with the principle of liberalization introduced by the state legislator with art. 3 of Law August 6, 2013, no. 97, containing "Provisions for the fulfillment of obligations arising from Italy's membership in the European Union - European Law 2013," which provides: "The qualification for the profession of tourist guide is valid throughout the national territory."</w:t>
      </w:r>
    </w:p>
    <w:p>
      <w:r>
        <w:t>Based on the above, the Authority hopes that the addressed Administration takes adequate consideration of the aforementioned observations and modifies the provisions indicated above, eliminating the highlighted discriminations for tourist guides operating in non-local territorial areas, in order to protect and promote competition in the sector in the most effective manner.</w:t>
      </w:r>
    </w:p>
    <w:p>
      <w:r>
        <w:t>The Authority invites the addressed administration to communicate, within thirty days from the receipt of this report, the determinations taken regarding the competitive criticalities highlighted above.</w:t>
      </w:r>
    </w:p>
    <w:p>
      <w:r>
        <w:t>This report will be published in the Bulletin referred to in Article 26 of Law no. 287/90.</w:t>
      </w:r>
    </w:p>
    <w:p>
      <w:r>
        <w:t>THE PRESIDENT</w:t>
        <w:br/>
        <w:t>Roberto Rustichelli</w:t>
      </w:r>
    </w:p>
    <w:p>
      <w:r>
        <w:t>BULLETIN NO. 24 OF JUNE 15, 2020</w:t>
      </w:r>
    </w:p>
    <w:p>
      <w:r>
        <w:t>AS1674 - REGION ABRUZZO - AMENDMENTS TO THE REGULATIONS ON BED AND BREAKFAST ACTIVITIES</w:t>
      </w:r>
    </w:p>
    <w:p>
      <w:r>
        <w:t>Rome, June 5, 2020</w:t>
      </w:r>
    </w:p>
    <w:p>
      <w:r>
        <w:t>President of the Abruzzo Region</w:t>
      </w:r>
    </w:p>
    <w:p>
      <w:r>
        <w:t>Based on information acquired by the Competition and Market Authority in the context of its institutional activities, it has emerged that the regulations on bed and breakfast activities introduced by the Abruzzo Region present competitive criticalities, among those for which the Authority has already exercised its advocacy powers in the past with reference to other regional regulations related to non-hotel accommodation.</w:t>
      </w:r>
    </w:p>
    <w:p>
      <w:r>
        <w:t>Therefore, pursuant to Article 21 of Law October 10, 1990, no. 287, in its meeting of May 27, 2020, the Competition and Market Authority intended to express the following considerations regarding certain regulatory provisions concerning bed and breakfast activities, introduced by regional law January 14, 2020, no. 1 of the Abruzzo Region, titled "Extension of deadlines provided by legislative provisions and further urgent provisions," in the part that modifies regional law April 28, 2000, no. 78 containing "Regulations on the occasional exercise of accommodation and breakfast - Bed &amp; Breakfast," as well as regional law April 28, 1995, no. 75, containing "Regulations on non-hotel tourist facilities."</w:t>
      </w:r>
    </w:p>
    <w:p>
      <w:r>
        <w:t>Preliminarily, the Authority observes that the aforementioned regional law no. 78/2000 allows the non-entrepreneurial conduct of bed and breakfast activities only on an occasional basis.</w:t>
      </w:r>
    </w:p>
    <w:p>
      <w:r>
        <w:t>The Authority intends to point out that this regulatory provision constitutes an unjustified restriction of competition – since it has not been modified by regional law no. 1/2020 – as it limits the free exercise of economic activity in the absence of general interest reasons such as, pursuant to Directive Services no. 2006/123/EC, consumer protection, environmental protection, public safety, and public health, as well as the necessity to respect labor rights.</w:t>
      </w:r>
    </w:p>
    <w:p>
      <w:r>
        <w:t>In this regard, in exercising its advocacy powers, the Authority has repeatedly observed that regulatory provisions that introduce unjustified operational and managerial limitations on the exercise of economic activities, even when carried out in a non-entrepreneurial form, constitute obstacles to the development of competitive dynamics and result in an undue compression of the competitive capacity and economic freedom of operators in the sector. In particular, the provision and maintenance of the occasionality requirement constitutes an unjustified limit, as it precludes bed and breakfast operators who carry out accommodation activities in a non-entrepreneurial form from offering their services primarily or exclusively, thus limiting their freedom to autonomously define the organization of their economic activity.</w:t>
      </w:r>
    </w:p>
    <w:p>
      <w:r>
        <w:t>Regarding the amendments made by regional law no. 1/2020 to the bed and breakfast activity carried out in a non-entrepreneurial form, this regulation, in addition to continuing to provide that this form of management can only occur occasionally, has also introduced a series of operational, dimensional, and temporal restrictions on the exercise of this non-hotel accommodation activity.</w:t>
      </w:r>
    </w:p>
    <w:p>
      <w:r>
        <w:t>Specifically, the regional law in question has set a maximum opening limit for bed and breakfasts of 270 days, even if not consecutive (art. 1, paragraph 10, letter a), imposed the obligation of annual closure, although left to the discretion of the structure's owner (art. 1, paragraph 10, letter d), and extended the dimensional constraint, equal to 6 square meters, of the kitchen area, even in cases where it is used as a space to ensure guest entertainment (art. 1, paragraph 10, letter c).</w:t>
      </w:r>
    </w:p>
    <w:p>
      <w:r>
        <w:t>Furthermore, it is noted that regional law no. 1/2020 has also modified regional law April 28, 1995, no. 75, containing "Regulations on non-hotel tourist facilities," introducing, in art. 26-bis, a specific regulation for bed and breakfast activities carried out in an entrepreneurial form (art. 1, paragraph 11, letter b).</w:t>
      </w:r>
    </w:p>
    <w:p>
      <w:r>
        <w:t>In particular, the regional legislator has established quantitative constraints on the exercise of this economic activity, stating (in art. 26-bis, paragraph 3) that it can only be carried out "in a single real estate unit or in two real estate units located in the same building or in two buildings no more than one hundred meters apart, measured according to the shortest route, subject to the maximum limits referred to in paragraph 2."</w:t>
      </w:r>
    </w:p>
    <w:p>
      <w:r>
        <w:t>The Authority believes that the regulation dictated by regional law no. 1/2020 regarding the conduct of bed and breakfast activities presents several profiles of competitive criticality, which translate into an unjustified limitation on access to and the exercise of this non-hotel accommodation activity, as they are likely to limit the operation of the structures and subordinate market access to compliance with operational, temporal, and quantitative constraints.</w:t>
      </w:r>
    </w:p>
    <w:p>
      <w:r>
        <w:t>Regarding the regulation of bed and breakfast activities carried out in a non-entrepreneurial form, the Authority highlights that regional law no. 1/2020 continues to limit the exercise of this management form by allowing it only to be carried out occasionally or for recurring seasonal periods. The legislator's choice to continue to limit, from the point of view of the exercise of this activity, constitutes an unjustified restriction on competition.</w:t>
      </w:r>
    </w:p>
    <w:p>
      <w:r>
        <w:rPr>
          <w:b/>
        </w:rPr>
        <w:t>[Pages 16–18]</w:t>
      </w:r>
    </w:p>
    <w:p>
      <w:r>
        <w:t>BULLETIN NO. 24 OF JUNE 15, 2020</w:t>
      </w:r>
    </w:p>
    <w:p>
      <w:r>
        <w:t>The conduct of such tourist-accommodation activity constitutes an unjustified limitation on its exercise, given that, by precluding the primary or exclusive exercise of the bed and breakfast activity, it deprives operators in the sector of the freedom to organize their economic activity in the form deemed most appropriate to their needs.</w:t>
      </w:r>
    </w:p>
    <w:p>
      <w:r>
        <w:t>With reference to the temporal limitations on the bed and breakfast activity carried out in a non-entrepreneurial form, it is noted that in the past the Authority has already expressed itself on the potentially restrictive nature of the temporal constraints related to the opening period of non-hotel accommodation facilities. In the case at hand, the temporal constraint introduced by Article 1, paragraph 10, letter a), of regional law no. 1/2020 appears to constitute an unjustified limit on the free exercise of economic activity, likely to compress the competitive capacity of individual facilities and to alter the proper conduct of competitive dynamics in the sector. In fact, such temporal restriction is capable of imposing by law particularly extensive periods of inactivity only with regard to certain types of facilities and solely in cases where their management occurs in a non-entrepreneurial form. For this reason, said constraint appears not only to constitute an unjustified restriction of the freedom of economic initiative, but also to be disproportionate and discriminatory, as it operates only with reference to a particular category of non-hotel facilities.</w:t>
      </w:r>
    </w:p>
    <w:p>
      <w:r>
        <w:t>Similarly, the Authority observes that the imposition of a mandatory closure period – which is inferred from the provision of Article 1, paragraph 10, letter d), of regional law no. 1/2020 that modifies Article 5, paragraph 3, letter f) of law no. 78/2000 – translates into an unjustified limitation on the exercise of the non-hotel accommodation activity in question, being capable of limiting the operation of the facilities and subordinating access to the market to compliance with operational and functional constraints that do not appear justified and entail a restriction of supply to the detriment of competitive dynamics in the sector and consumers. The non-necessary nature of such limitation, among other things, can be comparatively appreciated considering that it is not present in similar regulations adopted by regions with a high tourism vocation, such as Veneto, Tuscany, and Lazio.</w:t>
      </w:r>
    </w:p>
    <w:p>
      <w:r>
        <w:t>The Authority, furthermore, regarding the quantitative and dimensional constraints introduced by Article 1, paragraph 10, letter c), of regional law no. 1/2020 with reference to the bed and breakfast activity carried out in a non-entrepreneurial form, highlights that subordinating the conduct of an economic activity to constraints of this nature constitutes, from a general perspective, an unjustified restriction capable of altering or restricting competitive dynamics and the competitive capacity of different operators, only to the extent that the concrete formulation of such constraints does not respond to reasonable needs and provided that they are not determined in a manner proportional to the aforementioned needs. In particular, it is noted that dimensional constraints cannot be assimilated to those proper to residential construction.</w:t>
      </w:r>
    </w:p>
    <w:p>
      <w:r>
        <w:t>In the case at hand, the restriction related to the availability of a "kitchen, or other suitable room, for the provision of breakfast or for the entertainment of guests with a surface area not less than 6 square meters," appears unjustified as it does not aim to protect specific imperative interests of a general nature. In this regard, it is highlighted that the same regional law no. 1/2020 has provided, in Article 1, paragraph 10, letter b), the possibility of guaranteeing breakfast also in establishments external to the bed and breakfasts, a circumstance that, even more so, would not justify the imposition of dimensional restrictions concerning the kitchen or the room for entertaining guests. This regulatory provision also presents profiles of discrimination capable of distorting competition in the sector, considering that the dimensional requirement requested is not provided for the conduct of other non-hotel accommodation activities, including bed and breakfast carried out in an entrepreneurial form.</w:t>
      </w:r>
    </w:p>
    <w:p>
      <w:r>
        <w:t>Finally, regarding the quantitative restriction on the bed and breakfast activity carried out in an entrepreneurial form, introduced by Article 1, paragraph 11, letter b) of the aforementioned law, whereby its exercise is essentially authoritatively limited to a single bed and breakfast, it is believed that this regulatory provision is in contrast with national and community legislation on free economic initiative and free provision of services and is likely to limit competitive dynamics in the sector. The imposition of such a quantitative constraint, in fact, unjustifiably restricts the autonomous organization and management of the entrepreneurial activity in question, without any specific imperative interest of a general nature being invoked or discernible that this restriction aims to protect, resulting in negative repercussions on the competitive capacity of operators in the sector. The requirement in question also entails a significant economic restriction in the service offer, to the detriment of competitive dynamics in the sector and consumers.</w:t>
      </w:r>
    </w:p>
    <w:p>
      <w:r>
        <w:t>In conclusion, the Authority observes that the competitive restrictions on the bed and breakfast activity carried out in a non-entrepreneurial form, already present in regional law no. 78/2000 and not modified by the regional legislator, concerning operational and organizational limitations on the exercise, have been subject to a final judgment, which provided for their annulment for violation of Articles 49 and 56 TFEU, the constitutional principles of Articles 3, 41, and 117 of the Constitution, as well as Articles 10 and 11 of Legislative Decree no. 59/2010, Article 3, paragraph 7, of Decree Law no. 138/2011, Article 34 of Decree Law no. 201/2011, and Article 1, paragraphs 2 and 4, of Decree Law no. 1/2012.</w:t>
      </w:r>
    </w:p>
    <w:p>
      <w:r>
        <w:t>The Authority also invites the Abruzzo Region to align with the principles outlined above and to carry out a review of the regulation in question from a pro-competitive perspective, in order to ensure a greater offer of the services in question for the benefit of users and not to unduly hinder access to such economic activity.</w:t>
      </w:r>
    </w:p>
    <w:p>
      <w:r>
        <w:t>The Authority invites communication, within a period of 60 days from the receipt of this notice, of the determinations taken in order to comply with the considerations outlined above.</w:t>
      </w:r>
    </w:p>
    <w:p>
      <w:r>
        <w:t>This opinion will be published in the Bulletin of the Competition and Market Authority.</w:t>
      </w:r>
    </w:p>
    <w:p>
      <w:r>
        <w:t>THE PRESIDENT</w:t>
        <w:br/>
        <w:t>Roberto Rustichelli</w:t>
      </w:r>
    </w:p>
    <w:p>
      <w:r>
        <w:rPr>
          <w:b/>
        </w:rPr>
        <w:t>[Pages 19–21]</w:t>
      </w:r>
    </w:p>
    <w:p>
      <w:r>
        <w:t xml:space="preserve">BULLETIN NO. 24 OF JUNE 15, 2020  </w:t>
        <w:br/>
        <w:t xml:space="preserve">UNFAIR COMMERCIAL PRACTICES  </w:t>
        <w:br/>
        <w:t xml:space="preserve">PS11573 - IDRO KERATIN  </w:t>
        <w:br/>
        <w:t xml:space="preserve">Measure no. 28253  </w:t>
        <w:br/>
        <w:t xml:space="preserve">THE COMPETITION AND MARKET AUTHORITY  </w:t>
        <w:br/>
        <w:t xml:space="preserve">IN ITS MEETING of May 27, 2020;  </w:t>
        <w:br/>
        <w:t xml:space="preserve">HEARD the Rapporteur, Dr. Gabriella Muscolo;  </w:t>
        <w:br/>
        <w:t xml:space="preserve">HAVING REGARD to Part II, Title III, of Legislative Decree of September 6, 2005, no. 206,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w:t>
        <w:br/>
        <w:t xml:space="preserve">HAVING REGARD to art. 103, paragraph 1, of the D.L. of March 17, 2020, no. 18, containing 'Measures to strengthen the National Health Service and economic support for families, workers, and businesses related to the COVID-19 epidemiological emergency', as amended by art. 37 of the D.L. of April 8, 2020, no. 23, by virtue of which the deadline for concluding this procedure has been postponed to July 19, 2020;  </w:t>
        <w:br/>
        <w:t xml:space="preserve">HAVING REGARD to the "Communication on the interpretation of art. 103 of the decree law of March 17, 2020, no. 18, as amended by art. 37 of the decree law of April 8, 2020, no. 23", approved by the Authority's Board in the sessions of April 1 and April 10, 2020;  </w:t>
        <w:br/>
        <w:t xml:space="preserve">HAVING REGARD to the documents of the procedure;  </w:t>
        <w:br/>
        <w:t xml:space="preserve">I. THE PARTY  </w:t>
        <w:br/>
        <w:t xml:space="preserve">1. Leads Marketing S.r.l.s. (hereinafter Leads Marketing), as a professional, pursuant to art. 18, letter b), of the Consumer Code, active in the retail trade of any type of product conducted via the internet, through the site https://biobeauteshop.com.  </w:t>
        <w:br/>
        <w:t xml:space="preserve">II. THE COMMERCIAL PRACTICE  </w:t>
        <w:br/>
        <w:t xml:space="preserve">2. The procedure concerns the marketing methods on the website www.biobeauteshop.com in Italian, of the dietary supplement called Idro Keratin "based on hydrolyzed keratin that serves for the repigmentation of hair and body hair", through advertising claims lacking foundation regarding the nature, characteristics of the offered product and the results that can be expected from its use, as well as its availability. The commercial practice subject to this procedure also concerns the online sale of the product, on the aforementioned website, in the absence of the required ministerial authorizations, as well as references to the scarcity of the product and the invitation to register on the waiting list to be among the first hundred prospective buyers, references suitable to convey to consumers the necessity that the decision-making process concludes quickly.  </w:t>
        <w:br/>
        <w:t xml:space="preserve">III. THE FINDINGS OF THE PROCEDURE  </w:t>
        <w:br/>
        <w:t xml:space="preserve">1) The procedure process  </w:t>
        <w:br/>
        <w:t xml:space="preserve">3. According to the information acquired for the application of the Consumer Code and the reports from some consumers, received in October 2019, on November 29, 2019, the investigative procedure PS11573 was initiated against Leads Marketing S.r.l.s., for alleged violation of articles 20, 21, paragraph 1, and 23, paragraph 1, letters g), i) and s), of the Consumer Code.  </w:t>
        <w:br/>
        <w:t xml:space="preserve">4. On the dates of October 8 and 23 and November 6, 2019, as well as February 13 and 26, 2020, official inspections were carried out on the professional's company website and the relevant web pages were acquired for the records of the procedure.  </w:t>
        <w:br/>
        <w:t xml:space="preserve">5. On January 23, 2020, the burden of proof regarding the accuracy of the data related to the contested commercial practice concerning the product "Idro Keratin" was assigned to the professional.  </w:t>
        <w:br/>
        <w:t xml:space="preserve">6. On February 28, 2020, the date of conclusion of the investigative phase was communicated to the Parties, pursuant to art. 16, paragraph 1, of the Regulation.  </w:t>
        <w:br/>
        <w:t xml:space="preserve">7. The professional did not produce any memorandum nor did he provide any defensive argument during the investigative procedure.  </w:t>
        <w:br/>
        <w:t xml:space="preserve">2) The evidence acquired  </w:t>
        <w:br/>
        <w:t xml:space="preserve">8. The documents on file, specifically regarding the inspections carried out on multiple occasions (in October and November 2019, as well as in February 2020), concern the acquisition of the web pages of the website https://biobeauteshop.com, concerning the dietary supplement called Idro Keratin.  </w:t>
        <w:br/>
        <w:t xml:space="preserve">In detail, the advertising claims disseminated referred to the presence, in the formulation of the product, of hydrolyzed keratin attributed with effectiveness for the repigmentation of hair and body hair. In this regard, the main claim used by the professional - prominently displayed on the webpage and on the product packaging - stated: "restores the natural color to your hair without toxic substances and without contraindications... restores color to your hair" to the extent that "with continuous use of the product, the need to use dyes that are toxic is eliminated."  </w:t>
        <w:br/>
        <w:t xml:space="preserve">9. From the inspections conducted on the site, it also emerged that the professional, in describing the ingredients of the product, boasted the innovativeness of the formula ("A novelty never seen in Italy") which would have been created in the Italian laboratories of BioBeautè, limiting itself to reporting what it defines as "conclusions of clinical studies in vivo (of DERMSCAN™ / 32 people / 90 days)" which consist of measuring the results in percentage terms for a series of parameters (overall efficiency, more resilient hair, less hair loss, more hair growth, more colored hair, more hair volume).  </w:t>
        <w:br/>
        <w:t xml:space="preserve">10. Furthermore, from the consultation of the examined site, it emerged that the professional offered the product for sale online at the promotional price of 59.99 euros (instead of 249 euros), declaring to have "only 1000 pieces available at the moment" and, therefore, inviting consumers to fill out the form on the site "to enter the waiting list for purchase."  </w:t>
        <w:br/>
        <w:t xml:space="preserve">11. Finally, the professional claimed that the product had been "APPROVED BY the Ministry of Health" and displayed the emblem of the Italian State with the inscription "Italian Republic." In this regard, based on current legislation, pursuant to art. 10 of Legislative Decree of May 21, 2004, no. 169, implementing Directive 2002/46/EC on dietary supplements, it is noted that the marketing of such products is subject to the completion of the required notification procedure of the label to the Ministry of Health. Once the procedure requested by the operator responsible for the marketing in Italy of the supplement has been successfully completed, it is included in a periodically updated Register published on the institutional website of the Ministry itself: this is the Register of supplements which lists the products in alphabetical order by product or by company. From the consultation of the mentioned Register (updated as of April 1, 2020), it does not appear that the notification procedure described above has been completed in relation to the supplement Idro Keratin.  </w:t>
        <w:br/>
        <w:t xml:space="preserve">3) The defensive arguments of the Parties  </w:t>
        <w:br/>
        <w:t>12. The professional did not provide any defensive argument during the investigative procedure, nor did he follow up on the assignment of the burden of proof regarding the accuracy of the data related to the commercial practice in question.</w:t>
      </w:r>
    </w:p>
    <w:p>
      <w:r>
        <w:rPr>
          <w:b/>
        </w:rPr>
        <w:t>[Pages 22–24]</w:t>
      </w:r>
    </w:p>
    <w:p>
      <w:r>
        <w:t xml:space="preserve">24 BULLETIN NO. 24 OF JUNE 15, 2020  </w:t>
        <w:br/>
        <w:t xml:space="preserve">IV. OPINION OF THE AUTHORITY FOR GUARANTEES IN COMMUNICATIONS  </w:t>
        <w:br/>
        <w:t xml:space="preserve">13. Since the commercial practice subject to this measure has been disseminated through telecommunications means, on April 22, 2020, the opinion was requested from the Authority for Guarantees in Communications, pursuant to art. 27, paragraph 6, of the Consumer Code.  </w:t>
        <w:br/>
        <w:t xml:space="preserve">With the opinion received on May 8, 2020, the aforementioned Authority deemed that, with reference to the case at hand, the internet constitutes a suitable tool to significantly influence the realization of the commercial practice subject to the proceeding.  </w:t>
        <w:br/>
        <w:t xml:space="preserve">In particular, the average consumer, having consulted the website and, as a result of the information present therein, misled about the characteristics of the product, "could proceed to purchase it, thereby concretely developing the full promotional potential of online communication."  </w:t>
        <w:br/>
        <w:t xml:space="preserve">V. EVALUATIONS  </w:t>
        <w:br/>
        <w:t xml:space="preserve">14. The proceeding in question concerns the advertising messages disseminated by the professional via the internet regarding the nature, characteristics, and effects, as well as the availability of the dietary supplement called Idro Keratin. The legality of the online sale of the product is also subject to evaluation.  </w:t>
        <w:br/>
        <w:t xml:space="preserve">15. It should be noted that the professional has not fulfilled the burden of proof attributed to him regarding the accuracy of the data related to the contested commercial practice. More precisely, the professional has not provided any evidentiary elements to support the advertising claims that attribute to the product the ability to restore the natural color of hair, determining its repigmentation without resorting to toxic substances, but rather eliminating the need to use dyes, with the promise of achieving good results in a short time. Nor has the professional produced evidence to support the truthfulness of the messages that boast the innovativeness of the product's composition formula and cite the conclusions of clinical studies in vivo that would have been conducted on a sample of 32 people over a period of 90 days. Lastly, the professional has not provided any clarification regarding the recurring reference to the scarcity of the product ("only 1000 pieces available at the moment") and the invitation to sign up for the waiting list to be among the first 100 prospective buyers.  </w:t>
        <w:br/>
        <w:t xml:space="preserve">16. Therefore, since the professional has not provided any proof regarding the data concerning the claimed effectiveness of the dietary supplement against premature graying of hair, the innovativeness of its formula, as well as the scarcity of pieces available for sale, the same must be considered inaccurate, pursuant to art. 27, paragraph 5, of the Consumer Code.  </w:t>
        <w:br/>
        <w:t xml:space="preserve">17. Furthermore, the claims described in the proceeding appear misleading, as they are capable of misleading consumers about the actual nature and real effectiveness of the product and significantly orienting the purchasing choices of the same consumers, exploiting their heightened sensitivity towards health and personal care issues, specifically regarding the aesthetic problem of hair graying. On the other hand, the claims of scarcity, in the absence of information that delineates their scope, appear capable of conveying to consumers the necessity for the decision-making process to conclude quickly, thus being susceptible to altering the free and informed purchasing process of the average consumer in violation of art. 23, paragraph 1, letter g) of the Consumer Code.  </w:t>
        <w:br/>
        <w:t xml:space="preserve">18. In the messages, the professional also states that the product has the approval of the Ministry of Health, without, however, providing any document in this regard. Moreover, from the consultation of the Register of supplements kept by the Ministry of Health, it appears that the professional has not complied with the notification obligation pursuant to art. 10 of Legislative Decree No. 169 of May 21, 2004.  </w:t>
        <w:br/>
        <w:t xml:space="preserve">This circumstance constitutes a misleading commercial practice in violation of art. 23, paragraph 1, letter i), of the Consumer Code, as it is capable of leading consumers to erroneously believe that the supplement in question is marketed lawfully, having passed the regulatory checks required by the Ministry of Health.  </w:t>
        <w:br/>
        <w:t xml:space="preserve">19. In light of the above considerations, the conduct of the professional constitutes a violation of arts. 20, 21, paragraph 1, and 23, paragraph 1, letters g) and i) of the Consumer Code as it is contrary to professional diligence and capable of leading the average consumer to make commercial decisions that he otherwise would not have made, based on a misleading representation of reality regarding the nature, characteristics of the offered product and the results that can be expected from its use, as well as its availability, also implying, contrary to the truth, that the sale is lawful.  </w:t>
        <w:br/>
        <w:t xml:space="preserve">VI. QUANTIFICATION OF THE SANCTION  </w:t>
        <w:br/>
        <w:t xml:space="preserve">20. Pursuant to art. 27, paragraph 9, of the Consumer Code, with the measure that prohibits the unfair commercial practice, the Authority orders the application of an administrative pecuniary sanction from €5,000 to €5,000,000, taking into account the severity and duration of the violation.  </w:t>
        <w:br/>
        <w:t xml:space="preserve">21. Regarding the quantification of the sanction, account must be taken, as applicable, of the criteria identified by art. 11 of Law No. 689 of November 24, 1981, by virtue of the reference provided in art. 27, paragraph 13, of the Consumer Code: in particular, the severity of the violation, the efforts made by the business to eliminate or mitigate the infringement, the personality of the agent, as well as the economic conditions of the business itself.  </w:t>
        <w:br/>
        <w:t xml:space="preserve">22. In the case at hand, regarding the severity of the violation, particular relevance is given not only to the fact that the professional has not demonstrated the suitability of the product to achieve the claimed results - also considering that among the issues concerning personal care, graying is the subject of wide social attention - but also that in the commercial communication it is implied, contrary to the truth, that the product is lawfully sold, as it is approved by the Ministry of Health. Lastly, the modest economic size of the professional must be taken into consideration.  </w:t>
        <w:br/>
        <w:t xml:space="preserve">As for the duration of the violation, it appears limited as, from the elements acquired in the proceedings, it emerges that the commercial practice was carried out since October 2019 (according to the official findings on the website at the address http://biobeauteshop.com) and ceased at the end of February 2020 (cf. official acquisitions on the same site).  </w:t>
        <w:br/>
        <w:t xml:space="preserve">Based on these elements, therefore, it is deemed appropriate to determine the amount of the applicable administrative pecuniary sanction for Leads Marketing S.r.l.s. at €25,000 (twenty-five thousand euros).  </w:t>
        <w:br/>
        <w:t xml:space="preserve">CONSIDERING, therefore, taking into account the opinion of the Authority for Guarantees in Communications, based on the aforementioned considerations, that the commercial practice described above is unfair pursuant to arts. 20, 21, paragraph 1, and 23, paragraph 1, letters g) and i), of the Consumer Code, as it is capable of appreciably distorting the economic behavior of the average consumer through misleading communication methods regarding certain information that must be considered relevant for the consumer's informed commercial decision.  </w:t>
        <w:br/>
        <w:t xml:space="preserve">RESOLVES  </w:t>
        <w:br/>
        <w:t xml:space="preserve">a) that the commercial practice described in point II of this measure carried out by the company Leads Marketing S.r.l.s. constitutes, for the reasons and within the limits set out in the motivation, an unfair commercial practice pursuant to arts. 20, 21, paragraph 1, and 23, paragraph 1, letters g) and i), of the Consumer Code, and prohibits its dissemination or continuation;  </w:t>
        <w:br/>
        <w:t xml:space="preserve">b) to impose on the company Leads Marketing S.r.l.s. an administrative pecuniary sanction of €25,000 (twenty-five thousand euros).  </w:t>
        <w:br/>
        <w:t xml:space="preserve">The imposed administrative sanction must be paid within thirty days from the notification of this measure, using the tax codes indicated in the attached F24 model with identifying elements, pursuant to Legislative Decree No. 241/1997.  </w:t>
        <w:br/>
        <w:t xml:space="preserve">Payment must be made electronically with a debit from one's bank or postal account, through home banking and CBI services provided by banks or by Poste Italiane S.p.A., or by using the telematic services of the Revenue Agency, available on the website www.agenziaentrate.gov.it.  </w:t>
        <w:br/>
        <w:t>After the aforementioned deadline, for the period of delay of less than six months, late interest must be paid at the legal rate starting from the day after the payment deadline until the date of payment. In case of further delay in fulfillment, pursuant to art. 27, paragraph 6, of Law No. 689/81, the amount due for the</w:t>
      </w:r>
    </w:p>
    <w:p>
      <w:r>
        <w:rPr>
          <w:b/>
        </w:rPr>
        <w:t>[Pages 25–26]</w:t>
      </w:r>
    </w:p>
    <w:p>
      <w:r>
        <w:t>BULLETIN NO. 24 OF JUNE 15, 2020 27</w:t>
        <w:br/>
        <w:t>The imposed sanction is increased by one-tenth for each semester starting from the day following the expiration of the payment deadline and until the role is transmitted to the concessionaire for collection; in this case, the increase absorbs the late payment interest accrued during the same period.</w:t>
        <w:br/>
        <w:t>Immediate communication of the payment must be given to the Authority through the submission of documentation certifying the payment made.</w:t>
        <w:br/>
        <w:t>This measure will be notified to the interested parties and published in the Bulletin of the Competition and Market Authority.</w:t>
        <w:br/>
        <w:t>Pursuant to Article 27, paragraph 12, of the Consumer Code, in the event of non-compliance with the measure, the Authority applies an administrative pecuniary sanction from 10,000 to 5,000,000 euros. In cases of repeated non-compliance, the Authority may order the suspension of business activities for a period not exceeding thirty days.</w:t>
        <w:br/>
        <w:t>Against this measure, an appeal may be submitted to the T.A.R. for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br/>
        <w:t>THE SECRETARY GENERAL THE PRESIDENT</w:t>
        <w:br/>
        <w:t>Filippo Arena Roberto Rustichelli</w:t>
      </w:r>
    </w:p>
    <w:p>
      <w:r>
        <w:t>Competition and Market Authority Weekly Bulletin</w:t>
        <w:br/>
        <w:t>Year XXX - No. 24 - 2020</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