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https://agcm.it/dotcmsdoc/bollettini/2021/24-21.pdf</w:t>
      </w:r>
    </w:p>
    <w:p>
      <w:r>
        <w:t>Pages translated : 124</w:t>
      </w:r>
    </w:p>
    <w:p/>
    <w:p>
      <w:r>
        <w:rPr>
          <w:b/>
        </w:rPr>
        <w:t>[Pages 1–3]</w:t>
      </w:r>
    </w:p>
    <w:p>
      <w:r>
        <w:t>Bulletin</w:t>
        <w:br/>
        <w:t>Weekly</w:t>
        <w:br/>
        <w:t>Year XXXI - No. 24</w:t>
        <w:br/>
        <w:t>Published on the website www.agcm.it</w:t>
        <w:br/>
        <w:t>June 14, 2021</w:t>
      </w:r>
    </w:p>
    <w:p>
      <w:r>
        <w:t>SUMMARY</w:t>
        <w:br/>
        <w:t>AGREEMENTS AND ABUSE OF DOMINANT POSITION 5</w:t>
        <w:br/>
        <w:t>A538 - MULTI-DIAMETER SEALING SYSTEMS FOR CABLES AND PIPES 5</w:t>
        <w:br/>
        <w:t>Measure No. 29629 5</w:t>
        <w:br/>
        <w:t>I839 - SPECIAL FLAMMABLE TRANSPORTS AND WASTE TO AND FROM THE CAMPANIAN ISLANDS 39</w:t>
        <w:br/>
        <w:t>Measure No. 29682 39</w:t>
        <w:br/>
        <w:t>I845 - MAINTENANCE TENDER FOR HIGHWAY PAVEMENTS OF MILAN SERRAVALLE - MILAN TANGENTIALS 41</w:t>
        <w:br/>
        <w:t>Measure No. 29683 41</w:t>
        <w:br/>
        <w:t>CONCENTRATION OPERATIONS 49</w:t>
        <w:br/>
        <w:t>C12231B - BPER BANCA/UNIPOL BANCA 49</w:t>
        <w:br/>
        <w:t>Measure No. 29680 49</w:t>
        <w:br/>
        <w:t>C12352B - DORECA-ABRUZZO DISTRIBUTION/AD BEVERAGE 51</w:t>
        <w:br/>
        <w:t>Measure No. 29681 51</w:t>
        <w:br/>
        <w:t>REPORTING AND CONSULTATIVE ACTIVITIES 58</w:t>
        <w:br/>
        <w:t>AS1756 - CHAMBER OF COMMERCE OF ROMAGNA – FORLÌ - CESENA AND RIMINI - PERIODIC REVIEW OF CORPORATE PARTICIPATIONS 58</w:t>
        <w:br/>
        <w:t>AS1757 - ANAC-AGCOM - GUIDELINES FOR THE AWARD OF PUBLIC CONTRACTS FOR POSTAL SERVICES 64</w:t>
        <w:br/>
        <w:t>AS1758 – PIAVE DRAINAGE CONSORTIUM OF MONTEBELLUNA (TV) – AWARD OF PRINTING, ENVELOPING, AND DELIVERY SERVICES OF PAYMENT NOTICES 2021 67</w:t>
        <w:br/>
        <w:t>AS1759 – ABC-ACQUA BENE COMUNE DI NAPOLI – AWARD OF PRINTING, ENVELOPING, AND DELIVERY SERVICES OF FRIENDLY REMINDERS AND DEFAULT NOTICES TO USERS OF THE INTEGRATED WATER SERVICE 70</w:t>
        <w:br/>
        <w:t>AS1760 - ABC – ACQUA BENE COMUNE DI NAPOLI – PRINTING, ENVELOPING, AND DELIVERY SERVICE OF BILLS 74</w:t>
        <w:br/>
        <w:t>REGULATION OF COMMERCIAL RELATIONS IN THE MATTER OF THE SALE OF AGRICULTURAL AND AGRI-FOOD PRODUCTS 78</w:t>
        <w:br/>
        <w:t>AL24 - BREEDERS/SEEDLESS GRAPE PRODUCERS 78</w:t>
        <w:br/>
        <w:t>Measure No. 29679 78</w:t>
        <w:br/>
        <w:t>UNFAIR TRADE PRACTICES 95</w:t>
        <w:br/>
        <w:t>IP342 - SEO MARKETING 95</w:t>
        <w:br/>
        <w:t>Notice of initiation of investigative proceedings 95</w:t>
        <w:br/>
        <w:t>IP342 - SEO MARKETING 96</w:t>
        <w:br/>
        <w:t>Measure No. 28624 96</w:t>
        <w:br/>
        <w:t>IP343 - MULPOR-INTERNATIONAL FAIRS DIRECTORY 101</w:t>
        <w:br/>
        <w:t>Notice of initiation of investigative proceedings 101</w:t>
        <w:br/>
        <w:t>IP343 - MULPOR-INTERNATIONAL FAIRS DIRECTORY 102</w:t>
        <w:br/>
        <w:t>Measure No. 28625 102</w:t>
        <w:br/>
        <w:t>PS11885 - COMMERCIAL GUIDE EXPOGUIDE 107</w:t>
        <w:br/>
        <w:t>Notice of adoption of the measure confirming the provisional precautionary suspension 107</w:t>
        <w:br/>
        <w:t>PS11885 - COMMERCIAL GUIDE EXPOGUIDE 108</w:t>
        <w:br/>
        <w:t>Measure No. 29635 108</w:t>
        <w:br/>
        <w:t>IP338 - FACILE.IT-CAR INSURANCE COMPARISON 114</w:t>
        <w:br/>
        <w:t>Measure No. 29688 114</w:t>
      </w:r>
    </w:p>
    <w:p>
      <w:r>
        <w:t>VARIOUS 122</w:t>
        <w:br/>
        <w:t>APPOINTMENT OF THE RESPONSIBLE FOR THE PREVENTION OF CORRUPTION AND TRANSPARENCY 122</w:t>
        <w:br/>
        <w:t>Measure No. 29678 122</w:t>
      </w:r>
    </w:p>
    <w:p>
      <w:r>
        <w:rPr>
          <w:b/>
        </w:rPr>
        <w:t>[Pages 4–6]</w:t>
      </w:r>
    </w:p>
    <w:p>
      <w:r>
        <w:t>BULLETIN NO. 24 OF JUNE 14, 2021 5</w:t>
        <w:br/>
        <w:t>AGREEMENTS AND ABUSE OF DOMINANT POSITION</w:t>
        <w:br/>
        <w:t>A538 - MULTI-DIAMETER SEALING SYSTEMS FOR CABLES AND PIPES</w:t>
        <w:br/>
        <w:t>Measure No. 29629</w:t>
        <w:br/>
        <w:t>THE COMPETITION AND MARKET AUTHORITY</w:t>
        <w:br/>
        <w:t>IN ITS MEETING of April 13, 2021;</w:t>
        <w:br/>
        <w:t>HEARD the Rapporteur, Professor Michele Ainis;</w:t>
        <w:br/>
        <w:t>HAVING REGARD to Article 102 of the Treaty on the Functioning of the European Union (TFEU);</w:t>
        <w:br/>
        <w:t>HAVING REGARD to Council Regulation (EC) No. 1/2003 of December 16, 2002, concerning</w:t>
        <w:br/>
        <w:t>the application of the competition rules laid down in Articles 101 and 102 TFEU;</w:t>
        <w:br/>
        <w:t>HAVING REGARD to the Commission Communication of April 27, 2004 on cooperation within</w:t>
        <w:br/>
        <w:t>the network of national competition authorities;</w:t>
        <w:br/>
        <w:t>HAVING REGARD to the law of October 10, 1990, No. 287;</w:t>
        <w:br/>
        <w:t>HAVING REGARD to the Presidential Decree of April 30, 1998, No. 217;</w:t>
        <w:br/>
        <w:t>HAVING REGARD to the report received on March 6, 2018, from the company Wallmax S.r.l., and</w:t>
        <w:br/>
        <w:t>subsequently supplemented several times, lastly on October 28, 2020;</w:t>
        <w:br/>
        <w:t>HAVING REGARD to the documentation in its possession;</w:t>
        <w:br/>
        <w:t>CONSIDERING the following:</w:t>
        <w:br/>
        <w:t>I. THE PARTIES</w:t>
        <w:br/>
        <w:t>1. Roxtec AB is the company at the head of the Swedish group Roxtec, a world leader in the field of</w:t>
        <w:br/>
        <w:t>sealing systems for cable and pipe passages. The group produces and distributes a multitude of</w:t>
        <w:br/>
        <w:t>products, the main one being the multi-diameter sealing system, subject of patent EP No.</w:t>
        <w:br/>
        <w:t>0429916B1, which expired in October 2010. The group is currently present in 28 countries (in Europe, Africa,</w:t>
        <w:br/>
        <w:t>America, and Asia) and boasts customers in 80 countries.</w:t>
        <w:br/>
        <w:t>2. Roxtec Italia S.r.l. (hereinafter Roxtec) is the Italian subsidiary of the Roxtec group, based in Milan,</w:t>
        <w:br/>
        <w:t>which deals with the sale and assistance to the network of distributors and agents of the group's products.</w:t>
        <w:br/>
        <w:t>The share capital of Roxtec is held 95% by Roxtec AB and 5% by Roxtec International AB. From the financial</w:t>
        <w:br/>
        <w:t>statements closed in June 2020, Roxtec Italia S.r.l. reported a turnover of approximately 13.28 million euros.</w:t>
        <w:br/>
        <w:t>3. The reporting party WallMax S.r.l. (hereinafter Wallmax) is a company with its registered office in Italy,</w:t>
        <w:br/>
        <w:t>established in 2011, which produces multi-diameter modules for the sealing of cables and pipes. The company</w:t>
        <w:br/>
        <w:t>operates mainly in Italy but is also present in India, Singapore, and the United States. From the financial data,</w:t>
        <w:br/>
        <w:t>it appears that the Italian office in 2019 generated revenues of approximately 709.9 thousand euros, with</w:t>
        <w:br/>
        <w:t>losses of approximately 1.4 million euros.</w:t>
      </w:r>
    </w:p>
    <w:p>
      <w:r>
        <w:t>6 BULLETIN NO. 24 OF JUNE 14, 2021</w:t>
        <w:br/>
        <w:t>II. THE REPORT</w:t>
        <w:br/>
        <w:t>4. In a communication filed on March 3, 2018, which has been supplemented several times, WallMax S.r.l. has</w:t>
        <w:br/>
        <w:t>reported alleged anti-competitive conduct carried out by Roxtec aimed at preventing competing operators from</w:t>
        <w:br/>
        <w:t>producing and marketing multi-diameter cable passage modules based on the technology of patent EP No.</w:t>
        <w:br/>
        <w:t>0429916B1, acquired by Roxtec in 1990 and expired in 2010.</w:t>
        <w:br/>
        <w:t>5. In particular, according to the report, Roxtec, after the expiration of the aforementioned patent, would have</w:t>
        <w:br/>
        <w:t>adopted a true exclusionary strategy, through behaviors aimed at prolonging the monopoly situation held during</w:t>
        <w:br/>
        <w:t>the validity of the patent.</w:t>
        <w:br/>
        <w:t>6. The report complains of the following conduct carried out by Roxtec:</w:t>
        <w:br/>
        <w:t>- the filing with the European Union Intellectual Property Office (hereinafter EUIPO) of a</w:t>
        <w:br/>
        <w:t>series of requests for registration of EU trademarks related to the image, in various colors, of the</w:t>
        <w:br/>
        <w:t>main facade of the patented cable passage module, with the aim of extending the right of</w:t>
        <w:br/>
        <w:t>exclusivity;</w:t>
        <w:br/>
        <w:t>- the promotion of sham litigation;</w:t>
        <w:br/>
        <w:t>- the acquisition of numerous safety certifications for this module, allegedly unnecessary and costly to obtain.</w:t>
        <w:br/>
        <w:t>III. SEALING SYSTEMS FOR CABLES AND PIPES</w:t>
        <w:br/>
        <w:t>7. Cable passage modules are made of plastic material that, inserted into holes in masonry structures or other</w:t>
        <w:br/>
        <w:t>structures (e.g., metal cabinets used to contain electrical and telecommunications cables, etc.), allow the</w:t>
        <w:br/>
        <w:t>passage of cables and/or pipes, sealing and isolating them from any external agents (water, fire, dust,</w:t>
        <w:br/>
        <w:t>electromagnetic threats, etc.)1. In particular, the subject of patent EP No. 0429916B1 obtained by Roxtec is a</w:t>
        <w:br/>
        <w:t>multi-diameter cable passage module that allows the passage of cables of different diameters, as it has a central</w:t>
        <w:br/>
        <w:t>hole made up of multiple overlapping layers of plastic material that are removed, by peeling them, in order to</w:t>
        <w:br/>
        <w:t>perfectly adapt to the diameter of the cables to be sealed.</w:t>
        <w:br/>
        <w:t>8. The cable passage module produced and marketed by Wallmax, once patent EP No. 0429916B1 expired, is based</w:t>
        <w:br/>
        <w:t>on the same technology as the modules patented by Roxtec, apparently differing from the latter only in the</w:t>
        <w:br/>
        <w:t>different colors of the layers that make up the central hole (alternating orange and black layers).</w:t>
        <w:br/>
        <w:t>9. From the available information2, other types of multi-diameter cable passage modules are on the market that</w:t>
        <w:br/>
        <w:t>are based on different technical solutions, which, however, allow for more limited flexibility compared to those</w:t>
        <w:br/>
        <w:t>described above. These modules were introduced into the market during the validity of patent EP No. 0429916B1</w:t>
        <w:br/>
        <w:t>and are therefore based on different technologies, generally equipped with specific devices/applications that,</w:t>
        <w:br/>
        <w:t>when applied to the central hole of a fixed-diameter module, allow the passage and adaptation of cables of</w:t>
        <w:br/>
        <w:t>different sizes3.</w:t>
        <w:br/>
        <w:t>IV. EU TRADEMARK LEGISLATION</w:t>
        <w:br/>
        <w:t>10. For the purposes of assessing the case at hand, the relevant legislation is Regulation (EU) 2017/1001 of the</w:t>
        <w:br/>
        <w:t>European Parliament and of the Council of June 14, 2017, on the European Union Trademark4, which provides that</w:t>
        <w:br/>
        <w:t>the EU Trademark has a unitary character and produces the same effects throughout the Union (art. 1)5. The</w:t>
        <w:br/>
        <w:t>application for registration of the EU Trademark must be filed with the EUIPO (art. 2) and various types of signs6</w:t>
        <w:br/>
        <w:t>can obtain the EU Trademark provided that they are suitable to:</w:t>
        <w:br/>
        <w:t>a. distinguish the products or services of one enterprise from those of other enterprises;</w:t>
        <w:br/>
        <w:t>b. be represented in the register of European Union trademarks (“register”) in such a way as to</w:t>
        <w:br/>
        <w:t>allow the competent authorities and the public to determine clearly and precisely the subject matter of</w:t>
        <w:br/>
        <w:t>the protection granted to its holder (art. 4).</w:t>
        <w:br/>
        <w:t>11. The Regulation identifies some “grounds for refusal of registration” of signs that may be absolute or relative.</w:t>
        <w:br/>
        <w:t>For the purposes of assessing one of the reported conducts, the absolute grounds for refusal referred to in art. 7,</w:t>
        <w:br/>
        <w:t>paragraph 1, letter e) of the Regulation are relevant, according to which “signs consisting exclusively of:</w:t>
        <w:br/>
        <w:t>i. the shape or other characteristic imposed by the nature of the product itself;</w:t>
        <w:br/>
        <w:t>ii. the shape or other characteristic of the product necessary to obtain a technical result;</w:t>
        <w:br/>
        <w:t>iii. the shape or other characteristic that adds substantial value to the product” cannot be registered.</w:t>
        <w:br/>
        <w:t>12. Under the Regulation, the registration of the EU Trademark confers exclusive rights to the holder which translate,</w:t>
        <w:br/>
        <w:t>among other things, “into the right to prevent third parties from introducing into the Union, in a commercial</w:t>
        <w:br/>
        <w:t>context, products originating from third countries and bearing, without authorization, a mark identical in its</w:t>
        <w:br/>
        <w:t>essential aspects to the registered EU Trademark for such products” (art. 9).</w:t>
        <w:br/>
        <w:t>13. The EU Trademark acquired through registration has a duration of ten years, starting from the date of filing of</w:t>
        <w:br/>
        <w:t>the application and is renewable for periods of ten years (art. 52). The right conferred by this trademark is</w:t>
        <w:br/>
        <w:t>enforceable against third parties from the date of publication of the trademark registration (art. 11).</w:t>
        <w:br/>
        <w:t>14. Once the application for the EU Trademark is filed, the competent office of the EUIPO examines whether it</w:t>
        <w:br/>
        <w:t>meets the conditions and requirements set out in the aforementioned Regulation (EU) 2007/2001. Written</w:t>
        <w:br/>
        <w:t>observations regarding any grounds for refusal may be submitted to the Office by third parties.</w:t>
      </w:r>
    </w:p>
    <w:p>
      <w:r>
        <w:rPr>
          <w:b/>
        </w:rPr>
        <w:t>[Pages 7–9]</w:t>
      </w:r>
    </w:p>
    <w:p>
      <w:r>
        <w:t>8 BULLETIN NO. 24 OF JUNE 14, 2021</w:t>
      </w:r>
    </w:p>
    <w:p>
      <w:r>
        <w:t>for which the registered trademark should be excluded from registration (pursuant to articles 5 and 7)7.</w:t>
      </w:r>
    </w:p>
    <w:p>
      <w:r>
        <w:t>15. After the dialogue with the applicant, the Office, if it considers any existing impediments in the trademark to be overcome, issues a decision authorizing the registration of the EU Trademark and, otherwise, rejects the registration application.</w:t>
      </w:r>
    </w:p>
    <w:p>
      <w:r>
        <w:t>16. Against the decisions of the EUIPO Office, the interested parties in the procedure, namely the trademark applicant or third parties, may file an appeal with the Cancellation Division of the EUIPO (art. 163) and, subsequently, an appeal to the Board of Appeal (art. 165).</w:t>
      </w:r>
    </w:p>
    <w:p>
      <w:r>
        <w:t>V. REPORTED CONDUCTS</w:t>
      </w:r>
    </w:p>
    <w:p>
      <w:r>
        <w:t>17. The report complains about the conduct of Roxtec aimed at preventing and/or hindering the access of competing companies in the production and marketing of multi-diameter cable entry modules based on the particular technology covered by patent EP No. 0429916B1, even though this expired in 2010, thus limiting access to the relevant market.</w:t>
      </w:r>
    </w:p>
    <w:p>
      <w:r>
        <w:t>1. EU Trademark Application Relating to the Image of the Patented Product</w:t>
      </w:r>
    </w:p>
    <w:p>
      <w:r>
        <w:t>18. From the documentation attached to the submissions made by Wallmax, it appears that between 2009 and 2016 Roxtec filed seven EU Trademark applications concerning the image of the main facade of the patented multi-diameter cable entry module (Fig. 1), each distinguished from the others only by the different colors used, namely black background with concentric blue, green, or orange stripes, and vice versa (Tab. 1).</w:t>
      </w:r>
    </w:p>
    <w:p>
      <w:r>
        <w:t>Fig. 1 – Image Registered with EU Trademark</w:t>
      </w:r>
    </w:p>
    <w:p>
      <w:r>
        <w:t>7 Third-party observations must be submitted before the expiration of the opposition period identified in the Regulation itself or, if an opposition has been made against the trademark, before the adoption of the final decision on the opposition. Third-party observations are notified to the applicant who may submit their own comments (art. 45).</w:t>
      </w:r>
    </w:p>
    <w:p>
      <w:r>
        <w:t>BULLETIN NO. 24 OF JUNE 14, 2021 9</w:t>
      </w:r>
    </w:p>
    <w:p>
      <w:r>
        <w:t>Tab. 1 – EU Trademark Applications Filed with the EUIPO by Roxtec AB between 2008 and 20168</w:t>
      </w:r>
    </w:p>
    <w:p>
      <w:r>
        <w:t>Application Registration Expiration Description Description Status</w:t>
        <w:br/>
        <w:t>No. Date Date Product Trademark Registration</w:t>
        <w:br/>
        <w:t>Cable and pipe penetration seals made from metal; sealing Vedi Fig. 1 con sfondo blu, righe Registration</w:t>
        <w:br/>
        <w:t>1 007376023 July 21, 2009 November 7, 2028 frames made from concentriche nere e cerchio cancellation</w:t>
        <w:br/>
        <w:t>metal; sealing frames interno nero pending</w:t>
        <w:br/>
        <w:t>made from plastic or rubber</w:t>
      </w:r>
    </w:p>
    <w:p>
      <w:r>
        <w:t>Cable and pipe Vedi Fig. 1 con sfondo nero, Registration</w:t>
        <w:br/>
        <w:t>2 014338735 July 6, 2015 July 6, 2025 p</w:t>
        <w:br/>
        <w:t>f</w:t>
        <w:br/>
        <w:t>e</w:t>
        <w:br/>
        <w:t>ro</w:t>
        <w:br/>
        <w:t>n</w:t>
        <w:br/>
        <w:t>m</w:t>
        <w:br/>
        <w:t>et r</w:t>
        <w:br/>
        <w:t>p</w:t>
        <w:br/>
        <w:t>a</w:t>
        <w:br/>
        <w:t>l</w:t>
        <w:br/>
        <w:t>t</w:t>
        <w:br/>
        <w:t>a</w:t>
        <w:br/>
        <w:t>i</w:t>
        <w:br/>
        <w:t>s</w:t>
        <w:br/>
        <w:t>o</w:t>
        <w:br/>
        <w:t>t</w:t>
        <w:br/>
        <w:t>n</w:t>
        <w:br/>
        <w:t>ic</w:t>
        <w:br/>
        <w:t>s e</w:t>
        <w:br/>
        <w:t>or</w:t>
        <w:br/>
        <w:t>a l</w:t>
        <w:br/>
        <w:t>r</w:t>
        <w:br/>
        <w:t>s</w:t>
        <w:br/>
        <w:t>u</w:t>
        <w:br/>
        <w:t>m</w:t>
        <w:br/>
        <w:t>bb</w:t>
        <w:br/>
        <w:t>a</w:t>
        <w:br/>
        <w:t>e</w:t>
        <w:br/>
        <w:t>d</w:t>
        <w:br/>
        <w:t>r</w:t>
        <w:br/>
        <w:t>e righe conc</w:t>
        <w:br/>
        <w:t>i</w:t>
        <w:br/>
        <w:t>e</w:t>
        <w:br/>
        <w:t>n</w:t>
        <w:br/>
        <w:t>n</w:t>
        <w:br/>
        <w:t>t t</w:t>
        <w:br/>
        <w:t>e</w:t>
        <w:br/>
        <w:t>r</w:t>
        <w:br/>
        <w:t>r</w:t>
        <w:br/>
        <w:t>i</w:t>
        <w:br/>
        <w:t>n</w:t>
        <w:br/>
        <w:t>c</w:t>
        <w:br/>
        <w:t>o</w:t>
        <w:br/>
        <w:t>h e</w:t>
        <w:br/>
        <w:t>n e</w:t>
        <w:br/>
        <w:t>b</w:t>
        <w:br/>
        <w:t>r</w:t>
        <w:br/>
        <w:t>l</w:t>
        <w:br/>
        <w:t>o</w:t>
        <w:br/>
        <w:t>u</w:t>
        <w:br/>
        <w:t>e cerchio cancelled9</w:t>
        <w:br/>
        <w:t>Vedi Fig. 1 con sfondo blu, righe concentriche nere, cerchio</w:t>
        <w:br/>
        <w:t>3 014338701 October 19, 2015 July 6, 2025 Registrato</w:t>
        <w:br/>
        <w:t>“ interno nero e rette verticali bianche</w:t>
      </w:r>
    </w:p>
    <w:p>
      <w:r>
        <w:t>Vedi Fig. 1 con sfondo arancio, righe concentriche nere, Registration</w:t>
        <w:br/>
        <w:t>4 014784375 March 10, 2016 November 11, 2025 “ cerchio interno nero e retta cancellation</w:t>
        <w:br/>
        <w:t>orizzontale nera al centro della pending</w:t>
        <w:br/>
        <w:t>figura10</w:t>
      </w:r>
    </w:p>
    <w:p>
      <w:r>
        <w:t>Vedi Fig. 1 con sfondo nero, righe concentriche arancio,</w:t>
        <w:br/>
        <w:t>5 014784409 March 10, 2016 “ “ Registrato</w:t>
        <w:br/>
        <w:t>cerchio interno nero e retta orizz. Nera</w:t>
      </w:r>
    </w:p>
    <w:p>
      <w:r>
        <w:t>Vedi Fig. 1 con sfondo verde, righe concentriche nere,</w:t>
        <w:br/>
        <w:t>6 014784417 December 3, 2016 “ “ Registrato</w:t>
        <w:br/>
        <w:t>cerchio interno nero e retta orizzontale nera</w:t>
      </w:r>
    </w:p>
    <w:p>
      <w:r>
        <w:t>Vedi Fig. 1 con sfondo nero, righe concentriche verdi,</w:t>
        <w:br/>
        <w:t>7 014784458 December 3, 2016 “ “ cerchio interno nero e retta Registrato</w:t>
        <w:br/>
        <w:t>orizzontale nera al centro della figura</w:t>
      </w:r>
    </w:p>
    <w:p>
      <w:r>
        <w:t>Source: Database available on the EUIPO website, as of March 23, 2021.</w:t>
      </w:r>
    </w:p>
    <w:p>
      <w:r>
        <w:t>19. The seven EU Trademark registration applications of Roxtec appear to have been initially accepted by the EUIPO, but, following three "trademark cancellation" requests filed by Wallmax between 2016 and 201811 with the Board of Appeal of the EUIPO, concerning Trademarks No. 1, 2, 4 of Tab. 1, only Trademarks No. 3, 5, 6, 7 of Tab. 1 remained registered. According to the information provided, the reporting company was unable to financially bear the burden of opposing all the Trademarks filed by Roxtec12.</w:t>
      </w:r>
    </w:p>
    <w:p>
      <w:r>
        <w:t>20. Regarding EU Trademark No. 014338735 (No. 2 in Tab. 1), by cancellation measure of January 8, 2018, the Board of Appeal (hereinafter also CR) declared its invalidity, considering it in violation of art. 7, paragraph 1, letter e), point ii. of the aforementioned EU Regulation No. 2017/1001, pursuant to which signs consisting exclusively of the shape of the product necessary to obtain a technical result are excluded from registration13.</w:t>
      </w:r>
    </w:p>
    <w:p>
      <w:r>
        <w:t>21. In its decision, the CR first recalled the different purposes underlying the trademark protection system and the right of exclusivity, emphasizing the contradiction to EU Regulation 2017/1001 of an EU Trademark application aimed at obtaining an undue extension of the protection period of an expired patent14. The CR particularly highlighted that from the analysis of the documentation submitted by Roxtec, it was evident that the purpose of the EU Trademark application was to prevent competitors from operating in the market, a purpose clearly in contrast with the objectives pursued by patent protection legislation15. The Board of Appeal appears to have reached its conclusions following an investigation.</w:t>
      </w:r>
    </w:p>
    <w:p>
      <w:r>
        <w:t>13 See attachment 3 of the submission of March 8, 2018, attachment 9 of the response to the information request received on February 26, 2019, and attachment 4 of the communication of October 16, 2020.</w:t>
      </w:r>
    </w:p>
    <w:p>
      <w:r>
        <w:t>14 According to the findings of the Board of Appeal: “… the purpose of the system of trade mark protection differs from the premises underlying certain other intellectual property rights which serve to promote innovation and creativity. That difference in purpose explains why the protection conferred by marks is indefinite but the protection conferred by other intellectual property rights is subject to a time limit imposed by the legislature. Use of the system of trade mark protection in order to extend an exclusive right to immaterial assets — such as designs, inventions or copyright-protected works — the protection of which is in principle limited in time, would undermine the premises underlying trade mark protection”. (§ 17).</w:t>
      </w:r>
    </w:p>
    <w:p>
      <w:r>
        <w:t>15 In this regard, the CR stated: “In the Board’s view, it is clear that the registration of the [Roxtec] mark without any essential ornamental details, colours or other aesthetical features, is likely to unduly impair the opportunity for competitors to place on the market sealing modules whose function relies on the removal of concentric layers from a cylindrical cavity to effect a secure connection with a pipe, tube, wire or cable … Incidentally, the Board notes that the [Roxtec] admits … that the filing of its trade mark … in different color combinations … is therefore a natural step in order to secure future brand extensions and to prevent competitors from using the same design elements in their marketing…” (§§. 49-50). The CR also argued: “Here the ‘design elements’ which the [Roxtec] seeks to ‘prevent competitors from using’ are certainly the plurality of layers which visibly present as concentric circles and constitute the technical function of the mark, whereby the layers may be stripped out to achieve the correct diameter of cavity for the insertion of a tube or pipe. Thus, [Roxtec] strategic filing of the concentric-circle marks, which include the one under examination here, runs counter to the rationale of Article 7(1)(e)(ii) EUTMR. This provision is to prevent trade mark protection from granting a proprietor a monopoly over technical solutions or functional characteristics of a product which a user is likely to seek in the products of competitors. The said article is thus intended to prevent the protection conferred by the trade-mark right from being extended beyond signs which serve to distinguish a product or service from those offered by competitors, so as to form an obstacle preventing competitors from freely offering for sale goods incorporating such technical solutions or functional characteristics in competition with the proprietor of the trade mark” (§§ 51 et seq.).</w:t>
      </w:r>
    </w:p>
    <w:p>
      <w:r>
        <w:rPr>
          <w:b/>
        </w:rPr>
        <w:t>[Pages 10–12]</w:t>
      </w:r>
    </w:p>
    <w:p>
      <w:r>
        <w:t>BULLETIN NO. 24 OF JUNE 14, 2021 11</w:t>
        <w:br/>
        <w:t>detailed concerning both the image of the EU Trademark application16 and the product to which</w:t>
        <w:br/>
        <w:t>this image refers17.</w:t>
        <w:br/>
        <w:t>22. Roxtec appealed the aforementioned decision of the Appeals Commission before the Court</w:t>
        <w:br/>
        <w:t>of the European Union, which by judgment of September 24, 2019, dismissed the appeal, confirming</w:t>
        <w:br/>
        <w:t>the nullity of the registration for violation of Article 7, paragraph 1, letter e) of the cited Regulation18.</w:t>
        <w:br/>
        <w:t>Roxtec also challenged the decision of the Court of the European Union before the Court of</w:t>
        <w:br/>
        <w:t>Justice, which declared the appeal inadmissible by Order of March 12, 202019.</w:t>
        <w:br/>
        <w:t>23. The authorization of EU Trademark No. 014784375 (No. 4 of Table 1) appears to have been annulled</w:t>
        <w:br/>
        <w:t>by the Opposition Division of the EUIPO by measure of November 16, 2018, a decision</w:t>
        <w:br/>
        <w:t>confirmed by the CR of the EUIPO by measure of April 20, 2020, following an appeal by</w:t>
        <w:br/>
        <w:t>Roxtec20. However, as can be seen from Table 1, the aforementioned Trademark No. 014784375 has not yet been</w:t>
        <w:br/>
        <w:t>removed from the EUIPO database.</w:t>
        <w:br/>
        <w:t>The request for cancellation of EU Trademark 007376023 (No. 1 of Table 1) filed by Wallmax on April 17, 201821 is still under examination.</w:t>
        <w:br/>
        <w:t>24. The documentation on file shows that, in 2017, Roxtec filed three additional EU Trademark applications with the EUIPO, concerning the same image previously filed (see Fig. 1) but characterized, compared to the previous one, by being devoid of any coloration, that is, being in three different combinations of black and white (Table 2).</w:t>
        <w:br/>
        <w:t>16 In particular, the CR stated, “It soon becomes clear that the concentric circles in the face of the module are not a fanciful design; nor are they merely decorative. They are the visible consequence of the ‘plurality’ of layers that are to be stripped away, to the extent that a cable, wire or tube may be inserted into the unit to form a secure fit. Each blue concentric circle corresponds to an edge view of the removable layer. What appear to be black concentric circles are, in fact, nothing more than the natural contrast caused by the separation between the layers. The Board notes, furthermore, that there is no dispute about any of the above facts. There is no dispute about how the device functions. There is no dispute about the existence of the lapsed patent. There is also no dispute that the lapsed patent has fallen into the public domain and may be legitimately utilized by other traders. …The interest underlying Article 7(1)(e)(ii) EUTMR is to prevent trademark law granting an undertaking a monopoly on technical solutions or functional characteristics of a product. In the system of intellectual property rights developed in the European Union, technical solutions are capable of protection only for a limited period, so that subsequently they may be freely used by all economic operators. By restricting the ground for refusal set out in Article 7(1)(e)(ii) EUTMR to signs which consist ‘exclusively’ of the shape of goods which is ‘necessary’ to obtain a technical result, the legislature duly took into account that any shape of goods is, to a certain extent, functional and that it would therefore be inappropriate to refuse to register a shape of goods as a trademark solely on the ground that it has functional characteristics. By the terms ‘exclusively’ and ‘necessary’, that provision ensures that solely shapes of goods which only incorporate a technical solution, and whose registration as a trademark would therefore actually impede the use of that technical solution by other undertakings, are not to be registered” (see §§ 28 et seq.).</w:t>
        <w:br/>
        <w:t>17 In the measure, it is also noted that the Appeals Commission has detailed counter-argued both the objections of Roxtec and the assessments of the Cancellation Division of the UIPO, which had rejected a previous cancellation request from WallMax. In fact, under the procedure provided for by Regulation EU 2017/1001, WallMax initially requested the cancellation of the trademark from the Cancellation Division of the UIPO, which, by decision of March 17, 2017, rejected that request. The complainant subsequently filed a request with the CR, against the decision of the Cancellation Division, seeking the annulment of that decision and the invalidity of the trademark.</w:t>
        <w:br/>
        <w:t>18 See judgment of the Court of September 24, 2019, case T-261/18, annexes 5, 5bis, to Wallmax's communication of October 16, 2020.</w:t>
        <w:br/>
        <w:t>19 See Order of the Court of Justice C-893-19 P, annex 6 to Wallmax's communication of October 16, 2020.</w:t>
        <w:br/>
        <w:t>20 See annexes 1 and 2 to Wallmax's communication of October 16, 2020.</w:t>
        <w:br/>
        <w:t>21 See annex 8ter of the response to the request for information received on February 26, 2018, and Wallmax's communication of October 16, 2020.</w:t>
      </w:r>
    </w:p>
    <w:p>
      <w:r>
        <w:t>12 BULLETIN NO. 24 OF JUNE 14, 2021</w:t>
        <w:br/>
        <w:t>Table 2 – EU Trademark Applications filed with the EUIPO by Roxtec in 2017</w:t>
        <w:br/>
        <w:t>Date Expiration Description Status of registration</w:t>
        <w:br/>
        <w:t>Application No. Trademark Description registration registration Product (*)</w:t>
        <w:br/>
        <w:t>Cable and pipe With white background with</w:t>
        <w:br/>
        <w:t>1 017372194 October 23, 2017 n.d. penetration seals black concentric lines and Appeal pending</w:t>
        <w:br/>
        <w:t>made from plastic black inner circle</w:t>
        <w:br/>
        <w:t>With white background with</w:t>
        <w:br/>
        <w:t>2 017372228 October 23, 2017 n.d. black concentric lines and Appeal pending</w:t>
        <w:br/>
        <w:t>“ white inner circle</w:t>
        <w:br/>
        <w:t>Black background with white</w:t>
        <w:br/>
        <w:t>Application opposed</w:t>
        <w:br/>
        <w:t>3 017372251 October 23, 2017 n.d. concentric lines and</w:t>
        <w:br/>
        <w:t>“ Appeal pending</w:t>
        <w:br/>
        <w:t>black inner circle</w:t>
        <w:br/>
        <w:t>Source: Database available on the EUIPO website, as of March 23, 2021.</w:t>
        <w:br/>
        <w:t>25. The evaluation procedure for the three new EU Trademark applications has been suspended, following the opposition filed by Wallmax on February 8, 201822.</w:t>
        <w:br/>
        <w:t>2. Sham litigation</w:t>
        <w:br/>
        <w:t>26. From the documentation on file, it appears that Roxtec has engaged in forms of sham litigation, initiating worldwide – over the course of 6 years – at least 11 legal actions against Wallmax23.</w:t>
        <w:br/>
        <w:t>i. The legal actions taken by Roxtec against Wallmax</w:t>
        <w:br/>
        <w:t>27. Attached to the report is a copy of the documents related to the legal actions taken since 2013 by Roxtec AB (and other group companies) against Wallmax (and subsidiaries), at both international and national levels.</w:t>
        <w:br/>
        <w:t>28. In particular, the documentation on file shows that the Roxtec group has:</w:t>
        <w:br/>
        <w:t>- in 2013, initiated two legal actions before the Court of New Delhi against Wallmax India, one concerning the alleged infringement of three models of frames of Roxtec, intended to accommodate cable entry modules, and the other for alleged infringement of the Roxtec Trademarks, as well as for copyright infringement and unfair competition. In both cases, an injunction against Wallmax's activities was requested;</w:t>
        <w:br/>
        <w:t>- in 2016, requested an urgent order from the Hamburg Court to prohibit the sale in Germany, among other things, of black and orange cable entry modules (EU Trademark No. 14784375);</w:t>
        <w:br/>
        <w:t>- in July 2017, sued both Wallmax USA (a dormant subsidiary of Wallmax) and Britmar Marine Ltd before the District Court of Houston for “false designation of origin,” “trade dress infringement,” “unjust enrichment” regarding the use of the cable entry module, requesting a jury trial, and the judge seized appears to have partially accepted Wallmax's defense;</w:t>
        <w:br/>
        <w:t>22 See Wallmax's communication of October 16, 2020.</w:t>
        <w:br/>
        <w:t>23 See Wallmax's submissions of February 26, 2019, April 30, 2019, July 23, 2019, and related attachments.</w:t>
      </w:r>
    </w:p>
    <w:p>
      <w:r>
        <w:t>BULLETIN NO. 24 OF JUNE 14, 2021 13</w:t>
        <w:br/>
        <w:t>- consequently, in September 2018, initiated a second legal action before the District Court of Houston with the same subject matter as the previous one but with the additional allegation of misleading advertising for the claim used by Wallmax “halogen free”;</w:t>
        <w:br/>
        <w:t>- in October 2017, activated a request for evidentiary seizure of Wallmax products at the District Court of Gelderland – Arnhem and a parallel request to the Amsterdam Court for an injunction against the marketing of Wallmax products at the European level, as well as an injunction against participating in industry fairs that were to be held in Rotterdam from November 7 to 10, 2017, and in Amsterdam from November 14 to 16, 2017, for alleged unfair competition and copyright infringement;</w:t>
        <w:br/>
        <w:t>- in March 2018, filed another appeal also with the District Court of Houston against Wallmax and Wallmax USA for misleading advertising regarding the claim “halogen free”;</w:t>
        <w:br/>
        <w:t>- in September 2018, initiated precautionary proceedings at the Prague Court by Roxtec CZ (exclusive distributor of Roxtec modules in the Czech Republic), requesting an order to prohibit the Italian company from advertising multicolored products as “halogen free”;</w:t>
        <w:br/>
        <w:t>- in 2016 and 2018, legal actions initiated by Roxtec and Roxtec Italia Srl before the Milan Court concerning the orange and black products of Wallmax, for alleged unfair competition, for violation of registered designs and trademarks, and for misleading advertising also regarding the claim “halogen free”.</w:t>
        <w:br/>
        <w:t>29. According to Wallmax's communication, most of the aforementioned proceedings are still pending. However, there is a copy of the decisions of the Amsterdam Court and the Rotterdam Court in favor of Wallmax24, a copy of the decision of the Prague Court unfavorable to Wallmax, and a copy of the decision of the Hamburg Court of Appeal from January 2019 which excluded any hypothesis of unfair competition, but maintained “the injunction only for multidiameter products and only in relation to trademark 14784375”25 despite the fact that this trademark appears to have been annulled, as seen previously.</w:t>
        <w:br/>
        <w:t>30. There is also a copy of a cease-and-desist letter dated May 30, 2016, received by Wallmax Singapore from the lawyers of Roxtec AB, which preliminarily reminded that “Roxtec is proprietor of Singapore Patent N. 163881” and that this “Patent is in force, valid and subsisting in Singapore,” finally warning it against participating in the CominicAsia 2016 trade fair with products, catalogs, and other informational material26.</w:t>
        <w:br/>
        <w:t>The letter also communicated that “Roxtec actively monitors to protect its intellectual property worldwide, including Singapore … In the event that any activities of third parties are inconsistent with Roxtec’s rights, appropriate steps will be taken to protect Roxtec’s interests.”</w:t>
        <w:br/>
        <w:t>24 In particular, in the decision of the Amsterdam Court, regarding the alleged violation of Roxtec's intellectual property rights, it was noted, among other things, that the patent held by Roxtec had expired. Furthermore, there is no confusion between the products of the two companies as the cable entries produced by Roxtec are of two colors while those of Wallmax are multicolored and distinguished by the company's name, see annex 7bis of the submission of February 26, 2019.</w:t>
        <w:br/>
        <w:t>25 See submissions of February 26 and April 30, 2019. This refers to EU Trademark No. 4 of Table 1, for which the Opposition Division of the EUIPO by decision of November 16, 2018, annulled the registration of the trademark.</w:t>
        <w:br/>
        <w:t>26 See annex 5 of the submission of March 6, 2018, and annexes 5 and 6 of the submission of February 26, 2019.</w:t>
      </w:r>
    </w:p>
    <w:p>
      <w:r>
        <w:rPr>
          <w:b/>
        </w:rPr>
        <w:t>[Pages 13–15]</w:t>
      </w:r>
    </w:p>
    <w:p>
      <w:r>
        <w:t>14 BULLETIN NO. 24 OF JUNE 14, 2021</w:t>
      </w:r>
    </w:p>
    <w:p>
      <w:r>
        <w:t>According to the report, in this case, WallMax would have been forced to turn to lawyers to protect itself, incurring additional costs to participate in the trade fair.</w:t>
      </w:r>
    </w:p>
    <w:p>
      <w:r>
        <w:t>ii. Alleged underlying purposes of the legal actions taken by Roxtec</w:t>
      </w:r>
    </w:p>
    <w:p>
      <w:r>
        <w:t>31. The report highlights that Roxtec would have initiated legal proceedings against Wallmax in order to expose it to exorbitant costs for the defense of its legitimate rights, hoping to achieve its exit from the market through this means. In light of the litigation initiated by Roxtec, which is still pending, Wallmax has stated that it is forced to incur legal expenses amounting to "approximately what it invoices from the sale of its products..."27 and that the costs incurred for legal defense are putting it in serious financial difficulties. To prove this, the reporting party has produced invoices showing the costs incurred for the lawyers it has consulted to support its defenses in India, Singapore, and Hamburg28.</w:t>
      </w:r>
    </w:p>
    <w:p>
      <w:r>
        <w:t>32. The report also complains that, pending the disputes, Roxtec would have instructed the various companies in the group to widely publicize the ongoing disputes with Wallmax in order to discredit the company in the eyes of its customers, and a list of potential customers and distributors of Wallmax who would have reported such behaviors is attached29.</w:t>
      </w:r>
    </w:p>
    <w:p>
      <w:r>
        <w:t>33. Furthermore, there is a copy of an email sent on March 16, 2017, by the Swedish company to representatives of other companies in the Roxtec group, including Roxtec Italia to its employees, in which it communicated, "Feel free to inform customers and other third parties about ongoing cases (i.e. India, Germany, and Italy) but always orally. Never send any information about ongoing cases in writing (no emails or letters, etc.) because it may be interpreted as unfair competition if not correctly written. ... Do not mention any plans of Roxtec to sue Wallmax in a specific country. However, feel free to say that we have plans to sue Wallmax and any distributor of Wallmax wherever they appear"30 (emphasis present in the text).</w:t>
      </w:r>
    </w:p>
    <w:p>
      <w:r>
        <w:t>34. Other documentation in the file appears to demonstrate the pretextual nature of Roxtec's legal actions. An example in this regard is the decision of November 3, 2017, of the Amsterdam Court, which rejected the aforementioned request for an injunction, finding the absence of unfair competition in the reported conduct and highlighting the bad faith of the applicant31.</w:t>
      </w:r>
    </w:p>
    <w:p>
      <w:r>
        <w:t>3. Recourse to numerous safety certifications</w:t>
      </w:r>
    </w:p>
    <w:p>
      <w:r>
        <w:t>35. According to the report, Roxtec would have acquired, over the years, more than 250 quality and safety certificates related to the patented cable entry module, becoming the only operator able to boast such a large "portfolio of certificates"32. In this regard, in the fiscal year 2016, Roxtec would have invested approximately one million euros "only in activities related to the issuance and renewal of its certifications."</w:t>
      </w:r>
    </w:p>
    <w:p>
      <w:r>
        <w:t>27 See report of July 23, 2019.</w:t>
      </w:r>
    </w:p>
    <w:p>
      <w:r>
        <w:t>28 See report of March 6, 2018, p. 22 and annex 7.</w:t>
      </w:r>
    </w:p>
    <w:p>
      <w:r>
        <w:t>29 See report of February 26, 2019, annex 11.</w:t>
      </w:r>
    </w:p>
    <w:p>
      <w:r>
        <w:t>30 Annex 8 to the report of July 11, 2018.</w:t>
      </w:r>
    </w:p>
    <w:p>
      <w:r>
        <w:t>31 See annexes 7 and 7bis of the report of February 26, 2019.</w:t>
      </w:r>
    </w:p>
    <w:p>
      <w:r>
        <w:t>32 The information regarding the number of certificates is advertised on Roxtec's website www.roxtecitalia.com/it/prodotti.</w:t>
      </w:r>
    </w:p>
    <w:p>
      <w:r>
        <w:t>BULLETIN NO. 24 OF JUNE 14, 2021 15</w:t>
      </w:r>
    </w:p>
    <w:p>
      <w:r>
        <w:t>36. Regarding the necessity of safety certifications for this type of product, according to what is specified in the report, this "race for certification," characterized by significant time and costs, does not correspond to an evolution of the patented product, as the multi-diameter cable entry module has not undergone changes over the years.</w:t>
      </w:r>
    </w:p>
    <w:p>
      <w:r>
        <w:t>VI. EVALUATIONS</w:t>
      </w:r>
    </w:p>
    <w:p>
      <w:r>
        <w:t>a) The relevant market</w:t>
      </w:r>
    </w:p>
    <w:p>
      <w:r>
        <w:t>37. From a merchandise perspective, the relevant market appears to be that of the production of modular sealing systems, so-called multi-diameter cable entry modules. These products differ from single-diameter cable entry modules, although they are an evolution of the latter, as they have very limited substitutability from the demand side33. In fact, multi-diameter cable entry modules – given their extreme adaptability to pipes/cables of different sizes – can be installed, in addition to being subject to subsequent modifications, with particularly simplified procedures. This adaptability characteristic also allows for the optimization of inventory management, as each user can keep more limited stocks, thus allowing for savings in management costs. As for the unit prices of these two types of products, according to the information provided by the reporting party, the unit prices of multi-diameter cable entry modules are higher due to the greater burden of production costs34. Moreover, it cannot be excluded that multi-diameter cable entry modules based on technology different from that covered by Roxtec's patent may also be considered distinct, or have more limited substitutability, considering that from the documentation in the file (Technical specifications of public tenders or requests from private customers) it appears that this product is identified and described as "Roxtec type" cable entry module35.</w:t>
      </w:r>
    </w:p>
    <w:p>
      <w:r>
        <w:t>38. The market identified above could be further segmented based on the application sectors of multi-diameter cable entry modules, distinguishing between the marine sector, the oil &amp; gas platforms, infrastructure (TLC, etc.), energy, and manufacturing and process industries. In this regard, based on the application sector and/or the country in which they are used, specific certifications are issued by certifying bodies, which evaluate the safety and reliability of cable entry modules for the purposes and conditions of use required. Although these certifications are not mandatory, they appear to constitute important elements that customers operating in different sectors (or countries) consider when choosing the product to use36.</w:t>
      </w:r>
    </w:p>
    <w:p>
      <w:r>
        <w:t>39. From the supply side, the main producers of multi-diameter cable entry modules, in addition to Roxtec and Wallmax, include the Swedish company MTC Brattberg, the Spanish company Hawke-HTS, the German company Hauff-Technik GmbH &amp; Co. KG, and the Austrian company BST Brandschutzetechnik. However, the multi-diameter cable entry modules produced by the last four companies, having been introduced into the market during the validity of patent EP No. 0429916B1, are based on different technologies in that, as mentioned earlier, they are equipped with particular devices/applications that, applied to the central hole of a module with a fixed diameter, allow the passage and adaptation of cables of different sizes37.</w:t>
      </w:r>
    </w:p>
    <w:p>
      <w:r>
        <w:t>40. From a geographical perspective, the market for the production of cable entry modules appears to have a national geographical dimension, considering that, based on the most recent information received, operators purchase this product primarily from companies present in Italy38. However, this does not exclude that the relevant geographical area may be extended at a supranational level, at least European, as transportation costs do not appear to have a significant impact and there are no particular barriers to intra-community trade of an economic or institutional nature39.</w:t>
      </w:r>
    </w:p>
    <w:p>
      <w:r>
        <w:t>b) Roxtec's position in the relevant market</w:t>
      </w:r>
    </w:p>
    <w:p>
      <w:r>
        <w:t>41. In 2018, the value of the Italian market for multi-diameter cable entry modules can be estimated at around 20 million euros40. In this market, Roxtec holds a share of approximately 65-68%, the reporting company a share of about 2-3%41, while other market operators, who offer multi-diameter cable entry modules based on technologies different from that covered by Roxtec's patent, hold the following shares: Hawke HTSL approximately 17%, MTC Brattberg approximately 12%, BST Brandschutztecnik and Hauff-Technik GmbH &amp; Co. K.G. the remaining share42. In any case, according to the information communicated, Roxtec would hold a largely majority market share even at the European level43.</w:t>
      </w:r>
    </w:p>
    <w:p>
      <w:r>
        <w:t>42. Roxtec's dominant position is demonstrated, in addition to the market share, also by the fact that until October 2010 the company benefited from patent EP No. 0429916B1, which allowed it to achieve a position of absolute prominence in the production of multi-diameter cable entry modules. Once the patent expired, Roxtec maintained this position, as evidenced by the fact that it is still the main producer of the cable entry modules covered by the patent, in addition to the reporting party, whose share is still entirely marginal.</w:t>
      </w:r>
    </w:p>
    <w:p>
      <w:r>
        <w:t>43. From the documentation in the file, it also appears that Roxtec counts among its clients very important companies such as Fincantieri, the leading European and global operator in the shipbuilding sector with which it has an ongoing multi-year contract. Additionally, users of the multi-diameter cable entry modules covered by the patent appear to be</w:t>
      </w:r>
    </w:p>
    <w:p>
      <w:r>
        <w:rPr>
          <w:b/>
        </w:rPr>
        <w:t>[Pages 16–18]</w:t>
      </w:r>
    </w:p>
    <w:p>
      <w:r>
        <w:t>BULLETIN NO. 24 OF JUNE 14, 2021 17</w:t>
        <w:br/>
        <w:t>to identify such product with the name of the producer, namely “watertight pass-throughs type Roxtec”44.</w:t>
      </w:r>
    </w:p>
    <w:p>
      <w:r>
        <w:t>c) The conduct of Roxtec</w:t>
      </w:r>
    </w:p>
    <w:p>
      <w:r>
        <w:t>44. The subject of evaluation is the alleged exclusionary conduct carried out by Roxtec, namely the requests for registration of EU Trademark relating to the image, in different colors, of the main facade of the patented product, the numerous legal actions taken against Wallmax, as well as the acquisition of numerous and seemingly unnecessary safety certifications for such product.</w:t>
      </w:r>
    </w:p>
    <w:p>
      <w:r>
        <w:t>In particular, Roxtec would have used and would continue to use administratively and judicially legitimate procedures instrumentally, implementing a complex exclusionary strategy, in order to artificially extend the natural expiration of the patent protection obtained for the cable entry modules and thus maintain unchanged the monopolistic position acquired during the validity of the patent.</w:t>
      </w:r>
    </w:p>
    <w:p>
      <w:r>
        <w:t>45. With regard to the filing with the EUIPO of the requests for registration of EU Trademark, an action that is lawful in itself, it actually appears instrumental to extend the exclusive right after the expiration of the patent. This is contrary not only to the rationale of the EU legislation relating to the EU Trademark which excludes signs consisting exclusively “of the shape or other characteristic imposed by the nature of the product itself,” but also to the rationale of the EU legislation relating to patents. In this sense, the numerous requests filed by Roxtec (10), all concerning the same image of the product but in different colors, are relevant.</w:t>
      </w:r>
    </w:p>
    <w:p>
      <w:r>
        <w:t>46. The pretextual nature of the EU Trademark requests made by Roxtec has, moreover, been clearly noted by the Board of Appeal of the EUIPO which, by decision of January 1, 2018, declared the invalidity of EU Trademark No. 014338735 (No. 2 in Table 1), considering it in violation of Article 7, paragraph 1, letter e), point ii. of the aforementioned EU Regulation No. 2017/100145, a decision subsequently confirmed by the Court and the Court of Justice46. The authorization of EU Trademark No. 014784375 (No. 4 of Table 1) also appears to have been annulled by the Opposition Division of the EUIPO by measure of November 16, 2018, while the requests for cancellation of EU Trademark No. 007376023 (No. 1 of Table 1)47 and EU Trademarks No. 017372194, No. 017372128, No. 017372194 (Nos. 1-3 of Table 2)48 are currently under examination.</w:t>
      </w:r>
    </w:p>
    <w:p>
      <w:r>
        <w:t>47. Since all the EU Trademark requests filed by Roxtec with the EUIPO concern the same image of the product, differing only in the colors used, the evaluation of the EUIPO Board of Appeal mentioned above, confirmed by the Court and the Court of Justice, appears consistently applicable to the other EU Trademark requests submitted by Roxtec.</w:t>
      </w:r>
    </w:p>
    <w:p>
      <w:r>
        <w:t>48. With regard to the obtaining of a very high number of certifications, such conduct, also lawful in itself, appears capable of hindering the entry of potential competitors into the relevant market, should it translate into a strategic barrier to entry, resulting in an unjustified increase in costs for competitors wishing to compete on equal terms. In this regard, one can consider the number of certifications acquired by Roxtec, which are over 250, a particularly high number when compared to the certifications advertised on the websites of other market operators49.</w:t>
      </w:r>
    </w:p>
    <w:p>
      <w:r>
        <w:t>Moreover, from the information on file, it appears that the acquisition of certifications is a costly activity in terms of time and expenses for gathering the documentation necessary for the issuance of each individual certificate. Finally, the necessity of such a “portfolio” of certifications appears questionable, considering that the product does not seem to have undergone any particular innovations over the thirty years it has been produced.</w:t>
      </w:r>
    </w:p>
    <w:p>
      <w:r>
        <w:t>49. As for the litigation initiated by Roxtec against Wallmax, the number, timing, methods, and subject matter of the legal actions taken, as well as the outcome of some of these, appear to testify to their instrumental nature. In this regard, it is noted that according to community jurisprudence “the legal action,” by a company in a dominant position against competitors, can be configured as abusive conduct if the following two cumulative criteria are present: “firstly, it cannot reasonably be considered to be aimed at asserting the rights of the undertaking in question, and therefore is merely vexatious and, secondly, it is conceived within a plan aimed at eliminating competition”50.</w:t>
      </w:r>
    </w:p>
    <w:p>
      <w:r>
        <w:t>50. As described in the factual part, Wallmax was established in 2011 and the first legal actions were taken by Roxtec precisely at the moment when Wallmax sought to expand its business outside Italy, namely in 2013. Furthermore, in the period 2013-2018 Roxtec initiated a high number of legal actions against Wallmax (about 2 each year), alleging cases of unfair competition, despite the patent having expired, forms of misleading advertising, and seeking injunctions against the commercial activity of that company in Italy and abroad. Some complaints by Roxtec have been archived and others are still pending before the courts. In particular, there are copies of the favorable decisions for Wallmax from the Courts of Amsterdam and Rotterdam on file. The Hamburg Court also rejected the allegations of infringement made by Roxtec in its decision of January 2019, while maintaining the injunction against Wallmax in relation to Trademark No. 14784375, despite it having been annulled by the Board of Appeal of the EUIPO.</w:t>
      </w:r>
    </w:p>
    <w:p>
      <w:r>
        <w:t>51. To address the litigation initiated by Roxtec, Wallmax appears to have incurred significant legal expenses, especially considering its limited financial resources, as evidenced by the financial statements on file, compared to the financial resources of Roxtec.</w:t>
      </w:r>
    </w:p>
    <w:p>
      <w:r>
        <w:t>52. As for the intent underlying such legal actions, the content of the email dated March 16, 2017, attached to Wallmax's report, is relevant, in which Roxtec informs employees: “Feel free to inform customers and other third parties about ongoing cases (i.e. India, Germany, and Italy) but always orally. Never send any information about ongoing cases in writing (no emails or letters, etc.) because it may be interpreted as unfair competition if not correctly written. … Do not mention any plans of Roxtec to sue Wallmax in a specific country. However, feel free to say that we have plans to sue Wallmax and any distributor of Wallmax wherever they appear” (emphasis present in the text)51.</w:t>
      </w:r>
    </w:p>
    <w:p>
      <w:r>
        <w:t>53. In conclusion, in this case, the two cumulative criteria identified by EU jurisprudence seem to exist in order to configure the legal actions taken by a company in a dominant position as abusive conduct, as they do not appear aimed at asserting Roxtec's rights, considering the archiving that has occurred and that some Courts have noted their pretextual nature; moreover, such actions appear to have a denigratory and exclusionary intent as evidenced by Roxtec's internal email of March 16, 2017.</w:t>
      </w:r>
    </w:p>
    <w:p>
      <w:r>
        <w:t>54. In any case, according to established national and EU jurisprudence, the circumstance that the effect on the market of such conduct may depend on the decisions of public authorities responsible for granting intellectual property rights or judicial authorities does not exclude, in itself, that they may be configured as abusive52.</w:t>
      </w:r>
    </w:p>
    <w:p>
      <w:r>
        <w:t>In this regard, one can refer to the orientation of the EU Court in the AstraZeneca case, according to which, in order to assess whether a dominant company has violated that special responsibility that rests upon it, it is not necessary to verify the existence of bad faith, since the notion of abuse is objective in nature and therefore strictly independent of the ascertainment of an exclusionary intent53. The Court has therefore considered that, although the existence of an exclusionary intent is relevant, it is not a prerequisite for identifying an abuse of a dominant position.</w:t>
      </w:r>
    </w:p>
    <w:p>
      <w:r>
        <w:t>51 See Annex 8 to the memorandum of July 11, 2018.</w:t>
        <w:br/>
        <w:t>52 See para. 82-88, judgment of the European Court of Justice, joined cases No. C-395/96 P and C-396/96 P, delivered on March 16, 2000, Compagnie maritime belge transports SA (C-395/96 P), Dafra-Lines A/S v. Commission (C-396/96 P). See also Council of State, judgment No. 693/2014.</w:t>
        <w:br/>
        <w:t>53 The Court states, in fact, that: “According to settled case-law, an abuse is an objective concept referring to the behaviour of an undertaking in a dominant position which is such as to influence the structure of a market where, as a result of the very presence of the undertaking in question, the degree of competition is already weakened and which, through recourse to methods different from those governing normal competition in products or services on the basis of traders’ performance, has the effect of hindering the maintenance of the degree of competition still existing in the market or the growth of that competition” (see para. 352, judgment of the EU Court, case T-321/05). Furthermore: “It follows from the objective nature of the concept of abuse that […] proof of the deliberate nature of the conduct and of the bad faith of the undertaking in a dominant position is not required for the purposes of identifying an abuse of a dominant position” (para. 356). In this regard, see also the following judgments of the Court of Justice of the European Union: T-Mobile Netherlands and others, C-8/08, points 31, 39, and 43, and GlaxoSmithKline Services and others/Commission and others, C-513/06 P, C-515/06 P, and C-519/06 P, point 58 and cited case law as well as para. 69, case No. C-62/86, delivered on July 3, 1991, AKZO Chemie BV v. Commission.</w:t>
      </w:r>
    </w:p>
    <w:p>
      <w:r>
        <w:rPr>
          <w:b/>
        </w:rPr>
        <w:t>[Pages 19–21]</w:t>
      </w:r>
    </w:p>
    <w:p>
      <w:r>
        <w:t>20 BULLETIN NO. 24 OF JUNE 14, 2021</w:t>
      </w:r>
    </w:p>
    <w:p>
      <w:r>
        <w:t>constitutes an element to be evaluated, the objective assessment of the conduct is fundamental54.</w:t>
      </w:r>
    </w:p>
    <w:p>
      <w:r>
        <w:t>55. In addition, the legal actions undertaken by Roxtec were carried out within the framework of further conduct always having exclusionary purposes.</w:t>
      </w:r>
    </w:p>
    <w:p>
      <w:r>
        <w:t>More generally, according to established EU and national case law, the instrumental use of administrative and judicial procedures by a company in a dominant position can constitute an abusive practice to the extent that such conduct is likely to restrict competition in the market.</w:t>
      </w:r>
    </w:p>
    <w:p>
      <w:r>
        <w:t>56. In conclusion, the set of conduct carried out by Roxtec, starting from 2011, or after the expiration of patent EP No. 0429916B1, appears to respond to a single exclusionary strategy aimed at artificially prolonging the dominant position obtained with the aforementioned patent EP No. 0429916B1 in the markets for the production and sale of cable entry modules, in violation of Article 102 of the Treaty on the Functioning of the European Union.</w:t>
      </w:r>
    </w:p>
    <w:p>
      <w:r>
        <w:t>d) The applicability of European law</w:t>
      </w:r>
    </w:p>
    <w:p>
      <w:r>
        <w:t>57. The conduct described above may fall within the scope of European competition law and, in particular, within the scope of Article 102 TFEU, relating to the prohibition of abuse of a dominant position, being potentially capable of affecting intra-Community trade. According to the European Commission, the concept of harm to intra-Community trade must be interpreted taking into account the direct or indirect, actual or potential influence on trade flows between Member States55.</w:t>
      </w:r>
    </w:p>
    <w:p>
      <w:r>
        <w:t>58. In this case, the conduct under examination appears capable of restricting trade between Member States, in violation of Article 102 TFEU, as it concerns at least the entire national territory, particularly due to the potentially supranational dimension of the product markets affected by the conduct in question and the nature of the Parties as global suppliers, as mentioned above.</w:t>
      </w:r>
    </w:p>
    <w:p>
      <w:r>
        <w:t>CONSIDERING, therefore, that the conduct described above carried out by the Roxtec group could constitute an abuse of a dominant position, pursuant to Article 102 TFEU;</w:t>
      </w:r>
    </w:p>
    <w:p>
      <w:r>
        <w:t>RESOLVES</w:t>
      </w:r>
    </w:p>
    <w:p>
      <w:r>
        <w:t>a) to initiate the investigation, pursuant to Article 14 of Law No. 287/90, against Roxtec AB and Roxtec Italia S.r.l. to ascertain the existence of violations of Article 102 TFEU;</w:t>
      </w:r>
    </w:p>
    <w:p>
      <w:r>
        <w:t>b) to set a deadline of sixty days, starting from the notification of this measure, for the legal representatives of Roxtec AB and Roxtec Italia S.r.l., or a person delegated by them, to exercise the right to be heard, specifying that the request for a hearing must be received by the Manufacturing and Services Directorate of the Directorate General for Competition of this Authority at least fifteen days before the expiration of the aforementioned deadline;</w:t>
      </w:r>
    </w:p>
    <w:p>
      <w:r>
        <w:t>c) that the person responsible for the procedure is Dr. Ester Arisi;</w:t>
      </w:r>
    </w:p>
    <w:p>
      <w:r>
        <w:t>d) that the documents of the procedure can be viewed at the Manufacturing and Services Directorate of the Directorate General for Competition of this Authority by the legal representatives of the Parties, as well as by a person delegated by them;</w:t>
      </w:r>
    </w:p>
    <w:p>
      <w:r>
        <w:t>e) that the procedure must be concluded by April 30, 2022.</w:t>
      </w:r>
    </w:p>
    <w:p>
      <w:r>
        <w:t>This measure will be notified to the interested parties and published in the Bulletin of the Competition and Market Authority.</w:t>
      </w:r>
    </w:p>
    <w:p>
      <w:r>
        <w:t>THE SECRETARY GENERAL THE PRESIDENT</w:t>
        <w:br/>
        <w:t>Filippo Arena Roberto Rustichelli</w:t>
      </w:r>
    </w:p>
    <w:p>
      <w:r>
        <w:t>22 BULLETIN NO. 24 OF JUNE 14, 2021</w:t>
      </w:r>
    </w:p>
    <w:p>
      <w:r>
        <w:t>AL24 - BREEDERS/SEEDLESS GRAPE PRODUCERS</w:t>
        <w:br/>
        <w:t>Measure No. 29679</w:t>
        <w:br/>
        <w:t>THE COMPETITION AND MARKET AUTHORITY</w:t>
        <w:br/>
        <w:t>IN ITS MEETING of May 25, 2021</w:t>
        <w:br/>
        <w:t>HEARD the Rapporteur Professor Michele Ainis;</w:t>
      </w:r>
    </w:p>
    <w:p>
      <w:r>
        <w:t>HAVING REGARD to Article 62 of Decree-Law January 24, 2012, No. 1, containing Urgent Provisions for competition, infrastructure development, and competitiveness, converted with amendments by Law March 24, 2012 No. 27, and subsequent amendments (hereinafter also "Article 62");</w:t>
      </w:r>
    </w:p>
    <w:p>
      <w:r>
        <w:t>HAVING REGARD to Decree October 19, 2012, No. 199, of the Ministry of Agricultural, Food and Forestry Policies, Implementation Regulation of Article 62 of Decree-Law January 24, 2012, No. 1 containing urgent provisions for competition, infrastructure development, and competitiveness, converted with amendments by Law March 24, 2012 No. 27 (hereinafter also "Implementation Decree");</w:t>
      </w:r>
    </w:p>
    <w:p>
      <w:r>
        <w:t>HAVING REGARD to the Regulation on investigative procedures concerning the regulation of commercial relations regarding the sale of agricultural and food products, adopted by resolution of the Authority on February 6, 2013 No. 24220 (hereinafter also "Regulation on investigative procedures");</w:t>
      </w:r>
    </w:p>
    <w:p>
      <w:r>
        <w:t>HAVING REGARD to the communication of initiation of the procedure of November 11, 2020 against the companies Sun World International LLC, Sun World Europe S.r.l., International Fruit Genetics LLC, Grapa Varieties Ltd, Special New Fruit Licensing Ltd, (hereinafter collectively the breeders) AVI S.r.l., Organization of Producers Giuliano S.r.l., Apofruit Italia agricultural cooperative and Didonna Trade S.r.l., also communicated to the complainants - the associations Liberi Agricoltori and Commercianti Pugliesi e Lucani, CIA Puglia and five agricultural enterprises - aimed at verifying the existence of alleged commercial conduct in violation of Article 62, paragraph 1 and paragraph 2, of Decree-Law No. 1/2012, as converted into Law No. 27/2012;</w:t>
      </w:r>
    </w:p>
    <w:p>
      <w:r>
        <w:t>HAVING REGARD to the communication of April 14, 2021, containing indication of the deadline for the conclusion of the investigative phase pursuant to Article 12, paragraph 1, of the "Regulation on investigative procedures concerning the regulation of commercial relations regarding the sale of agricultural and food products" adopted by resolution of the Authority on February 6, 2013 No. 24220 (hereinafter, Regulation on investigative procedures), as well as the outcomes of the investigation carried out;</w:t>
      </w:r>
    </w:p>
    <w:p>
      <w:r>
        <w:t>HAVING REGARD to the communication of April 16, 2021, by which it was ordered, pursuant to Article 7, paragraph 3, of the Regulation on investigative procedures, the extension of the deadline for the conclusion of the procedure, last set for May 31, 2021;</w:t>
      </w:r>
    </w:p>
    <w:p>
      <w:r>
        <w:t>HAVING REGARD to the documents of the procedure;</w:t>
      </w:r>
    </w:p>
    <w:p>
      <w:r>
        <w:t>II. THE PARTIES</w:t>
      </w:r>
    </w:p>
    <w:p>
      <w:r>
        <w:t>II.1 The reported companies</w:t>
      </w:r>
    </w:p>
    <w:p>
      <w:r>
        <w:t>1. Sun World International LLC. (hereinafter also Sun World) is a company under U.S. law, active internationally in the development, cultivation, and marketing of numerous varieties of fruit, including table grapes. The company holds intellectual property rights</w:t>
      </w:r>
    </w:p>
    <w:p>
      <w:r>
        <w:rPr>
          <w:b/>
        </w:rPr>
        <w:t>[Pages 22–24]</w:t>
      </w:r>
    </w:p>
    <w:p>
      <w:r>
        <w:t>BULLETIN NO. 24 OF JUNE 14, 2021 23</w:t>
        <w:br/>
        <w:t>national and community rights related to various registered varieties of seedless grapes, for each of which it also holds the relevant trademarks.</w:t>
      </w:r>
    </w:p>
    <w:p>
      <w:r>
        <w:t>2. Sun World Europe S.r.l. (hereinafter Sun World Europe), a company controlled by Sun World, provides consulting services to promote innovation and the creation of intellectual property in the agricultural sector throughout Italy and Europe, as well as licensing for the exploitation of protected plant varieties to other producers and distributors of fresh fruit.</w:t>
      </w:r>
    </w:p>
    <w:p>
      <w:r>
        <w:t>3. Grapa Varieties Ltd. (hereinafter Grapa), with its legal headquarters in Israel, is a company that operates internationally in the economic management of table grape plant varieties developed by ARD - Agricultural Research and Development LLC, including seedless table grapes. The company is therefore a "master" licensee for testing, propagating, and marketing in various countries, including Italy, the plant varieties for which ARD holds exclusive rights.</w:t>
      </w:r>
    </w:p>
    <w:p>
      <w:r>
        <w:t>4. AVI S.r.l. (hereinafter AVI) is an Italian company with its legal headquarters in Saluzzo, which operates as the exclusive licensee, in Europe (excluding Greece), of the rights to test, propagate, and/or market the seedless grape varieties of Grapa. As a licensee agent of Grapa, AVI arranges the conclusion of sub-licensing contracts, within which it verifies the placement and extent of the authorized plantations, collects from the sub-licensees the payment of annual royalties due to Grapa, checks the achievement of the minimum quality requirements associated with the cultivated plant varieties, and offers technical-scientific support for cultivation. AVI does not operate as a distributor of the sub-licensed growers.</w:t>
      </w:r>
    </w:p>
    <w:p>
      <w:r>
        <w:t>5. International Fruit Genetics LLC. (hereinafter also International Fruit or IFG) is a U.S. company, active internationally in the creation of plant varieties, including seedless table grapes. The company holds exclusive rights to over thirty varieties of grapes (white, red, or black), registered with the Community Plant Variety Office. The company operates in Italy through authorized licensees and distributors.</w:t>
      </w:r>
    </w:p>
    <w:p>
      <w:r>
        <w:t>6. Special New Fruit Licensing Ltd. (hereinafter only SNFL) is a company based in the United Kingdom, which operates internationally in the creation, development, and marketing of seedless table grape varieties, on which it holds patent rights. The company operates in Italy through authorized licensees and distributors. Special New Fruit Licensing Mediterraneo S.A., based in Spain, also operates internationally in the development of plant varieties, including seedless or seedless grapes.</w:t>
      </w:r>
    </w:p>
    <w:p>
      <w:r>
        <w:t>7. Apofruit Italia soc. coop. Agricola (hereinafter only Apofruit) is a cooperative enterprise that operates with its own facilities and producer members throughout the national territory in the production and marketing of fruit and vegetable products, on behalf of its members. The company is a licensee and/or reference distributor for the companies Sun World, International Fruit, and SNFL, which hold exclusive rights to certain types of seedless grapes.</w:t>
      </w:r>
    </w:p>
    <w:p>
      <w:r>
        <w:t>24 BULLETIN NO. 24 OF JUNE 14, 2021</w:t>
        <w:br/>
        <w:t>8. Organizzazione di Produttori Giuliano S.r.l. (hereinafter also OP Giuliano) is a company, with its legal headquarters in Rutigliano (BA), active in the production of fruit and vegetable products and their marketing on behalf of the members of the OP. OP Giuliano is a licensee and/or reference distributor for the four companies Sun World, Grapa, International Fruit, and SNFL, which hold exclusive rights to certain types of seedless grapes.</w:t>
      </w:r>
    </w:p>
    <w:p>
      <w:r>
        <w:t>9. Didonna Trade S.r.l. (hereinafter only Didonna) is a company with its legal headquarters in Rutigliano (BA), active, on behalf of the growers adhering to OP Didonna, in the marketing of fruit and vegetable products and, in particular, table grapes, intended for distribution throughout the Italian territory, but also in the main European markets. The company is a licensee and/or reference distributor for the companies Sun World, Grapa, International Fruit, and SNFL, which hold exclusive rights to the main types of seedless grapes.</w:t>
      </w:r>
    </w:p>
    <w:p>
      <w:r>
        <w:t>10. It is finally noted that, due to partial homonymy in the company name, the procedure was originally initiated against the company Didonna Supreme; however, based on the statements made by the company and subsequently confirmed by the complainants, the company was found to be unrelated to the procedure in question, while the procedure was extended, on November 16, 2020, to the company Didonna Trade S.r.l., against which the complaints of the complainants were directed.</w:t>
      </w:r>
    </w:p>
    <w:p>
      <w:r>
        <w:t>II.2 The Complainants</w:t>
        <w:br/>
        <w:t>11. Confederazione Italiana Agricoltori Puglia (hereinafter also "CIA Puglia") is the operational federation in the Puglia Region of the Confederazione Italiana Agricoltori - CIA, an organization representing agricultural entrepreneurs, based in Rome and active on a national basis. The confederation, which associates over 370,000 agricultural enterprises nationwide, operates through regional federations, provincial unions, local offices, and municipal delegations, as well as through category and product federations. CIA Puglia brings together numerous agricultural companies from Puglia, including those active, in particular, in the production and distribution of table grapes.</w:t>
      </w:r>
    </w:p>
    <w:p>
      <w:r>
        <w:t>12. Five agricultural companies active in viticulture in the Puglia Region.</w:t>
      </w:r>
    </w:p>
    <w:p>
      <w:r>
        <w:t>13. The Committee of Free Farmers and Traders of Puglia and Lucania represents about 80 agricultural producers of table grapes and was established to protect producers from unfair practices and anti-competitive behaviors occurring in the fruit and vegetable sector to preserve the rights of cultivation and marketing of fruit and vegetable specialties.</w:t>
      </w:r>
    </w:p>
    <w:p>
      <w:r>
        <w:t>III. THE INQUIRY PROCEDURE</w:t>
        <w:br/>
        <w:t>14. The procedure was initiated on November 11, 2020, based on the information and documentation acquired in the records, with particular reference to the reports sent by the complainants on June 11, 2019, and February 12, 2020, the contents of the hearing held with CIA Puglia, the Committee of Free Farmers and Traders of Puglia and Lucania, and some agricultural companies from Puglia on February 13, 2020, and finally, the further documentation sent by these subjects on June 17, 2020. It is noteworthy that only in light of this last information was it possible to outline a defined picture of the matter which, following further clarifications regarding the involved parties provided on September 11, 2020, allowed the initiation of the present procedure.</w:t>
      </w:r>
    </w:p>
    <w:p>
      <w:r>
        <w:t>15. Following the communication of the initiation of the inquiry procedure, requests for information were sent to the Parties, aimed at acquiring further elements regarding the relationships between breeders and distributors, as well as regarding the application methods of the contractual clauses related to the inspection powers of breeders over the production of growers. Specific attention was also given to the remuneration methods of breeders and distributors. The Parties responded to these requests within the prescribed time.</w:t>
      </w:r>
    </w:p>
    <w:p>
      <w:r>
        <w:t>16. During the procedure, the Parties submitted defensive memoranda.</w:t>
      </w:r>
    </w:p>
    <w:p>
      <w:r>
        <w:t>17. In order to further clarify the points of greater attention that emerged during the inquiry, the Offices heard in a hearing the companies International Fruit Genetics, Apofruit, AVI, Sun World International, and Sun World Europe, OP Giuliano, Special New Fruit Licensing.</w:t>
      </w:r>
    </w:p>
    <w:p>
      <w:r>
        <w:t>18. By communication dated April 14, 2021, the Parties were informed of the deadline for closing the inquiry phase of the procedure.</w:t>
      </w:r>
    </w:p>
    <w:p>
      <w:r>
        <w:t>19. On April 16, 2021, the deadline for closing the procedure was extended to May 31, 2021.</w:t>
      </w:r>
    </w:p>
    <w:p>
      <w:r>
        <w:t>20. By April 30, 2021, the final memoranda from the companies OP Giuliano, Sun World, Grapa, AVI, IFG, Apofruit were received; on May 3, 2021, the final memoranda from the complainant associations, CIA Puglia and the Committee of Free Farmers and Traders of Puglia and Lucania, were received.</w:t>
      </w:r>
    </w:p>
    <w:p>
      <w:r>
        <w:t>IV. THE INQUIRY RESULTS</w:t>
        <w:br/>
        <w:t>IV.1 The Production Chain</w:t>
        <w:br/>
        <w:t>21. Preliminary, it seems useful to outline the relationships that exist between the operators in the protected seedless grape chain.</w:t>
      </w:r>
    </w:p>
    <w:p>
      <w:r>
        <w:t>22. At the top are the breeder companies, holders of intellectual property rights over the various patented cultivars; these companies license the grape varieties to licensees, who can be either agricultural producers or, predominantly, business entities engaged in the distribution/marketing of grapes. In the event that the licensee is the grape distribution/marketing company, it enters into a sub-licensing contract with the producer - either directly or on behalf of the breeder. The license to use the grape variety does not entail the transfer of ownership of the plant, which remains the property of the breeder for the entire duration of the contract; the producer, however, is the owner of the fruits.</w:t>
      </w:r>
    </w:p>
    <w:p>
      <w:r>
        <w:t>23. In exchange for the granting of the license to use the grape varieties, the remuneration of the breeders consists of a one-time fixed fee, calculated per individual plant at the time of planting the variety, and a percentage remuneration on turnover (annual royalty).</w:t>
      </w:r>
    </w:p>
    <w:p>
      <w:r>
        <w:rPr>
          <w:b/>
        </w:rPr>
        <w:t>[Pages 25–27]</w:t>
      </w:r>
    </w:p>
    <w:p>
      <w:r>
        <w:t>26 BULLETIN NO. 24 OF JUNE 14, 2021</w:t>
        <w:br/>
        <w:t>resulting from the sale of the harvest by the distributor to the retailer (mostly the GDO). The distributor generally does not buy the harvest: it agrees with the individual grower to sell the fruits and returns the proceeds to the grower minus its own commission and the royalty (which it pays directly to the breeder), as well as transportation costs and any duties (in the case of export of the grapes) and other related costs. The initial fee for each plant is paid to the breeder directly by the producer, if it is the licensee, or by the licensee distributor, which in turn collects it from the grower with whom it enters into a sub-license agreement for the use of the grape varieties.</w:t>
      </w:r>
    </w:p>
    <w:p>
      <w:r>
        <w:t>IV.2 The objections to the initiation communication</w:t>
        <w:br/>
        <w:t>24. In the initiation communication of the investigation, the Parties were accused of:</w:t>
        <w:br/>
        <w:t>i) the breeders conditioning the licensing supply of the grape varieties to the growers on the transfer to their distributors of the entire production of seedless grapes obtained;</w:t>
        <w:br/>
        <w:t>ii) the acceptance of the product and the determination of the price of the delivered product remaining at the full discretion of the distributor indicated by the breeder: in the case of acceptance of the production, the price was unilaterally decided by the distributor and communicated to the producer orally;</w:t>
        <w:br/>
        <w:t>iii) the price recognized to the farmers being on average lower than the costs incurred for the production of the obtained harvest;</w:t>
        <w:br/>
        <w:t>iv) the growers not being authorized to sell to others the product that was possibly rejected by the distributor indicated by the breeder for reasons related to poor quality;</w:t>
        <w:br/>
        <w:t>v) the abusiveness of the content of the clause, included in the breeders' contracts, which grants the breeder a power of control and inspection over the lands and structures used by the agricultural producers, over the cultivation of the plants and over the final product obtained;</w:t>
        <w:br/>
        <w:t>vi) an alleged discriminatory behavior by the breeders, who would have refused to grant licenses for their grape varieties to farmers belonging to certain producer organizations (OP) or who would have conditioned the issuance of the license on adherence to OPs substantially managed by the same breeders.</w:t>
      </w:r>
    </w:p>
    <w:p>
      <w:r>
        <w:t>IV.3 The evidentiary elements acquired</w:t>
        <w:br/>
        <w:t>25. During the investigation, various documentary elements were acquired from which the presence of factual circumstances different from those contested in the initiation communication emerges.</w:t>
        <w:br/>
        <w:t>26. First of all, it is noteworthy that three of the four licensees to whom the initiation communication of the procedure was sent – OP Giuliano, Apofruit, and Didonna Trade – have demonstrated that they operate on behalf of and/or for the benefit of Producer Organizations (hereinafter OP) pursuant to law 102/2005, providing their services exclusively for the benefit of members of the relevant OP, without requesting any commission for the marketing assistance service provided to their farmers. In these cases, therefore, the obligation to confer the harvest to them is established by statutory provisions of the OPs and not by the breeders' contracts.</w:t>
        <w:br/>
        <w:t>27. Secondly, from the examination of the licensing contracts for the use of the grape varieties offered by the breeders, no clauses aimed at binding the farmers to deliver the produced grapes to a specific distributor emerged. It was found that it is always possible for farmers to choose among different authorized distributors to transfer the harvest of protected seedless grapes of one of the four breeders involved in this procedure (contracts for the transfer of grapes Sun World, IFG, and SNFL) or to market the production directly, without mandatory passage to a pre-identified distributor (AVI contracts for the transfer of grapes Grapa).</w:t>
        <w:br/>
        <w:t>28. In this context, mandatory delivery to a distributor occurs only if it is an OP to which members are required to deliver the harvest based on statutory rules, regardless of the indications provided by the breeders or their licensees.</w:t>
        <w:br/>
        <w:t>29. Regarding the inspection activity of the grape varieties, it emerged that it is always agreed upon by the licensees with the farmers and aimed exclusively at providing technical assistance and preventing the propagation of plants in violation of the intellectual property rights from which they are protected. It is also always permitted to market grapes that do not meet the required quality standards, through sales without the breeder's brand, but using generic or producer brands.</w:t>
        <w:br/>
        <w:t>30. It also emerged during the procedure that the breeders are completely unrelated to the relationships between producers and distributors for the determination of the sale price of the grapes; finally, there is no evidence in the case file of the alleged discriminations carried out by the breeders against certain OPs.</w:t>
        <w:br/>
        <w:t>31. Finally, regarding the circumstance complained of by the complainants that the remuneration system provided by the breeders and the imposition of the transfer/delivery on consignment of the harvest to only authorized distributors would result in lower revenues for the growers than the production costs, it is highlighted that the documentation acquired in the case file did not provide any evidence in this regard. In this regard, in response to the cost estimate produced by the complainants, the Parties submitted a study by MIPAAF from 2018 which shows that the costs proposed by the complainants are significantly overestimated6. Thirdly, it emerged that, contrary to what was suggested at the beginning of the investigation based on the information provided by the complainants, the four breeders involved in the procedure (Sun World, IFG, SNFL, and Grapa) do not represent the entire offer of plant varieties protected by patent for the production and marketing of seedless grapes in Italy.</w:t>
        <w:br/>
        <w:t>32. Based on the data acquired during the procedure, it appears that the seedless grape varieties covered by patent protection (also from other breeders different from those involved in the procedure) occupy about 32% of the land cultivated with seedless grapes (about 14,000 hectares). It follows that the remaining 68% of the area cultivated in Italy with seedless table grapes includes seedless varieties free from proprietary rights, as well as seedless varieties protected by proprietary rights of other breeders.</w:t>
      </w:r>
    </w:p>
    <w:p>
      <w:r>
        <w:t>V. THE ARGUMENTS OF THE PARTIES</w:t>
        <w:br/>
        <w:t>33. During the procedure, the Parties contested, on the basis of multiple reasons, the applicability to the case at hand of the provision of Article 62 of D.L. 1/2012.</w:t>
        <w:br/>
        <w:t>6 Some Parties also highlighted how the revenue estimate provided by the complainants is, on the contrary, underestimated, see doc. 155.</w:t>
      </w:r>
    </w:p>
    <w:p>
      <w:r>
        <w:t>28 BULLETIN NO. 24 OF JUNE 14, 2021</w:t>
        <w:br/>
        <w:t>V.1 The inapplicability of Article 62 due to the absence of transfer of goods</w:t>
        <w:br/>
        <w:t>34. Sun World, IFG, SNFL, and AVI highlighted the alleged incompetence of the Authority in the present case considering that paragraph 2 of Article 62 of D.L. No. 1/2012 provides that the rule applies: “In commercial relations between economic operators, including contracts concerning the transfer of goods referred to in paragraph 1 […]”. This reconstruction would be confirmed by the wording of Article 2 of the Implementation Decree (D.M. MIPAAF October 19, 2012, No. 199), containing the definitions of the terms used by the legislator in Article 62 of D.L. 1/2012, which states: “means: […] e) transfer of agricultural and food products: the transfer of ownership of agricultural and/or food products, in exchange for payment of a price, whose delivery takes place within the territory of the Italian Republic […]”. According to the Parties, therefore, the rule would be confined to the hypothesis of transfer of goods, while the contracts in place between breeders and producers pertain to lease agreements of the grape varieties whose ownership remains with the breeder company; therefore, it would not be a transfer of goods under civil law and the provisions of Article 62 of D.L. No. 1/20127 would not be applicable.</w:t>
        <w:br/>
        <w:t>35. The structure of the lease contract for the grape varieties would respond to the breeders' need not to transfer ownership of the plants, but only the right to cultivate them to obtain the fruits, with the obligation to return them at the end of the lease period, also in order to prevent their unlawful transfer to third parties and the reproduction and propagation of proprietary plant specialties in violation of intellectual property rights. Moreover, the lease of fruit-bearing goods is expressly recognized by the combined provisions of Articles 1571 and 1616 of the civil code.</w:t>
      </w:r>
    </w:p>
    <w:p>
      <w:r>
        <w:t>V.2 The inapplicability of Article 62 to internal relations within OPs</w:t>
        <w:br/>
        <w:t>36. As entities operating on behalf of and/or for the benefit of OPs, providing their services exclusively for the benefit of members thereof, Apofruit, OP Giuliano, and Didonna Trade emphasized the inapplicability of Article 62 in the case of transfer of agricultural products to producer organizations by growers who are members of the organizations themselves. In fact, pursuant to Article 1, paragraph 3, letter b) of D.M. No. 199/2012, implementing the provision of Article 62 of D.L. No. 1/2012, “The following do not constitute transfers under Article 62 of Decree-Law January 24, 2012, No. 1, converted, with amendments, by Law March 24, 2012, No. 27: a) the transfers of agricultural and food products made by entrepreneurs to the cooperatives referred to in Article 1, paragraph 2, of Legislative Decree May 18, 2001, No. 228, if the entrepreneurs are members of the cooperatives themselves; b) the transfers of agricultural and food products made by entrepreneurs to the producer organizations referred to in Legislative Decree May 27, 2005, No. 102, if the entrepreneurs are members of the producer organizations themselves.”</w:t>
        <w:br/>
        <w:t>37. This situation would be found in the position of such companies, which exclusively market products from the growers associated with them, with very few exceptions aimed solely at completing the range of offerings when the production of the members is insufficient to meet product demand. The non-applicability of Article 62 would also apply, according to the aforementioned licensees, with regard to modest transactions with third parties, since Article 2, letter e) of D.M. No. 199/2012 provides that the transfer of agricultural and food products means “the transfer of ownership of agricultural and/or food products, in exchange for payment of a price, whose delivery...</w:t>
      </w:r>
    </w:p>
    <w:p>
      <w:r>
        <w:rPr>
          <w:b/>
        </w:rPr>
        <w:t>[Pages 28–30]</w:t>
      </w:r>
    </w:p>
    <w:p>
      <w:r>
        <w:t>BULLETIN NO. 24 OF JUNE 14, 2021 29</w:t>
        <w:br/>
        <w:t>occurs in the territory of the Italian Republic” and that in the case of OPs there is no transfer but a mandate to sell and collect pursuant to Articles 1703 et seq. of the Civil Code.</w:t>
      </w:r>
    </w:p>
    <w:p>
      <w:r>
        <w:t>V.3 The inapplicability of Article 62 due to the absence of contractual imbalance</w:t>
        <w:br/>
        <w:t>38. Almost all parties in this proceeding have emphasized, in their written defenses as well as in hearings, the absence of contractual imbalance between the Parties, specifically between the breeders and individual producers and, in cases of tripartite relationships, also between licensees and producers, a fundamental prerequisite for hypothesizing a case under Article 62, paragraph 2 of Decree-Law 1/2012.</w:t>
      </w:r>
    </w:p>
    <w:p>
      <w:r>
        <w:t>39. Sun World, SNFL, and IFG provided data indicating that there is no obligation or necessity for Italian farmers to turn to one of the breeders who are Parties to the proceeding for the production of seedless grapes.</w:t>
      </w:r>
    </w:p>
    <w:p>
      <w:r>
        <w:t>40. Sun World emphasized that it holds a very limited position at the national level, both considering the overall production of table grapes and in the specific segment of seedless table grape production. Based on the documents provided, according to Sun World, all varieties of seedless grapes covered by patent protection (including those of other breeders not involved in the proceeding) would occupy about 10% of the national land cultivated with table grapes and 34.5% of the land cultivated with seedless grapes. In this context, the harvest from Sun World plants would account for about 1.6% (2019 data) of the national production of table grapes.</w:t>
      </w:r>
    </w:p>
    <w:p>
      <w:r>
        <w:t>41. SNFL pointed out that only 28% of the total production of table grapes in Italy belongs to seedless varieties; of this 28%, about 35% (equivalent to about 10% of the total production of table grapes in Italy) would refer to proprietary varieties. Regarding the production of seedless grapes protected by patents, the breeders involved in this case would represent only 70%, of which SNFL holds a minority share. This would contradict the claimants' thesis regarding the existence of a collectively held bargaining power by the four breeders, who could neither directly nor indirectly impose onerous conditions on third parties. In this case, therefore, there would be no indication of contractual imbalance between the Parties.</w:t>
      </w:r>
    </w:p>
    <w:p>
      <w:r>
        <w:t>42. IFG also commented on the point of the absence of an economic imbalance, highlighting that it holds a share of just over one percentage point in the table grape market in Italy and a percentage of less than 5% in the narrower market of seedless grapes.</w:t>
      </w:r>
    </w:p>
    <w:p>
      <w:r>
        <w:t>43. Also noteworthy are the information provided in the defense memorandum of OP Giuliano. Based on the official data reported in the ISMEA report of September 2019 on the table grape market in Italy (hereinafter “ISMEA Report”), it emerges that the Italian supply of table grapes is still focused on historical varieties (with seeds) such as ‘Vittoria’, ‘Palieri’, ‘Italia’, and ‘Red Globe’. The most widespread in Italy is indeed the seeded grape variety called ‘Italia’, which represents 40% of the entire Italian production of table grapes, as well as 40% of the grapes currently cultivated in Puglia.</w:t>
      </w:r>
    </w:p>
    <w:p>
      <w:r>
        <w:t>44. OP Giuliano also produced an expert report showing the spread in Italy of multiple seedless grape varieties not protected by intellectual property rights (so-called free varieties). To demonstrate that seedless table grape varieties free from intellectual property rights constitute a valid alternative for growers and distributors compared to the protected seedless grape varieties of the four reported breeders, it was highlighted that some table grape producers/distributors base their business almost exclusively on free seedless varieties.</w:t>
      </w:r>
    </w:p>
    <w:p>
      <w:r>
        <w:t>45. In support of the absence of contractual imbalance in the relationship between the growers and the licensed distributors who are Parties to the proceeding, AVI highlighted the specific position of the distributors, who do not benefit from any exclusivity on the product derived from the breeders' grapevines, as it is possible for growers to turn to any distributor authorized by the breeder.</w:t>
      </w:r>
    </w:p>
    <w:p>
      <w:r>
        <w:t>V.4 The observations of the complainants</w:t>
        <w:br/>
        <w:t>46. The complainants preliminarily highlighted the critical nature of the system established by the breeders who are Parties to the proceeding, which would allow them to control the entire production chain of patented and non-patented seedless grapes and not just the propagation of the plants on which they hold intellectual property rights, thereby allegedly violating the provisions of Article 13 of Regulation (EC) No. 2100/94.</w:t>
      </w:r>
    </w:p>
    <w:p>
      <w:r>
        <w:t>47. In particular, according to the reconstruction provided by the complainants, there would be no legal basis for the breeders to register a trademark for the marketing of grapes produced from their respective grapevines, for whose use producers are required to pay annual royalties determined based on the quantities of grapes produced. In other words, whenever they impose an additional payment beyond that due for the planting of the grapevines (one-time fee), the breeders would be abusing the rights granted to them by the patent, as the limits of exclusivity would stop at the use of propagation materials. Consequently, no rights can be claimed on the fruit produced by the grower, which must remain in the full and exclusive availability of the latter.</w:t>
      </w:r>
    </w:p>
    <w:p>
      <w:r>
        <w:t>48. Regarding the merits of the Parties' observations, the complainants emphasized the fallacy of the theory aimed at supporting the inapplicability of Article 62 to the case at hand, given the stipulation of lease contracts and not sales contracts for grapevines. In this regard, the complainants noted that the same contracts for “leasing plant varieties” provide for the transfer of the fruits to the distributors, who thus become their owners; for this purpose - regardless of the formal legal qualification given to the contract - it would be necessary to distinguish between the plants (i.e., the plant varieties) and the fruits they produce. The complainants also noted the inconsistency of the contracts in question with civil law regulations regarding the object of the contract, which requires the evaluation of the contract in its entirety, as well as the identification of the object with the good due, which constitutes the object of a performance of giving or otherwise on which the effects of the contract fall. Therefore, in the opinion of the complainants, limiting the object of the contracts in question solely to the lease of plants/plant varieties, and not also to the transfer of the fruits produced by such plants, would not be compliant with the relevant legal framework.</w:t>
      </w:r>
    </w:p>
    <w:p>
      <w:r>
        <w:t>49. In this regard, the reporting Parties highlighted how the breeders' contracts cannot be configured as lease contracts, as the grapevine itself cannot constitute a fruit-bearing good - a necessary condition for it to be susceptible to being the object of a lease contract - unless it is planted in the ground. The payment of a fee only at the time of planting, and not of a monthly or annual rent, would further demonstrate that this is not a lease contract - of which the payment of the rent constitutes an essential element - but a transfer of goods.</w:t>
      </w:r>
    </w:p>
    <w:p>
      <w:r>
        <w:t>50. As for the alleged inapplicability of Article 62 to OPs, it would only concern the conferment of the harvest from the member farmer to the OP and not the subsequent phase of sale from the OP to the third purchaser, and the consequent retrocession of the price to the grower. Being a case of progressive formation, in which the different steps are all aimed at the sale of the harvest, the inapplicability of Article 62 to the phase of conferment from the farmer to the OP would not preclude the applicability of the article to the different and further phases of the sale, despite the intermediation of the OP. Moreover, in the opinion of the complainants, OPs, “also to recover the costs of the license, exploit their position of greater strength and impose unfair and non-transparent commercial and remuneration practices, taking advantage of the privileged role of authorized distributor of the protected variety that (by unfortunate necessity) the producing member cultivates.” In any case, the alleged inapplicability of Article 62 would not extend to the intermediation activities of OPs carried out on behalf of third parties not adhering.</w:t>
      </w:r>
    </w:p>
    <w:p>
      <w:r>
        <w:rPr>
          <w:b/>
        </w:rPr>
        <w:t>[Pages 31–33]</w:t>
      </w:r>
    </w:p>
    <w:p>
      <w:r>
        <w:t>32 BULLETIN NO. 24 OF JUNE 14, 2021</w:t>
        <w:br/>
        <w:t>51. Furthermore, the complainants contest the defense thesis of the parties regarding the alleged absence of contractual imbalance between the breeders and other operators in the supply chain, questioning the accuracy of the data reported in the Communication of the conclusion of the investigation phase, as well as the identification of the market in which to verify the contractual imbalance between the parties. Regardless of individual divergences regarding the shares attributed to the breeders, quantifiable in some percentage points, and the alleged unreliability of the expert reports produced by some operators, according to the complainants, the ISMEA 2019 data used in the CRIs would not reflect the current situation: In particular, it is argued that if in 2019 the joint share of the breeders involved in the proceedings was estimated at 32%, today it would certainly be higher since, according to the complainants, about 100% of the new vineyard plantings from 2019 to today would be of varieties from the four breeders.</w:t>
      </w:r>
    </w:p>
    <w:p>
      <w:r>
        <w:t>52. Moreover, the power of the breeders over the farmers would also be demonstrated by one complainant's decision to revoke the mandate to represent him in the present dispute, for fear of retaliation, as well as by the request for anonymity regarding two statements made by two OPs, aimed at reporting the failure to issue the license for the production of seedless grapes.</w:t>
      </w:r>
    </w:p>
    <w:p>
      <w:r>
        <w:t>VI. EVALUATIONS</w:t>
        <w:br/>
        <w:t>53. This measure concerns the behaviors carried out in Italy by some breeders and licensees of seedless table grapes (the Parties), which at the start of the proceedings were deemed likely to constitute a violation of Article 62 of Decree-Law 1/2012.</w:t>
      </w:r>
    </w:p>
    <w:p>
      <w:r>
        <w:t>54. During the investigation, several factual and legal elements emerged that cast doubt on the existence of the necessary prerequisites for the application of the aforementioned provision with reference, as outlined below, to three preliminary questions: the applicability of Article 62 to lease contracts concluded between breeders and/or licensees and producers; the applicability of Article 62 to OPs; the existence of economic imbalance between the parties in the supply chain, required for the application of Article 62, paragraph 2.</w:t>
      </w:r>
    </w:p>
    <w:p>
      <w:r>
        <w:t>VI.1 On the absence of transfer of agricultural goods and on the inapplicability of Article 62 to lease contracts</w:t>
        <w:br/>
        <w:t>55. Regarding the Parties' objection to the inapplicability of Article 62 to the case at hand, as it would not involve contracts for the transfer of agricultural goods or products but rather lease contracts for productive assets (the vineyards), it is noted that this argument appears to lack merit since the wording of Article 62, paragraph 2, refers generally to "commercial relations between economic operators," with respect to which the case of "contracts concerning the transfer of agricultural and agri-food goods" constitutes a mere specification, as clarified by the phrase "including."</w:t>
      </w:r>
    </w:p>
    <w:p>
      <w:r>
        <w:t>Therefore, the position of the Party that only within the scope of contracts for the transfer of agricultural and agri-food goods—enumerated as examples of the case—do the prohibited behaviors under letters a) to e) of paragraph 2 of the article in question find application cannot be shared.</w:t>
      </w:r>
    </w:p>
    <w:p>
      <w:r>
        <w:t>56. In this regard, the Explanatory Report of the legislative text clarifies that: "Paragraph 2 identifies a definitive list of practices that, if implemented in commercial relations between economic operators, relations in which contracts for the transfer of agricultural and food products referred to in paragraph 1 are included, are deemed unfair by law." Furthermore, the Explanatory Report emphasizes that "the formulation of the prohibited behaviors may lead to particularly complex case-by-case evaluations by the interpreter," as it is necessary to take into account "the fact that the provision concerns all commercial operations between economic operators, of which the agricultural supply chain is only a part." The norm, therefore, far from being applicable solely to transfer relationships, could even extend to consider the more general commercial operations between economic operators, even outside the agri-food supply chain.</w:t>
      </w:r>
    </w:p>
    <w:p>
      <w:r>
        <w:t>57. Nor can it be considered that the secondary norm constituted by D.M. No. 199/2012—also cited by the Parties in support of their thesis, claiming its implementing nature aimed at defining and better interpreting the scope of application of Article 62—can significantly limit the scope of the law, intended by the legislator to ensure fairness in commercial transactions within the agri-food supply chain.</w:t>
      </w:r>
    </w:p>
    <w:p>
      <w:r>
        <w:t>58. Regarding the type of contract in question, it should also be noted that, although the formal ownership of the plants remains with the breeders, they are licensed or sub-licensed to growers for the entire duration of their productive life, which is 15-20 years, in order to allow them to fully exploit their capacity to produce fruit, in this case, seedless table grapes. In reality, therefore, although the ownership of the plants remains with the breeders, it is a de facto transfer of the same to the growers, in terms of cultivation, management, and exploitation that, regardless of the legal figure used, appears likely to fall within the case referred to in Article 62. Nothing proves, in this regard, the circumstance that in cases of contract termination, the destruction or return of the vines is required, since such hypotheses involve the destruction of the asset that does not then return, except in theory, to the breeder's availability. On the contrary, the fact that payment for the exploitation of the vineyards occurs as a one-time payment, at the time of planting, and does not require the payment of monthly or annual fees, as in lease contracts, is indicative.</w:t>
      </w:r>
    </w:p>
    <w:p>
      <w:r>
        <w:t>59. Similar considerations apply in the relationships between grape producers and distributors where, instead of the transfer of the harvest from the producer to the distributor, it involves consignment for sale against payment of a commission. In light of the provisions of the primary norm, as clearly interpreted by the Explanatory Report to the same norm, the objection does not appear to be susceptible to acceptance, as it concerns commercial relations between operators in the agri-food supply chain, regardless of the legal transaction identified by the Parties to regulate the relationships between them.</w:t>
      </w:r>
    </w:p>
    <w:p>
      <w:r>
        <w:t>60. Therefore, the case in question fully falls within the scope of application of Article 62 of Decree-Law No. 1/2012.</w:t>
      </w:r>
    </w:p>
    <w:p>
      <w:r>
        <w:t>VI.2 On the inapplicability of Article 62 to OPs</w:t>
        <w:br/>
        <w:t>61. With reference to the applicability of Article 62 to Producer Organizations (OPs), the provision of Article 1, paragraph 3, letter b) of D.M. 199/2012, implementing the norm referred to in Article 62, provides that: "The following do not constitute transfers under Article 62 of Decree-Law January 24, 2012, No. 1, converted, with amendments, by Law March 24, 2012, No. 27: a) the contributions of agricultural and food products made by entrepreneurs to the cooperatives referred to in Article 1, paragraph 2, of Legislative Decree May 18, 2001, No. 228, if the entrepreneurs are members of the cooperatives; b) the contributions of agricultural and food products made by entrepreneurs to the producer organizations referred to in Legislative Decree May 27, 2005, No. 102, if the entrepreneurs are members of the producer organizations."</w:t>
      </w:r>
    </w:p>
    <w:p>
      <w:r>
        <w:t>62. In this regard, it is noted that the non-applicability of Article 62 to internal relationships within OPs appears inherent to the very essence of OPs, which arose as a tool for strengthening and protecting the position of farmers within the production supply chain, precisely to increase the bargaining power of direct growers against the processing industry and retailers, limiting the phenomenon of their fragmentation and encouraging their aggregation.</w:t>
      </w:r>
    </w:p>
    <w:p>
      <w:r>
        <w:t>63. As is well known, Article 2 of Legislative Decree No. 102/2005 identifies, as the main purpose of producer organizations, the marketing of the production of the member producers, particularly concentrating the supply of the associates. Consequently, Article 62 seems to serve as an alternative protective tool for farmers, in addition to the protection afforded to them by their membership in an OP, whose organization is primarily aimed at protecting growers, fundamentally excluding the possibility that the operational mechanism of OPs could give rise to any of the cases prohibited by Article 62, such as, as contested in this case, the imposition of unjustifiably burdensome purchase, sale, or other contractual conditions.</w:t>
      </w:r>
    </w:p>
    <w:p>
      <w:r>
        <w:t>64. Based on these considerations, therefore, there are no elements to contest the violation of Article 62 against the distributing companies Apofruit, Didonna Trade, and OP Giuliano, with respect to which during the investigation it was established that their operations were exclusively directed towards the members of their respective OPs.</w:t>
      </w:r>
    </w:p>
    <w:p>
      <w:r>
        <w:t>65. The interpretation of the complainants, which separates the various phases of the relationship between farmers and OPs, tends to support the applicability of the norm to the phase of the return to the farmer of the price obtained by the OP from the sale of the harvest, excluding it only for the part relating to the conferment of the harvest to the OP, does not appear to be shareable. In fact, even following this reconstruction—where it would be a case of progressive formation sale in which the conferment is aimed at the sale of the harvest by the OP on behalf of the farmer—this implies that the recognized inapplicability of the norm to the conferment from the farmer to the OP extends to the entire relationship created between the parties, which is fundamentally based on the conferment of the harvest aimed at its sale. Moreover, it is relevant, in terms of fact, that in this case there is no evidence of the application of unfair or burdensome conditions or prices attributable to the OPs towards their members. Finally, regarding the applicability of Article 62 to the parties mentioned in the previous paragraph, the same reasoning should apply to the cooperatives referred to in Article 1, paragraph 2 of Legislative Decree 228/2001, as cited in letter a) of Article 1, paragraph 3 of D.M. 199/2012.</w:t>
      </w:r>
    </w:p>
    <w:p>
      <w:r>
        <w:rPr>
          <w:b/>
        </w:rPr>
        <w:t>[Pages 34–36]</w:t>
      </w:r>
    </w:p>
    <w:p>
      <w:r>
        <w:t>BULLETIN NO. 24 OF JUNE 14, 2021 35</w:t>
        <w:br/>
        <w:t>of the OPs concerning activities carried out towards non-member third parties, in this case it emerged from the documentary evidence in the file that this is a phenomenon of negligible dimensions.</w:t>
      </w:r>
    </w:p>
    <w:p>
      <w:r>
        <w:t>VI.3 On the absence of contractual imbalance</w:t>
        <w:br/>
        <w:t>66. Regarding the existence of contractual imbalance, the following observations are made. As is known, the reference legislation limits the scope of application of Article 62 to economic relations between operators in the supply chain characterized by a significant contractual imbalance. For this reason, both the Parties and the complainants have placed particular emphasis on this aspect in their final submissions: the Parties highlighted their limited positioning in the production of seedless table grapes, while the complainants questioned the accuracy of the data reported in the Communication of April 14 of this year, without, however, providing documentary elements different from those already in the file to support such doubts.</w:t>
      </w:r>
    </w:p>
    <w:p>
      <w:r>
        <w:t>67. That said, it is noted that the matter in question pertains to commercial relations between suppliers of particular varieties protected by patent and agricultural producers; it does not pertain to the more common type of cases of violation of Article 62, which concern the relationships between farmers and the first purchasers of products (whether they are processing industry or large-scale retail). In such cases, the assessment of contractual imbalance cannot disregard an analysis of the structure of the supply of the good subject to the alleged violation22. This evaluation, concerning the contractual relationships between operators in the agricultural supply chain, does not require the identification of a relevant market, pursuant to antitrust regulations, on which to ascertain the possible dominant position of one or more subjects in terms of market shares, but rather requires the assessment of the existence of a contractual imbalance among the various operators, whereby one party is the obligated partner of the other. In these terms, the argument of the complainants that the Authority did not correctly identify the relevant market, which could not be configured in the broader market of table grapes but in that of the production and marketing of seedless table grapes, appears to lack merit. In this regard, it should be clarified that the Authority's assessment regarding the positioning of the breeders and their respective licensees in relation to the farmers/producers was carried out with reference to the specific segment of seedless table grapes.</w:t>
      </w:r>
    </w:p>
    <w:p>
      <w:r>
        <w:t>68. Regarding the nature of the Parties as obligated partners for producers of seedless table grapes, it is noteworthy that the analyses conducted based on the data submitted in the course of the investigation – the public report ISMEA of 201923, as well as the data and analyses provided by the respondents, also based on specialized press and expert reports in the sector – show that over 65% of the table grapes produced in Italy are traditional grapes, while the remaining portion is represented by seedless grapes. Of this, 68% refers to seedless grapes that are either unpatented or patented by other breeders, different from the four breeders involved in this proceeding24. Therefore, the Parties in the investigation would account for an overall share in the segment of Italian seedless grapes between 30% and 35%25.</w:t>
      </w:r>
    </w:p>
    <w:p>
      <w:r>
        <w:t>69. This share must then be analyzed individually for the different breeder Parties. In this regard, even assuming what the complainants stated about Sun World having a share between 15% and 17% of the seedless grapes produced in Italy, this means that the other three companies, at most, share the remaining 18%-20%. Therefore, the observations raised by the complainants that the Parties' share would be underestimated by a few percentage points do not seem to carry specific weight26. In fact, even granting the percentage variations in the shares proposed by the complainants, they do not appear capable of altering the overall assessment made regarding the possibility for producers to find alternative partners in the market to the four breeders for the production of seedless grapes27.</w:t>
      </w:r>
    </w:p>
    <w:p>
      <w:r>
        <w:t>70. It is therefore believed that the arguments of the complainants regarding the positioning of the Parties in the seedless grape segment are not acceptable, as no new element of fact or law has been presented by the complainants to the attention of the Authority. The only information, undocumented, provided is that since 2019 almost 100% of the new seedless grape plantations in Italy would be attributable to the four breeder Parties. Even considering this element as true, however, the persistent marginality of seedless grapes in our country appears to be an element suitable to hypothesize that the 30%-35% share of the Parties at the end of 2019 may have grown during 2020 but still within a range that suggests the presence of numerous alternatives to the four breeders for farmers wishing to cultivate seedless grapes.</w:t>
      </w:r>
    </w:p>
    <w:p>
      <w:r>
        <w:t>71. In conclusion, considering the limited positioning held at the national level in the production of seedless grapes, it is believed that the reported breeders and their licensees, far from representing obligated partners for the production of seedless grapes, rather constitute one of the possible alternatives compared to the production of seedless grapes from other breeders or grapes not protected by patent rights. In other words, a producer who intends to cultivate seedless grapes and who is not satisfied with the contractual conditions required by the four breeders for signing a license agreement for their grape varieties has a wide range of choices and is therefore not dependent on the contractual conditions defined by them.</w:t>
      </w:r>
    </w:p>
    <w:p>
      <w:r>
        <w:t>72. The documentation in the file, therefore, does not provide sufficient elements to prove the requirement of economic imbalance between the Parties in the proceeding and the individual growers, an indispensable prerequisite for the application of Article 62, paragraph 2, of Decree-Law No. 1/2012.</w:t>
      </w:r>
    </w:p>
    <w:p>
      <w:r>
        <w:t>VI.4 Conclusions</w:t>
        <w:br/>
        <w:t>73. Based on the above, in light of the elements that emerged during the investigation, the absence of the necessary requirements for the application of the legislation referred to in Article 62 of Decree-Law No. 1/2012 must be acknowledged.</w:t>
      </w:r>
    </w:p>
    <w:p>
      <w:r>
        <w:t>74. The absence of the indispensable requirements for the configuration of the case makes the assessment of the merits of the contested behaviors unnecessary. However, incidentally, it is noted that, even from this perspective, the investigative activity carried out indicated a documentary framework that does not confirm the behaviors hypothesized against the Parties at the start of the investigation.</w:t>
      </w:r>
    </w:p>
    <w:p>
      <w:r>
        <w:t>CONSIDERING the extraneousness of Didonna Supreme to the matter in question;</w:t>
      </w:r>
    </w:p>
    <w:p>
      <w:r>
        <w:t>CONSIDERING, based on the aforementioned considerations, the inapplicability ex lege of the case referred to in Article 62 of Decree-Law No. 1/2012 to the OPs and therefore, in this case, to the companies OP Giuliano, Apofruit, and Didonna Trade, to which, therefore, no allegations can be made in this regard;</w:t>
      </w:r>
    </w:p>
    <w:p>
      <w:r>
        <w:t>CONSIDERING the absence of sufficient elements to configure an economic imbalance between the breeders and their licensees on one side and the producers of seedless grapes on the other - due to the possibility for farmers to turn to alternative operators for the cultivation and production of seedless table grapes - which constitutes an indispensable requirement for the application of the legislation referred to in Article 62, paragraph 2, of Decree-Law No. 1/2012;</w:t>
      </w:r>
    </w:p>
    <w:p>
      <w:r>
        <w:t>CONSIDERING therefore that, in light of the elements of fact and law illustrated, the necessary prerequisites to contest the Parties in the proceeding for having engaged in unfair commercial practices regarding the transfer of seedless grape varieties covered by patent rights, in violation of Article 62, paragraph 2, of Decree-Law No. 1/2012, do not exist;</w:t>
      </w:r>
    </w:p>
    <w:p>
      <w:r>
        <w:t>RESOLVES</w:t>
        <w:br/>
        <w:t>that, for the reasons and within the limits stated in the motivation, the requirements requested by law to consider that the commercial behaviors contested against the companies Sun World International LLC, Sun World Europe S.r.l., International Fruit Genetics LLC, Grapa Varieties Ltd, Special New Fruit Licensing Ltd, AVI S.r.l., Organizzazione di Produttori Giuliano S.r.l., Apofruit Italia soc. coop. agricola, and Didonna Trade S.r.l., constitute a violation of the case referred to in Article 62, paragraph 2, of Decree-Law No. 1/2012, do not exist.</w:t>
      </w:r>
    </w:p>
    <w:p>
      <w:r>
        <w:t>This measure will be notified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July 2, 2010,</w:t>
      </w:r>
    </w:p>
    <w:p>
      <w:r>
        <w:rPr>
          <w:b/>
        </w:rPr>
        <w:t>[Pages 37–39]</w:t>
      </w:r>
    </w:p>
    <w:p>
      <w:r>
        <w:t>38 BULLETIN NO. 24 OF JUNE 14, 2021</w:t>
        <w:br/>
        <w:t>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br/>
        <w:t>THE SECRETARY GENERAL THE PRESIDENT</w:t>
        <w:br/>
        <w:t>Filippo Arena Roberto Rustichelli</w:t>
      </w:r>
    </w:p>
    <w:p>
      <w:r>
        <w:t>BULLETIN NO. 24 OF JUNE 14, 2021 39</w:t>
        <w:br/>
        <w:t>I839 - SPECIAL TRANSPORTS OF FLAMMABLES AND WASTE TO AND FROM THE CAMPANIA ISLANDS</w:t>
        <w:br/>
        <w:t>Measure No. 29682</w:t>
        <w:br/>
        <w:t>THE COMPETITION AND MARKET AUTHORITY</w:t>
        <w:br/>
        <w:t>IN ITS MEETING of May 25, 2021;</w:t>
        <w:br/>
        <w:t>HEARD the Rapporteur Professor Michele Ainis;</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the law of October 10, 1990, No. 287;</w:t>
        <w:br/>
        <w:t>HAVING REGARD to the D.P.R. of April 30, 1998, No. 217;</w:t>
        <w:br/>
        <w:t>HAVING REGARD to its resolution of January 14, 2020, by which an investigation was initiated, pursuant to Article 14 of Law No. 287/90, against Mediterranea Marittima S.p.A., Medmar Navi S.p.A., Servizi Marittimi Liberi Giuffré &amp; Lauro S.r.l., Tra.Spe.Mar. S.r.l., GML Trasporti Marittimi S.r.l. and COTRASIR, to ascertain the existence of possible violations of Article 2 of Law No. 287/90 and/or Article 101 of the TFEU;</w:t>
        <w:br/>
        <w:t>HAVING REGARD to the documents of the proceedings;</w:t>
        <w:br/>
        <w:t>CONSIDERING that from the documentation on file, in particular that resulting from the inspection findings and hearings with the Parties, the need to deepen the technical, organizational, and economic characteristics of the sector concerned emerges, both with regard to the transport of flammables (fuels and gas) and waste, also in comparison with other similar realities, as well as the technical and operational characteristics of the consortium COTRASIR;</w:t>
        <w:br/>
        <w:t>CONSIDERING the consequent need to acquire further information from numerous third parties, both private and public administrations, who must be given a reasonable time for response, also in light of the difficulties generated by the prolongation of the pandemic situation;</w:t>
        <w:br/>
        <w:t>CONSIDERING that the guarantee of a proper establishment of the adversarial process for the parties in the proceedings would not be ensured within the currently provided conclusion term;</w:t>
        <w:br/>
        <w:t>DEEMING it necessary therefore to extend the closing term of the proceedings to carry out the necessary in-depth analyses while ensuring a full exercise of the rights of defense</w:t>
        <w:br/>
        <w:t>RESOLVES</w:t>
        <w:br/>
        <w:t>to extend the conclusion term of the proceedings to October 31, 2021.</w:t>
      </w:r>
    </w:p>
    <w:p>
      <w:r>
        <w:t>40 BULLETIN NO. 24 OF JUNE 14, 2021</w:t>
        <w:br/>
        <w:t>This measure will be notified to the interested parties and published in the Bulletin of the Competition and Market Authority.</w:t>
        <w:br/>
        <w:t>THE SECRETARY GENERAL THE PRESIDENT</w:t>
        <w:br/>
        <w:t>Filippo Arena Roberto Rustichelli</w:t>
      </w:r>
    </w:p>
    <w:p>
      <w:r>
        <w:rPr>
          <w:b/>
        </w:rPr>
        <w:t>[Pages 40–42]</w:t>
      </w:r>
    </w:p>
    <w:p>
      <w:r>
        <w:t>BULLETIN NO. 24 OF JUNE 14, 2021 41</w:t>
        <w:br/>
        <w:t>I845 - MAINTENANCE TENDER FOR HIGHWAY PAVEMENTS OF</w:t>
        <w:br/>
        <w:t>MILANO SERRAVALLE - MILANO TANGENZIALI</w:t>
        <w:br/>
        <w:t>Measure No. 29683</w:t>
        <w:br/>
        <w:t>THE COMPETITION AND MARKET AUTHORITY</w:t>
        <w:br/>
        <w:t>IN ITS MEETING of May 25, 2021;</w:t>
        <w:br/>
        <w:t>HEARD the Rapporteur Professor Michele Ainis;</w:t>
        <w:br/>
        <w:t>HAVING REGARD to Article 101 Treaty on the Functioning of the European Union (TFEU);</w:t>
        <w:br/>
        <w:t>HAVING REGARD to Regulation (EC) No. 1/2003 of the Council, of December 16, 2002, concerning</w:t>
        <w:br/>
        <w:t>the application of competition rules laid down in Articles 101 and 102 TFEU;</w:t>
        <w:br/>
        <w:t>HAVING REGARD to the law of October 10, 1990, No. 287;</w:t>
        <w:br/>
        <w:t>HAVING REGARD to the D.P.R. of April 30, 1998, No. 217;</w:t>
        <w:br/>
        <w:t>HAVING REGARD to the acts of the procedure;</w:t>
        <w:br/>
        <w:t>CONSIDERED the following:</w:t>
        <w:br/>
        <w:t>I. THE PARTIES</w:t>
        <w:br/>
        <w:t>1. Itinera S.p.A. (hereinafter, Itinera) is a company primarily engaged in the construction of</w:t>
        <w:br/>
        <w:t>infrastructure works, in the civil and industrial construction sectors, including the construction and</w:t>
        <w:br/>
        <w:t>maintenance of road and highway infrastructures. Approximately 66% of Itinera's share capital is</w:t>
        <w:br/>
        <w:t>held by ASTM S.p.A.1.</w:t>
        <w:br/>
        <w:t>In 2020, Itinera achieved a consolidated revenue of approximately €1,118 million.</w:t>
        <w:br/>
        <w:t>2. Sintexcal S.p.A. (hereinafter, Sintexcal) is a company primarily engaged in the construction and</w:t>
        <w:br/>
        <w:t>maintenance of road and highway infrastructures and ancillary works, as well as the construction of</w:t>
        <w:br/>
        <w:t>special pavements. The share capital of Sintexcal is wholly owned by General Beton Triveneta S.p.A.</w:t>
        <w:br/>
        <w:t>(hereinafter, General Beton), which in turn is 57.43% owned by Impresa Tonon S.p.A.</w:t>
        <w:br/>
        <w:t>In 2019, Sintexcal achieved a revenue of approximately €90.2 million and General Beton a</w:t>
        <w:br/>
        <w:t>revenue of approximately €63.5 million.</w:t>
        <w:br/>
        <w:t>3. Impresa Bacchi S.r.l. (hereinafter, Bacchi) is a company primarily engaged in the construction</w:t>
        <w:br/>
        <w:t>of infrastructure works in the civil and industrial construction sectors, including the construction and</w:t>
        <w:br/>
        <w:t>maintenance of road, highway, and airport infrastructures. The share capital of Bacchi is</w:t>
        <w:br/>
        <w:t>held by individuals.</w:t>
        <w:br/>
        <w:t>In 2019, Bacchi achieved a revenue of €32.3 million.</w:t>
        <w:br/>
        <w:t>1 The remaining share capital is held 27.8% by SATAP S.p.A., 4.1% by SALT S.p.A., and 2% by</w:t>
        <w:br/>
        <w:t>Autostrada dei Fiori S.p.A.</w:t>
      </w:r>
    </w:p>
    <w:p>
      <w:r>
        <w:t>42 BULLETIN NO. 24 OF JUNE 14, 2021</w:t>
        <w:br/>
        <w:t>4. The reporting company, Milano Serravalle – Milano Tangenziali S.p.A. (hereinafter, Milano</w:t>
        <w:br/>
        <w:t>Serravalle), is the concessionaire of the Milanese tangentials A50 Tangenziale Ovest, A51 Tangenziale</w:t>
        <w:br/>
        <w:t>Est, A52 Tangenziale Nord, and the A7 highway from Milan to Serravalle Scrivia2.</w:t>
        <w:br/>
        <w:t>II. THE REPORT</w:t>
        <w:br/>
        <w:t>5. On May 16, 2019, a report was received from the company Milano Serravalle – Milano Tangenziali S.p.A. concerning possible anti-competitive conduct related to the “Service Tender No. 1/2019 – Open procedure pursuant to Article 60 of Legislative Decree No. 50/2016 and subsequent amendments for the ordinary maintenance service of road pavements on the entire network under concession of Milano Serravalle – Milano Tangenziali S.p.A.” (hereinafter also Service Tender No. 1/2019). Further information was obtained from the contracting authority on October 28, 2019, October 23, 2020, March 26, 2021, and March 30, 2021.</w:t>
        <w:br/>
        <w:t>6. The procedure was divided into three lots, each with a similar auction base value, distinguished by the different highway sections of the network under concession to Milano Serravalle. The contracting authority reported the participation in the procedure of only three companies: Itinera, Sintexcal, and Bacchi, each for only one of the three lots being awarded, as well as the mixing of the economic operators who participated in the procedure and the subcontractors indicated by them, due to the presence of cross-subcontracts among the companies Itinera, Sintexcal, and Bacchi.</w:t>
        <w:br/>
        <w:t>III. THE TENDER PROCEDURE</w:t>
        <w:br/>
        <w:t>7. Service Tender No. 1/2019 was divided into three lots, each with a similar auction base value (approximately €9.8 million “per measure”3), distinguished by the different highway sections of the network under concession to Milano Serravalle4. In more detail, the maintenance services for the road pavements that were the subject of the contract consist of: i) milling of road base executed with mechanical means; ii) laying of bituminous mixtures; iii) creation of construction signage, relocation and removal of the same; iv) road signage.</w:t>
        <w:br/>
        <w:t>8. The procedure was publicized through the publication of the announcement in the Official Journal of the European Union on February 11, 2019, and in the Official Journal of the Italian Republic on February 13, 2019, as well as on the contracting authority's website and in two national newspapers.</w:t>
        <w:br/>
        <w:t>9. The procedure provided, among other things:</w:t>
        <w:br/>
        <w:t>a) a restriction on the award of a maximum of one lot out of the three put to tender5;</w:t>
        <w:br/>
        <w:t>2 The share capital of Milano Serravalle – Milano Tangenziali S.p.A. is approximately 82% held by the Lombardy Region.</w:t>
        <w:br/>
        <w:t>3 That is, related to the service of resurfacing the entire road surface. In particular, the specifications provide that “all services susceptible to measurement will be evaluated according to the rules of this specification and compensated per measure with the unit prices provided in the contractual price list, net of the discount offered by the company” (see Article 8 Special Specifications).</w:t>
        <w:br/>
        <w:t>4 LOT A: Ordinary maintenance service of road pavements on the East A51 and North A52 Tangentials of Milan and related areas; LOT B: Ordinary maintenance service of road pavements on the A7 highway, junction, and related areas; LOT C: Ordinary maintenance service of road pavements on the West A50 Tangential of Milan and related areas.</w:t>
        <w:br/>
        <w:t>5 In the tender specifications, it was indicated that “Considering that the execution period of the maintenance activities may be the same for each functional lot, with possible temporal coincidence, it is highlighted that the maximum number of lots that Milano Serravalle will award to the same economic operator is 1.” The contracting authority reserved the</w:t>
      </w:r>
    </w:p>
    <w:p>
      <w:r>
        <w:t>BULLETIN NO. 24 OF JUNE 14, 2021 43</w:t>
        <w:br/>
        <w:t>right to award more lots to the same company, in the event that the same economic operator ranked first for multiple lots and was the only competitor in the tender.</w:t>
        <w:br/>
        <w:t>6 The contracting authority clarified that this restriction derives from Article 89, paragraph 7, of Legislative Decree No. 50/2016, which prohibits, under penalty of exclusion, that the auxiliary provides support for more than one economic operator in a procedure, and that both the auxiliary and the company benefiting from the requirements participate in the tender (single lot); Information from Milano Serravalle of October 23, 2020.</w:t>
      </w:r>
    </w:p>
    <w:p>
      <w:r>
        <w:rPr>
          <w:b/>
        </w:rPr>
        <w:t>[Pages 43–45]</w:t>
      </w:r>
    </w:p>
    <w:p>
      <w:r>
        <w:t>44 BULLETIN NO. 24 OF JUNE 14, 2021</w:t>
        <w:br/>
        <w:t>Table 1 – Services Tender No. 1/2019</w:t>
        <w:br/>
        <w:t>Lot Auction Base Participants Discount Awardee Subcontracts</w:t>
        <w:br/>
        <w:t>i. Milling: Itinera, Bacchi,</w:t>
        <w:br/>
        <w:t>Tecnofrese, Cogeis</w:t>
        <w:br/>
        <w:t>ii. Laying of asphalt: Itinera,</w:t>
        <w:br/>
        <w:t>Bacchi, Tecnofrese, Cogeis</w:t>
        <w:br/>
        <w:t>iii. Construction site signage: Ots-on the</w:t>
        <w:br/>
        <w:t>A51/ A52 9.85 million euros Sintexcal 22.93% Sintexcal</w:t>
        <w:br/>
        <w:t>street, Consorzio Servizi Eurojob,</w:t>
        <w:br/>
        <w:t>Sanguglielmo</w:t>
        <w:br/>
        <w:t>iv. Road signage: Consorzio</w:t>
        <w:br/>
        <w:t>Servizi Eurojob; Se.Stra, Sias</w:t>
        <w:br/>
        <w:t>i. Milling: Sintexcal, Tecnofrese</w:t>
        <w:br/>
        <w:t>and Italfrese</w:t>
        <w:br/>
        <w:t>i. Laying of asphalt: Sintexcal,</w:t>
        <w:br/>
        <w:t>Bacchi, Cogepi</w:t>
        <w:br/>
        <w:t>ii. Construction site signage: Ots-on the</w:t>
        <w:br/>
        <w:t>A7 9.80 million euros Itinera 20.00% Itinera</w:t>
        <w:br/>
        <w:t>street, Consorzio Servizi Eurojob,</w:t>
        <w:br/>
        <w:t>Sanguglielmo</w:t>
        <w:br/>
        <w:t>iii. Road signage: SEA,</w:t>
        <w:br/>
        <w:t>Se.Stra, Eurostrade</w:t>
        <w:br/>
        <w:t>i. Milling: Itinera, Sintexcal,</w:t>
        <w:br/>
        <w:t>Tecnofrese</w:t>
        <w:br/>
        <w:t>ii. Laying of asphalt: Itinera,</w:t>
        <w:br/>
        <w:t>Sintexcal, Tecnofrese</w:t>
        <w:br/>
        <w:t>A50 9.75 million euros Bacchi 25.65% Bacchi iii. Construction site signage: Ital Sem,</w:t>
        <w:br/>
        <w:t>Simos, Sanguglielmo</w:t>
        <w:br/>
        <w:t>iv. Road signage: Ital Sem,</w:t>
        <w:br/>
        <w:t>Simos, Sanguglielmo</w:t>
        <w:br/>
        <w:t>Source: Informazioni di Milano Serravalle of May 16, 2019, and October 28, 2019.</w:t>
        <w:br/>
        <w:t>12. The procedure was characterized by a very low level of participation and competition, considering that for each lot only one offer was received from Sintexcal, Itinera, and Bacchi (hereinafter, together with General Beton, the Parties).</w:t>
        <w:br/>
        <w:t>13. The outcome of the procedure also highlights the presence of cross-subcontracts among the companies Itinera, Sintexcal, and Bacchi, such that each company appears to have indicated the other two companies as possible subcontractors for part of the milling and/or laying of asphalt services. Given this, in light of the prohibition for a company to participate as a competitor in the lot for which it was indicated as a subcontractor, it follows that each company, due to the subcontracting availability granted to the other two companies, could participate in only one lot and was also aware that the other two companies to which it had requested subcontracting availability would not be its competitors in the tender.</w:t>
        <w:br/>
        <w:t>14. The economic discounts offered by Itinera, Sintexcal, and Bacchi in Services Tender No. 1/2019, across the three lots, are of similar magnitude, between 20% and 26%, and are significantly lower than the discounts related to the awarded offers in previous tender procedures held by Milano Serravalle for similar services in 2016 (see Table 2)7.</w:t>
        <w:br/>
        <w:t>Table 2 – Tender Procedures of 2016</w:t>
        <w:br/>
        <w:t>Route Auction Base Awardee Discount</w:t>
        <w:br/>
        <w:t>A51/ A52 9.85 million euros RTI Itinera/ Bacchi 46.05%</w:t>
        <w:br/>
        <w:t>A7 9.80 million euros Interstrade 42.24%</w:t>
        <w:br/>
        <w:t>A50 9.80 million euros RTI Itinera/ Bacchi 45.05%</w:t>
        <w:br/>
        <w:t>Source: Informazioni di Milano Serravalle of October 28, 2019, and October 23, 2020.</w:t>
        <w:br/>
        <w:t>15. The technical offers submitted by Itinera, Sintexcal, and Bacchi in the three lots, with particular regard to the evaluation criteria in terms of m²/h of asphalt replacement – sub-criteria 1.1 and 1.2 which weighed 40 of the total 70 technical points – are identical (for two of the three companies) or at least of similar magnitude across the three lots8.</w:t>
        <w:br/>
        <w:t>16. Regarding the requirement for the availability of a dual plant for the production of bituminous asphalt, the participating companies indicated, in two out of three cases, that in addition to their own plant(s), they also used one or more plants of the other two participating companies9.</w:t>
        <w:br/>
        <w:t>17. Finally, it appears that, at least until the end of March 2021, none of the three awarded companies - Bacchi, Itinera, and Sintexcal - activated and made use of the subcontracting services of the other two companies10.</w:t>
        <w:br/>
        <w:t>IV. EVALUATIONS</w:t>
        <w:br/>
        <w:t>IV.1. The relevant market</w:t>
        <w:br/>
        <w:t>18. The set of elements described above allows for the hypothesis of an anti-competitive coordination among the Parties, aimed at limiting mutual competitive confrontation in the participation in Services Tender No. 1/2019.</w:t>
        <w:br/>
        <w:t>19. According to consistent case law regarding agreements, the definition of the relevant market is essentially aimed at identifying the characteristics of the economic and legal context in which the agreement or the coordinated practice among companies is situated. This definition follows the identification of the agreement - since the scope and object of the agreement itself identify the market - and is functional to delineating the scope within which the agreement can restrict or distort the competitive mechanism and to identifying its degree of offensiveness11.</w:t>
        <w:br/>
        <w:t>20. In the case at hand, the market can therefore be confined to the product and geographic scope presumably conditioned by the hypothesized agreement, or to the procedure of Services Tender No. 1/2019, articulated over three lots, concerning the ordinary maintenance service of the road pavements of the East Tangential A51 and North A52; of the junction and the appurtenances of the A7 motorway and the West Tangential A50.</w:t>
        <w:br/>
        <w:t>IV.2. The qualification of the agreement</w:t>
        <w:br/>
        <w:t>21. From the above, the possible existence of a restrictive agreement among the Parties emerges, in the form of an agreement or coordinated practice, aimed at the division of the lots in the tender and the elimination of mutual competitive confrontation in Services Tender No. 1/2019.</w:t>
        <w:br/>
        <w:t>22. In particular, a series of symptomatic elements of a possible collusive conduct among the Parties has been identified, concerning the anti-competitive conditioning of the tender, attributable, first and foremost, to the symmetrical decision by the companies Itinera, Bacchi, and Sintexcal to request subcontracting availability from the other two (for one of the lots in the tender) and simultaneously make themselves available as subcontractors for the other two (for the remaining two lots in the tender). In this way, each company bound itself not to submit an offer for two of the three lots in the tender, given, as already noted, the prohibition for a subcontractor in a specific lot to submit its own offer in competition in the same lot.</w:t>
        <w:br/>
        <w:t>23. The concerted strategy adopted regarding the realization of cross-subcontracts has, in this sense, led to the submission of an offer by each company - Itinera, Sintexcal, and Bacchi - for only one of the three lots in the tender and to the elimination of any risk of mutual competition in Services Tender No. 1/2019.</w:t>
        <w:br/>
        <w:t>24. Other symptomatic elements of the possible presence of illicit coordination of the companies' conduct in the tender concern the characteristics of the economic and technical offers submitted. The discounts offered by Itinera, Sintexcal, and Bacchi in the three lots (with similar auction base values among them) are, in fact, not too distant from each other (between 20% and 26%) and are significantly lower than those of the awarded offers in the previous procedures of 2016 (which ranged between approximately 42% and 46%). The technical offers submitted by Itinera, Sintexcal, and Bacchi in the three lots, with particular regard to the evaluation criteria in terms of m²/h of asphalt replacement (which weighed 40 of the total 70 technical points), were then found to be identical or at least similar. As seen, moreover, the participating companies indicated, in two out of three cases, that in addition to their own plant(s) for the production of bituminous asphalt, they also used one or more plants of the other two participating companies.</w:t>
        <w:br/>
        <w:t>25. An additional element of anomaly, connected to the cross-subcontracts, is found in the fact that, in this case, each company, by giving its availability for subcontracting on lots "x" and "y" to the other companies, reduces its potential production capacity in order to be able to independently satisfy the offer on its "own" lot "z".</w:t>
        <w:br/>
        <w:t>26. The relevance of the anomaly arising from the design of the cross-subcontracts as a symptomatic element of the presence of illicit concertation among the Parties in Services Tender No. 1/2019 is</w:t>
      </w:r>
    </w:p>
    <w:p>
      <w:r>
        <w:rPr>
          <w:b/>
        </w:rPr>
        <w:t>[Pages 46–48]</w:t>
      </w:r>
    </w:p>
    <w:p>
      <w:r>
        <w:t>BULLETIN NO. 24 OF JUNE 14, 2021 47</w:t>
        <w:br/>
        <w:t>strengthened by the fact that, at least until the end of March 2021, none of the three companies activated and made use of the subcontracting services of the other two companies12.</w:t>
      </w:r>
    </w:p>
    <w:p>
      <w:r>
        <w:t>27. In conclusion, significant elements of anomaly are found in the participation methods of Itinera, Sintexcal, and Bacchi in the Services Tender No. 1/2019, symptomatic of a possible restrictive agreement between the Parties in violation of Article 101 TFEU.</w:t>
      </w:r>
    </w:p>
    <w:p>
      <w:r>
        <w:t>IV.3. The harm to intra-European trade</w:t>
      </w:r>
    </w:p>
    <w:p>
      <w:r>
        <w:t>28. The concept of harm to intra-European trade must be interpreted taking into account the direct or indirect, actual or potential influence on trade flows between Member States13. Considering the community relevance of the tender procedure in question, the hypothesized agreement appears capable of influencing trade between Member States and is therefore likely to constitute a violation of Article 101 TFEU.</w:t>
      </w:r>
    </w:p>
    <w:p>
      <w:r>
        <w:t>CONSIDERING that the capital of Sintexcal S.p.A. is wholly owned by General Beton Triveneta S.p.A., it is believed that the commercial decisions of Sintexcal S.p.A. may be attributed to General Beton Triveneta S.p.A.;</w:t>
      </w:r>
    </w:p>
    <w:p>
      <w:r>
        <w:t>THEREFORE, it is deemed that the conduct described above, carried out by Itinera S.p.A., by Sintexcal S.p.A. and its parent company General Beton Triveneta S.p.A., and by Impresa Bacchi S.r.l., could constitute a restrictive agreement in violation of Article 101 TFEU;</w:t>
      </w:r>
    </w:p>
    <w:p>
      <w:r>
        <w:t>RESOLVES</w:t>
      </w:r>
    </w:p>
    <w:p>
      <w:r>
        <w:t>a) to initiate an investigation pursuant to Article 14 of Law No. 287/90, against Itinera S.p.A., Impresa Bacchi S.r.l., Sintexcal S.p.A., and its parent company General Beton Triveneta S.p.A., to ascertain the existence of violations of Article 101 TFEU;</w:t>
      </w:r>
    </w:p>
    <w:p>
      <w:r>
        <w:t>b) to set a deadline of sixty days from the notification of this measure for the exercise by the legal representatives of the Parties, or persons delegated by them, of the right to be heard, specifying that the request for a hearing must be received by the Manufacturing and Services Directorate of this Authority at least fifteen days before the expiration of the aforementioned deadline;</w:t>
      </w:r>
    </w:p>
    <w:p>
      <w:r>
        <w:t>c) that the person responsible for the procedure is Dr. Anna Manzoni;</w:t>
      </w:r>
    </w:p>
    <w:p>
      <w:r>
        <w:t>d) that the documents of the procedure can be viewed at the Manufacturing and Services Directorate of this Authority by the legal representatives of the Parties, as well as by persons delegated by them;</w:t>
      </w:r>
    </w:p>
    <w:p>
      <w:r>
        <w:t>e) that the procedure must be concluded by December 31, 2022.</w:t>
      </w:r>
    </w:p>
    <w:p>
      <w:r>
        <w:t>12 Information from Milano Serravalle dated March 26, 2021, and March 30, 2021.</w:t>
      </w:r>
    </w:p>
    <w:p>
      <w:r>
        <w:t>13 See Commission Communication 2004/C 101/07, Guidelines on the notion of harm to trade between Member States under Articles 81 and 82 of the Treaty, OJCE C 101/81 of April 27, 2004.</w:t>
      </w:r>
    </w:p>
    <w:p>
      <w:r>
        <w:t>48 BULLETIN NO. 24 OF JUNE 14, 2021</w:t>
        <w:br/>
        <w:t>This measure will be notified to the interested parties and published in the Bulletin of the Competition and Market Authority.</w:t>
      </w:r>
    </w:p>
    <w:p>
      <w:r>
        <w:t>THE SECRETARY GENERAL THE PRESIDENT</w:t>
        <w:br/>
        <w:t>Filippo Arena Roberto Rustichelli</w:t>
      </w:r>
    </w:p>
    <w:p>
      <w:r>
        <w:t>BULLETIN NO. 24 OF JUNE 14, 2021 49</w:t>
        <w:br/>
        <w:t>CONCENTRATION OPERATIONS</w:t>
        <w:br/>
        <w:t>C12231B - BPER BANCA/UNIPOL BANCA</w:t>
        <w:br/>
        <w:t>Measure No. 29680</w:t>
        <w:br/>
        <w:t>THE COMPETITION AND MARKET AUTHORITY</w:t>
        <w:br/>
        <w:t>IN ITS MEETING of May 25, 2021;</w:t>
      </w:r>
    </w:p>
    <w:p>
      <w:r>
        <w:t>HEARD the Rapporteur Professor Michele Ainis;</w:t>
      </w:r>
    </w:p>
    <w:p>
      <w:r>
        <w:t>HAVING REGARD to the law of October 10, 1990, No. 287;</w:t>
      </w:r>
    </w:p>
    <w:p>
      <w:r>
        <w:t>HAVING REGARD to articles 6, 14, 18, and 19, paragraph 1, of the aforementioned law;</w:t>
      </w:r>
    </w:p>
    <w:p>
      <w:r>
        <w:t>HAVING REGARD to the decree of the President of the Republic of April 30, 1998, No. 217;</w:t>
      </w:r>
    </w:p>
    <w:p>
      <w:r>
        <w:t>HAVING REGARD to the law of November 24, 1981, No. 689;</w:t>
      </w:r>
    </w:p>
    <w:p>
      <w:r>
        <w:t>HAVING REGARD to its resolution of July 17, 2019, No. 27842, by which the concentration operation between BPER Banca S.p.A. and Unipol Banca S.p.A. was authorized, prescribing, pursuant to Article 6, paragraph 2, of Law No. 287/90, the fulfillment of specific measures;</w:t>
      </w:r>
    </w:p>
    <w:p>
      <w:r>
        <w:t>HAVING REGARD to the application of BPER Banca S.p.A., received on September 10, 2020, and subsequently supplemented on October 21, 2020, by which the company communicated the “objective impossibility” to effectively implement the aforementioned measures, “having carried out all the appropriate procedures to realize the transfer of the branches (...) according to the methods provided in the Authority's measure,” and therefore requested: i) the revocation of the measures ordered by the Authority with the resolution of July 17, 2019, No. 27842, consisting of the transfer of the 5 branches previously held by Unipol Banca S.p.A. located in the catchment areas identified in the measure CA1-Alghero (SS), CA2-Nuoro (NU), CA3-Sassari (SS), CA4-Iglesias (SU), CA5 Terralba (OR), including all assets that contribute to their current management and/or that are necessary to ensure their profitability and competitiveness over time; and ii) the simultaneous replacement of the same with an “Alternative Corrective Measure” consisting of [omitted]*;</w:t>
      </w:r>
    </w:p>
    <w:p>
      <w:r>
        <w:t>HAVING REGARD to its resolution of December 1, 2020, by which a procedure was initiated against BPER Banca S.p.A., to ascertain the existence of violations of Article 19, paragraph 1, of Law No. 287/90 and to evaluate whether it is necessary to impose new measures, in addition to or in replacement of those originally provided, pursuant to Article 18, paragraph 3, of the aforementioned law;</w:t>
      </w:r>
    </w:p>
    <w:p>
      <w:r>
        <w:t>HAVING REGARD to the Communication of Investigative Findings, sent to the Party on April 21, 2021, pursuant to Article 14 of the Presidential Decree of April 30, 1998, No. 217;</w:t>
      </w:r>
    </w:p>
    <w:p>
      <w:r>
        <w:t>HAVING REGARD to the memorandum filed by BPER Banca S.p.A. on May 19, 2021;</w:t>
      </w:r>
    </w:p>
    <w:p>
      <w:r>
        <w:t>HAVING REGARD to the application filed by BPER Banca S.p.A. on May 21, 2021, by which the company requested an extension of the investigation in order to promptly proceed with the execution of an additional procedural phase for the divestment of the five bank branches previously held by</w:t>
      </w:r>
    </w:p>
    <w:p>
      <w:r>
        <w:t>* In this version, some data have been omitted, as it was deemed that there were elements of confidentiality and secrecy of the information.</w:t>
      </w:r>
    </w:p>
    <w:p>
      <w:r>
        <w:rPr>
          <w:b/>
        </w:rPr>
        <w:t>[Pages 49–51]</w:t>
      </w:r>
    </w:p>
    <w:p>
      <w:r>
        <w:t>50 BULLETIN NO. 24 OF JUNE 14, 2021</w:t>
        <w:br/>
        <w:t>Unipol Banca S.p.A. located in Sardinia, as per the structural corrective measures provided in the Authority's measure no. 27842 of July 17, 2019, to be carried out according to transparent and objective criteria, and according to a predefined and particularly limited timeline;</w:t>
      </w:r>
    </w:p>
    <w:p>
      <w:r>
        <w:t>HEARD in the final hearing the representatives of BPER Banca S.p.A. on May 24, 2021;</w:t>
      </w:r>
    </w:p>
    <w:p>
      <w:r>
        <w:t>HAVING REGARD to the acts of the procedure and the documentation acquired during the investigation;</w:t>
      </w:r>
    </w:p>
    <w:p>
      <w:r>
        <w:t>CONSIDERED the application submitted by the Party in which the intention to initiate an additional procedure for the sale of the branches subject to the investigation is represented;</w:t>
      </w:r>
    </w:p>
    <w:p>
      <w:r>
        <w:t>CONSIDERED the consequent necessity to proceed with an extension of the deadline for the closure of the procedure, currently set for June 30, 2021;</w:t>
      </w:r>
    </w:p>
    <w:p>
      <w:r>
        <w:t>RESOLVES</w:t>
        <w:br/>
        <w:t>to extend the deadline for the conclusion of the procedure to October 31, 2021.</w:t>
      </w:r>
    </w:p>
    <w:p>
      <w:r>
        <w:t>This measure will be notified to the interested parties and published in the Bulletin of the Competition and Market Authority.</w:t>
      </w:r>
    </w:p>
    <w:p>
      <w:r>
        <w:t>THE SECRETARY GENERAL THE PRESIDENT</w:t>
        <w:br/>
        <w:t>Filippo Arena Roberto Rustichelli</w:t>
      </w:r>
    </w:p>
    <w:p>
      <w:r>
        <w:t>BULLETIN NO. 24 OF JUNE 14, 2021 51</w:t>
        <w:br/>
        <w:t>C12352B - DORECA-ABRUZZO DISTRIBUTION/AD BEVERAGE</w:t>
        <w:br/>
        <w:t>Measure no. 29681</w:t>
        <w:br/>
        <w:t>THE COMPETITION AND MARKET AUTHORITY</w:t>
        <w:br/>
        <w:t>IN ITS MEETING of May 25, 2021;</w:t>
      </w:r>
    </w:p>
    <w:p>
      <w:r>
        <w:t>HEARD the Rapporteur President Roberto Rustichelli;</w:t>
      </w:r>
    </w:p>
    <w:p>
      <w:r>
        <w:t>HAVING REGARD to the law of October 10, 1990, no. 287;</w:t>
      </w:r>
    </w:p>
    <w:p>
      <w:r>
        <w:t>HAVING REGARD to the law of November 24, 1981, no. 689;</w:t>
      </w:r>
    </w:p>
    <w:p>
      <w:r>
        <w:t>HAVING REGARD, in particular, to Article 19, paragraph 2, of law no. 287/90, pursuant to which, in the event that the companies have not complied with the obligations of prior notification referred to in paragraph 1 of Article 16 of the same law, the Authority may impose administrative monetary sanctions of up to 1% of the turnover of the year preceding the year in which the contestation is made;</w:t>
      </w:r>
    </w:p>
    <w:p>
      <w:r>
        <w:t>HAVING REGARD to the communication from Doreca S.p.A. and Abruzzo Distribuzione S.r.l., received on January 20, 2021;</w:t>
      </w:r>
    </w:p>
    <w:p>
      <w:r>
        <w:t>HAVING REGARD to its resolution of February 16, 2021, regarding the assessment of the concentration operation consisting in the establishment of the company AD Beverage S.p.A. as a joint venture between Doreca S.p.A. and Abruzzo Distribuzione S.r.l., with which the Authority decided not to initiate the investigation pursuant to Article 16, paragraph 4, of law of October 10, 1990, no. 287;</w:t>
      </w:r>
    </w:p>
    <w:p>
      <w:r>
        <w:t>HAVING REGARD to its resolution of February 16, 2021, notified on February 26, 2021, with which a procedure was initiated against Doreca S.p.A. and Abruzzo Distribuzione S.r.l., in relation to the same operation, for the possible imposition of the monetary sanction referred to in Article 19, paragraph 2, of the law of October 10, 1990, no. 287, provided for non-compliance with the obligation of prior notification of concentration operations established by Article 16, paragraph 1, of the same law;</w:t>
      </w:r>
    </w:p>
    <w:p>
      <w:r>
        <w:t>HAVING REGARD to the memorandum from Doreca S.p.A. and Abruzzo Distribuzione S.r.l. received on March 30, 2021, within the deadlines set by Article 18, paragraph 1, of law of November 24, 1981, no. 689;</w:t>
      </w:r>
    </w:p>
    <w:p>
      <w:r>
        <w:t>HAVING REGARD to the acts of the procedure;</w:t>
      </w:r>
    </w:p>
    <w:p>
      <w:r>
        <w:t>CONSIDERED the following:</w:t>
      </w:r>
    </w:p>
    <w:p>
      <w:r>
        <w:t>I. THE PARTIES</w:t>
        <w:br/>
        <w:t>1. Doreca S.p.A. (“Doreca”) is a company active in the wholesale trade of alcoholic and non-alcoholic beverages in the national territory. The company is part of a group that also operates in the wholesale and retail trade of food and non-food consumer goods, particularly through the subsidiary Dico S.p.A. (also known as “Gruppo TUO”, owner of the brands Tuodì, Fresco Market, and Ingrande). The total turnover generated by Doreca and the companies controlled by it in 2020 amounted to 465,691,714 euros.</w:t>
      </w:r>
    </w:p>
    <w:p>
      <w:r>
        <w:t>2. Abruzzo Distribuzione S.r.l. (“Abruzzo Distribuzione”) is a company active in the wholesale trade of alcoholic and non-alcoholic beverages as well as food products intended for catering in Central Italy. The shares of the company are entirely held by a private individual. In 2020, Abruzzo Distribuzione and the company controlled by it generated a turnover of 23,540,211 euros.</w:t>
      </w:r>
    </w:p>
    <w:p>
      <w:r>
        <w:t>3. AD Beverage S.p.A. (“AD Beverage” or “JV”) is a newly established company that operates in the wholesale trade of alcoholic and non-alcoholic beverages in Central and Southern Italy (specifically in the regions of Lazio, Marche, Umbria, Abruzzo, and Puglia, limited to the province of Foggia). The share capital of AD Beverage is held 49% by Doreca and 51% by Abruzzo Distribuzione. In 2020, AD Beverage generated a turnover of 11,235,624 euros.</w:t>
      </w:r>
    </w:p>
    <w:p>
      <w:r>
        <w:t>II. DESCRIPTION OF THE OPERATION</w:t>
        <w:br/>
        <w:t>4. The operation consisted of the establishment, on March 2, 2020, of AD Beverage, a full-function joint venture between Doreca and Abruzzo Distribuzione, to which two business branches belonging to the parent companies were transferred, with ten-year lease contracts starting from June 1, 2020. In particular, Doreca transferred only the commercial activity concerning the wholesale distribution of alcoholic and non-alcoholic beverages carried out in the production units of Avezzano, Bastia Umbra, Osimo, and Foggia (“Doreca Branch”); in turn, Abruzzo Distribuzione transferred only the commercial activity, also having the same object, in the production units of Avezzano, Bastia Umbra, Civitanova Marche, and Guidonia (“Abruzzo Distribuzione Branch”).</w:t>
      </w:r>
    </w:p>
    <w:p>
      <w:r>
        <w:t>5. As mentioned, the share capital of the JV is held 49% by Doreca and 51% by Abruzzo Distribuzione. By virtue of the statutory provisions and the shareholders' agreements signed at the establishment of the company, the two parent companies exercise joint control over the joint venture.</w:t>
      </w:r>
    </w:p>
    <w:p>
      <w:r>
        <w:t>III. QUALIFICATION OF THE OPERATION</w:t>
        <w:br/>
        <w:t>6. The operation, as it involved the establishment of a joint venture, constitutes a concentration pursuant to Article 5, paragraph 1, letter c), of law no. 287/90. It fell within the scope of application of law no. 287/90, as the conditions referred to in Article 1 of Regulation no. 139/2004 were not met, and it was subject to the obligation of prior notification established by Article 16, paragraph 1, of law no. 287/90, as the total turnover generated at the national level by all the companies involved was over 498 million euros in 2019, and the total turnover generated individually at the national level by at least two of the companies involved in 2019 was over 30 million euros, thresholds applicable ratione temporis.</w:t>
      </w:r>
    </w:p>
    <w:p>
      <w:r>
        <w:t>IV. VIOLATION OF THE OBLIGATION OF PRIOR NOTIFICATION</w:t>
        <w:br/>
        <w:t>7. The operation described above was not subject to prior notification to this Authority, which became aware of it only after its realization, following a response, on November 30, 2020, to a request for information sent on November 12, 2020. The complete information on the details of the operation, with the submission of the relevant form, occurred on January 20, 2021.</w:t>
      </w:r>
    </w:p>
    <w:p>
      <w:r>
        <w:rPr>
          <w:b/>
        </w:rPr>
        <w:t>[Pages 52–54]</w:t>
      </w:r>
    </w:p>
    <w:p>
      <w:r>
        <w:t xml:space="preserve">BULLETIN NO. 24 OF JUNE 14, 2021 53  </w:t>
        <w:br/>
        <w:t xml:space="preserve">V. THE POSITION OF DORECA AND AD BEVERAGE  </w:t>
        <w:br/>
        <w:t xml:space="preserve">8. Doreca and AD Beverage believe that, in this case, both the subjective element and the objective element of the infringement referred to in Article 19, paragraph 2, of law no. 287/1990 are lacking.  </w:t>
        <w:br/>
        <w:t xml:space="preserve">9. Regarding the subjective element, the companies claim the absence of any intentionality aimed at evading the Authority's control over the operation. In fact, the analysis regarding the existence of the notification obligation would have been carried out during the initial negotiations between them, which took place at the end of 2019. On that occasion, based on the revenues of the parent companies for 2018, the notification obligation was not deemed to be met, as the sum of the revenues of the companies involved was slightly below the applicable threshold. The peculiar emergency situation due to the lockdown would have extended the time for the establishment of AD Beverage and the signing of the lease contracts for the business branches, without the antitrust profile analysis being repeated during 2020 based on the revenues generated in 2019. Moreover, the revenues for the 2019 fiscal year are the only ones that, in the period 2018-2021, exceeded the revenue thresholds set by Article 16, paragraph 1, of law no. 287/90 (the 2021 figure is based on an estimate in light of the performance of the first quarter).  </w:t>
        <w:br/>
        <w:t xml:space="preserve">10. The failure to provide prior notification would therefore be attributable to internal organizational issues. The two companies would have found themselves carrying out the preparatory activities for the integration during the lockdown months, with most of the staff working remotely, resulting in difficulties in exchanging information, while simultaneously managing the serious issues of ordinary business arising from the sudden closure of the ho.re.ca. channel deposits.  </w:t>
        <w:br/>
        <w:t xml:space="preserve">11. These circumstances would have been further complicated by the heavy burden arising from civil litigation initiated in various Italian Courts following alleged acts of unfair competition carried out by a competitor.  </w:t>
        <w:br/>
        <w:t xml:space="preserve">12. Following the Authority's request for information, the companies became aware of the failure to provide prior notification of the operation and proceeded to communicate it voluntarily, providing maximum cooperation. The absence of any intentionality would also emerge from the fact that, also in 2020, the group to which Doreca belongs notified the Authority of another concentration operation (C12320 – CESED/MARGHERITA DISTRIBUTION BUSINESS BRANCHES) precisely because the revenue thresholds for the year 2019 were exceeded.  </w:t>
        <w:br/>
        <w:t xml:space="preserve">13. With regard to the objective element of the infringement, the Parties highlight the absence of negative effects from the omission of the notification, given that the operation did not lead to the creation or strengthening of a dominant position, as noted by the Authority in measure no. 28578 of February 16, 2021.  </w:t>
        <w:br/>
        <w:t xml:space="preserve">14. The Parties therefore request not to impose a sanction in light of the absence of the constitutive elements of the offense referred to in Article 19, paragraph 2, of law no. 287/1990 as well as the severe contraction in revenues suffered by the Parties due to the ongoing pandemic emergency. Compared to the previous year, in fact, in 2020, revenues decreased by over 40% for both Abruzzo Distribuzione and Doreca and the companies controlled by it that operate in the market affected by the operation, and the first months of 2021 do not show signs of improvement for the recovery of the sector.  </w:t>
        <w:br/>
        <w:t xml:space="preserve">15. In the alternative, the Parties request the Authority to take into account, in calculating the sanction, the criteria set out in Article 11 of law no. 689/1981, also in light of its decision-making practice, considering the following factors: i) absence of intent, cooperation provided during the proceedings, spontaneity and promptness of the communication; ii) absence of restrictive effects on competition arising from the operation; iii) serious difficulties that the Parties have faced and are still facing due to the Covid-19 pandemic and the emergency measures still in place.  </w:t>
        <w:br/>
        <w:t xml:space="preserve">VI. EVALUATION REGARDING THE FAILURE TO NOTIFY  </w:t>
        <w:br/>
        <w:t xml:space="preserve">16. From the documents of the proceedings, it appears that the described concentration operation was carried out at a time prior to when it was communicated, so the aforementioned obligation of prior notification was violated.  </w:t>
        <w:br/>
        <w:t xml:space="preserve">17. Regarding the identification of the responsible parties under Article 16 of law no. 287/90, it is noted that, since the obligation of prior notification falls distinctly on all companies acquiring control, the responsibility for the failure to notify the operation must be attributed to both Doreca and Abruzzo Distribuzione.  </w:t>
        <w:br/>
        <w:t xml:space="preserve">18. With regard to the subjective element of the infringement, the established circumstances lead to the exclusion of the existence of a will aimed at fraudulently evading the Authority's control over concentration operations. However, Article 3 of law no. 689/1981 provides for liability for a conscious and voluntary action or omission, "whether intentional or negligent," and, in this case, there seems to be no doubt about the culpable delay in notifying the concentration operation related to the establishment, by Doreca and Abruzzo Distribuzione, of the joint venture AD Beverage, which took place on March 2, 2020, and was communicated only on January 20, 2021. The operation thus actually took place at a time earlier than when it was communicated to the Authority.  </w:t>
        <w:br/>
        <w:t xml:space="preserve">19. Regarding the objective element of the infringement, it is noted that any consideration regarding the effects of the operation is irrelevant both for the determination of the violation of the obligation of prior notification and for the imposition of the related sanction. In fact, the provisions of Article 19, paragraph 2, of law no. 287/90 were established by the legislator to protect the respect of the Authority's competencies regarding the control of concentrations, which consists of necessarily preventive analysis and verification activities that are, consequently, irreparably evaded in the event of omitted notification.  </w:t>
        <w:br/>
        <w:t xml:space="preserve">20. Having verified, based on the above considerations, the violation of Article 16, paragraph 1, of law no. 287/90, it is deemed appropriate to proceed with the imposition of a sanction. To this end, Article 11 of law no. 689/1981 provides that, for the determination of the sanction, "the gravity of the violation, the efforts made by the agent to eliminate or mitigate the consequences of the violation, as well as the personality of the agent and their economic conditions" should be taken into account.  </w:t>
        <w:br/>
        <w:t xml:space="preserve">21. Regarding the severity of the infringement, this must be assessed taking into account a range of factors, including the competitive effects of the late notified operation. From a competitive standpoint, no prejudicial effects were produced in the affected market, as assessed in the measure of February 16, 2021, in which the Authority decided not to initiate the investigation referred to in Article 16, paragraph 4, of law no. 287/90.  </w:t>
        <w:br/>
        <w:t xml:space="preserve">22. The actual delay in notifying the operation in question, amounting to approximately 10 months, appears limited and, therefore, the infringement had a contained duration. It is noted, however, that in the absence of the information request activity carried out by the Authority, the infringement could have lasted longer or could still be ongoing.  </w:t>
        <w:br/>
        <w:t xml:space="preserve">23. Regarding the subjective characteristics of the companies in terms of their economic conditions, it is noted that in 2020 Doreca and the companies controlled by it (including AD Beverage) generated a total revenue of 465,691,714 euros, while Abruzzo Distribuzione together with its subsidiary AD Beverage generated a revenue of 23,540,211 euros.  </w:t>
        <w:br/>
        <w:t xml:space="preserve">24. For these reasons, also considering the economic conditions of the Parties, a circumstance also invoked by Article 11 of law no. 689/1981, the Authority deems it appropriate to impose a sanction on the companies Doreca and Abruzzo Distribuzione equal to 0.0025% of the revenue they generated in the year preceding the year in which the contestation is made, as indicated by Article 19, paragraph 2, of law no. 287/90, and therefore based on the revenue for the year 2020. These sanctions amount to 11,642.29 euros for Doreca and 588.51 euros for Abruzzo Distribuzione.  </w:t>
        <w:br/>
        <w:t xml:space="preserve">CONSIDERING, therefore, that the operation in question, as it involved the establishment of a joint venture, constituted a concentration pursuant to Article 5, paragraph 1, letter c), of law no. 287/90;  </w:t>
        <w:br/>
        <w:t xml:space="preserve">CONSIDERING that the revenue generated at the national level by the group of companies involved and the total revenue generated individually at the national level by at least two of the companies involved, for the period to which the acquisition refers, was above the minimum threshold set by Article 16, paragraph 1, of law no. 287/90 and that, therefore, the operation identified above was subject to the obligation of prior notification provided for by the same article;  </w:t>
        <w:br/>
        <w:t xml:space="preserve">CONSIDERING that the operation was not communicated prior to the notification as required by Article 16, paragraph 1, of law no. 287/90 and that, therefore, the Authority, pursuant to Article 19, paragraph 2, of the same law, may impose on the subject who has not complied with the related obligation, for the late communicated operation, administrative monetary sanctions of up to one percent of the revenue generated in the year preceding the year in which the contestation was made;  </w:t>
        <w:br/>
        <w:t xml:space="preserve">CONSIDERING that the responsibility for the contested infringement, consisting of the failure to notify the establishment of the joint venture AD Beverage, is individually attributable to the companies Doreca and Abruzzo Distribuzione;  </w:t>
        <w:br/>
        <w:t>HAVING REGARD to the conditions that justify the imposition of the sanction referred to in Article 19, paragraph 2, of law no. 287/90, against the companies Doreca and Abruzzo Distribuzione, in the amount of 11,642.29 euros for Doreca and 588.51 euros for Abruzzo Distribuzione, a sanction that appears appropriate to achieve the objective of ensuring that the concentration control activity attributed to the Authority is based on the systematic and diligent respect of the obligation of prior notification established by Article 16 of law no. 287/90;</w:t>
      </w:r>
    </w:p>
    <w:p>
      <w:r>
        <w:rPr>
          <w:b/>
        </w:rPr>
        <w:t>[Pages 55–57]</w:t>
      </w:r>
    </w:p>
    <w:p>
      <w:r>
        <w:t>56 BULLETIN NO. 24 OF JUNE 14, 2021</w:t>
        <w:br/>
        <w:t>RESOLUTION</w:t>
        <w:br/>
        <w:t>a) that the conduct carried out by the companies Doreca S.p.A. and Abruzzo Distribuzione S.r.l., consisting of the failure to notify the establishment of the joint venture named AD Beverage S.p.A., constitutes a violation of Article 16, paragraph 1, of law no. 287/90;</w:t>
        <w:br/>
        <w:t>b) to impose an administrative fine on Doreca S.p.A. in the amount of €11,642.29 (eleven thousand six hundred forty-two/29 euros);</w:t>
        <w:br/>
        <w:t>c) to impose an administrative fine on Abruzzo Distribuzione S.r.l. in the amount of €588.51 (five hundred eighty-eight/51 euros).</w:t>
        <w:br/>
        <w:t>The above administrative fines must be paid within ninety days from the notification of this measure,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online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fines is increased by one-tenth for each semester starting from the day following the payment deadline until the role is transmitted to the collection agent; in this case, the increase absorbs the late payment interest accrued during the same period.</w:t>
        <w:br/>
        <w:t>The companies Doreca S.p.A. and Abruzzo Distribuzione S.r.l. are required to immediately notify the Authority of the payment made by sending a copy of the model certifying the payments made.</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November 24, 1971, no. 1199, within one hundred twenty days from the date of notification of the measure itself.</w:t>
      </w:r>
    </w:p>
    <w:p>
      <w:r>
        <w:t>BULLETIN NO. 24 OF JUNE 14, 2021 57</w:t>
        <w:br/>
        <w:t>This measure will be published in the Bulletin of the Competition and Market Authority.</w:t>
        <w:br/>
        <w:t>THE SECRETARY GENERAL THE PRESIDENT</w:t>
        <w:br/>
        <w:t>Filippo Arena Roberto Rustichelli</w:t>
      </w:r>
    </w:p>
    <w:p>
      <w:r>
        <w:t>58 BULLETIN NO. 24 OF JUNE 14, 2021</w:t>
        <w:br/>
        <w:t>REPORTING AND CONSULTATIVE ACTIVITY</w:t>
        <w:br/>
        <w:t>AS1756 - CHAMBER OF COMMERCE OF ROMAGNA – FORLÌ - CESENA AND</w:t>
        <w:br/>
        <w:t>RIMINI - PERIODIC REVIEW OF SHAREHOLDINGS</w:t>
        <w:br/>
        <w:t>Rome, March 17, 2021</w:t>
        <w:br/>
        <w:t>Chamber of Commerce of</w:t>
        <w:br/>
        <w:t>Romagna Forlì - Cesena and Rimini</w:t>
        <w:br/>
        <w:t>The Competition and Market Authority, in its meeting of March 16, 2021, pursuant to Article 21-bis of Law October 10, 1990, no. 287, as introduced by Decree-Law December 6, 2011, no. 201, has resolved to express its opinion regarding the content of the Annual Plan for the rationalization of the participated companies as per the urgent presidential resolution no. 19 of December 22, 2020 of the Chamber of Commerce of Romagna, Forlì, Cesena and Rimini (C.C.I.A.A. of Romagna), received by the Authority on January 19, 2021.</w:t>
        <w:br/>
        <w:t>It is recorded that the C.C.I.A.A. of Romagna holds shares in the company Rimini Congressi S.r.l. The company in question, as of December 31, 2019, is participated by three public shareholders, Municipality of Rimini (through the subsidiary Rimini Holding S.p.A. for 35.58%), Province of Rimini (for 32.50%) and C.C.I.A.A. of Romagna (for 31.92%) and, according to what was represented by the C.C.I.A.A., “holds the controlling stake in Italian Exhibition Group S.p.A., among the largest trade fair companies in Italy, and ensures to the Local Public Authorities in the Rimini area, on one hand, a unified management consistent with the institutional purposes of the shareholder entities in the trade fair and congress sector and, on the other hand, that events (exhibitions, fairs, etc.) take place in the territory of</w:t>
        <w:br/>
        <w:t>1 The Plan was adopted pursuant to Article 20 of Legislative Decree August 19, 2016 no. 175 (Consolidated Law on public participation companies, also “TUSPP”).</w:t>
        <w:br/>
        <w:t>2 The corporate structure has changed following the merger by incorporation of the Company of the Palazzo dei Congressi S.p.A. into Rimini Congressi S.r.l., completed on December 22, 2021. Consequently, those who held shares in the company Palazzo dei Congressi S.p.A. have entered the corporate structure of Rimini Congressi. The shareholdings of Rimini Congressi S.r.l. have therefore changed following the aforementioned merger and are currently distributed as follows: Rimini Holding (31.80%), Province of Rimini (28.5%), Chamber of Commerce of Romagna (29%), I.E.G. (10.3%), AIA Palas (0.2%). However, it should be noted that the participation of IEG, which is in turn controlled by Rimini Congressi S.r.l., does not change, in substance, the previous shares and must be classified under the provision, as per the Civil Code, of “cross-shareholdings” for which it is provided, pursuant to Article 2359-bis of the Civil Code, that the related voting rights will remain frozen.</w:t>
        <w:br/>
        <w:t>Regarding AIA Palace, it is a consortium company that manages many accommodation facilities intended for hosting during events held in the new Palacongressi of Rimini. The participation in Rimini Congressi is, however, minimal and such that it does not change the previous control structure.</w:t>
      </w:r>
    </w:p>
    <w:p>
      <w:r>
        <w:rPr>
          <w:b/>
        </w:rPr>
        <w:t>[Pages 58–60]</w:t>
      </w:r>
    </w:p>
    <w:p>
      <w:r>
        <w:t>BULLETIN NO. 24 OF JUNE 14, 2021 59</w:t>
        <w:br/>
        <w:t>"competence"3. According to the report from the C.C.I.A.A. of Romagna, Rimini Congressi S.r.l. would not be subject to public control, even jointly, and the participation in it "is strategic and consistent with the purposes of the entity, without any rationalization intervention"; moreover, operating in the trade fair sector, this participation would fall under the provisions of Article 4, paragraph 7 of Legislative Decree No. 175/2016, which expressly states that "participations in companies whose predominant corporate purpose is the management of exhibition spaces and the organization of trade fairs are also permitted."</w:t>
      </w:r>
    </w:p>
    <w:p>
      <w:r>
        <w:t>It is also noted that Rimini Congressi S.r.l., in addition to holding the relative majority of the capital of I.E.G. (approximately 49%), exercises 55.86% of the associated voting rights in the assembly (and thus holds "control" pursuant to Article 2359 of the Civil Code of the company). The company I.E.G. organizes fairs in Italy and abroad and manages the facilities in Rimini and Vicenza in this regard.</w:t>
      </w:r>
    </w:p>
    <w:p>
      <w:r>
        <w:t>Not recognizing, as stated, the joint public control over Rimini Congressi, the CCIAA of Romagna in the current Ordinary Review Plan of the participated companies does not mention IEG. This assessment of the corporate structure is not shareable, and this Authority intends, first of all, to reiterate what has already been communicated with the opinion pursuant to Article 21 bis of Law 287/90 of February 4, 2020, No. AS16684 regarding the fact that Rimini Congressi is subject to the joint control of the three aforementioned public shareholders and, by virtue of this control, the company IEG must be considered an indirect participation of the aforementioned entities (Municipality of Rimini, Province of Rimini, and C.C.I.A.A. of Romagna) pursuant to Article 2, letter g) of Legislative Decree No. 175/2016.</w:t>
      </w:r>
    </w:p>
    <w:p>
      <w:r>
        <w:t>Several circumstances support this reconstruction. First, the statutory provision states that Rimini Congressi "manages, on behalf of and for the benefit of the three public shareholders, the coordinated and unified management of their participations." The company, therefore, has as its statutory purpose the "unified management of participations," which implies the presence of joint control by the three public shareholders, further confirmed by the analysis of the votes expressed by the three shareholders in the same manner - with the exception of a single case of abstention by one of the shareholders - in the assemblies of Rimini Congressi over the last three years.</w:t>
      </w:r>
    </w:p>
    <w:p>
      <w:r>
        <w:t>This qualification is also confirmed by the Court of Auditors, Regional Control Section for Emilia Romagna, which, in Resolution 44/2018, noted the public nature of the control exercised over Rimini Congressi, stating that: "the hypothesis of control referred to in Article 2359 of the Civil Code can also occur when the cases considered by the norm refer to multiple public administrations, which exercise such control jointly through conclusive behaviors, regardless of the existence of a formalized coordination [...]. From the qualification of the participation in Rimini Congressi as control ... follows the necessity to include among the companies to be subjected to extraordinary review also those indirectly owned through this and therefore, Italian Exhibition Group S.p.A. ... and the companies controlled by it."</w:t>
      </w:r>
    </w:p>
    <w:p>
      <w:r>
        <w:t>The Court reached the same conclusions for the Palazzo dei Congressi S.p.A. Company, which was also, at the time, participated by Rimini Congressi S.r.l. However, this last company was correctly subjected to a rationalization process through the merger into Rimini Congressi S.r.l.</w:t>
      </w:r>
    </w:p>
    <w:p>
      <w:r>
        <w:t>60 BULLETIN NO. 24 OF JUNE 14, 2021</w:t>
        <w:br/>
        <w:t>From the analysis of this extraordinary operation, further evidence of the public control exercised jointly by the Municipality of Rimini, the CCIAA Romagna, and the Province of Rimini over Rimini Congressi S.r.l. can be inferred. In the explanatory report of the administrative body on the merger project between Rimini Congressi and the Palazzo dei Congressi S.p.A., drafted pursuant to Article 2501-quinquies of the Civil Code (which took place in December 2020), it is stated, in the chapter "objectives and motivations intended to be pursued with the Operation," that: "The merger operation ... originates from the needs of the local public shareholders (Province of Rimini, Chamber of Commerce of Romagna - Forlì - Cesena and Rimini, and Rimini Holding S.p.A., the holding company of the Municipality of Rimini), which together hold 100% of the share capital of Rimini Congressi, to proceed, even without direct participations in the Palazzo Company, with a plan to rationalize their direct and indirect participations [...] it is therefore evident that the local authorities obliged to comply with the provisions of the aforementioned Article 20 [Legislative Decree 176/2016 n.d.r.] consider it necessary to finalize the hypothesized merger operation." It is Rimini Congressi itself, therefore, that justifies the merger with its subsidiary with the need to comply with the obligations imposed on the controlling public entities to fulfill the prescriptions of Article 20 of Legislative Decree 175/2016.</w:t>
      </w:r>
    </w:p>
    <w:p>
      <w:r>
        <w:t>Finally, it is worth recalling what the Province of Rimini stated regarding the existence of joint control. The Province, in Annex A to its resolution No. 29 of December 29, 2020, relating to the Ordinary Review of participations 2020, expressly recognizes holding an indirect participation in IEG S.p.A., and, with reference to Rimini Congressi, states that it is subject to "joint control - majority of votes exercisable in the ordinary assembly and actual exercise of control power also through conclusive behaviors" and that the maintenance of the participations held in it "is aimed at pursuing institutional activities pursuant to Article 19 of the TUEL as they are of significant provincial interest in the economic, productive, commercial, tourist, social, and cultural sectors."</w:t>
      </w:r>
    </w:p>
    <w:p>
      <w:r>
        <w:t>From the above elements, it emerges, therefore, that the C.C.I.A.A. of Romagna, together with the other two public shareholders, holds the indirect participation in I.E.G., since Rimini Congressi S.r.l., jointly controlled by the C.C.I.A.A., the Municipality, and the Province, has in I.E.G. the relative majority of the share capital and more than 50% of the voting rights.</w:t>
      </w:r>
    </w:p>
    <w:p>
      <w:r>
        <w:t>That said, the Authority believes it is necessary to reiterate the observations already made through opinion No. AS1668 regarding the existence of specific criticalities from the perspective of competition law arising from the aforementioned corporate structure. It is noted, in fact, that IEG has implemented a significant acquisition activity of companies that carry out activities different from that related to the organization of fairs5. No communication regarding these acquisitions has been received pursuant to Article 5, paragraph 3 of Legislative Decree No. 175/2016.</w:t>
      </w:r>
    </w:p>
    <w:p>
      <w:r>
        <w:t>It is recalled, in this regard, that Legislative Decree No. 175/2016 has brought together into a single regulatory corpus the discipline of public participations, providing, on the one hand, for their rationalization through a stringent identification of the statutory purposes that public participation companies can pursue and the areas of activity in which it is permitted to establish companies or maintain public participations, and on the other hand, for the strengthening of the motivational obligations that Public Administrations are required to fulfill for the establishment or maintenance of participations.</w:t>
      </w:r>
    </w:p>
    <w:p>
      <w:r>
        <w:t>The TUSPP thus identifies a restricted type of areas in which new companies can be established and/or participations in existing ones can be acquired/maintained, providing stringent constraints of purpose and activity (Article 4). A special regime is provided for fairs, to which Article 4, paragraph 7 is dedicated, which expressly states that "participations in companies whose predominant corporate purpose is the management of exhibition spaces and the organization of trade fairs are also permitted." This means, in the spirit of the norm, that the management of exhibition spaces and the organization of such events appear to be substantially comparable, from the perspective of the pursued purpose, to the other activities that Public Administrations can pursue through corporate participations, namely those defined in Article 4, paragraph 1, as "strictly necessary for the pursuit of their institutional purposes."</w:t>
      </w:r>
    </w:p>
    <w:p>
      <w:r>
        <w:t>In this regard, it is believed that the legislator intended to grant recognition pursuant to Article 4, paragraph 7, to participations concerning companies whose predominant corporate purpose is the organization of a specific type of events that, in accordance with the provisions of the norm, appear to be events aimed at enhancing the cultural and industrial heritage of reference, as they express a value worthy of consideration within the various institutional purposes pursued by public administrations in general.</w:t>
      </w:r>
    </w:p>
    <w:p>
      <w:r>
        <w:t>This interpretation, on the other hand, appears consistent with the principles governing the protection of competition, which also inspire Legislative Decree No. 175/2016, as can be seen from paragraph 2 of Article 1, according to which the provisions contained in the decree in question "are applied with regard to the efficient management of public participations, the protection and promotion of competition and the market, as well as the rationalization and reduction of public spending."</w:t>
      </w:r>
    </w:p>
    <w:p>
      <w:r>
        <w:t>Also from a competitive perspective, therefore, it is believed that the hypothesis regulated by Article 4, paragraph 7, of Legislative Decree No. 175/2016 should be interpreted rigorously in order to avoid that what represents a special prerogative granted by the legislator extends beyond the intentions of the norm, to include within it different services offered in competition in the market. In this sense, the participations held by I.E.G. in companies that provide additional services, such as those for the setup of stands for fairs, congresses, and events in general, do not appear to fall within the provisions of the aforementioned paragraph 7 of Article 4 of Legislative Decree No. 175/2016. In fact, these are services that, while also concerning the organization of fairs, do not appear to be directly attributable to the aforementioned institutional purposes, and for which there are no reasons for their exclusion from market dynamics.</w:t>
      </w:r>
    </w:p>
    <w:p>
      <w:r>
        <w:t>Taking into account the above, the Annual Rationalization Plan of the participated companies as per the urgent presidential resolution No. 19 of December 22, 2020, of the Chamber of Commerce of Romagna, Forlì, Cesena, and Rimini appears to be in contrast with Article 4, paragraph 7, of the TUSPP. In particular, it is believed that the maintenance, through the company I.E.G., of participations in the sector of stand setup and organization of events in general, is not consistent with what is established by the aforementioned Article 4, paragraph 7 and with the competitive principles it intends to express, and that therefore such participations should be subject to divestiture. In this perspective, it is deemed appropriate that the corporate purpose of I.E.G. be rationalized as well, making it compliant with</w:t>
      </w:r>
    </w:p>
    <w:p>
      <w:r>
        <w:rPr>
          <w:b/>
        </w:rPr>
        <w:t>[Pages 61–63]</w:t>
      </w:r>
    </w:p>
    <w:p>
      <w:r>
        <w:t>BULLETIN NO. 24 OF JUNE 14, 2021</w:t>
      </w:r>
    </w:p>
    <w:p>
      <w:r>
        <w:t>the provisions of the regulation and thus limiting it and the activity carried out by the company primarily to the management of exhibition spaces and the organization of fairs.</w:t>
      </w:r>
    </w:p>
    <w:p>
      <w:r>
        <w:t>Pursuant to Article 21 bis, paragraph 2, of Law No. 287/90, the C.C.I.A.A. of Romagna must communicate to the Authority, within sixty days from the receipt of this opinion, the initiatives adopted. If within the aforementioned period such initiatives do not comply with the competition principles expressed above, the Authority may file an appeal within the following thirty days.</w:t>
      </w:r>
    </w:p>
    <w:p>
      <w:r>
        <w:t>This opinion will be published in the Bulletin of the Competition and Market Authority.</w:t>
      </w:r>
    </w:p>
    <w:p>
      <w:r>
        <w:t>THE PRESIDENT</w:t>
        <w:br/>
        <w:t>Roberto Rustichelli</w:t>
        <w:br/>
        <w:t>______________________________________________________________________</w:t>
      </w:r>
    </w:p>
    <w:p>
      <w:r>
        <w:t>Communication regarding the non-compliance of the Chamber of Commerce of Romagna – Forlì, Cesena, Rimini with the reasoned opinion expressed by the Authority, pursuant to Article 21-bis of Law No. 287/1990, against the Urgent Presidential Resolution No. 19 of December 22, 2020, containing "Ordinary Review Plan of the companies participated by the Chamber of Commerce of Romagna – Forlì, Cesena, Rimini pursuant to Article 20 of Legislative Decree No. 175/2016" and Annual Rationalization Plan of participations (Article 20 of Legislative Decree No. 175/2016), adopted by virtue of the provisions of Article 20 of Legislative Decree No. 175 of August 19, 2016.</w:t>
      </w:r>
    </w:p>
    <w:p>
      <w:r>
        <w:t>In its meeting of March 16, 2021, the Authority decided to send a reasoned opinion to the Chamber of Commerce of Romagna – Forlì, Cesena, and Rimini, pursuant to Article 21-bis of Law No. 10 October 1990, No. 287, regarding the content of the Urgent Presidential Resolution No. 19 of December 22, 2020, containing "Ordinary Review Plan of the companies participated by the Chamber of Commerce of Romagna – Forlì, Cesena, Rimini pursuant to Article 20 of Legislative Decree No. 175/2016" and Annual Rationalization Plan of participations (Article 20 of Legislative Decree No. 175/2016), adopted by the aforementioned Chamber of Commerce by virtue of the provisions of Article 20 of Legislative Decree No. 175 of August 19, 2016.</w:t>
      </w:r>
    </w:p>
    <w:p>
      <w:r>
        <w:t>In particular, the Authority prescribed to the Chamber of Commerce to divest the participations held through the company Italian Exhibition Group S.p.A. (IEG) in some companies operating in the sector of stand construction for fairs, congresses, and events in general. IEG is a company that organizes fairs, congresses, and events also at an international level and is controlled by the company Rimini Congressi S.r.l., which in turn is participated by three public shareholders: the Municipality of Rimini (for 35.58% through the company controlled by it Rimini Holding S.p.A.), the Province of Rimini (for 32.50%), and the C.C.I.A.A. of Romagna (for 31.92%).</w:t>
      </w:r>
    </w:p>
    <w:p>
      <w:r>
        <w:t>The Authority indeed considered that the special regime for fairs introduced by Article 4, paragraph 7 of the TUSPP, which establishes that "Participations in companies whose predominant corporate purpose is the management of exhibition spaces and the organization of exhibition events are also permitted," must be interpreted strictly in order to avoid that what represents a special prerogative granted by the legislator extends beyond the purpose and objectives set by the regulation, to include within it different services offered in competition in the market. On this point, the Authority noted that the services of stand construction, while they may also concern the organization of fairs, do not primarily appear to be attributable to the institutional purposes dictated by the regulation and the general rationale of the TUSPP, and that there are no reasons for their exclusion from market dynamics.</w:t>
      </w:r>
    </w:p>
    <w:p>
      <w:r>
        <w:t>The Chamber of Commerce, with communication dated May 11, 2021, responded to the Authority's opinion informing that it considers its actions legitimate, mainly due to the absence of public control over the company IEG and by virtue of its nature as a listed company, from which the inapplicability of the auditing obligations provided by the TUSPP would derive.</w:t>
      </w:r>
    </w:p>
    <w:p>
      <w:r>
        <w:t>Taking note of the non-compliance of the administration with the reasoned opinion pursuant to Article 21-bis of Law No. 287/1990, the Competition and Market Authority, in its meeting of May 18, 2021, therefore decided to appeal before the T.A.R. of Emilia Romagna against the Urgent Presidential Resolution No. 19 of December 22, 2020, containing "Ordinary Review Plan of the companies participated by the Chamber of Commerce of Romagna – Forlì, Cesena, Rimini pursuant to Article 20 of Legislative Decree No. 175/2016" and "Annual Rationalization Plan of participations (Article 20 of Legislative Decree No. 175/2016)."</w:t>
      </w:r>
    </w:p>
    <w:p>
      <w:r>
        <w:t>AS1757 - ANAC-AGCOM - GUIDELINES FOR THE AWARD OF PUBLIC CONTRACTS FOR POSTAL SERVICES</w:t>
        <w:br/>
        <w:t>Rome, May 21, 2021</w:t>
        <w:br/>
        <w:t>National Anti-Corruption Authority</w:t>
        <w:br/>
        <w:t>Authority for Communications Guarantees</w:t>
      </w:r>
    </w:p>
    <w:p>
      <w:r>
        <w:t>With reference to the request for an opinion formulated regarding the Draft Guidelines of the National Anti-Corruption Authority (ANAC) - Authority for Communications Guarantees (AGCOM), for the update of determination No. 3 of December 9, 2014, containing "Guidelines for the award of public contracts for postal services" (hereinafter draft Guidelines), the Authority, in its meeting of May 18, 2021, deemed it appropriate to formulate the following observations pursuant to Article 22 of Law No. 287/90.</w:t>
      </w:r>
    </w:p>
    <w:p>
      <w:r>
        <w:t>The draft Guidelines contain a series of operational indications for contracting authorities regarding numerous aspects related to the award of public contracts for postal services, including the division into lots, the coverage of delivery services, the information to be provided in the tender documents, the participation requirements, and the award criteria. Specific indications are also provided regarding notifications by mail of judicial acts and related communications and violations of the highway code.</w:t>
      </w:r>
    </w:p>
    <w:p>
      <w:r>
        <w:t>The Authority fully shares the objective of promoting the widest and most effective opening of the postal services market and, in this perspective, positively evaluates the provisions contained in the draft Guidelines regarding the issue of division into lots, particularly the clarification in Article 2.5, according to which the failure to divide into lots represents a derogation from the general rule and, therefore, is possible only with adequate justification from the contracting authority, in limited cases and with reference to specific and objective concrete needs.</w:t>
      </w:r>
    </w:p>
    <w:p>
      <w:r>
        <w:t>However, it is deemed appropriate to make some considerations regarding the indication in the draft Guidelines, albeit by way of example, of numerical values concerning important elements of competitive comparison such as the coverage of delivery services and the participation requirement of the average annual workforce.</w:t>
      </w:r>
    </w:p>
    <w:p>
      <w:r>
        <w:t>With reference to the coverage of delivery services, the aforementioned draft (Article 3.4) provides, albeit merely by way of example, the minimum coverage percentages of the delivery service that could be deemed appropriate in relation to different geographical areas (municipal, provincial, intra- and extra-regional, territorial areas North, Center, South, and national territory); even regardless of their breadth, which is still quite contained, the provision of such numerical thresholds regarding a crucial element of competitive comparison is likely to introduce elements of</w:t>
      </w:r>
    </w:p>
    <w:p>
      <w:r>
        <w:rPr>
          <w:b/>
        </w:rPr>
        <w:t>[Pages 64–66]</w:t>
      </w:r>
    </w:p>
    <w:p>
      <w:r>
        <w:t>BULLETIN NO. 24 OF JUNE 14, 2021 65</w:t>
      </w:r>
    </w:p>
    <w:p>
      <w:r>
        <w:t>unnecessary rigidity in the procedures for awarding postal services and risks creating undue advantages for the incumbent operator. This is also considering the fact that the degree of coverage can be influenced by other factors, different from the geographical scope of the award, such as the morphology of the territory, the distribution of the population, and the type of entity (for example, in the indication "municipal areas," both small municipalities and capitals may fall under this). Such elements should be evaluated on a case-by-case basis by the contracting authority in order to identify, where necessary and proportionate, the minimum territorial coverage to be required in the specific award procedure. A further possible risk of introducing undue elements of rigidity could arise from the provision, albeit within the framework of a mere illustrative example, of a scoring structure that can be used for coverage bands that exceed the minimum coverage level (art. 9.4).</w:t>
      </w:r>
    </w:p>
    <w:p>
      <w:r>
        <w:t>Similarly, regarding the requirement of the average annual workforce, identified in the draft Guidelines as a condition for the execution of the contract (art. 8.2), to be determined following an analysis of the characteristics of the service and the territory to be covered (art. 8.3), a numerical indication of the ratios of processed pieces/number of employees deemed appropriate for different types of services is provided, specifying that such proportions can be applied to estimate the labor costs to be indicated in the tender documentation. Even in this case, precise numerical indications are provided, albeit always as examples, on a determinant of the cost of providing the services subject to the award procedure, with the risk of introducing undue rigidity, to the detriment of potential competition.</w:t>
      </w:r>
    </w:p>
    <w:p>
      <w:r>
        <w:t>In the perspective of striving for an actual leveling of the competitive playing field, while being aware of the needs on which this approach of the draft Guidelines is based, it is therefore suggested to consider the opportunity to remove from the document – as well as from the illustrative Report – the aforementioned references to numerical thresholds, in relation to elements whose determination should ideally be made by the contracting authorities, on a case-by-case basis, so that the tender design takes into account the actual market situation to which the award procedure refers.</w:t>
      </w:r>
    </w:p>
    <w:p>
      <w:r>
        <w:t>More generally, it is desirable that in the design of specific tenders, the element of coverage is not considered in such a way as to constitute an undue barrier to entry or to prevent the proper unfolding of competitive dynamics.</w:t>
      </w:r>
    </w:p>
    <w:p>
      <w:r>
        <w:t>Specifically, with reference to the element of territorial coverage, the Authority intends to highlight how, in order to allow for broader participation and greater competition in the tendering process, it would be advisable that this requirement is only provided where its introduction is deemed necessary and proportionate by the contracting authority in relation to the specific award and is formulated in such a way as not to unjustifiably advantage the incumbent or the holder of the universal service. Similarly, if the element of territorial coverage is deemed by the contracting authority to be worthy of consideration for the evaluation of offers, this requirement should not appear both among the criteria for evaluating the technical offer and among those for evaluating the economic offer; such duplication could indeed unjustifiably advantage the incumbent or the holder of the universal service.</w:t>
      </w:r>
    </w:p>
    <w:p>
      <w:r>
        <w:t>Finally, with reference to the indications of the draft Guidelines concerning notifications by mail of judicial acts and related communications and violations of the highway code (art. 12), these appear essentially anchored to the regulatory framework of reference – including in particular the determinations made by AGCOM1 – in relation to which the Authority, within the scope of its advocacy activities, has already had the opportunity to formulate its observations2 regarding the risks of possible prejudices to the liberalization process of such services.</w:t>
      </w:r>
    </w:p>
    <w:p>
      <w:r>
        <w:t>It is finally noted that the aforementioned art. 12 contains indications, both on the operators that can participate in the award procedures for the services (where reference is made to specific forms of organization incompatible with participation in RTI) and on the characteristics of the notification process (not providing, among other things, for subcontracting), which do not favor competition and could be in contrast with the principle of favor participationis that inspires the EU legislation on public procurement.</w:t>
      </w:r>
    </w:p>
    <w:p>
      <w:r>
        <w:t>In particular, in light of the case law of the Court of Justice, it must be considered that a general and abstract prohibition on the use of subcontracting for certain categories of awards is in conflict with European regulations on public contracts3. Similarly, the limitation regarding the possibility of participating in a grouping only through specific forms, as well as the consequent impossibility of relying on the capacities of other subjects to participate in the public tender procedure4, is not compatible with EU provisions on public awards.</w:t>
      </w:r>
    </w:p>
    <w:p>
      <w:r>
        <w:t>In conclusion, the Authority shares the objectives of ensuring the widest participation and a pro-competitive outcome of the award procedures for postal services and, in this perspective, hopes that the observations made above can be adequately considered in order to promote the development of appropriate competitive dynamics in the postal services market.</w:t>
      </w:r>
    </w:p>
    <w:p>
      <w:r>
        <w:t>This opinion will be published in the bulletin referred to in Article 26 of Law No. 287/90. Any confidentiality needs must be communicated to the Authority within fifteen days of receiving this opinion, specifying the reasons.</w:t>
      </w:r>
    </w:p>
    <w:p>
      <w:r>
        <w:t>THE PRESIDENT</w:t>
        <w:br/>
        <w:t>Roberto Rustichelli</w:t>
      </w:r>
    </w:p>
    <w:p>
      <w:r>
        <w:t>1 In particular, resolution no. 77/18/CONS Approval of the regulation concerning the issuance of licenses to carry out the notification service by mail of judicial acts and related communications (Law No. 890 of November 20, 1982) and of violations of the highway code (Article 201 of Legislative Decree No. 285 of April 30, 1992).</w:t>
        <w:br/>
        <w:t>2 See, inter alia, AS1453 Regulation on the issuance of licenses for the notification service of judicial acts and violations of the highway code of October 31, 2017 in Boll. 46/2017.</w:t>
        <w:br/>
        <w:t>3 See Article 88 of Directive 2014/25/EU (and Article 71 of Directive 2014/24/EU), as well as the judgment rendered by the Court of Justice in case C-63/18, Vitali, in which the Court concluded, with reference to Italian legislation, that "Directive 2014/24 must be interpreted as precluding a national regulation, such as that at issue in the main proceedings, which limits to 30% the part of the contract that the tenderer is authorized to subcontract to third parties." (see also case C-402/18, Tedeschi and case C-406/14, Wrocław– Miasto na prawach powiatu).</w:t>
        <w:br/>
        <w:t>4 See Articles 37 and 79 of Directive 2014/25/EU (and Articles 19 and 63 of Directive 2014/24), as well as the judgments rendered by the Court of Justice in case C-305/08, National Interuniversity Consortium for Marine Sciences (CoNISMa) and in case C-94/12, Swm Costruzioni 2 SpA.</w:t>
      </w:r>
    </w:p>
    <w:p>
      <w:r>
        <w:t>BULLETIN NO. 24 OF JUNE 14, 2021 67</w:t>
      </w:r>
    </w:p>
    <w:p>
      <w:r>
        <w:t>AS1758 – PIAVE DI MONTEBELLUNA (TV) LAND RECLAMATION CONSORTIUM – AWARD OF PRINTING, ENVELOPING, AND DELIVERY SERVICES FOR PAYMENT NOTICES 2021</w:t>
      </w:r>
    </w:p>
    <w:p>
      <w:r>
        <w:t>Rome, April 2, 2021</w:t>
      </w:r>
    </w:p>
    <w:p>
      <w:r>
        <w:t>Piave Land Reclamation Consortium of Montebelluna</w:t>
      </w:r>
    </w:p>
    <w:p>
      <w:r>
        <w:t>The Competition and Market Authority, in its meeting of March 30, 2021, decided to express an opinion, pursuant to Article 21-bis of Law No. 287 of October 10, 1990, concerning the tender published on February 19, 2021, on the website www.appalti.consorziopiave.it, and the other acts that make up the special lex of the tender called by the Piave Land Reclamation Consortium of Montebelluna (TV) (hereinafter also "Consortium"), for the award of "Printing, enveloping, and delivery services for payment notices 2021."</w:t>
      </w:r>
    </w:p>
    <w:p>
      <w:r>
        <w:t>In particular, the act in question, with which the Consortium defined the methods and conditions for participation in the tender procedure, presents some aspects that could potentially conflict with the principles of free competition, equal treatment, and non-discrimination among economic operators.</w:t>
      </w:r>
    </w:p>
    <w:p>
      <w:r>
        <w:t>The Authority, first of all, considered that the tender documentation1, in the part where it explains the reasons why the contract has not been divided into multiple functional lots, is not sufficiently justified. Therefore, the contracting authority's choice not to comply with the obligation to divide into lots, as provided for by Article 51, paragraph 1, of Legislative Decree No. 50 of April 18, 2016, containing the Public Contracts Code (hereinafter also "CCP"), is likely to translate into an unjustified obstacle to the participation of economic operators interested in the tender called by the Consortium.</w:t>
      </w:r>
    </w:p>
    <w:p>
      <w:r>
        <w:t>In particular, the Authority considered that, in this case, the definition of a single functional lot is likely to unjustifiably limit competition for the market concerning the award of postal services for printing, enveloping, and delivery. In fact, from a merchandise perspective, the bundling of services related to different phases of the processing of packages to be sent by mail is in contrast with the purpose, inherent in the EU legislation on public procurement procedures, of promoting the widest access of economic operators to the public procurement market, regardless of the size.</w:t>
      </w:r>
    </w:p>
    <w:p>
      <w:r>
        <w:t>1 In particular, in Article 3 of the Tender Regulations, titled "Object of the contract, amount," the Consortium states that the definition of a single functional lot is aimed at "ensuring a more effective programming of the various services that make up the service, a better and more efficient coordination of the different phases, as well as greater rationalization and cost containment for the Consortium."</w:t>
      </w:r>
    </w:p>
    <w:p>
      <w:r>
        <w:rPr>
          <w:b/>
        </w:rPr>
        <w:t>[Pages 67–69]</w:t>
      </w:r>
    </w:p>
    <w:p>
      <w:r>
        <w:t>68 BULLETIN NO. 24 OF JUNE 14, 2021</w:t>
        <w:br/>
        <w:t>of the company and the implementation of structural strategic choices. The provision of a single functional lot, in fact, unjustifiably hinders the participation of smaller companies, not vertically integrated across the entire supply chain and not active, except to a limited extent, in the provision of delivery services.</w:t>
      </w:r>
    </w:p>
    <w:p>
      <w:r>
        <w:t>In fact, Article 51, paragraph 1, CCP, which provides for a general obligation of separation into lots for contracting authorities, constitutes a specific declination of the principles of competition, non-discrimination, equal treatment, publicity, and transparency, which inform EU and national public procurement legislation and, as such, represents a further expression of favor participations, which cannot be unjustifiably limited. In this regard, the Authority also noted that, although Article 51, paragraph 1, CCP allows contracting authorities to opt for the definition of a single lot by providing adequate and express justification, in the specific case, the reasons for efficiency and rationalization expressed by the Consortium in the tender documents do not appear sufficient to justify the lack of subdivision into lots of the contract.</w:t>
      </w:r>
    </w:p>
    <w:p>
      <w:r>
        <w:t>Indeed, in light of what has been stated by the European legislator regarding public procurement, the reasons that allow contracting authorities to avoid fulfilling the obligation of subdivision into lots are mirrored in those that are the basis for unbundling, to the extent that they must also aim to meet the need to safeguard competitive comparison, or at least be complementary to them, as they aim to safeguard the proper execution of the contract. What has been stated derives directly from Directive 2014/24/EU which, in Recital 78, lists, by way of example, some of the reasons that justify contracting authorities not to subdivide the contract into lots. In particular, the European legislator considers that contracting authorities may decide not to subdivide the contract into lots when this: i) is likely to limit competition; ii) makes the execution of the contract excessively difficult from a technical point of view or too costly; iii) does not allow for the coordination of different economic operators with the risk of jeopardizing the proper execution of the contract.</w:t>
      </w:r>
    </w:p>
    <w:p>
      <w:r>
        <w:t>Conversely, given that the reasons put forward by the Consortium to justify the lack of subdivision into lots appear to aim solely at achieving an internal objective of efficiency and rationalization, the lack of unbundling of the postal services in question is detrimental to the principles of public procurement, resulting in a violation of the obligation established by Article 51, paragraph 1, CCP.</w:t>
      </w:r>
    </w:p>
    <w:p>
      <w:r>
        <w:t>Secondly, the Authority has deemed that the provisions of the special law concerning the possession of specific technical and professional capacity requirements are likely to unjustifiably limit participation in the tender procedure announced by the Consortium.</w:t>
      </w:r>
    </w:p>
    <w:p>
      <w:r>
        <w:t>In particular, the provisions contained in Article 7.2, letter a), numbers 1 and 2, of the tender specifications appear to have a detrimental character to competition as they require participants, under penalty of exclusion, to have executed, in the three years preceding the publication of the tender notice, distinct so-called flagship contracts for the printing and mailing service, as well as for the delivery service for certain volumes of shipments, which appear to assume a disproportionate character. These requirements, more specifically, appear unjustified in light of the object of the contract, as evidenced by the comparison between the volume and timing of the shipments related to the flagship contracts and those of the total shipments required from the successful bidder, which are lower in terms of volumes and can be fulfilled over a longer time period.</w:t>
      </w:r>
    </w:p>
    <w:p>
      <w:r>
        <w:t>BULLETIN NO. 24 OF JUNE 14, 2021 69</w:t>
        <w:br/>
        <w:t>The Authority, therefore, believes that the provisions of the special law mentioned above constitute specific violations of competition principles to the extent that they prevent competitive comparison regarding the awarding of the services put out to tender. The aforementioned provisions, in particular, are in contrast with the principles of EU origin regarding public procurement established by Article 30 of the CCP, as well as with Article 51 of the same Code, as they appear likely to unjustifiably limit competition in the market concerning the specific award in question, hindering the participation of small and medium-sized enterprises in the tenders.</w:t>
      </w:r>
    </w:p>
    <w:p>
      <w:r>
        <w:t>Therefore, the Authority invites this contracting authority to implement the corrective measures deemed most appropriate and adequate to restore the correct competitive dynamics regarding the awarding of the printing, mailing, and delivery service of the consortium payment notices for the year 2021.</w:t>
      </w:r>
    </w:p>
    <w:p>
      <w:r>
        <w:t>Pursuant to Article 21-bis, paragraph 2, of Law No. 287/90, this contracting authority must communicate to the Authority, within sixty days from the receipt of this opinion, the determinations taken to remove the aforementioned competition violations. If within the aforementioned term such initiatives do not prove to be compliant with the competition principles expressed above, the Authority may file an appeal within the following thirty days.</w:t>
      </w:r>
    </w:p>
    <w:p>
      <w:r>
        <w:t>This opinion will be published in the Authority's Bulletin pursuant to Article 26 of Law No. 287/90.</w:t>
        <w:br/>
        <w:t>_____________________________________________________________</w:t>
        <w:br/>
        <w:t>Statement regarding the Authority's decision not to appeal against the Tender of the public procurement procedure announced by the "Piave" Land Reclamation Consortium of Montebelluna (TV), for the awarding of the "Printing, mailing, and delivery services of payment notices 2021"</w:t>
      </w:r>
    </w:p>
    <w:p>
      <w:r>
        <w:t>In its meeting of March 30, 2021, the Competition and Market Authority decided to send a reasoned opinion pursuant to Article 21-bis of Law No. 10 of October 1990, No. 287 regarding certain provisions contained in the Tender of the public procurement procedure announced by the "Piave" Land Reclamation Consortium of Montebelluna (TV), for the awarding of the "Printing, mailing, and delivery services of payment notices 2021".</w:t>
      </w:r>
    </w:p>
    <w:p>
      <w:r>
        <w:t>Following the receipt of the reasoned opinion, the "Piave" Land Reclamation Consortium of Montebelluna (TV), with a response dated May 28, 2021, communicated to the Competition and Market Authority its observations regarding the provisions of the tender highlighted, also with reference to the specific characteristics of the markets involved in the tender.</w:t>
      </w:r>
    </w:p>
    <w:p>
      <w:r>
        <w:t>Having taken note of the information received, which provided suitable elements to overcome the competitive concerns highlighted in the aforementioned reasoned opinion, the Competition and Market Authority, in its meeting of June 8, 2021, deemed that the grounds for any appeal before the administrative judge against the contested acts had ceased to exist.</w:t>
      </w:r>
    </w:p>
    <w:p>
      <w:r>
        <w:t>70 BULLETIN NO. 24 OF JUNE 14, 2021</w:t>
        <w:br/>
        <w:t>AS1759 – ABC-ACQUA BENE COMUNE DI NAPOLI – AWARDING OF THE SERVICE</w:t>
        <w:br/>
        <w:t>OF PRINTING, MAILING, AND DELIVERY OF FRIENDLY REMINDERS AND OF</w:t>
        <w:br/>
        <w:t>DEFAULT NOTICES TO USERS OF THE INTEGRATED WATER SERVICE</w:t>
        <w:br/>
        <w:t>Rome, April 6, 2021</w:t>
        <w:br/>
        <w:t>ABC – Acqua Bene Comune di</w:t>
        <w:br/>
        <w:t>Napoli</w:t>
        <w:br/>
        <w:t>The Competition and Market Authority, in its meeting of March 30, 2021, decided to express an opinion, pursuant to Article 21-bis of Law No. 10 of October 1990, No. 287, regarding the tender published on the website www.abc.napoli.it on February 12, 2021, and the other acts that make up the special law of the public procurement procedure announced by ABC – Acqua Bene Comune di Napoli (hereinafter also "ABC Napoli"), for the awarding of the "Service of printing, mailing, and delivery of friendly reminders and default notices to users of the integrated water service provided by ABC Napoli".</w:t>
      </w:r>
    </w:p>
    <w:p>
      <w:r>
        <w:t>In particular, the act in question, with which ABC Napoli defined the methods and conditions of participation in the tender procedure, presents some aspects that may potentially conflict with the principles of free competition, equal treatment, and non-discrimination among economic operators.</w:t>
      </w:r>
    </w:p>
    <w:p>
      <w:r>
        <w:t>The Authority, first of all, deemed that the tender documentation, in the part where it explains the reasons why the contract was not divided into multiple functional lots, is not sufficiently justified. Therefore, the contracting authority's choice not to comply with the obligation of subdivision into lots provided for by Article 51, paragraph 1, of Legislative Decree No. 50 of April 18, 2016, containing the Public Contracts Code (hereinafter also "CCP"), is likely to translate into an unjustified obstacle to the participation of economic operators interested in the tender procedure announced by ABC Napoli.</w:t>
      </w:r>
    </w:p>
    <w:p>
      <w:r>
        <w:t>In particular, the Authority considered that, in this case, the definition of a single functional lot is likely to unjustifiably limit competition in the market concerning the awarding of postal services for printing, mailing, and delivery. In fact, from a commodity perspective, the bundling of services related to different phases of the processing of packages to be sent by mail is in contrast with the purpose inherent in the EU legislation.</w:t>
      </w:r>
    </w:p>
    <w:p>
      <w:r>
        <w:t>1 In particular, in Article 3 of the Tender Specifications, ABC Napoli states that the contract has not been divided into lots because "Given the type of service being contracted, the conditions for subdividing it into functional or performance lots do not exist, as specified in the internal documents supporting the aforementioned Commissioner’s Resolution [this refers to the Commissioner’s Resolution to contract No. 11 of February 4, 2021, published on the contracting authority's website without the supporting documents, ed.].</w:t>
      </w:r>
    </w:p>
    <w:p>
      <w:r>
        <w:rPr>
          <w:b/>
        </w:rPr>
        <w:t>[Pages 70–72]</w:t>
      </w:r>
    </w:p>
    <w:p>
      <w:r>
        <w:t>BULLETIN NO. 24 OF JUNE 14, 2021 71</w:t>
        <w:br/>
        <w:t>unitary concerning public procurement procedures, to promote the widest access of economic operators to the public contracts market, regardless of the size of the company and the implementation of structural strategic choices. The provision of a single functional lot, in fact, unjustifiably hinders the participation of smaller companies, not vertically integrated across the entire supply chain and not active, except to a limited extent, in the provision of delivery services.</w:t>
      </w:r>
    </w:p>
    <w:p>
      <w:r>
        <w:t>In fact, Article 51, paragraph 1, of the CCP, which provides a general obligation for contracting authorities to separate contracts into lots, constitutes a specific application of the principles of competition, non-discrimination, equal treatment, publicity, and transparency, which inform EU and national legislation on public procurement and, as such, represents a further expression of the favor participationis, which cannot be unjustifiably limited. In this regard, the Authority also noted that, although Article 51, paragraph 1, of the CCP allows contracting authorities to opt for the definition of a single lot by providing adequate and express justification, in the specific case, the reasons expressed by ABC Napoli in the tender documents appear largely insufficient to justify the failure to subdivide the contract into lots.</w:t>
      </w:r>
    </w:p>
    <w:p>
      <w:r>
        <w:t>Indeed, in light of what has been stated by the European legislator regarding public procurement, the reasons that allow contracting authorities to avoid fulfilling the obligation to subdivide into lots are mirrored to those that are the basis of unbundling, to the extent that they must also aim to meet the need to safeguard competitive comparison, or at least be complementary to them, as they aim to safeguard the proper execution of the contract. What has been stated derives directly from Directive 2014/24/EU which, in Recital 78, lists, by way of example, some of the reasons that could lead contracting authorities not to subdivide the contract into lots. In particular, the European legislator considers that contracting authorities may decide not to subdivide the contract into lots when this: i) is likely to limit competition; ii) makes the execution of the contract excessively difficult from a technical standpoint or too costly; iii) does not allow for the coordination of different economic operators with the risk of jeopardizing the proper execution of the contract.</w:t>
      </w:r>
    </w:p>
    <w:p>
      <w:r>
        <w:t>Conversely, the Authority observed that in the specific case, given that the reasons put forward by ABC Napoli to justify the failure to subdivide into lots are limited to an alleged lack of prerequisites and a reference to documents not published on the contracting authority's electronic portal, the failure to unbundle the postal services in question is detrimental to the principles of public procurement, constituting a violation of the obligation established by Article 51, paragraph 1, of the CCP.</w:t>
      </w:r>
    </w:p>
    <w:p>
      <w:r>
        <w:t>Secondly, the Authority considered that the prohibition of subcontracting provided for by the lex specialis (Article 9 of the tender specifications) presents a harmful character to competition. The Authority has already expressed its opinion on the pro-competitive value of the institution of subcontracting, even hypothesizing an expansion of its scope of application, as it constitutes a tool that favors greater participation of small and medium-sized enterprises in public procurement.</w:t>
      </w:r>
    </w:p>
    <w:p>
      <w:r>
        <w:t>The Authority also noted that the absolute prohibition of subcontracting contained in the lex specialis of the tender announced by ABC Napoli is likely to further strengthen the restrictive impact on competition related to the failure to subdivide the postal services subject to assignment, as it excessively hinders the participation of SMEs in the procurement procedure, in open contrast to the competitive principles of national and EU origin that inform the matter of public contracts. In particular, at the national level, the absolute prohibition of subcontracting is in contrast with what is provided for by Article 105 of the CCP, a provision that is also the subject of an infringement procedure in the part where it establishes quantitative limits on the use of subcontracting.</w:t>
      </w:r>
    </w:p>
    <w:p>
      <w:r>
        <w:t>The Authority, therefore, believes that the provisions of the aforementioned lex specialis constitute specific violations of competition principles to the extent that they prevent competitive comparison regarding the awarding of the services put out to tender. The aforementioned provisions, in particular, are in contrast with the community principles regarding public procurement established by Article 30 of the CCP, as well as with Articles 51 and 105 of the same Code, as they are likely to unjustifiably limit competition for the market concerning the specific assignment in question, hindering the participation of small and medium-sized enterprises in tenders.</w:t>
      </w:r>
    </w:p>
    <w:p>
      <w:r>
        <w:t>Therefore, the Authority invites this contracting authority to implement the corrective measures deemed most appropriate and adequate to restore the correct competitive dynamics regarding the awarding of the service for printing, mailing, and delivery of payment notices related to the year 2021.</w:t>
      </w:r>
    </w:p>
    <w:p>
      <w:r>
        <w:t>Pursuant to Article 21-bis, paragraph 2, of Law No. 287/90, this contracting authority must communicate to the Authority, within sixty days from the receipt of this opinion, the determinations made to remove the aforementioned competition violations. If within the aforementioned period such initiatives do not prove to be compliant with the above-expressed competition principles, the Authority may file an appeal within the following thirty days.</w:t>
      </w:r>
    </w:p>
    <w:p>
      <w:r>
        <w:t>This opinion will be published in the Authority's Bulletin pursuant to Article 26 of Law No. 287/90.</w:t>
      </w:r>
    </w:p>
    <w:p>
      <w:r>
        <w:t>THE PRESIDENT</w:t>
        <w:br/>
        <w:t>Roberto Rustichelli</w:t>
        <w:br/>
        <w:t>____________________________________________________________</w:t>
      </w:r>
    </w:p>
    <w:p>
      <w:r>
        <w:t>BULLETIN NO. 24 OF JUNE 14, 2021 73</w:t>
        <w:br/>
        <w:t>Announcement regarding the acknowledgment of the annulment in self-protection of the tender for the awarding of the "Service for printing, mailing, and delivery of amicable reminders and notices of default against users of the integrated water service provided by ABC Napoli."</w:t>
      </w:r>
    </w:p>
    <w:p>
      <w:r>
        <w:t>In its meeting of March 30, 2021, the Competition and Market Authority decided to send a reasoned opinion pursuant to Article 21-bis of Law No. 287 of October 10, 1990 regarding certain provisions contained in the tender notice for the awarding of the "Service for printing, mailing, and delivery of amicable reminders and notices of default against users of the integrated water service provided by ABC Napoli."</w:t>
      </w:r>
    </w:p>
    <w:p>
      <w:r>
        <w:t>The Competition and Market Authority, in its meeting of June 8, 2021, having acknowledged the annulment in self-protection communicated by the contracting authority on June 3, 2021, decided not to proceed with the establishment of proceedings before the Regional Administrative Court for Campania against the tender notice related to the awarding of the "Service for printing, mailing, and delivery of amicable reminders and notices of default against users of the integrated water service provided by ABC Napoli," as the reasons for intervention have ceased to exist.</w:t>
      </w:r>
    </w:p>
    <w:p>
      <w:r>
        <w:rPr>
          <w:b/>
        </w:rPr>
        <w:t>[Pages 73–75]</w:t>
      </w:r>
    </w:p>
    <w:p>
      <w:r>
        <w:t>74 BULLETIN NO. 24 OF JUNE 14, 2021</w:t>
        <w:br/>
        <w:t>AS1760 - ABC – ACQUA BENE COMUNE DI NAPOLI – PRINTING SERVICE</w:t>
        <w:br/>
        <w:t>BULK MAILING AND BILL DELIVERY</w:t>
        <w:br/>
        <w:t>Rome, April 6, 2021</w:t>
        <w:br/>
        <w:t>ABC – Acqua Bene Comune di</w:t>
        <w:br/>
        <w:t>Napoli</w:t>
        <w:br/>
        <w:t>The Competition and Market Authority, in its meeting of March 30, 2021, resolved to express an opinion, pursuant to Article 21-bis of Law October 10, 1990, No. 287, regarding the tender published on February 24, 2021, on the website www.abc.napoli.it, and the other acts that make up the special law of the tender called by ABC – Acqua Bene Comune di Napoli (hereinafter also "ABC Napoli"), for the assignment of the "Printing, bulk mailing, and bill delivery service."</w:t>
        <w:br/>
        <w:t>In particular, the act in question, with which ABC Napoli defined the methods and conditions for participation in the tender procedure, presents some aspects that may potentially conflict with the principles of free competition, equal treatment, and non-discrimination among economic operators.</w:t>
        <w:br/>
        <w:t>The Authority, first of all, considered that the tender documentation1, in the part where it explains the reasons why the contract has not been divided into multiple functional lots, is not sufficiently justified. Therefore, the contracting authority's choice not to comply with the obligation to divide into lots provided for by Article 51, paragraph 1, of Legislative Decree April 18, 2016, No. 50, containing the Public Contracts Code (hereinafter also "CCP"), is likely to translate into an unjustified obstacle to the participation of economic operators interested in the tender procedure called by ABC Napoli.</w:t>
        <w:br/>
        <w:t>In particular, the Authority deemed that, in this case, the definition of a single functional lot is likely to unjustifiably limit competition in the market concerning the assignment of postal services for printing, bulk mailing, and delivery. In fact, from a commodity perspective, the bundling of services related to different phases of the processing of packages to be sent by mail contradicts the purpose, inherent in EU legislation regarding public procurement procedures, of promoting the widest access for economic operators to the public procurement market, regardless of the size of the company and the implementation of structural strategic choices. The provision of a single functional lot, in fact, unjustifiably hinders the participation of smaller companies, not vertically integrated across the entire supply chain and not active, except to a limited extent, in the provision of delivery services.</w:t>
        <w:br/>
        <w:t>Indeed, Article 51, paragraph 1, CCP, which provides for a general obligation of separation into lots for contracting authorities, constitutes a specific declination of the principles of competition, non-discrimination, equal treatment, publicity, and transparency that inform European and national legislation on public procurement and, as such, constitutes a further expression of the favor participationis, which cannot be unjustifiably limited. In this regard, the Authority also noted that, although Article 51, paragraph 1, CCP allows contracting authorities to opt for the definition of a single lot by providing adequate and express justification, in this case, the reasons expressed by ABC Napoli in the tender documents appear largely insufficient to justify the lack of division into lots of the contract.</w:t>
        <w:br/>
        <w:t>In fact, in light of what the EU legislator has stated regarding public procurement, the reasons that allow contracting authorities to avoid fulfilling the obligation to divide into lots are mirrored by those that are the basis for unbundling, to the extent that they must also aim to meet the need to safeguard competitive comparison, or at least be complementary to them, as they aim to safeguard the proper execution of the contract. What has been stated derives directly from Directive 2014/24/EU, which, in Recital 78, lists, by way of example, some of the reasons that could lead contracting authorities not to divide the contract into lots. In particular, the EU legislator considers that contracting authorities may decide not to divide the contract into lots when this: i) is likely to limit competition; ii) makes the execution of the contract excessively difficult from a technical standpoint or too costly; iii) does not allow for the coordination of different economic operators with the risk of jeopardizing the proper execution of the contract.</w:t>
        <w:br/>
        <w:t>Conversely, the Authority observed that in this case, since the reasons put forward by ABC Napoli to justify the lack of division into lots are limited to an alleged peculiarity inherent in the type of service (when, in fact, Article 51, paragraph 1, CCP expressly states that the obligation to divide into lots also applies to services in special sectors, such as postal services under Article 120 CCP), the failure to unbundle the postal services in question is detrimental to the principles of public procurement, constituting a violation of the obligation established by Article 51, paragraph 1, CCP.</w:t>
        <w:br/>
        <w:t>Secondly, the Authority considered that the prohibition of subcontracting provided for by the special law (Article 7, letter j), of the tender specifications) presents a harmful character for competition. The Authority has already expressed its views on the pro-competitive value of the subcontracting institution2, even hypothesizing an expansion of its scope of application3, as it constitutes a tool that favors greater participation of small and medium-sized enterprises in public procurement.</w:t>
        <w:br/>
        <w:t>The Authority also noted that the absolute prohibition of subcontracting contained in the special law of the tender called by ABC Napoli is likely to further strengthen the restrictive impact on competition associated with the lack of division into lots of the postal services being assigned, as it excessively hinders the participation of SMEs in the tender procedure, in open contrast to the national and EU competitive principles that inform public contracts. In particular, at the national level, the absolute prohibition of subcontracting is in contrast with what is provided for by Article 105 CCP, a provision that is also subject to an infringement procedure4 in the part where it establishes quantitative limits on the use of subcontracting.</w:t>
        <w:br/>
        <w:t>The Authority, therefore, believes that the provisions of the special law mentioned above constitute specific violations of competitive principles to the extent that they prevent competitive comparison regarding the assignment of the services put out to tender. The aforementioned provisions, in particular, conflict with the EU principles regarding public procurement established by Article 30 of the CCP, as well as with Articles 51 and 105 of the same Code, as they are likely to unjustifiably limit competition in the market concerning the specific assignment in question, hindering the participation of small and medium-sized enterprises in tenders.</w:t>
        <w:br/>
        <w:t>Therefore, the Authority invites this contracting authority to implement the corrective measures deemed most appropriate and adequate to restore the correct competitive dynamics regarding the assignment of the printing, bulk mailing, and delivery service of the payment notices for the year 2021.</w:t>
        <w:br/>
        <w:t>Pursuant to Article 21-bis, paragraph 2, of Law No. 287/90, this contracting authority must communicate to the Authority, within sixty days from the receipt of this opinion, the determinations taken to remove the aforementioned competition violations. If within the aforementioned period such initiatives do not prove to be compliant with the competitive principles expressed above, the Authority may file an appeal within the following thirty days.</w:t>
        <w:br/>
        <w:t>This opinion will be published in the Bulletin of the Authority referred to in Article 26 of Law No. 287/90.</w:t>
        <w:br/>
        <w:t>THE PRESIDENT</w:t>
        <w:br/>
        <w:t>Roberto Rustichelli</w:t>
        <w:br/>
        <w:t>_____________________________________________________________</w:t>
        <w:br/>
        <w:t>Communication regarding the acknowledgment of the annulment in self-protection of the tender called by ABC – Acqua Bene Comune di Napoli, for the assignment of the "Printing, bulk mailing, and bill delivery service."</w:t>
        <w:br/>
        <w:t>In its meeting of March 30, 2021, the Competition and Market Authority resolved to send a reasoned opinion pursuant to Article 21-bis of Law October 10, 1990, No. 287.</w:t>
        <w:br/>
        <w:t>4 See the letter of formal notice from the European Commission, sent to the Minister of Foreign Affairs and International Cooperation on January 24, 2019, concerning other provisions of the CCP, https://www.cisl.it/attachments/article/11887/Lettera-UE-Infrazione.pdf.</w:t>
      </w:r>
    </w:p>
    <w:p>
      <w:r>
        <w:rPr>
          <w:b/>
        </w:rPr>
        <w:t>[Pages 76–78]</w:t>
      </w:r>
    </w:p>
    <w:p>
      <w:r>
        <w:t>BULLETIN NO. 24 OF JUNE 14, 2021 77</w:t>
        <w:br/>
        <w:t>287 regarding certain provisions contained in the Call for Tender, issued by ABC – Acqua Bene Comune di Napoli, for the assignment of the "Printing, stuffing, and delivery of bills" service. The Competition and Market Authority, in its meeting of June 8, 2021, having noted the annulment in self-protection communicated by the contracting authority on June 3, 2021, decided not to proceed with the establishment of the judgment before the Regional Administrative Court for Campania, against the Call related to the tender for the assignment of the "Printing, stuffing, and delivery of bills" service, as the reasons for intervention have ceased.</w:t>
      </w:r>
    </w:p>
    <w:p>
      <w:r>
        <w:t>BULLETIN NO. 24 OF JUNE 14, 2021</w:t>
        <w:br/>
        <w:t>REGULATION OF COMMERCIAL RELATIONS IN THE MATTER</w:t>
        <w:br/>
        <w:t>OF THE SALE OF AGRICULTURAL AND AGRI-FOOD PRODUCTS</w:t>
        <w:br/>
        <w:t>AL24 - BREEDERS/SEEDLESS GRAPE PRODUCERS</w:t>
        <w:br/>
        <w:t>Measure No. 29679</w:t>
        <w:br/>
        <w:t>THE COMPETITION AND MARKET AUTHORITY</w:t>
        <w:br/>
        <w:t>IN ITS MEETING of May 25, 2021</w:t>
        <w:br/>
        <w:t>HEARD the Rapporteur Professor Michele Ainis;</w:t>
        <w:br/>
        <w:t>HAVING REGARD TO Article 62 of Decree-Law January 24, 2012, No. 1, containing Urgent Provisions for competition, infrastructure development, and competitiveness, converted with amendments by Law March 24, 2012 No. 27, and subsequent amendments (hereinafter also "Article 62");</w:t>
        <w:br/>
        <w:t>HAVING REGARD TO Decree October 19, 2012, No. 199, of the Ministry of Agricultural, Food and Forestry Policies, Implementation Regulation of Article 62 of Decree-Law January 24, 2012, No. 1 containing urgent provisions for competition, infrastructure development, and competitiveness, converted with amendments by Law March 24, 2012 No. 27 (hereinafter also "Implementation Decree");</w:t>
        <w:br/>
        <w:t>HAVING REGARD TO the Regulation on investigative procedures concerning the regulation of commercial relations regarding the sale of agricultural and food products, adopted by resolution of the Authority on February 6, 2013, No. 24220 (hereinafter also "Regulation on investigative procedures");</w:t>
        <w:br/>
        <w:t>HAVING REGARD TO the communication of the initiation of the procedure of November 11, 2020, against the companies Sun World International LLC, Sun World Europe S.r.l., International Fruit Genetics LLC, Grapa Varieties Ltd, Special New Fruit Licensing Ltd, (hereinafter collectively referred to as the breeders) AVI S.r.l., Organization of Producers Giuliano S.r.l., Apofruit Italia agricultural cooperative and Didonna Trade S.r.l., also communicated to the complainants - the associations Liberi Agricoltori and Commercianti Pugliesi e Lucani, CIA Puglia and five agricultural enterprises - aimed at verifying the existence of alleged commercial conduct in violation of Article 62, paragraph 1 and paragraph 2, of Decree-Law No. 1/2012, as converted into Law No. 27/2012;</w:t>
        <w:br/>
        <w:t>HAVING REGARD TO the communication of April 14, 2021, containing indication of the deadline for the conclusion of the investigative phase pursuant to Article 12, paragraph 1, of the "Regulation on investigative procedures concerning the regulation of commercial relations regarding the sale of agricultural and food products" adopted by resolution of the Authority on February 6, 2013, No. 24220 (hereinafter, Regulation on investigative procedures), as well as the outcomes of the investigation carried out;</w:t>
        <w:br/>
        <w:t>HAVING REGARD TO the communication of April 16, 2021, by which, pursuant to Article 7, paragraph 3, of the Regulation on investigative procedures, the extension of the deadline for the conclusion of the procedure, last set for May 31, 2021, was ordered;</w:t>
        <w:br/>
        <w:t>HAVING REGARD TO the acts of the procedure;</w:t>
      </w:r>
    </w:p>
    <w:p>
      <w:r>
        <w:t>BULLETIN NO. 24 OF JUNE 14, 2021 79</w:t>
        <w:br/>
        <w:t>II. THE PARTIES</w:t>
        <w:br/>
        <w:t>II.1 The reported companies</w:t>
        <w:br/>
        <w:t>1. Sun World International LLC. (hereinafter also Sun World) is a company under U.S. law, active internationally in the development, cultivation, and marketing of numerous varieties of fruit, including table grapes. The company holds national and community intellectual property rights related to various registered seedless grape varieties, for each of which it also holds the relevant trademarks.</w:t>
        <w:br/>
        <w:t>2. Sun World Europe S.r.l. (hereinafter Sun World Europe), a subsidiary of Sun World, provides consulting services to promote innovation and the creation of intellectual property in the agricultural sector throughout Italy and Europe, as well as granting licenses for the exploitation of protected plant varieties to other producers and distributors of fresh fruit.</w:t>
        <w:br/>
        <w:t>3. Grapa Varieties Ltd. (hereinafter Grapa), with its registered office in Israel, is a company that operates internationally in the economic management of table grape plant varieties developed by ARD - Agricultural Research and Development LLC, including seedless table grapes. The company is therefore a "master" licensee for testing, propagating, and marketing in various countries, including Italy, the plant varieties for which it holds exclusive rights from ARD.</w:t>
        <w:br/>
        <w:t>4. AVI S.r.l. (hereinafter AVI) is an Italian company with its registered office in Saluzzo, which operates as the exclusive licensee, in Europe (excluding Greece), of the rights to test, propagate, and/or market the seedless grape varieties of Grapa. As a licensee agent of Grapa, AVI arranges the conclusion of sub-license agreements, within which it verifies the placement and extent of authorized plantations, collects from sub-licensees the payment of annual royalties due to Grapa, verifies the achievement of minimum quality requirements associated with the cultivated plant varieties, and offers technical-scientific support for cultivation. AVI does not operate as a distributor of the sub-licensed growers.</w:t>
        <w:br/>
        <w:t>5. International Fruit Genetics LLC. (hereinafter also International Fruit or IFG) is a company under U.S. law, active internationally in the creation of plant varieties, including seedless table grapes. The company holds exclusive rights over more than thirty grape varieties (white, red, or black berries), registered with the Community Plant Variety Office. The company operates in Italy through authorized licensees and distributors.</w:t>
        <w:br/>
        <w:t>6. Special New Fruit Licensing Ltd. (hereinafter only SNFL) is a company based in the United Kingdom, which operates internationally in the creation, development, and marketing of seedless table grape varieties, on which it holds patent rights. The company operates in Italy through authorized licensees and distributors. Special New Fruit Licensing Mediterraneo S.A., based in Spain, also operates internationally in the development of plant varieties, including seedless or seedless grapes.</w:t>
      </w:r>
    </w:p>
    <w:p>
      <w:r>
        <w:rPr>
          <w:b/>
        </w:rPr>
        <w:t>[Pages 79–81]</w:t>
      </w:r>
    </w:p>
    <w:p>
      <w:r>
        <w:t>80 BULLETIN NO. 24 OF JUNE 14, 2021</w:t>
        <w:br/>
        <w:t>7. Apofruit Italia soc. coop. Agricola (hereinafter only Apofruit) is a cooperative enterprise that operates with its own structures and producer members throughout the national territory in the production and marketing of fruit and vegetable products, on behalf of its members. The company is a licensee and/or reference distributor for the companies Sun World, International Fruit, and SNFL, which hold rights of exclusivity on certain types of seedless grapes.</w:t>
      </w:r>
    </w:p>
    <w:p>
      <w:r>
        <w:t>8. Organizzazione di Produttori Giuliano S.r.l. (hereinafter also OP Giuliano) is a company, with its registered office in Rutigliano (BA), active in the production of fruit and vegetable products and their marketing on behalf of the members of the OP. OP Giuliano is a licensee and/or reference distributor for the four companies Sun World, Grapa, International Fruit, and SNFL, which hold rights of exclusivity on certain types of seedless grapes.</w:t>
      </w:r>
    </w:p>
    <w:p>
      <w:r>
        <w:t>9. Didonna Trade S.r.l. (hereinafter only Didonna) is a company with its registered office in Rutigliano (BA), active, on behalf of the farmers adhering to OP Didonna, in the marketing of fruit and vegetable products and, in particular, table grapes, intended for distribution throughout the Italian territory, but also in the main European markets. The company is a licensee and/or reference distributor for the companies Sun World, Grapa, International Fruit, and SNFL, which hold rights of exclusivity on the main types of seedless grapes.</w:t>
      </w:r>
    </w:p>
    <w:p>
      <w:r>
        <w:t>10. It is finally noted that, due to partial homonymy in the company name, the procedure was originally initiated against the company Didonna Supreme; however, based on the statements made by the company and subsequently confirmed by the complainants, the company was found to be unrelated to the procedure in question, while the procedure was extended, on November 16, 2020, to the company Didonna Trade S.r.l., against which the complaints of the complainants were directed.</w:t>
      </w:r>
    </w:p>
    <w:p>
      <w:r>
        <w:t>II.2 The Complainants</w:t>
        <w:br/>
        <w:t>11. Confederazione Italiana Agricoltori Puglia (hereinafter also “CIA Puglia”) is the operational federation in the Puglia Region of the Confederazione Italiana Agricoltori - CIA, an organization representing agricultural entrepreneurs, based in Rome and active on a national level. The confederation, which associates over 370,000 agricultural enterprises on a national basis, operates through regional federations, provincial unions, local offices, and municipal delegations, as well as through category and product federations. CIA Puglia brings together numerous agricultural companies from Puglia, including those active, in particular, in the production and distribution of table grapes.</w:t>
      </w:r>
    </w:p>
    <w:p>
      <w:r>
        <w:t>12. Five agricultural companies active in viticulture in the Puglia Region.</w:t>
      </w:r>
    </w:p>
    <w:p>
      <w:r>
        <w:t>13. The Committee of Free Farmers and Traders from Puglia and Lucania represents about 80 agricultural producers of table grapes and was established to protect producers from unfair practices and anti-competitive behaviors occurring in the fruit and vegetable sector to preserve the rights of cultivation and marketing of fruit and vegetable specialties.</w:t>
      </w:r>
    </w:p>
    <w:p>
      <w:r>
        <w:t>III. THE INQUIRY PROCEDURE</w:t>
        <w:br/>
        <w:t>14. The procedure was initiated on November 11, 2020, based on the information and documentation acquired in the records, with particular reference to the reports sent by the complainants on June 11, 2019, and February 12, 2020, the contents of the hearing held with CIA Puglia, with the Committee of Free Farmers and Traders from Puglia and Lucania, and with some agricultural companies from Puglia on February 13, 2020, and finally, the additional documentation sent by these subjects on June 17, 2020. It is noteworthy that only in light of this last information was it possible to outline a defined picture of the matter which, also following further clarifications regarding the subjects involved provided on September 11, 2020, allowed the initiation of the present procedure.</w:t>
      </w:r>
    </w:p>
    <w:p>
      <w:r>
        <w:t>15. Following the communication of the initiation of the inquiry procedure, requests for information were sent to the Parties, aimed at acquiring further elements regarding the relationships between breeders and distributors, as well as regarding the application methods of the contractual clauses related to the inspection powers of breeders over the production of farmers. Specific attention was also given to the remuneration methods of breeders and distributors. The Parties responded to these requests within the stipulated time.</w:t>
      </w:r>
    </w:p>
    <w:p>
      <w:r>
        <w:t>16. During the procedure, the Parties submitted defensive memoranda.</w:t>
      </w:r>
    </w:p>
    <w:p>
      <w:r>
        <w:t>17. In order to further clarify the points of greater concern that emerged during the inquiry, the Offices heard in a hearing the companies International Fruit Genetics, Apofruit, AVI, Sun World International, and Sun World Europe, OP Giuliano, Special New Fruit Licensing.</w:t>
      </w:r>
    </w:p>
    <w:p>
      <w:r>
        <w:t>18. By communication on April 14, 2021, the Parties were informed of the deadline for the closure of the inquiry phase of the procedure.</w:t>
      </w:r>
    </w:p>
    <w:p>
      <w:r>
        <w:t>19. On April 16, 2021, the deadline for the closure of the procedure was extended to May 31, 2021.</w:t>
      </w:r>
    </w:p>
    <w:p>
      <w:r>
        <w:t>20. By April 30, 2021, the final memoranda were received from the companies OP Giuliano, Sun World, Grapa, AVI, IFG, Apofruit; on May 3, 2021, the final memoranda were received from the complainant associations, CIA Puglia and the Committee of Free Farmers and Traders from Puglia and Lucania.</w:t>
      </w:r>
    </w:p>
    <w:p>
      <w:r>
        <w:t>IV. THE INQUIRY FINDINGS</w:t>
        <w:br/>
        <w:t>IV.1 The Production Chain</w:t>
        <w:br/>
        <w:t>21. Preliminary, it is useful to outline the relationships that exist between the operators in the seedless grape chain protected by rights of exclusivity.</w:t>
      </w:r>
    </w:p>
    <w:p>
      <w:r>
        <w:t>22. At the upstream level are the breeder companies, holders of intellectual property rights on the various patented cultivars; these companies license the use of the varieties to licensees, who can be both agricultural producers and, predominantly, business entities engaged in the distribution/marketing of grapes. In the event that the licensee is the distribution/marketing company of the grapes, it enters into a sub-license agreement directly or on behalf of the breeder with the producer. The license for the use of the variety does not entail the transfer of ownership of the plant, which remains the property of the breeder for the entire duration of the contract; the producer, on the other hand, is the owner of the fruits.</w:t>
      </w:r>
    </w:p>
    <w:p>
      <w:r>
        <w:t>23. In exchange for the granting of the license for the use of the varieties, the remuneration of the breeders consists of a one-time fixed fee, calculated per individual plant at the time of planting the variety, and a percentage remuneration on the turnover (annual royalty) generated from the sale of the harvest by the distributor to the retailer (mostly the large-scale distribution). The distributor generally does not buy the harvest: it agrees with the individual farmer to sell the fruits and returns the proceeds to the farmer minus its own commission and the royalty (which it pays directly to the breeder), as well as transportation costs and any duties (in the case of grape export) and other related costs. The initial fee per individual plant is paid to the breeder directly by the producer, if it is the licensee, or by the licensee distributor, which in turn collects it from the farmer with whom it enters into a sub-license agreement for the use of the varieties.</w:t>
      </w:r>
    </w:p>
    <w:p>
      <w:r>
        <w:t>IV.2 The Allegations of the Initiation Communication</w:t>
        <w:br/>
        <w:t>24. In the initiation communication of the inquiry, the Parties were accused of:</w:t>
        <w:br/>
        <w:t>i) the breeders subordinating the licensing of the varieties to the farmers to the assignment to their distributors of the entire production of seedless grapes obtained;</w:t>
        <w:br/>
        <w:t>ii) the acceptance of the product and the determination of the price of the delivered product remaining at the full discretion of the distributor indicated by the breeder: in the case of acceptance of the production, the price was unilaterally decided by the distributor and communicated to the producer orally;</w:t>
        <w:br/>
        <w:t>iii) the price recognized to farmers being on average lower than the costs incurred for the production of the obtained harvest;</w:t>
        <w:br/>
        <w:t>iv) farmers not being authorized to sell to others the product that was possibly rejected by the distributor indicated by the breeder for reasons related to poor quality;</w:t>
        <w:br/>
        <w:t>v) the abusiveness of the content of the clause, included in the breeders' contracts, which provides for the breeder a power of control and inspection over the lands and structures used by agricultural producers, over the cultivation of the plants and over the final product obtained;</w:t>
        <w:br/>
        <w:t>vi) an alleged discriminatory behavior by the breeders, who would have refused to grant licenses for their grape varieties to farmers adhering to certain producer organizations (OP) or who would have conditioned the granting of the license on adherence to OP substantially managed by the same breeders.</w:t>
      </w:r>
    </w:p>
    <w:p>
      <w:r>
        <w:t>IV.3 The Evidence Acquired</w:t>
        <w:br/>
        <w:t>25. During the inquiry, various documentary elements were acquired from which the presence of factual circumstances different from those contested in the initiation communication emerges.</w:t>
      </w:r>
    </w:p>
    <w:p>
      <w:r>
        <w:t>26. First of all, it is noteworthy to consider that three of the four licensees to whom the initiation communication was sent – OP Giuliano, Apofruit, and Didonna Trade – have demonstrated that they operate as and/or on behalf of Producer Organizations (hereinafter OP) pursuant to Law 102/2005, providing their services exclusively for the benefit of subjects adhering to the relevant OP, without requesting any commission for the marketing assistance service provided to their farmers. In these cases, therefore, the obligation to assign</w:t>
      </w:r>
    </w:p>
    <w:p>
      <w:r>
        <w:rPr>
          <w:b/>
        </w:rPr>
        <w:t>[Pages 82–84]</w:t>
      </w:r>
    </w:p>
    <w:p>
      <w:r>
        <w:t>BULLETIN NO. 24 OF JUNE 14, 2021 83</w:t>
        <w:br/>
        <w:t>of the harvests towards them is established by statutory provisions of the OPs and not by the contracts of the breeders.</w:t>
      </w:r>
    </w:p>
    <w:p>
      <w:r>
        <w:t>27. Secondly, from the examination of the licensing agreements for the use of the grape varieties offered by the breeders, no clauses aimed at binding the farmers to deliver the produced grapes to a specific distributor have emerged. It has been found that farmers can always choose among different authorized distributors to whom to transfer the harvest of seedless grapes protected by the patent of one of the four breeders involved in this proceeding (contracts for the transfer of grapes Sun World, IFG, and SNFL) or market the production directly, without mandatory passage to a pre-identified distributor (AVI contracts for the transfer of grapes Grapa).</w:t>
      </w:r>
    </w:p>
    <w:p>
      <w:r>
        <w:t>28. In this context, mandatory delivery to a distributor occurs only if it is an OP to which the members are required to deliver the harvest by virtue of statutory rules, regardless of the indications provided by the breeders or their licensees.</w:t>
      </w:r>
    </w:p>
    <w:p>
      <w:r>
        <w:t>29. Regarding the inspection activity of the grape varieties, it has emerged that it is always agreed upon by the licensees with the farmers and aimed exclusively at providing technical assistance and preventing the propagation of plants in violation of the intellectual property rights from which they are protected. It is also always permitted to market grapes that do not meet the required quality standards, through sale without the breeder's brand, but using generic or producer brands.</w:t>
      </w:r>
    </w:p>
    <w:p>
      <w:r>
        <w:t>30. It has also emerged during the proceedings that the breeders are completely unrelated to the relationships between producers and distributors for the determination of the sale price of the grapes; finally, there is a lack of any evidence in the case file of the alleged discrimination carried out by the breeders against certain OPs.</w:t>
      </w:r>
    </w:p>
    <w:p>
      <w:r>
        <w:t>31. Finally, regarding the circumstance complained of by the complainants that the remuneration system provided by the breeders and the imposition of the transfer/delivery on consignment of the harvest to only authorized distributors would result in revenues for the growers lower than production costs, it is highlighted that the documentation acquired in the proceedings has not provided any evidence in this regard. In this respect, in light of the cost estimates produced by the complainants, the Parties have submitted a study from MIPAAF from 2018 which shows that the costs proposed by the complainants are significantly overestimated. Thirdly, it has emerged that, contrary to what was suggested at the start of the investigation based on the information provided by the complainants, the four breeders involved in the proceedings (Sun World, IFG, SNFL, and Grapa) do not represent the entire offer of plant varieties protected by patent for the production and marketing of seedless grapes in Italy.</w:t>
      </w:r>
    </w:p>
    <w:p>
      <w:r>
        <w:t>32. Based on the data acquired during the proceedings, it appears that the seedless grape varieties covered by patent protection (also from other breeders not involved in the proceedings) occupy about 32% of the land cultivated with seedless grapes (about 14,000 hectares). Consequently, the remaining 68% of the area cultivated in Italy with seedless table grapes includes seedless varieties free from proprietary rights, as well as seedless varieties protected by proprietary rights of other breeders.</w:t>
      </w:r>
    </w:p>
    <w:p>
      <w:r>
        <w:t>84 BULLETIN NO. 24 OF JUNE 14, 2021</w:t>
        <w:br/>
        <w:t>V. THE ARGUMENTS OF THE PARTIES</w:t>
      </w:r>
    </w:p>
    <w:p>
      <w:r>
        <w:t>33. During the proceedings, the Parties contested, on the basis of multiple reasons, the applicability to the case at hand of the provision of Article 62 of Decree-Law 1/2012.</w:t>
      </w:r>
    </w:p>
    <w:p>
      <w:r>
        <w:t>V.1 The inapplicability of Article 62 due to the absence of transfer of goods</w:t>
      </w:r>
    </w:p>
    <w:p>
      <w:r>
        <w:t>34. Sun World, IFG, SNFL, and AVI highlighted the alleged incompetence of the Authority in the present case considering that paragraph 2 of Article 62 of Decree-Law No. 1/2012 provides that the rule applies: “In commercial relations between economic operators, including contracts concerning the transfer of goods referred to in paragraph 1 […]”. This reconstruction would be confirmed by the wording of Article 2 of the Implementation Decree (D.M. MIPAAF October 19, 2012, No. 199), containing the definitions of the terms used by the legislator in Article 62 of Decree-Law 1/2012, which states: “means: […] e) transfer of agricultural and food products: the transfer of ownership of agricultural and/or food products, in exchange for payment of a price, the delivery of which takes place in the territory of the Italian Republic […]”. According to the Parties, therefore, the rule would be confined to the hypothesis of transfer of goods, while the contracts in place between breeders and producers pertain to lease agreements for the grape varieties whose ownership remains with the breeding company; therefore, it would not be a transfer of goods under civil law and the provisions of Article 62 of Decree-Law No. 1/2012 would not be applicable.</w:t>
      </w:r>
    </w:p>
    <w:p>
      <w:r>
        <w:t>35. The structure of the lease agreement for the grape varieties would respond to the breeders' need not to transfer ownership of the plants, but only the right to cultivate them to obtain the fruits, with the obligation to return them at the end of the lease period, also in order to prevent their unlawful transfer to third parties and the reproduction and propagation of proprietary plant specialties in violation of intellectual property rights. Moreover, the lease of fruit-bearing goods is expressly recognized by the combined provisions of Articles 1571 and 1616 of the Civil Code.</w:t>
      </w:r>
    </w:p>
    <w:p>
      <w:r>
        <w:t>V.2 The inapplicability of Article 62 to internal relations within OPs</w:t>
      </w:r>
    </w:p>
    <w:p>
      <w:r>
        <w:t>36. As entities operating on behalf of OPs, providing their services exclusively for the benefit of members adhering to them, Apofruit, OP Giuliano, and Didonna Trade emphasized the inapplicability of Article 62 in the case of the transfer of agricultural products to producer organizations by farmers who are members of those organizations. In fact, pursuant to Article 1, paragraph 3, letter b) of D.M. No. 199/2012, implementing the provision of Article 62 of Decree-Law No. 1/2012, “The following do not constitute transfers under Article 62 of Decree-Law January 24, 2012, No. 1, converted, with amendments, by Law March 24, 2012, No. 27: a) the transfers of agricultural and food products made by entrepreneurs to the cooperatives referred to in Article 1, paragraph 2, of Legislative Decree May 18, 2001, No. 228, if the entrepreneurs are members of the cooperatives themselves; b) the transfers of agricultural and food products made by entrepreneurs to the producer organizations referred to in Legislative Decree May 27, 2005, No. 102, if the entrepreneurs are members of the producer organizations themselves.”</w:t>
      </w:r>
    </w:p>
    <w:p>
      <w:r>
        <w:t>37. This situation would be found in the position of such companies, which exclusively market products from their associated farmers, with very few exceptions aimed solely at completing the range of offerings when the production of the members is insufficient to meet the product demand. The non-applicability of Article 62 would also apply, according to the aforementioned licensees, with regard to modest transactions with third parties, since Article 2, letter e) of D.M. No. 199/2012 provides that the transfer of agricultural and food products means “the transfer of ownership of agricultural and/or food products, in exchange for payment of a price, the delivery of which takes place in the territory of the Italian Republic” and that in the case of OPs there is no transfer but a mandate to sell and collect under Articles 1703 et seq. of the Civil Code.</w:t>
      </w:r>
    </w:p>
    <w:p>
      <w:r>
        <w:t>V.3 The inapplicability of Article 62 due to the absence of contractual imbalance</w:t>
      </w:r>
    </w:p>
    <w:p>
      <w:r>
        <w:t>38. Almost all the parties in the present proceedings have emphasized, in their written defenses as well as in hearings, the absence of contractual imbalance between the Parties, particularly between the breeders and individual producers and, in cases of tripartite relationships, also between licensees and producers, a fundamental prerequisite for hypothesizing a case under Article 62, paragraph 2 of Decree-Law 1/2012.</w:t>
      </w:r>
    </w:p>
    <w:p>
      <w:r>
        <w:t>39. Sun World, SNFL, and IFG provided data showing that there is no obligation or necessity for Italian farmers to turn to one of the breeders who are Parties to the proceedings for the production of seedless grapes.</w:t>
      </w:r>
    </w:p>
    <w:p>
      <w:r>
        <w:t>40. Sun World emphasized that it holds a very limited position at the national level, both considering the total production of table grapes and in the specific segment of seedless table grape production. Based on the documents provided, according to Sun World, all the seedless grape varieties covered by patent protection (also from other breeders not involved in the proceedings) occupy about 10% of the national land cultivated with table grapes and 34.5% of the land cultivated with seedless grapes. In this context, the harvest from Sun World plants would account for about 1.6% (2019 data) of the national production of table grapes.</w:t>
      </w:r>
    </w:p>
    <w:p>
      <w:r>
        <w:t>41. SNFL pointed out that only 28% of the total production of table grapes in Italy belongs to seedless varieties; of this 28%, about 35% (equivalent to about 10% of the total production of table grapes in Italy) would refer to proprietary varieties. Regarding the production of seedless grapes protected by patent, the breeders involved in the present case would represent only 70%, of which SNFL holds a minority share. This would contradict the complainants' thesis regarding the existence of a collectively held bargaining power by the four breeders, who could not, either directly or indirectly, impose onerous conditions on third parties. In this case, therefore, there would be no indication of contractual imbalance between the Parties.</w:t>
      </w:r>
    </w:p>
    <w:p>
      <w:r>
        <w:t>42. IFG also commented on the point of the absence of economic imbalance, highlighting that it holds a share of just over one percentage point in the table grape market in Italy and a percentage of less than 5% in the narrower market of seedless grapes.</w:t>
      </w:r>
    </w:p>
    <w:p>
      <w:r>
        <w:t>43. Also noteworthy are the information provided in the defense memorandum of OP Giuliano. Based on the official data reported in the ISMEA report of September 2019 on the table grape market in Italy.</w:t>
      </w:r>
    </w:p>
    <w:p>
      <w:r>
        <w:rPr>
          <w:b/>
        </w:rPr>
        <w:t>[Pages 85–87]</w:t>
      </w:r>
    </w:p>
    <w:p>
      <w:r>
        <w:t>86 BULLETIN NO. 24 OF JUNE 14, 2021</w:t>
        <w:br/>
        <w:t>(hereinafter "ISMEA Report") reveals that the Italian supply of table grapes is still focused on historical varieties (with seeds) such as 'Vittoria', 'Palieri', 'Italia', and 'Red Globe'11. The most widespread in Italy is the seeded grape variety called 'Italia', which represents 40% of the entire Italian production of table grapes, as well as 40% of the grapes currently cultivated in Puglia12.</w:t>
      </w:r>
    </w:p>
    <w:p>
      <w:r>
        <w:t>44. OP Giuliano has also produced an expert report from which it emerges the spread in Italy of multiple varieties of seedless grapes not protected by intellectual property rights (so-called free varieties)13. To demonstrate that seedless table grape varieties, free from intellectual property rights, constitute a valid alternative for growers and distributors compared to the protected seedless grape varieties of the four breeders reported, it has been highlighted that some table grape producers/distributors base their business almost exclusively on free seedless varieties14.</w:t>
      </w:r>
    </w:p>
    <w:p>
      <w:r>
        <w:t>45. In support of the absence of a contractual imbalance in the relationship between the growers and the licensed distributors involved in the proceedings, AVI has highlighted the specific position of the distributors, who do not benefit from any exclusivity on the product derived from the breeders' grapevines, as it is possible for growers to turn to any distributor authorized by the breeder.</w:t>
      </w:r>
    </w:p>
    <w:p>
      <w:r>
        <w:t>V.4 The complainants' observations</w:t>
      </w:r>
    </w:p>
    <w:p>
      <w:r>
        <w:t>46. The complainants have preliminarily highlighted the critical nature of the system established by the breeders involved in the proceedings, which would allow them to control the entire production chain of patented seedless grapes and not just the propagation of the plants on which they hold intellectual property rights, thereby violating, in their opinion, the provisions of Article 13 of Regulation (EC) No. 2100/9415.</w:t>
      </w:r>
    </w:p>
    <w:p>
      <w:r>
        <w:t>11 See doc. 70B, p.6 of the attachment containing the ISMEA Report.</w:t>
        <w:br/>
        <w:t>12 See the Article "Towards a Seedless Italia Grape" published in the magazine ItaliaFruit on July 10, 2019 - http://www.italiafruit.net/DettaglioNews/50378/in-evidenza/verso-unuva-italia-senza-semi attached by OP Giuliano to its memorandum, doc. 70B. These data are substantially confirmed by the most recent ISMEA Focus report on Table Grapes from September 2020, in which it is stated that year after year, the Italian supply is enriched by the offer of seedless grapes; however, it is highlighted that on the quality front, the Italian offer is still focused on historical qualities and the availability of seedless grapes - although increasing in recent years - is still inadequate to meet demand, especially for export. In this regard, specialized press (AgroNotizie October 2020) reports that "Overall, during this period, it is observed that despite the progress of new investments with lower productivity, total yields per hectare remain high and increase, which can only be explained by the improvement of performance on traditional grapes, such as, for example, Vittoria and Italia in the white seeded cultivars, which still represent the backbone of Italian table grape production. This is even more true, given that the vineyard area has slightly decreased and seedless grapes have yields per hectare that are 12 to 15% lower than traditional ones."</w:t>
      </w:r>
    </w:p>
    <w:p>
      <w:r>
        <w:t>13 See technical report attached to doc. 70B. Among the most widespread varieties are: Mystery, Regal Seedless, Sublima Seedless (synonyms Carati and Early Gold), Sultanina Bianca (synonym Thompson Seedless), Attika, Autumn Royal, Crimson Seedless, Flame Seedless, Ruby Seedless, Supernova. In this regard, it is specified that "The fact that some of these seedless varieties are characterized by stenospermocarpy, i.e., the presence of herbaceous or rudimentary seeds, does not make them less attractive compared to those completely devoid of seeds (characterized by parthenocarpy). Indeed, in the 'Ferrara - Coletta report' referred to by the representatives of the complainants, once again with confessional effectiveness, it is stated on p. 3 of the response note of June 8, 2020 (see doc. 5 of the Case File), that "the taste of the consumer is now definitively oriented to prefer varieties that have a seed of poor consistency (herbaceous) or almost absent (stenospermocarpy) commonly referred to as seedless varieties" (emphasis added). Therefore, for the purposes relevant here, the distinction between stenospermocarpy and parthenocarpy varieties appears superfluous, given that even the former - as explicitly admitted by the complainants and as will be discussed below - meet the tastes of consumers and the GDO," see doc. 70B.</w:t>
      </w:r>
    </w:p>
    <w:p>
      <w:r>
        <w:t>14 See doc. 7 attached to doc. 70B.</w:t>
      </w:r>
    </w:p>
    <w:p>
      <w:r>
        <w:t>15 REGULATION (EC) No. 2100/94 of the Council of July 27, 1994 concerning the Community plant variety right.</w:t>
      </w:r>
    </w:p>
    <w:p>
      <w:r>
        <w:t>BULLETIN NO. 24 OF JUNE 14, 2021 87</w:t>
      </w:r>
    </w:p>
    <w:p>
      <w:r>
        <w:t>47. In particular, according to the reconstruction provided by the complainants, there would be no legal basis for the breeders to register a trademark for the marketing of grapes produced from their respective grapevines, for whose use producers are required to pay annual royalties determined based on the quantities of grapes produced. In other words, whenever they impose an additional payment beyond that due for the planting of the grapevines (one-time fee), the breeders would be abusing the rights granted to them by the patent, as the limits of exclusivity would stop at the use of propagation materials. Consequently, no rights can be claimed on the fruit produced by the grower, which must remain in the full and exclusive availability of the latter.</w:t>
      </w:r>
    </w:p>
    <w:p>
      <w:r>
        <w:t>48. Regarding the merits of the Parties' observations, the complainants have emphasized the fallaciousness of the theory aimed at supporting the inapplicability of Article 62 to the case at hand, given the stipulation of lease contracts and not sales contracts for grapevines16. In this regard, the complainants have noted that the same "lease of plant varieties" contracts provide for the transfer of the fruits to the distributors, who thus become their owners; for this purpose - regardless of the formal legal qualification given to the contract - it would be necessary to distinguish between the plants (i.e., the plant varieties) and the fruits they produce17. The complainants have also pointed out the contradiction of the contracts in question with civil law regulations regarding the object of the contract, which requires the evaluation of the contract in its entirety, as well as the identification of the object with the good due, which constitutes the object of a performance of giving or otherwise on which the effects of the contract fall. Therefore, in the opinion of the complainants, limiting the object of the contracts in question solely to the lease of plants/plant varieties, and not also to the transfer of the fruits produced by such plants, would not be in accordance with the legal framework.</w:t>
      </w:r>
    </w:p>
    <w:p>
      <w:r>
        <w:t>49. In this regard, the reporting Parties have highlighted how the breeders' contracts cannot be configured as lease contracts, as the grapevine itself cannot constitute a fruit-bearing good - a necessary condition for it to be susceptible to being the object of a lease contract - unless it is planted in the ground. The payment of a fee only at the time of planting, and not of a monthly or annual rent, would further demonstrate that this is not a lease contract - of which the payment of the rent constitutes an essential element - but a transfer of goods.</w:t>
      </w:r>
    </w:p>
    <w:p>
      <w:r>
        <w:t>50. As for the alleged inapplicability of Article 62 to OPs, it would concern only the conferment of the harvest from the member farmer to the OP and not the subsequent phase of sale from the OP to the third buyer, and the consequent retrocession of the price to the grower. Since it is a case of progressive formation, in which the various steps are all aimed at the sale of the harvest, the inapplicability of Article 62 to the phase of conferment from the farmer to the OP would not preclude the applicability of the article to the different and further phases of sale, despite the intermediation of the OP. Moreover, in the opinion of the complainants, OPs, "also to recover the costs of the license, exploit their position of greater strength and impose unfair and non-transparent commercial and remuneration practices taking advantage of the privileged role of authorized distributor of the protected variety that (for unfortunate necessity) the member producer cultivates." In any case, the alleged inapplicability of Article 62 would not extend to the intermediation activities of OPs carried out on behalf of non-member third parties.</w:t>
      </w:r>
    </w:p>
    <w:p>
      <w:r>
        <w:t>51. Furthermore, the complainants contest the defense thesis of the parties regarding the alleged absence of contractual imbalance between the breeders and the other operators in the supply chain, questioning the correctness of the data reported in the Communication of the conclusion of the investigation phase, as well as the identification of the market in which to verify the contractual imbalance between the parties. Regardless of individual divergences regarding the shares attributed to the breeders, quantifiable in some percentage points, and the alleged unreliability of the reports produced by some operators, in the opinion of the complainants, the ISMEA 2019 data used in the CRIs would not reflect the current situation: In particular, it is argued that if in 2019 the joint share of the breeders involved in the proceedings was estimated at 32%, today it would certainly be higher since, according to the complainants, about 100% of the new grapevine plantings from 2019 to today would be of grapevines from the four breeders.</w:t>
      </w:r>
    </w:p>
    <w:p>
      <w:r>
        <w:t>52. Moreover, the power of the breeders over the farmers would also be demonstrated by the decision of one of the complainants to revoke the mandate to represent him in the present dispute, for fear of retaliation, as well as by the request for anonymity regarding two statements made by two OPs, aimed at reporting the failure to issue the license for the production of seedless grapes.</w:t>
      </w:r>
    </w:p>
    <w:p>
      <w:r>
        <w:t>VI. EVALUATIONS</w:t>
      </w:r>
    </w:p>
    <w:p>
      <w:r>
        <w:t>53. This measure concerns the behaviors carried out in Italy by some breeders and licensees of seedless table grapes (the Parties), which at the beginning of the proceedings were deemed likely to constitute a violation of Article 62 of Decree-Law 1/2012.</w:t>
      </w:r>
    </w:p>
    <w:p>
      <w:r>
        <w:t>54. During the investigation, several factual and legal elements emerged that cast doubt on the existence of the necessary prerequisites for the application of the aforementioned norm with reference, as outlined below, to three preliminary issues: the applicability of Article 62 to lease contracts concluded between breeders and/or licensees and producers; the applicability of Article 62 to OPs; the existence of economic imbalance between the parties in the supply chain, required for the application of Article 62, paragraph 2.</w:t>
      </w:r>
    </w:p>
    <w:p>
      <w:r>
        <w:t>VI.1 On the absence of transfer of agricultural goods and on the inapplicability of Article 62 to lease contracts</w:t>
      </w:r>
    </w:p>
    <w:p>
      <w:r>
        <w:t>55. Regarding the Parties' objection to the inapplicability of Article 62 to the case at hand, as it would not involve contracts for the transfer of agricultural goods or products but rather lease contracts for fruit-bearing goods (the grapevines), it is noted that this appears to lack merit since the wording of Article 62, paragraph 2, refers generally to "commercial relations between economic operators," with respect to which the case of "contracts concerning the transfer of agricultural and agri-food goods" constitutes a mere specification, as clarified by the phrase "including." Therefore, the position of the Party that only within the scope of contracts for the transfer of agricultural and agri-food goods - which are enumerated as exemplary hypotheses of the case - do the prohibited behaviors under letters a) to e) of paragraph 2 of the article in question find application cannot be shared.</w:t>
      </w:r>
    </w:p>
    <w:p>
      <w:r>
        <w:rPr>
          <w:b/>
        </w:rPr>
        <w:t>[Pages 88–90]</w:t>
      </w:r>
    </w:p>
    <w:p>
      <w:r>
        <w:t>BULLETIN NO. 24 OF JUNE 14, 2021 89</w:t>
      </w:r>
    </w:p>
    <w:p>
      <w:r>
        <w:t>56. In this regard, the Explanatory Report of the legislative text clarifies that: “Paragraph 2 identifies a definitive list of practices that, if implemented in commercial relations between economic operators, relations which include the contracts for the sale of agricultural and food products referred to in paragraph 1, are considered by law to be unfair.” Furthermore, the Explanatory Report emphasizes that “the formulation of the prohibited conduct may lead to a particularly complex case-by-case assessment by the interpreter,” as it is necessary to take into account “the fact that the provision concerns all commercial operations between economic operators, of which the agricultural supply chain is only a part.” The rule, therefore, far from being applicable only to transfer relationships, could even extend to consider the more general commercial operations between economic operators, even outside the agri-food supply chain.</w:t>
      </w:r>
    </w:p>
    <w:p>
      <w:r>
        <w:t>57. Nor can it be assumed that the secondary norm constituted by D.M. No. 199/2012 – also cited by the Parties in support of their thesis, arguing its implementing nature aimed at defining and better interpreting the scope of application of Article 62 – is capable of significantly limiting the scope of the law, intended by the legislator to ensure fairness in commercial transactions within the agri-food supply chain.</w:t>
      </w:r>
    </w:p>
    <w:p>
      <w:r>
        <w:t>58. Regarding the type of contract in question, it should also be noted that, although the formal ownership of the plants remains with the breeders, they are licensed or sub-licensed to growers for the entire duration of their productive life, which is 15-20 years, in order to allow them to fully exploit their capacity to produce fruit, in this case seedless table grapes. In reality, therefore, although the ownership of the plants remains with the breeders, it is a de facto transfer of the same to the growers, in terms of cultivation, management, and exploitation which, regardless of the legal figure used, appears likely to fall within the scope of Article 62. The circumstance that in cases of contract termination the destruction or return of the vines is required does not prove anything in this regard, since such cases involve the destruction of the asset which therefore does not return, except in theoretical terms, to the breeder's availability. On the contrary, the fact that payment for the exploitation of the vineyards occurs as a one-time payment, at the time of planting, and does not require the payment of monthly or annual fees, as in lease and/or rental contracts, is indicative.</w:t>
      </w:r>
    </w:p>
    <w:p>
      <w:r>
        <w:t>59. Similar considerations apply to the relationships between grape producers and distributors where, instead of the transfer of the harvest from the producer to the distributor, it is a consignment for sale against payment of a commission. In light of the provisions of the primary norm, as clearly interpreted by the Explanatory Report to the same norm, the objection does not seem to be susceptible to acceptance, as it concerns commercial relations between operators in the agri-food supply chain, regardless of the legal transaction identified by the Parties to regulate the relationships between them.</w:t>
      </w:r>
    </w:p>
    <w:p>
      <w:r>
        <w:t>60. Therefore, the case in question fully falls within the scope of application of Article 62 of D.L. No. 1/2012.</w:t>
      </w:r>
    </w:p>
    <w:p>
      <w:r>
        <w:t>VI.2 On the inapplicability of Article 62 to Producer Organizations (OP)</w:t>
      </w:r>
    </w:p>
    <w:p>
      <w:r>
        <w:t>61. With regard to the applicability of Article 62 to Producer Organizations (OP), the provision of Article 1, paragraph 3, letter b) of D.M. 199/2012, implementing the norm referred to in Article 62, provides that: “The following do not constitute transfers pursuant to Article 62 of Decree-Law January 24, 2012, No. 1, converted, with amendments, by Law March 24, 2012, No. 27: a) the contributions of agricultural and food products made by entrepreneurs to the cooperatives referred to in Article 1, paragraph 2, of Legislative Decree May 18, 2001, No. 228, if the entrepreneurs are members of the cooperatives themselves; b) the contributions of agricultural and food products made by entrepreneurs to the producer organizations referred to in Legislative Decree May 27, 2005, No. 102, if the entrepreneurs are members of the producer organizations themselves.”</w:t>
      </w:r>
    </w:p>
    <w:p>
      <w:r>
        <w:t>62. In this regard, it is noted that the non-applicability of Article 62 to internal relationships within OPs appears inherent to the very essence of OPs, which arose as a tool for strengthening and protecting the position of farmers within the production supply chain, precisely in order to increase the bargaining power of direct growers against the processing industry and retailers, limiting the phenomenon of their fragmentation and encouraging their aggregation.</w:t>
      </w:r>
    </w:p>
    <w:p>
      <w:r>
        <w:t>63. As is known, Article 2 of Legislative Decree No. 102/2005 identifies, as the main purpose of producer organizations, the marketing of the production of the member producers, particularly concentrating the supply of the associates. Consequently, Article 62 seems to serve as a protective tool for farmers, alternative to the protection granted to them by their membership in an OP, whose organization is primarily aimed at protecting growers, fundamentally excluding the possibility that the operational mechanism of OPs could give rise to one of the prohibited cases under Article 62, such as, as contested in this case, the imposition of unjustifiably burdensome purchase, sale, or other contractual conditions.</w:t>
      </w:r>
    </w:p>
    <w:p>
      <w:r>
        <w:t>64. Based on these considerations, therefore, there are no elements to contest the violation of Article 62 against the distributing companies Apofruit, Didonna Trade, and OP Giuliano, with respect to which it was ascertained during the investigation that their operations were exclusively directed towards the members of their respective OPs.</w:t>
      </w:r>
    </w:p>
    <w:p>
      <w:r>
        <w:t>65. The interpretation of the complainants, who, by separating the various phases of the relationship between farmers and OPs, tend to argue for the applicability of the norm to the phase of the return to the farmer of the price obtained by the OP from the sale of the harvest, excluding it only for the part relating to the contribution of the harvest to the OP, does not appear to be shareable. In fact, even following such a reconstruction – whereby it would be a case of a sale with progressive formation in which the contribution is aimed at the sale of the harvest by the OP on behalf of the farmer – this implies that the recognized inapplicability of the norm to the contribution from the farmer to the OP extends to the entire relationship created between the parties, which is based precisely on the contribution of the harvest aimed at its sale. Moreover, it is relevant, in terms of fact, that in this case there is no evidence of the application of unfair or burdensome conditions attributable to the OPs towards their members. Finally, regarding the applicability of Article 62 to OPs concerning activities carried out towards non-member third parties, it has emerged from the documentary evidence in the file that this is a phenomenon of negligible dimensions.</w:t>
      </w:r>
    </w:p>
    <w:p>
      <w:r>
        <w:t>VI.3 On the absence of contractual imbalance</w:t>
      </w:r>
    </w:p>
    <w:p>
      <w:r>
        <w:t>66. Regarding the existence of contractual imbalance, the following observations are made. As is known, the reference legislation limits the scope of application of Article 62 to economic relations between operators in the supply chain characterized by a significant contractual imbalance. For this reason, both the Parties and the complainants have placed particular emphasis on this aspect in their final submissions: the Parties have highlighted their limited positioning in the production of seedless table grapes, while the complainants have questioned the accuracy of the data reported in the Communication of April 14 of this year, without, however, providing documentary elements different from those already in the file to support such doubts.</w:t>
      </w:r>
    </w:p>
    <w:p>
      <w:r>
        <w:t>67. That said, it is noted that the matter in question pertains to commercial relations between suppliers of particular varieties protected by patent and agricultural producers; it does not pertain to the more common type of cases of violation of Article 62, which concern the relationships between farmers and the first purchasers of products (whether they are processing industry or large-scale retail). In such cases, the assessment of contractual imbalance cannot disregard an analysis of the structure of the supply of the good subject to the alleged violation. This evaluation, concerning the contractual relationships between operators in the agricultural supply chain, does not require the identification of a relevant market, pursuant to antitrust regulations, on which to ascertain the possible dominant position of one or more subjects in terms of market shares, but rather requires the assessment of the existence of a contractual imbalance between the various operators, whereby one party is a mandatory partner of the other. In these terms, the argument of the complainants that the Authority would not have correctly identified the relevant market, which could not be configured in the broader market of table grapes but in that of the production and marketing of seedless table grapes, appears to lack merit. In this regard, it should be clarified, in substance, that the assessment carried out by the Authority regarding the positioning of breeders and their respective licensees in relation to farmers/producers was conducted with reference to the specific segment of seedless table grapes.</w:t>
      </w:r>
    </w:p>
    <w:p>
      <w:r>
        <w:t>68. Regarding the nature of the Parties as mandatory partners for producers of seedless table grapes, it is noteworthy that the analyses conducted based on the data produced in the file during the investigation – the public report from ISMEA of 2019, as well as the data and analyses provided by the respondents, also based on specialized press and expert reports – confirm the conclusions of the report in question for 2020, in which, while noting the increase in the production of seedless grapes, it highlights that the predominant part of table grape production in Italy is represented by traditional varieties of grapes with seeds.</w:t>
      </w:r>
    </w:p>
    <w:p>
      <w:r>
        <w:rPr>
          <w:b/>
        </w:rPr>
        <w:t>[Pages 91–93]</w:t>
      </w:r>
    </w:p>
    <w:p>
      <w:r>
        <w:t>92 BULLETIN NO. 24 OF JUNE 14, 2021</w:t>
        <w:br/>
        <w:t>of the sector – show that over 65% of table grapes produced in Italy are traditional grapes, while the remaining portion is represented by seedless grapes. Of this, 68% refers to seedless grapes that are either unpatented or patented by other breeders, different from the four breeders involved in this proceeding24. Therefore, the Parties to the investigation would account for an overall share in the segment of Italian seedless grapes between 30% and 35%25.</w:t>
      </w:r>
    </w:p>
    <w:p>
      <w:r>
        <w:t>69. This share must then be analyzed individually for the different breeder Parties. In this regard, even assuming what the complainants stated about Sun World having a share between 15% and 17% of seedless grapes produced in Italy, this means that the other three companies, at most, share the remaining 18%-20%. Therefore, the observations raised by the complainants that the share of the Parties would be underestimated by a few percentage points*26 do not seem to take on specific relevance. In fact, even granting the percentage variations in the shares proposed by the complainants, they do not appear likely to alter the overall assessment made regarding the possibility for producers to find alternative partners to the four breeders for the production of seedless grapes27.</w:t>
      </w:r>
    </w:p>
    <w:p>
      <w:r>
        <w:t>70. It is therefore believed that the arguments of the complainants regarding the positioning of the Parties in the seedless grape segment are not acceptable, as no new factual or legal elements have been presented by the complainants to the Authority. The only information, undocumented, provided is that since 2019 almost 100% of the new seedless grape plantations in Italy would be attributable to the four breeder Parties. Even considering this element as true, however, the persistent marginality of seedless grapes in our country appears to be a suitable element to hypothesize that the 30%-35% share of the Parties at the end of 2019 may have grown during 2020 but still within a range that suggests the presence of numerous alternatives to the four breeders for farmers wishing to cultivate seedless grapes.</w:t>
      </w:r>
    </w:p>
    <w:p>
      <w:r>
        <w:t>71. In conclusion, considering the limited positioning held at the national level in the production of seedless grapes, it is believed that the reported breeders and their licensees, far from representing obligatory partners for the production of seedless grapes, rather constitute one of the possible alternatives to the production of seedless grapes from other breeders or unprotected grapes.</w:t>
      </w:r>
    </w:p>
    <w:p>
      <w:r>
        <w:t>24 From the documents in the file, it emerges that there are additional breeders active in the market who hold exclusive rights to other varieties of seedless grapes marketed in Italy and who are not part of the proceeding as they were not mentioned by the complainants among the subjects whose behaviors could have been subject to censure. These include in particular Grape &amp; Grape Group S.r.l.; Vitroplant Italia S.r.l.; Fruitgrowing Equipment and Service S.r.l.; Grape Evolution Ltd.; Murcia Company for Research and Technology of Table Grapes – ITUM; Polar Fresh Group; California Table Grape Commission – CTGC.</w:t>
      </w:r>
    </w:p>
    <w:p>
      <w:r>
        <w:t>25 The alleged incompleteness or lack of the expert report submitted by one of the Parties during the proceeding does not appear relevant in this context, as it was evaluated not to attribute a positioning of the Parties in the market in terms of shares but to verify the presence of alternative operators to them.</w:t>
      </w:r>
    </w:p>
    <w:p>
      <w:r>
        <w:t>* In this version, some data are omitted, as elements of confidentiality or secrecy of the information were deemed to exist.</w:t>
      </w:r>
    </w:p>
    <w:p>
      <w:r>
        <w:t>26 More precisely, based on the elaborations of the data reported in the documentation on file, it emerges that the market share of Sun World corresponds to 3.5% of the national land cultivated with table grapes and to [about 10%] of the land cultivated with seedless grapes, while the share held by IFG is estimated at about 1% of table grapes and in a variable percentage, depending on estimates, between [1-5%] of seedless grapes. SNFL estimates that it holds a share in terms of hectares cultivated with table grapes equal to about [omitted] of the total which, taking into account the weight of the hectares cultivated with seedless grapes, corresponds to a share of about [omitted] of the latter. Grapa also estimates its positioning in the Italian market to be equal to, if not less than, one percentage point.</w:t>
      </w:r>
    </w:p>
    <w:p>
      <w:r>
        <w:t>27 Conversely, the assertion that the estimate of 32%, attributable to the breeders according to ISMEA 2019 data, would today be approximately 100% does not appear to be supported by significant data and indications.</w:t>
      </w:r>
    </w:p>
    <w:p>
      <w:r>
        <w:t>BULLETIN NO. 24 OF JUNE 14, 2021 93</w:t>
        <w:br/>
        <w:t>by patent protection. In other words, a producer who intends to cultivate seedless grapes and who is not satisfied with the contractual conditions required by the four breeders for the signing of a license agreement for their grape varieties has a wide range of choices available and is therefore not dependent on the contractual conditions defined by them.</w:t>
      </w:r>
    </w:p>
    <w:p>
      <w:r>
        <w:t>72. The documentation on file, therefore, does not provide sufficient elements to prove the requirement of economic imbalance between the Parties to the proceeding and the individual growers, an indispensable prerequisite for the application of Article 62, paragraph 2, of Decree-Law No. 1/2012.</w:t>
      </w:r>
    </w:p>
    <w:p>
      <w:r>
        <w:t>VI.4 Conclusions</w:t>
      </w:r>
    </w:p>
    <w:p>
      <w:r>
        <w:t>73. Based on the above, in light of the elements that emerged during the investigation, the absence of the necessary requirements for the application of the regulations referred to in Article 62 of Decree-Law No. 1/2012 must be acknowledged.</w:t>
      </w:r>
    </w:p>
    <w:p>
      <w:r>
        <w:t>74. The absence of the indispensable requirements for the configuration of the case makes the assessment of the merits of the contested behaviors unnecessary. However, incidentally, it is noted that, even from this perspective, the investigative activity carried out has indicated a documentary framework that does not confirm the behaviors hypothesized against the Parties at the start of the investigation.</w:t>
      </w:r>
    </w:p>
    <w:p>
      <w:r>
        <w:t>CONSIDERING the extraneousness of Didonna Supreme to the matter under examination;</w:t>
      </w:r>
    </w:p>
    <w:p>
      <w:r>
        <w:t>CONSIDERING, based on the above considerations, the inapplicability ex lege of the case referred to in Article 62 of Decree-Law No. 1/2012 to the OPs and therefore, in this case, to the companies OP Giuliano, Apofruit, and Didonna Trade, to which, therefore, no allegations can be made in this regard;</w:t>
      </w:r>
    </w:p>
    <w:p>
      <w:r>
        <w:t>CONSIDERING the absence of sufficient elements to configure an economic imbalance between the breeders and their licensees on one side and the growers of seedless grapes on the other - due to the possibility for farmers to turn to alternative operators for the cultivation and production of seedless table grapes - which constitutes an indispensable requirement for the application of the regulations referred to in Article 62, paragraph 2, of Decree-Law No. 1/2012;</w:t>
      </w:r>
    </w:p>
    <w:p>
      <w:r>
        <w:t>THEREFORE CONSIDERING that, in light of the factual and legal elements illustrated, the necessary prerequisites to contest the Parties to the proceeding for having engaged in unfair commercial practices in relation to the methods of transfer of grape varieties of seedless grapes covered by patent protection, in violation of Article 62, paragraph 2, of Decree-Law No. 1/2012, do not exist;</w:t>
      </w:r>
    </w:p>
    <w:p>
      <w:r>
        <w:t>RESOLVES</w:t>
      </w:r>
    </w:p>
    <w:p>
      <w:r>
        <w:t>that, for the reasons and within the limits set forth in the motivation, the requirements requested by law to consider that the commercial behaviors contested against the companies Sun World International LLC, Sun World Europe S.r.l., International Fruit Genetics LLC, Grapa Varieties Ltd, Special New Fruit Licensing Ltd, AVI S.r.l., Organizzazione di Produttori Giuliano S.r.l., Apofruit Italia soc. coop. agricola, and Didonna Trade S.r.l., constitute a violation of the case referred to in Article 62, paragraph 2, of Decree-Law No. 1/2012, do not exist.</w:t>
      </w:r>
    </w:p>
    <w:p>
      <w:r>
        <w:t>This measure will be notified to the interested parties and published in the Bulletin of the Competition and Market Authority.</w:t>
      </w:r>
    </w:p>
    <w:p>
      <w:r>
        <w:t>94 BULLETIN NO. 24 OF JUNE 14, 2021</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w:t>
      </w:r>
    </w:p>
    <w:p>
      <w:r>
        <w:t>THE SECRETARY GENERAL THE PRESIDENT</w:t>
        <w:br/>
        <w:t>Filippo Arena Roberto Rustichelli</w:t>
      </w:r>
    </w:p>
    <w:p>
      <w:r>
        <w:rPr>
          <w:b/>
        </w:rPr>
        <w:t>[Pages 94–96]</w:t>
      </w:r>
    </w:p>
    <w:p>
      <w:r>
        <w:t>BULLETIN NO. 24 OF JUNE 14, 2021 95</w:t>
        <w:br/>
        <w:t>UNFAIR TRADE PRACTICES</w:t>
        <w:br/>
        <w:t>IP342 - SEO MARKETING</w:t>
        <w:br/>
        <w:t>Notice of initiation of investigative procedure</w:t>
        <w:br/>
        <w:t>COMPETITION AND MARKET AUTHORITY</w:t>
        <w:br/>
        <w:t>Notice of initiation of investigation for non-compliance, pursuant to Article 6, paragraph 2, and Article 19, paragraph 2, of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 in relation to the procedure IP342 – Seo marketing.</w:t>
        <w:br/>
        <w:t>The publication of this notice, followed by the measure initiating the investigative procedure for non-compliance with resolution no. 26608 of May 4, 2017, in the weekly Bulletin of the Competition and Market Authority, is made pursuant to and for the effects of Article 6, paragraph 2 of the Regulation, given the failure to receive positive feedback on the attempt to transmit the measure initiating the investigation to the headquarters of SEO MARKETING S.L., carried out on April 16, 2021 (prot. 37781) via international courier SDA.</w:t>
        <w:br/>
        <w:t>It is also hereby informed that, in its meeting of June 8, 2021, the Authority decided to extend the deadline for concluding the procedure by sixty days in order to ensure the professional the protection of the adversarial principle.</w:t>
        <w:br/>
        <w:t>Therefore, the deadline for concluding the procedure is extended to September 26, 2021.</w:t>
        <w:br/>
        <w:t>For any communication addressed to the Authority regarding the case in question, please refer to Directorate C of the Directorate General for Consumer Protection and reference IP342.</w:t>
        <w:br/>
        <w:t>THE PERSON IN CHARGE OF THE PROCEDURE</w:t>
      </w:r>
    </w:p>
    <w:p>
      <w:r>
        <w:t>96 BULLETIN NO. 24 OF JUNE 14, 2021</w:t>
        <w:br/>
        <w:t>IP342 - SEO MARKETING</w:t>
        <w:br/>
        <w:t>Measure no. 28624</w:t>
        <w:br/>
        <w:t>THE COMPETITION AND MARKET AUTHORITY</w:t>
        <w:br/>
        <w:t>IN ITS MEETING of March 30, 2021;</w:t>
        <w:br/>
        <w:t>HEARD the Rapporteur Professor Michele Ainis;</w:t>
        <w:br/>
        <w:t>HAVING REGARD to Part II, Title III of Legislative Decree September 6, 2005, no. 206,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w:t>
        <w:br/>
        <w:t>HAVING REGARD to Law November 24, 1981, no. 689;</w:t>
        <w:br/>
        <w:t>HAVING REGARD to Article 19 of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HAVING REGARD to its resolution no. 26608 of May 4, 2017, by which the Authority ascertained the unfairness of the commercial practice carried out by SEO Marketing S.L. in violation of Articles 20, 24, 25 paragraph 1, letters d) and e), as well as Article 26 paragraph 1, letter f), of the Consumer Code, articulated in a plurality of conducts consisting of inducing microenterprises, through undue conditioning of their decision-making process, to subscribe to a costly subscription to an unsolicited advertising service as well as neutralizing the right of withdrawal contractually granted and sending repeated notices and payment reminders accompanied, in some cases, by the threat of legal action for the coercive recovery of the claimed credit;</w:t>
        <w:br/>
        <w:t>HAVING REGARD to the acts of the procedure;</w:t>
        <w:br/>
        <w:t>CONSIDERED as follows:</w:t>
        <w:br/>
        <w:t>1. With measure no. 26608 of May 4, 2017, the Authority closed procedure PS10609 ascertaining the unfairness, pursuant to Articles 20, 24, 25 paragraph 1, letters d) and e), as well as Article 26 paragraph 1, letter f), of the Consumer Code, of the commercial practice carried out against Italian microenterprises by SEO Marketing S.L. (hereinafter also “SEO”) and prohibited its dissemination or continuation.</w:t>
        <w:br/>
        <w:t>2. The Authority considered, in particular, that the practice carried out by SEO was articulated in a plurality of conducts aimed at inducing the contacted microenterprises, through undue conditioning of their decision-making process, to subscribe and pay for a subscription to an unsolicited advertising service.</w:t>
      </w:r>
    </w:p>
    <w:p>
      <w:r>
        <w:t>BULLETIN NO. 24 OF JUNE 14, 2021 97</w:t>
        <w:br/>
        <w:t>The reporting microenterprises were recipients of communications that disguised their nature as a commercial proposal and presented themselves as a simple request, formulated in English, for the insertion/update of business data in private databases, including that accessible at the website www.eu-businessregister.com. The publisher of such sites appeared to be the company EU Business Services Ltd, of which, however, there were no traces in the international registers of chambers of commerce. In order to confuse the recipients about the real purpose of the communication, the description of the service actually offered (the publication of a paid advertisement in the private EU Business Register database) and the price to be paid were marginalized in a small portion of the form and provided in small, substantially illegible characters. This communication was therefore not only confusing but also severely lacking in relation to information concerning the real characteristics of the service. The absence of fundamental information in order to make an informed commercial choice led the recipient microenterprises to unwittingly sign the verification forms of their data, binding themselves to an extremely costly multi-year contract. Furthermore, once the contractually granted right of withdrawal had lapsed, the microenterprises received a new communication in which the existence of such contractual obligation was made known and payment of the alleged debt for the provision of the unsolicited advertising service was requested. In the event of non-payment of the demanded amount, the microenterprises received repeated notices and payment reminders, accompanied in some cases by the threat of legal action for the coercive recovery of the sums allegedly owed, even through a supposed debt collection company, Waldberg &amp; Hirsh Global Collections Ltd. In any case, the beneficiary of the requested payments was always SEO Marketing S.L.</w:t>
        <w:br/>
        <w:t>In light of the above, the Authority, considering that the responsible party for the unfair commercial practice was SEO Marketing SL, sanctioned the professional and prohibited the further dissemination of the commercial practice.</w:t>
        <w:br/>
        <w:t>3. Measure no. 26608 of May 4, 2017 was communicated to the professional on May 22, 2017.</w:t>
        <w:br/>
        <w:t>4. In January and March 2021, reports were received from the consumer association AECI in which it was complained that Italian microenterprises had received payment requests regarding the alleged subscription to an advertising service inserted in databases accessible via the website www.eu-businessregister.com.</w:t>
        <w:br/>
        <w:t>5. Regarding the graphic layout of the commercial communication received, it is noted that in the header of the communication, at the top right, the logo “Eu business register” is displayed. The communication is not personalized and addresses the receiving company using the generic expression “Dear Company.” Also at the top, in the center, there is a text addressed to a generic recipient in which the purpose of the communication is presented as follows: “We are compiling</w:t>
      </w:r>
    </w:p>
    <w:p>
      <w:r>
        <w:rPr>
          <w:b/>
        </w:rPr>
        <w:t>[Pages 97–99]</w:t>
      </w:r>
    </w:p>
    <w:p>
      <w:r>
        <w:t>98 BULLETIN NO. 24 OF JUNE 14, 2021</w:t>
        <w:br/>
        <w:t>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 We thank you for your cooperation” 6. After this text, it reads: “To update your company profile, please print, complete and return this form. Updating is free of charge!7 Only sign if you want to place an insertion”.</w:t>
      </w:r>
    </w:p>
    <w:p>
      <w:r>
        <w:t>The central part of the page is occupied by two boxes. In the left box, some economic activity sectors are indicated, among which the company must specify its belonging. On the right, however, there is the box containing fields related to company data (“name of the company”, “address”, “country”, “telephone”, “e-mail”, “web address”, “contact person”), sometimes already pre-filled, in other cases to be filled in or integrated.</w:t>
      </w:r>
    </w:p>
    <w:p>
      <w:r>
        <w:t>6. At the bottom of the page, following the two aforementioned boxes, in small graphic characters and closely spaced, contained in a paragraph that is almost illegible, after the wording “ORDER” the following indications are contained: “THE SIGNING OF THIS DOCUMENT REPRESENTS THE ACCEPTANCE OF THE FOLLOWING CONDITIONS AND THE CONDITIONS STATED IN ‘THE TERMS AND CONDITIONS FOR INSERTION’ ON THE WEB PAGE WWW.EUBUSINESSREGISTER.NET THE SIGNING IS LEGALLY BINDING AND GIVES YOU THE RIGHT OF AN INSERTION IN THE ONLINE DATABASE OF THE EU BUSINESS REGISTER WHICH CAN BE ACCESSED VIA THE INTERNET ALL IN ACCORDANCE WITH THE CONTRACTUAL CONDITIONS STATED ON THE TERMS AND CONDITIONS FOR INSERTION ON WEBPAGE WWW.EUBUSINESSREGISTER.NET. THE VALIDATION TIME OF THE CONTRACT IS THREE YEARS AND STARTS ON THE EIGHTH DAY AFTER SIGNING THE CONTRACT. THE INSERTION IS GRANTED AFTER SIGNING AND RECEIVING THIS DOCUMENT BY THE SERVICE PROVIDER. I HEREBY ORDER A SUBSCRIPTION WITH THE SERVICE PROVIDER EU BUSINESS SERVICE LTD. ‘EU BUSINESS REGISTER’ I WILL HAVE AN INSERTION INTO ITS DATABASE FOR THREE YEARS, THE PRICE FOR YEAR IS EURO 995. THE SUBSCRIPTION WILL BE AUTOMATICALLY EXTENDED EVERY YEAR FOR ANOTHER YEAR, UNLESS SPECIFIC WRITTEN NOTICE IS RECEIVED BY THE SERVICE PROVIDER OR THE SUBSCRIBER TWO MONTHS BEFORE THE EXPIRATION OF THE SUBSCRIPTION. YOUR DATA WILL BE RECORDED. THE PLACE OF JURISDICTION IN ANY DISPUTE ARISING IS THE SERVICE PROVIDER’S ADDRESS. THE AGREEMENT BETWEEN THE SERVICE PROVIDER EU BUSINESS SERVICE LTD AND THE SUBSCRIBER IS GOVERNED BY THE CONDITIONS STATED IN ‘THE TERMS AND CONDITIONS FOR INSERTION’ ON WEB PAGE WWW.EUBUSINESSREGISTER.NET” 8.</w:t>
      </w:r>
    </w:p>
    <w:p>
      <w:r>
        <w:t>7. The form therefore contains two spaces dedicated, respectively, to the entry of the date (“date”) and the signature and stamp of the contacted company (“Legal signature/Company stamp”) to be filled in once the pre-filled company data has been integrated and/or corrected, or such company data has been entered within the two boxes. It then follows an invitation for the company to send via fax to a Dutch address.</w:t>
      </w:r>
    </w:p>
    <w:p>
      <w:r>
        <w:t xml:space="preserve">6 The bold is in the form.  </w:t>
        <w:br/>
        <w:t xml:space="preserve">7 In bold in the text.  </w:t>
        <w:br/>
        <w:t>8 See, for example, attachments to the report of March 11, 2021, cited above.</w:t>
      </w:r>
    </w:p>
    <w:p>
      <w:r>
        <w:t>BULLETIN NO. 24 OF JUNE 14, 2021 99</w:t>
        <w:br/>
        <w:t>8. In the above-described communication sent to micro-enterprises, as the publisher of the database currently available on the website www.eu-businessregister.com, the company EU Business Service LTD is indicated, of which, however, there is no trace in the international registers of the chambers of commerce9.</w:t>
      </w:r>
    </w:p>
    <w:p>
      <w:r>
        <w:t>9. In the case of registration on the website www.eu-businessregister.com, a few days after sending the form, the contacted company receives a payment request defined as “INVOICE” for an amount equal to 995 euros for an annual subscription (“one year subscription”). In this request, the beneficiary of the payment is indicated as the company SEO MARKETING S.L. based in Spain (Malaga)10; the banking references (IBAN and BIC of Spanish law) for paying the requested amount are also specified.</w:t>
      </w:r>
    </w:p>
    <w:p>
      <w:r>
        <w:t>10. If the contacted companies do not pay the requested amount, they receive periodic payment reminders defined as “REMINDER” in which, in addition to the initial amount of 995 euros per year, further fees are added that further increase the total amount requested. In particular, two fees are added, respectively equal to 99 euros as a “late payment fee” and 35 euros as an “administration fee”. Even in these reminders, which are never signed by individuals, the beneficiary of the payment is the aforementioned company SEO MARKETING S.L.</w:t>
      </w:r>
    </w:p>
    <w:p>
      <w:r>
        <w:t>11. From the documentation attached to the report of March 2021, it emerges that the credit is subsequently claimed by an alleged debt collection company, Walberg &amp; Hirsh Global Collections Ltd, which claims to be based in Amsterdam (Netherlands)11, of which, however, there is no trace in the Dutch Business Register. With this request, payment of the aforementioned amounts (995 euros per year, plus 99 euros, plus 35 euros) plus a fee of 300 euros as a “Legal Fee” and an additional fee as an “Additional Legal Fee” for a total of 1929 euros is demanded. The beneficiary of the payment is always indicated as the company SEO MARKETING S.L. based in Spain (Malaga) and the same banking references are also specified.</w:t>
      </w:r>
    </w:p>
    <w:p>
      <w:r>
        <w:t>12. From the complaints received after the closure of procedure PS1060912 and the related attached documentation, it emerges, therefore, that SEO MARKETING S.L. would continue to engage in the unfair commercial practice already subject to procedure PS10609. The sending of the communications described above, as well as the aforementioned payment requests and related reminders, given the same content and the identical graphic layout of the communications subject to the previous procedure PS10609 related to the database available on the website www.eu-businessregister.com, indeed constitutes the reiteration of the conduct that is an integral part of the commercial practice considered unfair by the Authority with resolution no. 26608 of May 4, 2017. Therefore, the conditions for initiating the procedure provided for by Article 27, paragraph 12, of the Consumer Code, aimed at imposing an administrative pecuniary sanction from 10,000 to 5,000,000 euros, are met.</w:t>
      </w:r>
    </w:p>
    <w:p>
      <w:r>
        <w:t xml:space="preserve">9 In this sense, the Guardia di Finanza also expressed itself with a note received on February 11, 2021, prot. 92301.  </w:t>
        <w:br/>
        <w:t xml:space="preserve">10 The company SEO MARKETING SL is registered with the Spanish Chamber of Commerce with the tax identification code (CIF) B93386654.  </w:t>
        <w:br/>
        <w:t xml:space="preserve">11 See report of March 11, 2021 cited above.  </w:t>
        <w:br/>
        <w:t>12 See reports cited in notes 2 and 3.</w:t>
      </w:r>
    </w:p>
    <w:p>
      <w:r>
        <w:t>100 BULLETIN NO. 24 OF JUNE 14, 2021</w:t>
        <w:br/>
        <w:t>CONSIDERING, therefore, that the described facts appear to constitute a case of non-compliance with the Authority's resolution no. 26608 of May 4, 2017, pursuant to Article 27, paragraph 12, of the Consumer Code;</w:t>
      </w:r>
    </w:p>
    <w:p>
      <w:r>
        <w:t>RESOLVES</w:t>
        <w:br/>
        <w:t>a) to contest to the company SEO Marketing SL the violation referred to in Article 27, paragraph 12, of the Consumer Code, for failing to comply with the Authority's resolution no. 26608 of May 4, 2017;</w:t>
        <w:br/>
        <w:t>b) the initiation of the procedure for the possible imposition of the pecuniary sanction provided for in Article 27, paragraph 12, of the Consumer Code;</w:t>
        <w:br/>
        <w:t>c) that the person responsible for the procedure is Dr. Letizia Razzitti;</w:t>
        <w:br/>
        <w:t>d) that the acts of the procedure can be viewed at Directorate C of the Directorate General for Consumer Protection of the Authority, by the legal representatives of the company SEO Marketing SL or by persons delegated by it;</w:t>
        <w:br/>
        <w:t>e) that within twenty days from the notification of this provision, the interested parties may submit defensive writings and documents to the Authority, as well as request to be heard;</w:t>
        <w:br/>
        <w:t>f) that the procedure must be concluded within one hundred and twenty days from the date of communication of this provision.</w:t>
      </w:r>
    </w:p>
    <w:p>
      <w:r>
        <w:t>For the purposes of quantifying the possible pecuniary sanction provided for by Article 27, paragraph 12, of the Consumer Code, SEO Marketing SL is requested to provide a copy of the latest financial statements or suitable accounting documentation certifying the economic conditions in the last year.</w:t>
      </w:r>
    </w:p>
    <w:p>
      <w:r>
        <w:t>This provision will be communicated to the interested parties and published in the Bulletin of the Competition and Market Authority.</w:t>
      </w:r>
    </w:p>
    <w:p>
      <w:r>
        <w:t>THE DEPUTY SECRETARY GENERAL THE PRESIDENT</w:t>
        <w:br/>
        <w:t>Serena Stella Roberto Rustichelli</w:t>
      </w:r>
    </w:p>
    <w:p>
      <w:r>
        <w:rPr>
          <w:b/>
        </w:rPr>
        <w:t>[Pages 100–102]</w:t>
      </w:r>
    </w:p>
    <w:p>
      <w:r>
        <w:t>BULLETIN NO. 24 OF JUNE 14, 2021 101</w:t>
        <w:br/>
        <w:t>IP343 - MULPOR-INTERNATIONAL FAIRS DIRECTORY</w:t>
        <w:br/>
        <w:t>Notice of initiation of investigative proceedings</w:t>
        <w:br/>
        <w:t>COMPETITION AND MARKET AUTHORITY</w:t>
        <w:br/>
        <w:t>Notice of initiation of the investigation, pursuant to Article 6, paragraph 2, and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in relation to the procedure IP343, initiated pursuant to Article 27, paragraph 12, of the Consumer Code against Mulpor Company S.r.l. and IBCM International Business Convention Management Ltd.</w:t>
        <w:br/>
        <w:t>The publication of this notice in the weekly bulletin of the Competition and Market Authority, followed by the initiation of the investigative proceedings for non-compliance with resolution no. 27552 of February 6, 2019, is carried out pursuant to and for the effects of Article 6, paragraph 2, of the Regulation, given the negative outcome of the attempt to transmit the same to Mulpor Company S.r.l. with registered office in Costa Rica.</w:t>
        <w:br/>
        <w:t>For any communication addressed to the Authority regarding the case in question, please refer to Directorate C of the General Directorate for Consumer Protection and reference IP343.</w:t>
        <w:br/>
        <w:t>THE PERSON IN CHARGE OF THE PROCEDURE</w:t>
      </w:r>
    </w:p>
    <w:p>
      <w:r>
        <w:t>102 BULLETIN NO. 24 OF JUNE 14, 2021</w:t>
        <w:br/>
        <w:t>IP343 - MULPOR-INTERNATIONAL FAIRS DIRECTORY</w:t>
        <w:br/>
        <w:t>Measure no. 28625</w:t>
        <w:br/>
        <w:t>THE COMPETITION AND MARKET AUTHORITY</w:t>
        <w:br/>
        <w:t>IN ITS MEETING of March 30, 2021;</w:t>
        <w:br/>
        <w:t>HEARD the Rapporteur Dr. Gabriella Muscolo;</w:t>
        <w:br/>
        <w:t>HAVING REGARD to Part II, Title III, of Legislative Decree September 6, 2005, no. 206,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HAVING REGARD to Law November 24, 1981, no. 689;</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HAVING REGARD to its resolution no. 27552 of February 6, 2019, by which the Authority established the unfairness, pursuant to Articles 21, 22, 24, 25, paragraph 1, letters d) and e), and 26, paragraph 1, letter f), of the Consumer Code, of the commercial practice carried out by Mulpor Company S.A., Mulpor Company S.r.l., Connect Publisher S.C., PayTrac Lda, Finad Economy Lda, IBCM International Business Convention Management Ltd, and Credit Collection Factoring s.r.o. This practice consisted of presenting the offer of a paid advertising service as a request to verify the business data present in a database, misleadingly suggesting – contrary to the truth – that it was a database linked to the trade fair event and the organizing body and that failure to update would result in the cancellation of the company from the database and thus exclusion from an important advertising channel. In this way, businesses and micro-enterprises were induced to verify, sign, and quickly return a pre-filled form with their business data, thereby unwittingly committing to the purchase of an advertising listing on the International Fairs Directory for three years, at a cost of approximately €1,200 per year. Upon refusal to pay such sums unjustly demanded by PayTrac and Finad Economy on behalf of Mulpor and Connect Publisher, persistent reminders followed from the companies appointed by Mulpor and Connect Publisher for collection, IBCM and CCF, up to the threat of initiating international actions for the forced recovery of the claimed debts, which were anticipated to incur significant costs;</w:t>
        <w:br/>
        <w:t>HAVING REGARD to the documents of the procedure;</w:t>
        <w:br/>
        <w:t>CONSIDERING the following:</w:t>
        <w:br/>
        <w:t>With measure no. 27552 of February 6, 2019, the Authority closed procedure PS11138 establishing the unfairness, pursuant to Articles 21, 22, 24, 25, paragraph 1, letters d) and e), and 26, paragraph 1, letter f), of the Consumer Code, of the commercial practice carried out against Italian micro-enterprises by Mulpor Company S.A., Mulpor Company S.r.l. (jointly, "Mulpor"), Connect Publisher S.C., PayTrac Lda, Finad Economy Lda, IBCM International Business Convention Management Ltd, and Credit Collection Factoring s.r.o ("CCF").</w:t>
        <w:br/>
        <w:t>The Authority established that Connect Publisher, publisher of the Directory until February 2016, and Mulpor Company S.A., which took over this role, had built, unbeknownst to the businesses and micro-enterprises participating in national and international trade fair events, a database containing their business data and information about the trade fairs they had attended.</w:t>
        <w:br/>
        <w:t>The businesses and micro-enterprises listed learned that they had been included in this database only after receiving a letter and a form containing their business data. The letter and form prominently featured the name of a trade fair event they had recently attended and the relevant organizing body.</w:t>
        <w:br/>
        <w:t>The text of the letter referred to a "Data Report 201x-201x" and the need to verify and update business data to avoid deletion.</w:t>
        <w:br/>
        <w:t>The communication in question was likely to induce numerous businesses and micro-enterprises to believe it originated, contrary to the truth, from the organizing body of the trade fair or was otherwise connected to the need to verify business data to avoid deletion from the records of that Fair, which represents an important contact channel with potential customers and organizers of other trade fair events.</w:t>
        <w:br/>
        <w:t>The emphasis on the risk of deletion and the misleading context that made the communication appear to come from the organizing body, or otherwise connected to participation in the event indicated in the heading, were likely to unduly influence the choices of the recipient businesses and micro-enterprises, pushing them to sign the form following a quick verification of the information contained in the form, thus diverting their attention from the actual consequences of affixing their signature and company stamp.</w:t>
        <w:br/>
        <w:t>The businesses and micro-enterprises, in fact, became aware of the unwitting, and therefore unsolicited, activation of the three-year subscription to the paid advertising service on the International Fair Guide only upon receiving invoices issued by PayTrac and, later, by Finad, when the withdrawal periods had already long expired.</w:t>
        <w:br/>
        <w:t>In light of the denial of the intention to activate such service and the validity of such credit claims by the recipient businesses and micro-enterprises, Mulpor reiterated its payment requests (also relating to contracts concluded by Connect Publisher in which it had taken over) and appointed two debt collection companies, CCF and IBCM, to carry out all necessary activities for the collection of the allegedly claimed debts, including the possibility of extrajudicial settlement of the dispute through a settlement agreement.</w:t>
        <w:br/>
        <w:t>CCF and IBCM initiated the collection procedures for the debts claimed by Mulpor, proceeding with numerous and pressing reminders and threatening to initiate costly international debt recovery actions to obtain payment of the debts claimed by Mulpor if the micro-enterprises did not accept the proposed settlement solutions.</w:t>
        <w:br/>
        <w:t>In this context, CCF and IBCM disseminated, solely for the purpose of inducing the contacted businesses and micro-enterprises to accept the proposed settlement solution, misleading information about the characteristics of the international procedures and the alleged irrelevance of any ruling of unfairness.</w:t>
      </w:r>
    </w:p>
    <w:p>
      <w:r>
        <w:rPr>
          <w:b/>
        </w:rPr>
        <w:t>[Pages 103–105]</w:t>
      </w:r>
    </w:p>
    <w:p>
      <w:r>
        <w:t>104 BULLETIN NO. 24 OF JUNE 14, 2021</w:t>
        <w:br/>
        <w:t>of the Authority in a civil proceeding regarding the nullity or annulment of the contract between Mulpor and the companies and microenterprises subject to the commercial practice.</w:t>
      </w:r>
    </w:p>
    <w:p>
      <w:r>
        <w:t>The Authority has therefore deemed that the aforementioned conduct, carried out jointly by Mulpor and Connect Publisher, with the contribution and cooperation of PayTrac and Finad in managing payment requests and of CCF and IBCM in the collection of the allegedly claimed credits, constituted an unfair commercial practice, in violation of Articles 21, 22, 24, 25 paragraph 1, letters d) and e), and 26, paragraph 1, letter f), of the Consumer Code. Such conduct was found to be capable of misleading companies and microenterprises regarding the true identity of the advertising operator, the nature and economic conditions of the advertised offer, leading them to unwittingly subscribe to unsolicited services. Furthermore, the decision-making process of the recipient companies was improperly influenced through the demand for payment of the unsolicited service that was unwittingly subscribed, the continuous reminders, and the threat of resorting to international legal actions.</w:t>
      </w:r>
    </w:p>
    <w:p>
      <w:r>
        <w:t>The Authority also imposed monetary sanctions of approximately 2.7 million euros.</w:t>
      </w:r>
    </w:p>
    <w:p>
      <w:r>
        <w:t>Numerous requests for intervention received at least since January 2021 have reported the recurrence of the commercial practice subject to the aforementioned measure. In particular, from the reports, it appears that Mulpor Company s.r.l., now publisher of the International Fairs Directory, has sent at least since November 2020 the same misleading forms described in the measure of February 6, 2019, in which it apparently requests to verify the information already entered in the International Fairs Directory database. The form is presented in such a way that it can easily be confused with the database of the Fair that the recipient of the communication has recently attended, and its subscription for the certification of the verification actually entails adherence to a three-year offer for the publication of an advertisement in the Directory at a cost of over 1200 euros per year.</w:t>
      </w:r>
    </w:p>
    <w:p>
      <w:r>
        <w:t>Mulpor Company s.r.l. has continued to demand payment for unsolicited services by sending so-called "invoices" and payment notices from appointed companies. In response to the objections of the companies and microenterprises receiving such requests, Mulpor Company s.r.l. has denied the misleading nature of its commercial offer.</w:t>
      </w:r>
    </w:p>
    <w:p>
      <w:r>
        <w:t>From the reports received, it also emerges that IBCM has sent payment reminders and notices of enforced collection in which it threatens to initiate international litigation for the recovery of credits claimed by "Mulpor Company" for the unsolicited and unwittingly purchased advertising services over the years by the reporters. In such reminders and notices, a bank account held by IBCM at a Hungarian bank is indicated for payment.</w:t>
      </w:r>
    </w:p>
    <w:p>
      <w:r>
        <w:t>The commercial practices carried out by Mulpor Company s.r.l. and IBCM International Business Convention Management Ltd present the same profile of unfairness already established.</w:t>
      </w:r>
    </w:p>
    <w:p>
      <w:r>
        <w:t>1 See report prot. 11615 of 12/1/2021.</w:t>
        <w:br/>
        <w:t>2 See the report of 8/3/21, prot. 27230, which includes a form sent by Mulpor Company s.r.l. on January 27, 2021.</w:t>
        <w:br/>
        <w:t>3 See attachment 5 to the report of March 10, 2021, prot. 27930.</w:t>
        <w:br/>
        <w:t>4 See, for example, reports of February 15, 2021, prot. 20966, and March 19, 2021, prot. 30893.</w:t>
      </w:r>
    </w:p>
    <w:p>
      <w:r>
        <w:t>BULLETIN NO. 24 OF JUNE 14, 2021 105</w:t>
        <w:br/>
        <w:t>Measure no. 27552 of February 6, 2019 was communicated to IBCM on March 19, 2019, and to the other professionals by notice in Bulletin no. 27/2019 published on July 8, 2019, due to difficulties in notification encountered.</w:t>
      </w:r>
    </w:p>
    <w:p>
      <w:r>
        <w:t>Therefore, from the content of the aforementioned reports, it is evident that the commercial practice deemed unfair by the Authority with the aforementioned measure has been disseminated again by the cited professionals, at least since January 2021.</w:t>
      </w:r>
    </w:p>
    <w:p>
      <w:r>
        <w:t>Consequently, the conditions for initiating the procedure provided for by Article 27, paragraph 12, of the Consumer Code, aimed at the possible imposition of an administrative monetary sanction from 10,000 to 5,000,000 euros, are met.</w:t>
      </w:r>
    </w:p>
    <w:p>
      <w:r>
        <w:t>CONSIDERING, therefore, that the described facts appear to constitute a case of non-compliance with the Authority's resolution no. 27552 of February 6, 2019, pursuant to Article 27, paragraph 12, of the Consumer Code;</w:t>
      </w:r>
    </w:p>
    <w:p>
      <w:r>
        <w:t>RESOLVES</w:t>
        <w:br/>
        <w:t>a) to contest to the companies Mulpor Company s.r.l. and IBCM International Business Convention Management Ltd the violation referred to in Article 27, paragraph 12, of the Consumer Code, for failing to comply with the Authority's resolution no. 27552 of February 6, 2019, duly notified to the cited professionals;</w:t>
        <w:br/>
        <w:t>b) the initiation of the procedure for the possible imposition of the monetary sanction provided for by Article 27, paragraph 12, of the Consumer Code;</w:t>
        <w:br/>
        <w:t>c) that the person responsible for the procedure is Dr. Riccardo Piccoli;</w:t>
        <w:br/>
        <w:t>d) that the acts of the procedure can be viewed at Directorate C, of the Directorate General for Consumer Protection, of the Authority, by the legal representatives of the aforementioned companies, or by persons delegated by them;</w:t>
        <w:br/>
        <w:t>e) that within thirty days from the communication of this measure, the interested parties may submit to the Authority defensive writings and documents, as well as request to be heard;</w:t>
        <w:br/>
        <w:t>f) that the procedure must be concluded within one hundred and twenty days from the date of communication of this measure.</w:t>
      </w:r>
    </w:p>
    <w:p>
      <w:r>
        <w:t>For the purposes of quantifying the possible monetary sanction provided for by Article 27, paragraph 12, of the Consumer Code, the aforementioned Companies are invited to provide a copy of the latest financial statements or suitable accounting documentation certifying the economic conditions in the last year.</w:t>
      </w:r>
    </w:p>
    <w:p>
      <w:r>
        <w:t>5 There has been no certain feedback on the notification to Mulpor Company S.A. and Connect Publisher S.C., while it has not been possible to notify the measure to CCF.</w:t>
      </w:r>
    </w:p>
    <w:p>
      <w:r>
        <w:t>106 BULLETIN NO. 24 OF JUNE 14, 2021</w:t>
        <w:br/>
        <w:t>This measure will be communicated to the interested parties and published in the Bulletin of the Competition and Market Authority.</w:t>
      </w:r>
    </w:p>
    <w:p>
      <w:r>
        <w:t>THE DEPUTY SECRETARY GENERAL THE PRESIDENT</w:t>
        <w:br/>
        <w:t>Serena Stella Roberto Rustichelli</w:t>
      </w:r>
    </w:p>
    <w:p>
      <w:r>
        <w:rPr>
          <w:b/>
        </w:rPr>
        <w:t>[Pages 106–108]</w:t>
      </w:r>
    </w:p>
    <w:p>
      <w:r>
        <w:t>BULLETIN NO. 24 OF JUNE 14, 2021 107</w:t>
        <w:br/>
        <w:t>PS11885 - COMMERCIAL GUIDE EXPOGUIDE</w:t>
        <w:br/>
        <w:t>Notice of adoption of the measure confirming the provisional precautionary suspension</w:t>
        <w:br/>
        <w:t>COMPETITION AND MARKET AUTHORITY</w:t>
        <w:br/>
        <w:t>Notice of adoption of the measure confirming the provisional precautionary suspension,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PS11885 – Commercial Guide expo-guide.</w:t>
        <w:br/>
        <w:t>The publication of this notice in the weekly Bulletin of the Competition and Market Authority, followed by the measure confirming the provisional precautionary suspension, is carried out pursuant to and for the effects of Article 19, paragraph 2 of the Regulation.</w:t>
        <w:br/>
        <w:t>Such publication has become necessary due to the failure to receive responses to the attempt to transmit the same measure confirming the provisional precautionary suspension, prot. 40468 of April 27, 2021, to the postal address of INVERSIONES DGSM S.r.l. in Alajuela (Costa Rica), via registered mail a/r no. 194030G000107 of April 27, 2021. Italian Post, in fact, on May 5, 2021, communicated the non-delivery of the aforementioned measure at the premises of INVERSIONES DGSM S.r.l.</w:t>
        <w:br/>
        <w:t>For any communication addressed to the Authority regarding the case in question, please refer to Directorate C of the Directorate General for Consumer Protection and the reference PS11885.</w:t>
        <w:br/>
        <w:t>THE PERSON IN CHARGE OF THE PROCEDURE</w:t>
      </w:r>
    </w:p>
    <w:p>
      <w:r>
        <w:t>108 BULLETIN NO. 24 OF JUNE 14, 2021</w:t>
        <w:br/>
        <w:t>PS11885 - COMMERCIAL GUIDE EXPOGUIDE</w:t>
        <w:br/>
        <w:t>Measure No. 29635</w:t>
        <w:br/>
        <w:t>THE COMPETITION AND MARKET AUTHORITY</w:t>
        <w:br/>
        <w:t>IN ITS MEETING of April 13, 2021;</w:t>
        <w:br/>
        <w:t>HEARD the Rapporteur Dr. Gabriella Muscolo;</w:t>
        <w:br/>
        <w:t>HAVING REGARD to Part II, Title III, of Legislative Decree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initiating procedure PS11885 of December 22, 2020, aimed at verifying the existence of unfair commercial practices in violation of Articles 20, 21, 22, 24, and 25, paragraph 1, letters d) and e), as well as 26, paragraph 1, letter f), of the Consumer Code by the companies INVERSIONES DGSM S.r.l., CREDIT INTELLIGENCE Kft, and C.L. BUSINESS CONFLICT SOLUTIONS MANAGEMENT Ltd;</w:t>
        <w:br/>
        <w:t>HAVING REGARD to its measure of December 22, 2020, by which the provisional suspension of the commercial practices carried out by the Parties in misleading and aggressive ways was decided, consisting both in the activity of transmitting non-transparent commercial offers for the purchase of paid advertising services on www.expo-guide.com, and in any activity aimed at the collection of improperly claimed debts, also carried out through threats of resorting to the competent judicial authorities for the recovery of the claimed credit;</w:t>
        <w:br/>
        <w:t>HAVING REGARD to the documents of the procedure;</w:t>
        <w:br/>
        <w:t>CONSIDERED the following:</w:t>
        <w:br/>
        <w:t>I. FACT</w:t>
        <w:br/>
        <w:t>1. From the numerous reports from businesses and micro-enterprises, received from February 2020 to date, and from the information acquired ex officio, it has emerged that certain conduct carried out by INVERSIONES DGSM S.r.l. (hereinafter also INVERSIONES), CREDIT INTELLIGENCE Kft (hereinafter also CREDIT INTELLIGENCE), and C.L. BUSINESS CONFLICT SOLUTIONS MANAGEMENT Ltd (hereinafter also CLBCS) may constitute relevant cases under the Consumer Code.</w:t>
        <w:br/>
        <w:t>2. In particular, the debt collection company CLBCS, on behalf of INVERSIONES, the current publisher of www.expo-guide.com, has sent repeated payment reminders for the annual installments of a three-year paid advertising service on www.expo-guide.com that, in reality, the reporters claim to have never knowingly subscribed to. The reporters complain that the reminders are increasingly pressing, up to the threat of resorting to the competent judicial authorities in order to recover the improperly claimed credit.</w:t>
        <w:br/>
        <w:t>3. The unaware adhesion obtained from the micro-enterprises involved dates back to the receipt, by the companies that had participated in national and international trade fairs, of a communication requesting them to verify a form containing the company data already entered in a database linked to the site http://www.expo-guide.com. This entry in the database occurred entirely without the knowledge of the reporters.</w:t>
        <w:br/>
        <w:t>The communication, ambiguously reporting in its heading and in that of the attached form the name of a trade fair in which the recipient had participated and the name of its organizer, could be mistaken for a communication from the organizer itself and led the recipient company to adhere to the invitation to verify the correctness of its data to avoid the feared cancellation of its name from the database. The form indicated, in small print and without any highlighting, that the related subscription involved the purchase of a three-year paid advertising service on expo-guide.com at a cost of 1,271 euros per year.</w:t>
        <w:br/>
        <w:t>4. Only upon receiving the invoices and reminders did the reporting companies learn that they had subscribed to a paid advertising service that they had no intention of requesting. These reminders, sent by CLBCS, concern three years of subscription (for a total of 3,813 euros) plus recovery costs of 395 euros and reminder costs of 89.40 euros. With the communications that are an integral part of these reminders, CLBCS first recalls, in peremptory tones, the alleged contractual non-compliance of the contacted companies regarding the advertising services on expo-guide.com; the professional then states that he has been commissioned to proceed before the judicial authority for the recovery of the unpaid amounts, requesting payment of 4,297.40 euros by a certain deadline. In case of non-payment, CLBCS threatens to resort to an international payment order issued by the competent court and “in compliance with international provisions on commercial debts.”</w:t>
        <w:br/>
        <w:t>Subsequently, in case of unfruitful feedback and non-payment by the contacted companies, CLBCS sends further reminders in which the companies are informed that, should they continue to persist in the non-payment of the amounts deemed due, “coercive collection” will be carried out with an “additional burden” of legal costs of 1,500.00 euros (for a total of 5,797.40 euros), in addition to procedural costs that will be determined at the conclusion of the judgment. It is then stated, with apparent certainty, that the competent judicial authority will recognize the publisher's reasons and the high cost of an international dispute, lasting from 3 to 5 years, whose expenditure is estimated, based on alleged previous disputes, between 10,000.00 and 20,000.00 euros.</w:t>
        <w:br/>
        <w:t>5. In the “invoices” attached to the reminders, it is indicated that the requested amounts must be paid into an account in the name of CREDIT INTELLIGENCE Kft, for which the IBAN code is provided.</w:t>
        <w:br/>
        <w:t>6. Therefore, based on the information acquired in the documents, the investigative procedure PS11885 has been initiated, pursuant to Article 27, paragraph 3, of the Consumer Code, as well as pursuant to Article 6 of the Regulation, in order to verify the existence of unfair commercial practices in violation of Articles 20, 21, 22, 24, 25, paragraph 1, letters d) and e), as well as Article 26, paragraph 1, letter f), of the Consumer Code.</w:t>
      </w:r>
    </w:p>
    <w:p>
      <w:r>
        <w:rPr>
          <w:b/>
        </w:rPr>
        <w:t>[Pages 109–111]</w:t>
      </w:r>
    </w:p>
    <w:p>
      <w:r>
        <w:t xml:space="preserve">110 BULLETIN NO. 24 OF JUNE 14, 2021  </w:t>
        <w:br/>
        <w:t xml:space="preserve">7. The parties to the proceedings are the companies INVERSIONES DGSM S.r.l., CREDIT INTELLIGENCE Kft, and C.L. BUSINESS CONFLICT SOLUTIONS MANAGEMENT Ltd.  </w:t>
        <w:br/>
        <w:t xml:space="preserve">II. AUTHORITY'S MEASURE OF DECEMBER 22, 2020  </w:t>
        <w:br/>
        <w:t xml:space="preserve">8. The Authority, with a resolution adopted in its meeting of December 22, 2020, ordered, pursuant to Article 27, paragraph 3, of the Consumer Code and Article 8, paragraph 3, of the Regulation, that the companies INVERSIONES DGSM S.r.l. and C.L. BUSINESS CONFLICT SOLUTIONS MANAGEMENT Ltd suspend the transmission of non-transparent offers related to Expo Guide and the collection activities of credits related to services not consciously requested.  </w:t>
        <w:br/>
        <w:t xml:space="preserve">9. In particular, the Authority considered that the contested conduct by the professionals was prima facie present, carried out in violation of Articles 20, 21, 22, 24, 25, paragraph 1, letters d) and e), as well as Article 26, paragraph 1, letter f), of the Consumer Code and, specifically: i) that the behaviors consisting of sending to the reporting micro-enterprises communications requesting verification of a form containing the business data already entered in a database linked to the website http://www.expo-guide.com appeared contrary to professional diligence and likely to mislead the recipients regarding the actual commercial nature of such communications, containing ambiguous and contradictory information likely to suggest, contrary to the truth, that they come from the organizers of trade fairs or that they are in any case related to the need to verify business data to avoid being removed from the registers of that fair, with the immediate consequence of also inducing the recipients to unwittingly subscribe to an unsolicited paid service; ii) that the collection methods adopted for the recovery of improperly claimed credits, carried out through requests for increasingly higher amounts, intimidating communications, harassing reminders, threats of extremely costly and reckless legal actions, as well as misleading references made to the Authority's interventions aimed at forming in the recipients the conviction of being not only in default but also unprotected, all appeared suitable to unduly condition the recipients to pay high amounts not due.  </w:t>
        <w:br/>
        <w:t xml:space="preserve">10. From the perspective of periculum in mora, the Authority noted that the website www.expo-guide.com is still active, with the related database of business data being entered in the forms administered for the misleading subscription of the advertising services offered by INVERSIONES, and that CLBCS continues to send reminders to induce undue payments to the account held by CREDIT INTELLIGENCE. The conduct presents a high degree of offensiveness, evidenced by the number of reports received and the significant economic interest affected. The urgency of the intervention was appreciated in light of the danger that the threat of initiating an international collection procedure with obscure characteristics and increasing costs may provoke in the micro-enterprises involved, already in difficulty due to the economic crisis induced by the pandemic, fears that may lead them to pay undue amounts to avoid the risk of the proposed legal actions.  </w:t>
        <w:br/>
        <w:t xml:space="preserve">11. That said, the Authority considered that there were extreme seriousness, urgency, and necessity requirements justifying the adoption of the precautionary measure, inaudita altera parte, pursuant to Article 27, paragraph 3, of the Consumer Code and Article 8, paragraph 3, of the Regulation, consisting of: i) the current nature of the contested conduct; ii) the involvement of numerous Italian micro-enterprises;  </w:t>
        <w:br/>
        <w:t xml:space="preserve">BULLETIN NO. 24 OF JUNE 14, 2021 111  </w:t>
        <w:br/>
        <w:t xml:space="preserve">iii) the resort to threats of promoting legal actions for the recovery of undue amounts, related to conduct already established as unlawful and sanctioned by the Authority. Consequently, it ordered, against INVERSIONES and CLBCS, the suspension of any activity of transmitting non-transparent offers for the purchase of paid advertising services on the website expo-guide.com, such as those described in this measure, as well as any activity aimed at the collection of improperly claimed credits, also carried out by threatening to resort to the competent judicial authorities for the recovery of the claimed credit, interests, and legal expenses.  </w:t>
        <w:br/>
        <w:t xml:space="preserve">III. MEMORIES OF THE PARTIES  </w:t>
        <w:br/>
        <w:t xml:space="preserve">12. The communication of the initiation of the procedure PS11885 and the provisional suspension measure no. 28512 of December 22, 2020, were notified to INVERSIONES. In fact, on March 15, 2021, the receipt notice, undated but nonetheless signed, of the international registered letter sent on December 24, 2020, with which the aforementioned acts were notified to INVERSIONES, was received. The deadlines for submitting a report on the measures taken to comply with the aforementioned precautionary measure of December 22, 2020, have therefore certainly elapsed without any communication having been received by the Authority from INVERSIONES.  </w:t>
        <w:br/>
        <w:t xml:space="preserve">IV. FURTHER ELEMENTS ACQUIRED  </w:t>
        <w:br/>
        <w:t xml:space="preserve">13. From the elements in the records, it appears that INVERSIONES, after receiving the communication of initiation and the notification of the precautionary suspension measure of December 22, 2020, continued to instruct CLCBS to carry out the collection of improperly claimed credits.  </w:t>
        <w:br/>
        <w:t xml:space="preserve">14. In particular, CLBCS, in execution of the mandate received from INVERSIONES, sent via email, on the dates of January 21, 2021, February 22, 2021, March 18, 2021, and March 24, 2021, "coercive collection notices" related to "unpaid invoices for advertising registration expo-guide," in which the existence of an alleged credit against the reporting companies amounting to 3,813 euros is noted, to which additional expenses of approximately 484 euros would be added, relating to recovery and reminder expenses, and it threatens, in the communication of March 24, the issuance of an international payment order by the competent judicial authority.  </w:t>
        <w:br/>
        <w:t xml:space="preserve">V. EVALUATIONS  </w:t>
        <w:br/>
        <w:t xml:space="preserve">15. In light of what has emerged to date and all the documentation on record, received even after the resolutions of December 22, 2020, and February 16, 2021, it is believed that the conditions that led the Authority to adopt the aforementioned precautionary measure against INVERSIONES still exist.  </w:t>
        <w:br/>
        <w:t xml:space="preserve">2 See in particular the act by which INVERSIONES delegates CLCBS to recover credits and receive payments of any kind, attached to report prot. 11556 of January 11, 2021.  </w:t>
        <w:br/>
        <w:t xml:space="preserve">3 See in particular reports prot. 19168 and 19185 of February 8, 2021.  </w:t>
        <w:br/>
        <w:t xml:space="preserve">4 See report prot. 23427 of February 23, 2021.  </w:t>
        <w:br/>
        <w:t xml:space="preserve">5 See report prot. 30391 of March 18, 2021.  </w:t>
        <w:br/>
        <w:t xml:space="preserve">6 See report prot. 32151 of March 24, 2021.  </w:t>
        <w:br/>
        <w:t xml:space="preserve">112 BULLETIN NO. 24 OF JUNE 14, 2021  </w:t>
        <w:br/>
        <w:t xml:space="preserve">16. In fact, there is evidence on record that CLBCS has persisted after the notification of the communication of initiation of the procedure PS11885 and the precautionary measure in the collection of improperly claimed credits for the services on "Expo-guide" of which INVERSIONES is currently the publisher. This collection activity is carried out on behalf of INVERSIONES.  </w:t>
        <w:br/>
        <w:t xml:space="preserve">17. Furthermore, no communication has been received from INVERSIONES regarding any measures taken to comply with the precautionary measure.  </w:t>
        <w:br/>
        <w:t xml:space="preserve">18. It is therefore confirmed that the periculum in mora persists since, from the evidence currently available, it appears that INVERSIONES has not adopted any measures suitable to avoid the risk that the contested commercial practices - consisting of sending misleading communications regarding the need to verify and update the business data present in a database as well as in the persistent requests for payment of improperly claimed credits by INVERSIONES, with threats of initiating legal actions and costly international collection procedures - continue to produce prejudicial effects for numerous Italian companies, already in difficulty due to the current economic crisis induced by the pandemic.  </w:t>
        <w:br/>
        <w:t xml:space="preserve">19. From the examination of the acts of the proceedings, elements emerge that support the necessity of confirming the precautionary measure adopted in the meeting of December 22, 2020, in order to prevent the continuation of the commercial practices described, consisting of: i) the transmission to micro-enterprises of non-transparent offers for the purchase on www.expo-guide.com of unsolicited paid advertising services; ii) the adoption of collection methods for the recovery of improperly claimed credits by INVERSIONES, consisting of sending persistent payment requests for increasingly higher amounts, intimidating communications, harassing reminders, threats of extremely costly and reckless legal actions, as well as misleading references to interventions by the Authority, aimed at forming in the recipients the conviction of being not only in default but also unprotected.  </w:t>
        <w:br/>
        <w:t xml:space="preserve">THEREFORE CONSIDERING that the acquired elements confirm the existence of the conditions indicated in the resolution of December 22, 2020, which justify the suspension of the cited commercial practices;  </w:t>
        <w:br/>
        <w:t xml:space="preserve">RESOLVES  </w:t>
        <w:br/>
        <w:t xml:space="preserve">a) to confirm the provisional suspension of any activity carried out by the company INVERSIONES DGSM S.r.l., aimed at the transmission of non-transparent offers for the purchase of paid advertising services, such as those described in this measure, as well as related to the collection through the activity performed by C.L. BUSINESS CONFLICT SOLUTIONS MANAGEMENT Ltd., of improperly claimed credits, also carried out by threatening to resort to the competent judicial authorities for the recovery of the claimed credit, interests, and legal expenses;  </w:t>
        <w:br/>
        <w:t>b) to request the company INVERSIONES DGSM S.r.l. to communicate to the Authority the execution of this suspension measure and the related methods within five days from the receipt of this measure.</w:t>
      </w:r>
    </w:p>
    <w:p>
      <w:r>
        <w:rPr>
          <w:b/>
        </w:rPr>
        <w:t>[Pages 112–114]</w:t>
      </w:r>
    </w:p>
    <w:p>
      <w:r>
        <w:t>BULLETIN NO. 24 OF JUNE 14, 2021 113</w:t>
        <w:br/>
        <w:t xml:space="preserve">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 </w:t>
        <w:br/>
        <w:t xml:space="preserve">This measure will be communicated to the interested parties and published in the Bulletin of the Competition and Market Authority. </w:t>
        <w:br/>
        <w:t xml:space="preserve">Against this measure, an appeal may be filed with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 </w:t>
        <w:br/>
        <w:t xml:space="preserve">It is reminded that, pursuant to Article 8, paragraph 4, of the Regulation, this suspension decision must be executed immediately by the professional and that the appeal against the Authority's suspension measure does not suspend its execution. </w:t>
        <w:br/>
        <w:t xml:space="preserve">THE SECRETARY GENERAL THE PRESIDENT </w:t>
        <w:br/>
        <w:t>Filippo Arena Roberto Rustichelli</w:t>
      </w:r>
    </w:p>
    <w:p>
      <w:r>
        <w:t xml:space="preserve">114 BULLETIN NO. 24 OF JUNE 14, 2021 </w:t>
        <w:br/>
        <w:t xml:space="preserve">IP338 - FACILE.IT-CAR INSURANCE COMPARISON </w:t>
        <w:br/>
        <w:t xml:space="preserve">Measure No. 29688 </w:t>
        <w:br/>
        <w:t xml:space="preserve">THE COMPETITION AND MARKET AUTHORITY </w:t>
        <w:br/>
        <w:t xml:space="preserve">IN ITS MEETING of May 25, 2021;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activities for a period not exceeding thirty days; </w:t>
        <w:br/>
        <w:t xml:space="preserve">HAVING REGARD to Law No. 689 of November 24, 1981; </w:t>
        <w:br/>
        <w:t xml:space="preserve">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HAVING REGARD to the communication of October 10, 2014, with which an investigation was initiated against Facile.it S.p.A. and Facile.it Insurance Broker S.r.l. (now Facile.it Insurance Broker S.p.A.), to ascertain the possible existence of violations of Articles 20, 21, 22, and 23, paragraph 1, letter v), of the Consumer Code, in the activity of comparing car insurance policies; </w:t>
        <w:br/>
        <w:t xml:space="preserve">HAVING REGARD to its measure No. 25420 of April 8, 2015, with which it was resolved to close the procedure without ascertaining the infringement, making the commitments proposed by Facile.it S.p.A. and Facile.it Insurance Broker S.r.l. (now Facile.it Insurance Broker S.p.A.) mandatory, pursuant to and for the effects of Article 27, paragraph 7, of the Consumer Code; </w:t>
        <w:br/>
        <w:t xml:space="preserve">HAVING REGARD to its resolution No. 27937 of February 2, 2021, with which the Authority contested to Facile.it Insurance Broker S.p.A. the violation of Article 27, paragraph 12, of the Consumer Code, for failing to comply with commitments No. 1 and 2 of measure No. 25420 of April 8, 2015; </w:t>
        <w:br/>
        <w:t xml:space="preserve">HAVING REGARD to the documents of the procedure; </w:t>
        <w:br/>
        <w:t xml:space="preserve">CONSIDERING the following: </w:t>
        <w:br/>
        <w:t xml:space="preserve">I. PREMISE </w:t>
        <w:br/>
        <w:t>1. With measure No. 25420 of April 8, 2015, the Authority accepted the commitments presented by the professionals. In particular, regarding the conduct described in section II, letter a), of the aforementioned measure, related to the savings achievable by making comparisons on the site facile.it, commitment No. 1 concerned the insertion, near the claim "savings up to XXX €", of an asterisk, placed in a visible position, referring to the wording "Thanks to the comparison of quotes. Discover how we calculate the savings." Furthermore, the wording "We calculate the savings"</w:t>
      </w:r>
    </w:p>
    <w:p>
      <w:r>
        <w:t xml:space="preserve">BULLETIN NO. 24 OF JUNE 14, 2021 115 </w:t>
        <w:br/>
        <w:t xml:space="preserve">would contain a landing link to a new web page that, under the name "How It Works," would provide a series of information, with interactive references to the descriptions treated within the same page, also related to the meaning and scope of the phrases "Special Discounts," "Discount," and "Web Price." An explanation of the following tenor was expected: "The savings up to '500 €' is calculated based on the average difference between the highest gross car insurance premium and the cheapest one on the quotes periodically calculated on the Site. In (Month/Year), comparing the most expensive policy with the cheapest policy of partner companies, a premium differential of at least 500 € was found in (Number%) of cases as per the table that follows drawn up based on all quotes requested on this site in the previous month," followed by a table to be updated periodically. </w:t>
        <w:br/>
        <w:t xml:space="preserve">2. Regarding the conduct described in section II, letter b), on the informational shortcomings about the functioning mechanism of the comparison site, the sales process, and the sources of income of the professionals, commitment No. 2 provided for the insertion on the site of information regarding the nature of the comparator, its functioning mechanism, the commissions received as a broker for some insurance companies, as well as the relevance of the result obtained from the comparison (market share of the companies being compared). </w:t>
        <w:br/>
        <w:t xml:space="preserve">3. The measure was communicated to the parties on April 20, 2015, and on July 16, 2015, Facile.it S.p.A. was merged into Facile.it Insurance Broker S.r.l. (now Facile.it Insurance Broker S.p.A.). </w:t>
        <w:br/>
        <w:t xml:space="preserve">4. Subsequently, as emerged from the checks carried out on the site www.facile.it on December 30, 2020, also following a report received from the National Insurance Agents Union SNA on December 28, 2020, regarding the implementation of commitment No. 1, it was found that since June 2017, the data supporting the claim "Savings up to 500 €" had not been updated. Therefore, the criteria for calculating the savings would have been based on outdated data dating back to June 2017. Furthermore, on the homepage of the site, under the heading "Compared Insurance Partners," a market share of the partner companies different from that reported on the "How It Works" page, subject of commitment No. 2, was indicated in the paragraph "Compared Insurance Partners." </w:t>
        <w:br/>
        <w:t xml:space="preserve">Following what was observed, the Authority, with measure of February 2, 2021, No. 27937, resolved to initiate the investigative procedure IP338, contesting to Facile.it Insurance Broker S.p.A. the violation of Article 27, paragraph 12, of the Consumer Code, for failing to comply with commitments 1 and 2 of measure No. 25420 of April 8, 2015. </w:t>
        <w:br/>
        <w:t xml:space="preserve">II. THE PARTY </w:t>
        <w:br/>
        <w:t xml:space="preserve">5. Facile.it Insurance Broker S.p.A. (hereinafter "Facile" or "Company") as a professional, pursuant to Article 18, paragraph 1, letter b), of the Consumer Code. The Company achieved, during the financial year ending December 31, 2020, a turnover of €77,154,271. </w:t>
        <w:br/>
        <w:t xml:space="preserve">1 See Doc. Nos. 1 and 2. </w:t>
        <w:br/>
        <w:t>2 Measure published in Bulletin No. 8/2021 of February 22, 2021.</w:t>
      </w:r>
    </w:p>
    <w:p>
      <w:r>
        <w:rPr>
          <w:b/>
        </w:rPr>
        <w:t>[Pages 115–117]</w:t>
      </w:r>
    </w:p>
    <w:p>
      <w:r>
        <w:t>116 BULLETIN NO. 24 OF JUNE 14, 2021</w:t>
        <w:br/>
        <w:t>III. THE PROCEDURAL PROCESS</w:t>
        <w:br/>
        <w:t>6. The resolution to initiate the non-compliance procedure was notified on February 10, 20213.</w:t>
        <w:br/>
        <w:t>7. On March 12, 2021, Facile submitted a request for a hearing, which took place on March 19, 20214.</w:t>
        <w:br/>
        <w:t>8. On March 12, 2021, the Company submitted a defense memorandum5.</w:t>
        <w:br/>
        <w:t>9. On April 13, 2021, the communication of the conclusion of the investigative phase was sent to the Party6.</w:t>
        <w:br/>
        <w:t>10. On May 3, 2021, the final memoranda from Facile were received7.</w:t>
        <w:br/>
        <w:t>IV. THE EVIDENTIARY FINDINGS</w:t>
        <w:br/>
        <w:t>11. Based on the evidentiary elements acquired, it appears that Facile, regarding commitment no. 1, did not carry out, as it itself confirmed8, any update of the data supporting the savings claims after the insertion on the website of those relating to June 2017, and only updated them again in January 2021, using the data from December 2020.</w:t>
        <w:br/>
        <w:t>12. Furthermore, with reference to commitment no. 2, on the homepage of the site, from September 2018 to December 2020, a market share of the compared insurance companies was reported as 27.6%, without specification of the calculation base, while the values of the market shares reported on the “How it works” page varied over time as follows:</w:t>
        <w:br/>
        <w:t>Date Share on premiums Share on no. of companies</w:t>
        <w:br/>
        <w:t>October 2018 54% 38.4%</w:t>
        <w:br/>
        <w:t>October 2020 55% 41.5%</w:t>
        <w:br/>
        <w:t>November 2020 55% 41.5%</w:t>
        <w:br/>
        <w:t>December 2020 17% 32%</w:t>
        <w:br/>
        <w:t>The market share of the insurance partners reported on the homepage has always been different from that indicated on the “How it works” page, which is the subject of commitment no. 2, at the beginning of the table of compared companies, as it was based on different calculation criteria: the first, according to what the Company stated during the procedure, was determined based on the number of compared insurance companies, the second in relation to their premium collection. Only at the bottom of the table was a market share based on the number of companies reported, but inconsistent with that of the homepage, which, as the data above shows, has never been changed since September 2018. The Company, in February 2021, removed the information on market shares from the homepage of the site.</w:t>
        <w:br/>
        <w:t>3 Cf. Doc. n. 3.</w:t>
        <w:br/>
        <w:t>4 Cf. Doc. n. 11.</w:t>
        <w:br/>
        <w:t>5 Cf. Doc. n. 5.</w:t>
        <w:br/>
        <w:t>6 Cf. Doc. n. 14.</w:t>
        <w:br/>
        <w:t>7 Cf. Doc. n. 15.</w:t>
        <w:br/>
        <w:t>8 Cf. Doc. n. 5-memoranda.</w:t>
      </w:r>
    </w:p>
    <w:p>
      <w:r>
        <w:t>BULLETIN NO. 24 OF JUNE 14, 2021 117</w:t>
        <w:br/>
        <w:t>V. THE ARGUMENTS OF FACILE</w:t>
        <w:br/>
        <w:t>13. The company Facile, with the memoranda of April 13 and May 3, 2021, in asserting the unfoundedness of the charges, stated the following.</w:t>
        <w:br/>
        <w:t>14. Facile would have complied with commitment no. 1, inserting near the claim “save up to €500” the asterisk that refers, within the same page and in a visible position, to the phrase “Thanks to the comparison of quotes. Find out how we calculate the savings” and applying to the text “Find out how we calculate the savings” a link to the page titled “How it works” containing multiple information regarding the operation of the Site, the compared companies and intermediaries, the achievable savings, and the discounts available on the Site. In particular, in the third section of the “How it works” page titled “How much can you save,” the information was inserted explaining that the savings “up to €500” is calculated based on the average difference between the most expensive gross car insurance premium and the cheapest one on the quotes periodically calculated on the Site, and the percentage data indicating how many times, compared to the comparisons made by the Site, the price differential between the cheapest offer and the most expensive one was greater than €500 is reported.</w:t>
        <w:br/>
        <w:t>15. The claim “save up to €500” has always been truthful and the user has always been provided with all the necessary information to make an informed commercial choice and to assess its convenience. The percentage of comparisons made by Facile.it in which the achievable savings, as previously defined, is greater than €500 has increased from 2017 to the present. Furthermore, none of the users of Facile.it have ever complained about the lack of updating of the data regarding the methods of calculating the savings. Lastly, even before the Authority initiated the procedure, the Company updated the information contained on its website with data updated to December 2020 and during the procedure developed sophisticated software that allows for monthly updates of the data supporting the claim “save up to €500.” Finally, in the absence of an obligation to adhere to a precise temporal cadence that the acceptance measure of the commitments did not foresee, it would be necessary to demonstrate that more frequent updates of the data would have been necessary to enable the consumer to assess the actual savings achievable through the use of the Site.</w:t>
        <w:br/>
        <w:t>16. The contestation regarding commitment 2, according to which Facile would have indicated the market share of the insurance partners in a contradictory manner, reporting different percentages on the homepage and on the “How it works” page, would also be unfounded. In fact, Facile indicated on the homepage of its Site the list of insurance partners; it provided more complete information on the “How it works” page by including, in addition to the list of all insurance partners, also a table containing their overall market shares, both in value (total premiums collected) and in volume (number of companies), calculated based on ANIA reports. No discrepancy can be detected between the two data, which are different as they are calculated based on different criteria: one based on total premiums collected and the other based on the number of companies. Furthermore, the data regarding market shares in terms of the number of companies was already present on the homepage of the site when the closure of the PS9212 procedure was decided and when, on May 15, 2015, the compliance report with the commitments was sent to the Authority.</w:t>
        <w:br/>
        <w:t>17. The fact that Facile also included on the homepage the data regarding the market share covered by the comparison could not be qualified as a non-compliance with the commitments made in 2015 since they did not make any specific reference to such inclusion. In any case, Facile has removed from its homepage any reference to the market shares held by the insurance partners, limiting itself to providing their list, while it continued to offer more detailed information on the “How it works” page, reporting (i) the list of insurance partners and (ii) the market shares held by them, calculated both based on the number of companies present in the market and based on the premiums collected, referring to ANIA data and clearly and immediately indicating the distinct calculation criteria used.</w:t>
        <w:br/>
        <w:t>18. The fact that no consumer has ever filed a complaint would confirm that the conduct subject to this procedure has had no impact on the market, as it was inadequate to alter the commercial choices of consumers. The Company also requests that the collaborative attitude maintained during the procedure be taken into account.</w:t>
        <w:br/>
        <w:t>VI. EVALUATIONS</w:t>
        <w:br/>
        <w:t>19. The evidence described above appears to demonstrate the violation of Article 27, paragraph 12, of the Consumer Code, for the Company’s failure to comply with commitments no. 1 and 2 of measure no. 25420 of April 8, 2015. In this regard, it is noted that Facile did not adopt sufficient methods and behaviors to comply with the two aforementioned commitments, as represented below.</w:t>
        <w:br/>
        <w:t xml:space="preserve">20. Regarding commitment no. 1, the Company had committed to insert an explanation of the savings achievable using the site facile.it of the following tenor: “The savings up to €500 is calculated based on the average difference between the most expensive gross car insurance premium and the cheapest one on the quotes periodically calculated on the Site. In (Month/Year), comparing the most expensive policy with the cheapest policy of the partner companies, a premium differential of at least €500 was found in (Number%) of cases as per the table that follows drawn up based on all the quotes requested on this site in the previous month,” followed by a table to be updated periodically. However, the updates of the table stopped in June 2017. The non-compliance thus arises from the incompleteness of the information on the data supporting the achievable savings by comparing the car insurance offers on the site facile.it, in the sense that the Company, by not providing updated information on such data, rendered it in fact unavailable and consequently did not allow the consumer to assess the convenience of the service offered by the site. It is indeed essential that the data be current so that the consumer is placed in a position to have information that allows for an informed choice, in light of the claim regarding the possible savings using the site facile.it. The exception raised by the party regarding the lack of provision, in commitment no. 1, of a temporal cadence for updating the data9 is of no merit, also considering that the Company has never made updates since 2017 and only in January 2021 did it do so using the data relating to December 2020. Nor does the asserted burden of the operation10 appear worthy of consideration, as the updating of the data is inherent in the commitment proposed by the party, the implementation costs of which should have been adequately assessed before the proposal was made, and also not being </w:t>
        <w:br/>
        <w:t>9 Cf. Doc. n. 5-memoranda</w:t>
        <w:br/>
        <w:t>10 Cf. doc. n. 11 minutes of the hearing of March 19, 2021</w:t>
      </w:r>
    </w:p>
    <w:p>
      <w:r>
        <w:rPr>
          <w:b/>
        </w:rPr>
        <w:t>[Pages 118–120]</w:t>
      </w:r>
    </w:p>
    <w:p>
      <w:r>
        <w:t>BULLETIN NO. 24 OF JUNE 14, 2021 119</w:t>
        <w:br/>
        <w:t>it is not permissible for a commitment accepted and made binding by the Authority to be disregarded due to its alleged onerousness.</w:t>
      </w:r>
    </w:p>
    <w:p>
      <w:r>
        <w:t>21. In relation to commitment no. 2, on the homepage of the website, from September 2018 to December 2020, a market share of the compared insurance companies was reported as 27.6%, without specification of the calculation base, while the values of the market shares reported on the "How it works" page varied over time as follows:</w:t>
        <w:br/>
        <w:t>Date Share on premiums Share on number of companies</w:t>
        <w:br/>
        <w:t>October 2018 54% 38.4%</w:t>
        <w:br/>
        <w:t>October 2020 55% 41.5%</w:t>
        <w:br/>
        <w:t>November 2020 55% 41.5%</w:t>
        <w:br/>
        <w:t>December 2020 17% 32%</w:t>
        <w:br/>
        <w:t>In this way, misleading information was provided, contrary to the purpose for which the commitment was intended. The inconsistency between the shares reported on the homepage, calculated based on the number of compared companies, and those on the "How it works" page applies both with reference to those of the latter based on the value of premiums, as is obvious given their different nature, and in relation to those based on the same criterion of the number of companies, in light of the fact that the values reported on the homepage did not change over time until their removal. The misleading effect is further amplified with reference to the data from December 2020, considering the circumstance that the highest market share was included on the homepage of the site, which is more immediately accessible to the user.</w:t>
      </w:r>
    </w:p>
    <w:p>
      <w:r>
        <w:t>22. The argument that the market shares in terms of the number of companies were already present on the homepage of the site at the time of the closure of the procedure with commitments (PS9212), and were indicated in the compliance report, cannot be accepted, as, as mentioned, the non-compliance identified is not constituted by the inclusion of the shares on the homepage, but by their inconsistency with those of the "How it works" page, which is the subject of commitment no. 2. Therefore, although the shares on the homepage were already present at the time of the closure of the PS9212 procedure, and indicated in the compliance report, it was logical to expect that those newly introduced under commitment no. 2 would be consistent with them, which did not occur. Furthermore, the closure of the procedure and the compliance report presented date back to 2015, while the identified discrepancy between the market shares is subsequent (from September 2018 onwards).</w:t>
      </w:r>
    </w:p>
    <w:p>
      <w:r>
        <w:t>23. In light of the investigative findings, it is believed that the behavior described above, carried out by the professional, constitutes a non-compliance with resolution no. 25420 of April 8, 2015, regarding commitments no. 1 and 2.</w:t>
      </w:r>
    </w:p>
    <w:p>
      <w:r>
        <w:t>VII. QUANTIFICATION OF THE SANCTION</w:t>
      </w:r>
    </w:p>
    <w:p>
      <w:r>
        <w:t>24. Pursuant to Article 27, paragraph 12, of the Consumer Code, the Authority orders the application of an administrative pecuniary sanction from €10,000 to €5,000,000, taking into account the severity and duration of the violation.</w:t>
      </w:r>
    </w:p>
    <w:p>
      <w:r>
        <w:t>120 BULLETIN NO. 24 OF JUNE 14, 2021</w:t>
      </w:r>
    </w:p>
    <w:p>
      <w:r>
        <w:t>25.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26. In the case at hand, account is taken of the size of the Company, which in the financial year ending December 31, 2020, achieved a turnover of €77,154,271, with an EBITDA of approximately €31,872,000 (41.1% of revenues). Furthermore, account is taken of the nature of the conduct that constituted non-compliance, consisting of the provision of information on the functioning of the site and the benefits obtainable from its consultation that did not conform to those that the Authority deemed necessary to eliminate the hypotheses of violation of the Consumer Code referred to in the initiation of procedure PS9212, and to allow consumers to make informed commercial decisions.</w:t>
      </w:r>
    </w:p>
    <w:p>
      <w:r>
        <w:t>27. Based on the collected evidentiary elements, it appears that the non-compliance occurred from July 2017, when the data based on commitment 1 were no longer updated, until February 2021, when the market shares of the partner insurance companies were removed from the homepage of the site.</w:t>
      </w:r>
    </w:p>
    <w:p>
      <w:r>
        <w:t>28. Considering these elements, it is deemed appropriate to impose on Facile.it Broker di Assicurazioni S.p.A. an administrative pecuniary sanction of €500,000 (five hundred thousand euros).</w:t>
      </w:r>
    </w:p>
    <w:p>
      <w:r>
        <w:t>All of the above having been stated and considered;</w:t>
      </w:r>
    </w:p>
    <w:p>
      <w:r>
        <w:t>RESOLVES</w:t>
      </w:r>
    </w:p>
    <w:p>
      <w:r>
        <w:t>a) that the behavior of Facile.it Broker di Assicurazioni S.p.A., consisting of violating the resolution of April 8, 2015, no. 25420, constitutes non-compliance with the latter;</w:t>
      </w:r>
    </w:p>
    <w:p>
      <w:r>
        <w:t>b) to impose on Facile.it Broker di Assicurazioni S.p.A. an administrative pecuniary sanction of €500,000 (five hundred thousand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Against this measure, an appeal may be submitted to the TAR of Lazio, pursuant to Article 135, paragraph 1, letter b), of the Administrative Process Code (Legislative Decree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measure itself.</w:t>
      </w:r>
    </w:p>
    <w:p>
      <w:r>
        <w:t>THE SECRETARY GENERAL THE PRESIDENT</w:t>
        <w:br/>
        <w:t>Filippo Arena Roberto Rustichelli</w:t>
      </w:r>
    </w:p>
    <w:p>
      <w:r>
        <w:rPr>
          <w:b/>
        </w:rPr>
        <w:t>[Pages 121–123]</w:t>
      </w:r>
    </w:p>
    <w:p>
      <w:r>
        <w:t>122 BULLETIN NO. 24 OF JUNE 14, 2021</w:t>
        <w:br/>
        <w:t>VARIOUS</w:t>
        <w:br/>
        <w:t>APPOINTMENT OF THE RESPONSIBLE FOR THE PREVENTION OF CORRUPTION AND</w:t>
        <w:br/>
        <w:t>TRANSPARENCY</w:t>
        <w:br/>
        <w:t>Measure No. 29678</w:t>
        <w:br/>
        <w:t>THE COMPETITION AND MARKET AUTHORITY</w:t>
        <w:br/>
        <w:t>IN ITS MEETING of May 11, 2021;</w:t>
        <w:br/>
        <w:t>HAVING REGARD to law No. 287 of October 10, 1990, containing "Rules for the protection of competition and the market," and in particular Article 10, paragraph 6, which allows the Authority to deliberate on the rules concerning its organization and functioning;</w:t>
        <w:br/>
        <w:t>HAVING REGARD to the Regulation concerning the organization and functioning of the Competition and Market Authority, last approved by resolution of February 4, 2020, and, in particular, Article 13, paragraphs 2, 3, and 4, pursuant to which: "The responsibility of General Directorates is preferably attributed to higher-level executives. The responsibility of Directorates is normally attributed to employees with the qualification of executive, unless assigned to officials with proven experience, for specific and justified organizational needs. The responsibility of Offices is normally attributed to employees with the qualification of official, unless assigned to employees with the qualification of executive, for specific and justified organizational needs";</w:t>
        <w:br/>
        <w:t>HAVING REGARD to the aforementioned Regulation concerning the organization and functioning of the Authority and, in particular, Article 13, paragraph 13, pursuant to which "Unless organizational needs are subject to specific justification and save for the assignment of the position of Deputy Secretary General, the Authority assigns the responsibilities of Directorates and Offices following a specific comparative selection procedure and the subsequent expressions of interest from employees, previously establishing, by resolution, the required qualifications for the positions and possibly the minimum and/or maximum number of positions for which it is possible to express interest, it being understood that the proposal of the Secretary General referred to in paragraph 1 may concern the assignment of positions also to executives who have not expressed interest for that specific position";</w:t>
        <w:br/>
        <w:t>HAVING REGARD to the resolution of April 13, 2021, which called for the comparative selection procedure, referred to in Article 13, paragraph 13, of the Regulation, for the assignment of responsibilities of the Directorates and Offices of the Authority;</w:t>
        <w:br/>
        <w:t>HAVING REGARD to the expression of interest for the position of head of the Directorate for the Prevention of Corruption and Transparency, submitted by Dr. Francesca Romana Ferri (as first choice) received by the date of April 28, 2021, accompanied by a curriculum vitae of the applicant;</w:t>
        <w:br/>
        <w:t>CONSIDERING that Article 12, paragraph 28 of the aforementioned Regulation provides that "The responsible for the prevention of corruption and transparency is responsible for the Directorate," associating the position of head of the Directorate for the Prevention of Corruption and Transparency with that of Responsible for the Prevention of Corruption and Transparency;</w:t>
      </w:r>
    </w:p>
    <w:p>
      <w:r>
        <w:t>BULLETIN NO. 24 OF JUNE 14, 2021 123</w:t>
        <w:br/>
        <w:t>CONSIDERING, with regard to the position of head of the Directorate for the Prevention of Corruption and Transparency, that Dr. Francesca Romana Ferri has been assigned the position of head of the Directorate for Conflict of Interest, requested preferentially together with the Directorate for the Prevention of Corruption and Transparency;</w:t>
        <w:br/>
        <w:t>CONSIDERING that no other expression of interest has been received for the position of responsibility of the Directorate for the Prevention of Corruption and Transparency;</w:t>
        <w:br/>
        <w:t>CONSIDERING that the sensitivity of the position concerning the Directorate for the Prevention of Corruption and Transparency suggests entrusting it to a responsible person who can dedicate themselves exclusively to it;</w:t>
        <w:br/>
        <w:t>CONSIDERING that the aforementioned Article 13 provides that "The responsibility of Directorates is normally attributed to employees with the qualification of executive, unless assigned to officials with proven experience, for specific and justified organizational needs" and that "the proposal of the Secretary General... may concern the assignment of positions also to executives who have not expressed interest for that specific position";</w:t>
        <w:br/>
        <w:t>CONSIDERING, therefore, the need, for particular organizational and functional reasons, to assign the position of head of the Directorate for the Prevention of Corruption and Transparency to an employee with the qualification of official of the Authority who, for the efficiency of institutional activity, can ensure that the direction and coordination of the organizational unit remains at the level of the activities previously carried out;</w:t>
        <w:br/>
        <w:t>CONSIDERING, as evidenced by the curriculum vitae, that Dr. Paolo Cassinis [omitted] has a legal background, having graduated in law and obtained the qualification to practice law; employed in 1996, between 1996 and 2008 he was assigned to the Studies Directorate and the Legal Service; he held the position of Deputy Director of the Legal Service (2008 - 2009) and of the General Directorate for Consumer Protection (2009 - 2014), he also held the position of head of the Directorate for Unfair Clauses (2012 - 2014); he has been responsible for the Litigation Office of the Directorate for Legal Affairs and Litigation since January 1, 2015;</w:t>
        <w:br/>
        <w:t>CONSIDERING, in light of the professional profile and experience gained, also in comparison with other executives and officials, that Dr. Paolo Cassinis, due to his in-depth knowledge of the organization and functioning of the Authority, has the competencies and professional qualifications suitable for carrying out the position of Responsible for the prevention of corruption and transparency;</w:t>
        <w:br/>
        <w:t>CONSIDERING to assign the responsibility of the Directorate for the Prevention of Corruption and Transparency to Dr. Paolo Cassinis, in consideration of the significant knowledge of the organization and functioning of the Authority acquired by him, as required by Article 12, paragraph 28, of the aforementioned organizational Regulation, and his appointment as Responsible for the prevention of corruption and transparency;</w:t>
        <w:br/>
        <w:t>ON THE PROPOSAL of the Secretary General</w:t>
      </w:r>
    </w:p>
    <w:p>
      <w:r>
        <w:t>124 BULLETIN NO. 24 OF JUNE 14, 2021</w:t>
        <w:br/>
        <w:t>RESOLVES</w:t>
        <w:br/>
        <w:t>to assign to Dr. Paolo Cassinis the position of Responsible for the prevention of corruption and transparency and the position of Head of the Directorate for the Prevention of Corruption and Transparency, effective from June 1, 2021, until December 31, 2022.</w:t>
        <w:br/>
        <w:t>This resolution will be published in the Bulletin of the Competition and Market Authority and on the institutional website in the "Transparent Authority" section.</w:t>
        <w:br/>
        <w:t>THE SECRETARY GENERAL THE PRESIDENT</w:t>
        <w:br/>
        <w:t>Filippo Arena Roberto Rustichelli</w:t>
      </w:r>
    </w:p>
    <w:p>
      <w:r>
        <w:rPr>
          <w:b/>
        </w:rPr>
        <w:t>[Pages 124–124]</w:t>
      </w:r>
    </w:p>
    <w:p>
      <w:r>
        <w:t>Competition Authority Weekly Bulletin</w:t>
        <w:br/>
        <w:t>of Competition and Market Year XXXI - No. 24 - 2021</w:t>
        <w:br/>
        <w:t>Editorial Coordination Giulia Antenucci</w:t>
        <w:br/>
        <w:t>Editorial Staff Valerio Ruocco, Simonetta Schettini, Manuela Villani</w:t>
        <w:br/>
        <w:t>Competition and Market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