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https://www.agcm.it/dotcmsdoc/bollettini/2023/24-23.pdf</w:t>
      </w:r>
    </w:p>
    <w:p>
      <w:r>
        <w:t>Pages translated : 59</w:t>
      </w:r>
    </w:p>
    <w:p/>
    <w:p>
      <w:r>
        <w:rPr>
          <w:b/>
        </w:rPr>
        <w:t>[Pages 1–3]</w:t>
      </w:r>
    </w:p>
    <w:p>
      <w:r>
        <w:t>Bulletin</w:t>
        <w:br/>
        <w:t>Weekly</w:t>
        <w:br/>
        <w:t>Year XXXIII - No. 24</w:t>
        <w:br/>
        <w:t>Published on the website www.agcm.it</w:t>
        <w:br/>
        <w:t>June 26, 2023</w:t>
      </w:r>
    </w:p>
    <w:p>
      <w:r>
        <w:t>SUMMARY</w:t>
        <w:br/>
        <w:t>AGREEMENTS AND ABUSE OF DOMINANT POSITION 5</w:t>
        <w:br/>
        <w:t>A563 - IREN/PRICE OF DISTRICT HEATING</w:t>
        <w:br/>
        <w:t>Decision No. 30646 5</w:t>
        <w:br/>
        <w:t>A565 - A2A/PRICE OF DISTRICT HEATING</w:t>
        <w:br/>
        <w:t>Decision No. 30659 14</w:t>
        <w:br/>
        <w:t>CONCENTRATION OPERATIONS 24</w:t>
        <w:br/>
        <w:t>C12532 - NORDOVEST INSIEME/BRANCHES OF BENNET</w:t>
        <w:br/>
        <w:t>Decision No. 30656 24</w:t>
        <w:br/>
        <w:t>C12543 - STELLAGROUP/PRATIC F.LLI ORIOLI</w:t>
        <w:br/>
        <w:t>Decision No. 30657 28</w:t>
        <w:br/>
        <w:t>C12535 – IP ITALIANA PETROLI/ESSO ITALIANA</w:t>
        <w:br/>
        <w:t>Decision No. 30664 32</w:t>
        <w:br/>
        <w:t>ACTIVITIES OF REPORTING AND CONSULTATION 52</w:t>
        <w:br/>
        <w:t>AS1892 - GIULIANOVA PORT AUTHORITY - ACQUISITION OF A SHARE IN THE GIULIANOVA FISHING MARKET SCARL 52</w:t>
        <w:br/>
        <w:t>UNFAIR TRADE PRACTICES 59</w:t>
        <w:br/>
        <w:t>PS12580 - INTESA SANPAOLO RBM SALUTE/PREVIMEDICAL</w:t>
        <w:br/>
        <w:t>Notice of initiation of investigation procedure 59</w:t>
      </w:r>
    </w:p>
    <w:p>
      <w:r>
        <w:t>BULLETIN NO. 24 OF JUNE 26, 2023 5</w:t>
        <w:br/>
        <w:t>AGREEMENTS AND ABUSE OF DOMINANT POSITION</w:t>
        <w:br/>
        <w:t>A563 - IREN/PRICE OF DISTRICT HEATING</w:t>
        <w:br/>
        <w:t>Decision No. 30646</w:t>
        <w:br/>
        <w:t>THE ANTITRUST AUTHORITY</w:t>
        <w:br/>
        <w:t>IN ITS MEETING of May 23, 2023;</w:t>
        <w:br/>
        <w:t>HEARD the Rapporteur Professor Elisabetta Iossa;</w:t>
        <w:br/>
        <w:t>HAVING REGARD TO Law No. 287 of October 10, 1990, and subsequent amendments;</w:t>
        <w:br/>
        <w:t>HAVING REGARD TO Article 3, paragraph 1, letter a), of Law No. 287 of 1990;</w:t>
        <w:br/>
        <w:t>HAVING REGARD TO the Presidential Decree No. 217 of April 30, 1998;</w:t>
        <w:br/>
        <w:t>HAVING REGARD TO the documentation on file;</w:t>
        <w:br/>
        <w:t>CONSIDERED the following:</w:t>
        <w:br/>
        <w:t>I. INTRODUCTION</w:t>
        <w:br/>
        <w:t>1. Since September 2022, several reports have been received complaining about the high costs of the district heating service (“TLR”) and the difficulties in disconnecting from the TLR network and adopting a different heating system. One such report, coming from a condominium in Piacenza - a city where a TLR network managed by the Iren group is present - reported significant increases in the fees charged for the service, which did not seem justifiable by the increase in raw material costs, given that the heat supplied by the Piacenza district heating network would primarily derive from the energy recovery of waste (the collection of which is, moreover, managed by the Iren group itself). The reporter also complained about the impossibility (or at least the difficulty) for users to disconnect from the network, also due to the presence of urban planning agreements. The complaint from Piacenza is also reflected in the local press and in similar complaints regarding the district heating network in the territory of Parma, also managed by Iren1.</w:t>
        <w:br/>
        <w:t>2. The Offices sent a request for information to the Iren group on October 4, 2022, concerning the district heating networks operated by it, the related energy sources used (and their weight, in terms of energy produced and expenditure for the service provider), the methods of price determination and the trend of raw material costs, the methods and costs of withdrawal, and, if applicable, the reimbursement of the initial investment, the presence or absence of any subsidies. Following Iren's response, an additional request was sent to the company on December 2, 2022, to supplement some missing data. The response to this last request was received in January 2023 and was last supplemented on February 24, 2023.</w:t>
        <w:br/>
        <w:t>1 See https://www.parmatoday.it/attualita/iren-tariffe-teleriscaldamento.html.</w:t>
      </w:r>
    </w:p>
    <w:p>
      <w:r>
        <w:rPr>
          <w:b/>
        </w:rPr>
        <w:t>[Pages 4–6]</w:t>
      </w:r>
    </w:p>
    <w:p>
      <w:r>
        <w:t>6 BULLETIN NO. 24 OF JUNE 26, 2023</w:t>
      </w:r>
    </w:p>
    <w:p>
      <w:r>
        <w:t>II. THE PARTIES</w:t>
      </w:r>
    </w:p>
    <w:p>
      <w:r>
        <w:t>3. Iren S.p.A. (“Iren”) is a company at the top of the eponymous multi-utility corporate group, operating in the sectors of electricity, gas, thermal energy for district heating, integrated water services, environmental services, and technological services. The Iren group achieved a turnover of approximately 7.9 billion euros in 2022.</w:t>
      </w:r>
    </w:p>
    <w:p>
      <w:r>
        <w:t>4. Iren Energia S.p.A. (“Iren Energia”) is the company of the Iren group active in the production of electricity and in the production, as well as the distribution, of thermal energy for district heating, in technological services, and in services integrated in energy efficiency and innovation.</w:t>
      </w:r>
    </w:p>
    <w:p>
      <w:r>
        <w:t>5. Iren Ambiente S.p.A. (“Iren Ambiente”) is the company of the Iren group active in waste collection, urban hygiene, the design and management of waste treatment and disposal plants, and in commercial services and other related services.</w:t>
      </w:r>
    </w:p>
    <w:p>
      <w:r>
        <w:t>6. Iren Mercato S.p.A. (“Iren Mercato”) is the company of the Iren group that operates in the procurement and marketing of electricity, gas, and district heating.</w:t>
      </w:r>
    </w:p>
    <w:p>
      <w:r>
        <w:t>III. IREN'S PRICES FOR DISTRICT HEATING</w:t>
      </w:r>
    </w:p>
    <w:p>
      <w:r>
        <w:t>III.1. The district heating sector</w:t>
      </w:r>
    </w:p>
    <w:p>
      <w:r>
        <w:t>7. District heating is a system for supplying heat (delivered through hot water/steam) and domestic hot water to residential and non-residential users, as an alternative to the traditional heating system using gas boilers. The heat provided through a district heating network can come from various types of plants and derive from different energy sources.</w:t>
      </w:r>
    </w:p>
    <w:p>
      <w:r>
        <w:t>8. A wide variety of fuels can be used to generate heat: natural gas, biomass, municipal solid waste, coal, fuel oil. Of the total thermal energy supplied, approximately 26% comes from sources considered renewable (bioenergy, geothermal, waste, etc.), while the remaining 74% comes from natural gas and, to a lesser extent, other fossil fuels (of which, 50% from cogeneration, 24% from simple production). About 2/3 of the heat fed into district heating networks is produced in "cogeneration" plants, i.e., in plants that allow for the simultaneous production of electricity and heat.</w:t>
      </w:r>
    </w:p>
    <w:p>
      <w:r>
        <w:t>9. The diffusion of the service remains concentrated mainly in Northern and Central Italy, where the higher demand for heat for building heating and the high population density justify the significant infrastructural investments necessary to ensure the provision of the service to users. For historical reasons as well, the main operators are the former municipal companies in the North of the country (including the Iren group), generally active in the adjacent sectors of natural gas and electricity and integrated into distribution and sales activities.</w:t>
      </w:r>
    </w:p>
    <w:p>
      <w:r>
        <w:t>10. The generation of heat thus generally assumes, in the Italian district heating networks (as well as, as will be seen, in the specific case of Iren), a configuration of vertically integrated monopoly, with the same entity generating the heat, transporting it, distributing it locally, and selling it to the end user. This arises, in turn, from the natural monopoly character of the heat transport and distribution network – analogous to other transport and distribution networks (for example, those of gas and electricity, often managed by the same monopolist that manages the district heating network). Unlike these latter, however, district heating could in theory be replaced by alternative heating systems, particularly by traditional heating systems using gas boilers, and this possibility could, at least in theory, ensure the existence of a form of ex ante competition between alternative heating systems that could mitigate the market power of district heating operators over their users. Probably also for this reason, as well as the fact that district heating represented, in recent years, an emerging heating method, no regulation of the price of heat transfer to users has been foreseen so far, which is therefore left to the free determination of operators.</w:t>
      </w:r>
    </w:p>
    <w:p>
      <w:r>
        <w:t>11. In November 2022, ARERA published the results of its fact-finding investigation into the district heating sector and, in particular, into the relationship between prices and related costs, to investigate the phenomenon of significant price increases for the service, observed on average since the last quarter of 2021, concurrently with the sudden increase in natural gas prices. ARERA noted that among operators in the sector, it was common practice to set district heating service prices in a way that reflected the expenditure that the user would have incurred if they had used an alternative air conditioning system (the so-called "avoided cost" method). In any case, as illustrated by Figure 1 (extracted from the document published by the regulator), ARERA also noted that the prices charged by operators were generally higher than the estimate of the actual "avoided cost" made by that Authority, suggesting therefore that the possibility of switching to the traditional heating system was not entirely disciplining for the prices charged by district heating operators, probably due to the imperfect ability of consumers to compare the convenience of different heating systems and due to the costs they incur to switch from one system to another (so-called switching costs). Finally, ARERA observed that, in any case, there were operators who, while adjusting their tariffs based on the trend of gas prices, produced the heat supplied through energy sources of another type, not necessarily subject to the same trend, noting that such operators would have realized significant excess profits.</w:t>
      </w:r>
    </w:p>
    <w:p>
      <w:r>
        <w:t>8 BULLETIN NO. 24 OF JUNE 26, 2023</w:t>
      </w:r>
    </w:p>
    <w:p>
      <w:r>
        <w:t>Figure 1: Comparison between the observed prices and the estimate of the avoided cost developed by ARERA</w:t>
      </w:r>
    </w:p>
    <w:p>
      <w:r>
        <w:t>Source: ARERA fact-finding investigation on the evolution of prices and costs of district heating</w:t>
      </w:r>
    </w:p>
    <w:p>
      <w:r>
        <w:t>III.2. Iren's district heating networks and price trends</w:t>
      </w:r>
    </w:p>
    <w:p>
      <w:r>
        <w:t>12. Iren is one of the historical groups of district heating in Italy, managing networks in Piedmont, Liguria, and Emilia-Romagna. Table 1 summarizes some salient characteristics of these networks, which will be presented in more detail in the following paragraphs.</w:t>
      </w:r>
    </w:p>
    <w:p>
      <w:r>
        <w:t>Table 1 – District heating networks of the Iren group*</w:t>
      </w:r>
    </w:p>
    <w:p>
      <w:r>
        <w:t>Energy sources</w:t>
      </w:r>
    </w:p>
    <w:p>
      <w:r>
        <w:t>Operator Networks Tariff method (2022)</w:t>
      </w:r>
    </w:p>
    <w:p>
      <w:r>
        <w:t>Cost of heating with natural gas</w:t>
      </w:r>
    </w:p>
    <w:p>
      <w:r>
        <w:t>Iren Energia S.p.A. Turin gas [90-100%] + ARERA natural gas tariff variations</w:t>
      </w:r>
    </w:p>
    <w:p>
      <w:r>
        <w:t>waste [70-80%], gas Avoided cost + ARERA natural gas tariff variations</w:t>
      </w:r>
    </w:p>
    <w:p>
      <w:r>
        <w:t>Iren Energia S.p.A. Parma [20-30%] Avoided cost + ARERA natural gas tariff variations</w:t>
      </w:r>
    </w:p>
    <w:p>
      <w:r>
        <w:t>Iren Energia S.p.A. Reggio Emilia gas [90-100%] ARERA natural gas tariff variations</w:t>
      </w:r>
    </w:p>
    <w:p>
      <w:r>
        <w:t>waste [60-70%], gas Avoided cost + ARERA natural gas tariff variations</w:t>
      </w:r>
    </w:p>
    <w:p>
      <w:r>
        <w:t>Iren Energia S.p.A. Piacenza [30-40%] ARERA natural gas tariff variations</w:t>
      </w:r>
    </w:p>
    <w:p>
      <w:r>
        <w:t>Iren Energia S.p.A. Genoa gas [90-100%] ARERA natural gas tariff variations</w:t>
      </w:r>
    </w:p>
    <w:p>
      <w:r>
        <w:t>* In this version, some data have been omitted, as elements of confidentiality or secrecy of the information were deemed to exist.</w:t>
      </w:r>
    </w:p>
    <w:p>
      <w:r>
        <w:t>4 The company of the group that operates the district heating networks is Iren Energia S.p.A. The sale of district heating services to users is carried out by Iren Mercato S.p.A., a group company active in the activities of</w:t>
      </w:r>
    </w:p>
    <w:p>
      <w:r>
        <w:rPr>
          <w:b/>
        </w:rPr>
        <w:t>[Pages 7–9]</w:t>
      </w:r>
    </w:p>
    <w:p>
      <w:r>
        <w:t>BULLETIN NO. 24 OF JUNE 26, 2023 9</w:t>
      </w:r>
    </w:p>
    <w:p>
      <w:r>
        <w:t>13. The Turin network is the largest Italian network, covering about half of the city and is powered by natural gas cogeneration plants, to which the Gerbido waste-to-energy plant has recently been added, although its contribution to heat generation is still quite limited. The networks in Reggio Emilia and Parma are among the 10 largest Italian networks. The Parma network is primarily powered by the waste-to-energy plant, while the Reggio Emilia network is powered by natural gas cogeneration plants. The Piacenza network, mainly powered by heat produced from the waste-to-energy plant, has a limited extension. The Genoa network is even smaller.</w:t>
      </w:r>
    </w:p>
    <w:p>
      <w:r>
        <w:t>14. Excluding Turin, where heat is currently obtained largely from the combustion of natural gas, Iren uses the so-called "avoided cost" formula to determine the price of heat supplied to users. More specifically, the formula that Iren uses for pricing district heating services in Western Emilia (Reggio Emilia, Parma, and Piacenza) is as follows: In the formula, the price of district heating, expressed in €/MWh, is obtained by calculating the ratio between the price of methane gas PM (expressed in €/sm3) and a value given by the product of the lower calorific value coefficient of methane gas PCI (approximately 8.25 Mcal/sm3) and the average seasonal yield rate of methane-powered plants (δ), estimated at 0.8 by the company. This quantity is then converted into MWh by multiplying it by the appropriate conversion value (860) and by a coefficient (C) that takes into account the equalization of VAT rates. The formula used to define the price of the service in Genoa, also based on the concept of avoided cost, has a slightly different structure. With reference to the formulas adopted, Iren has stated that it also takes into account the costs of ancillary services of energy supply (for example, maintenance charges), as the avoided cost of a natural gas heating system also includes non-strictly energy-related charges. This formula does not provide any mechanism to safeguard users if applied in a context where a large part of the heat is obtained from sources other than natural gas.</w:t>
      </w:r>
    </w:p>
    <w:p>
      <w:r>
        <w:t>15. With the exception of Genoa, which has a single price for all types of consumption, each of these price lists has numerous articulations, as the price can be composed of fixed and variable components, may depend on the type of customer (residential, tertiary, industrial, with specificities based on the type of taxes paid), on the type of service (hot water and heating, sometimes distinguishing the latter based on the percentages of dispersion), on consumption volumes, on the time of consumption, and on the type of supply (centralized, shared, individual). For a synthetic representation of the trend of tariff levels for each network, the following figure 2 shows the evolution in percentage terms of a specific tariff item that appears to be more representative and relevant to the reference clientele. As can be observed, due to the linkage to the price of natural gas for customers in the protected market, the price of TLR has also experienced significant increases in 2021-22.</w:t>
      </w:r>
    </w:p>
    <w:p>
      <w:r>
        <w:t>Figure 2</w:t>
      </w:r>
    </w:p>
    <w:p>
      <w:r>
        <w:t>16. The observed trend has, unsurprisingly, a shape similar to that observable for the level of natural gas prices during the same period, particularly that of the indicators used in Iren's pricing formulas.</w:t>
      </w:r>
    </w:p>
    <w:p>
      <w:r>
        <w:t>17. The plants that generate heat using natural gas are owned by Iren Energia itself, while the fuel is purchased from Iren Mercato and transferred to Iren Energia (the group company that owns the TLR networks) at prices [omitted]. The heat from waste-to-energy comes instead from plants of the Iren Ambiente group (for Parma and Piacenza) and TRM S.p.A. (for the Turin area), through predetermined intercompany transfer prices.</w:t>
      </w:r>
    </w:p>
    <w:p>
      <w:r>
        <w:t>18. More specifically, [omitted]. Similarly, the portion of heat [omitted].</w:t>
      </w:r>
    </w:p>
    <w:p>
      <w:r>
        <w:t>6 More specifically, the series of the price for the heating service related to "centralized supplies" to residential customers with installed power equal to that of an individual boiler for a medium-large apartment (35 kW) is reported. For currently unknown reasons, the price lists for Reggio Emilia and Parma are identical, while those for Piacenza, although having an identical structure to the previous ones, contain different values (albeit very similar to those of the other two capitals of Western Emilia).</w:t>
      </w:r>
    </w:p>
    <w:p>
      <w:r>
        <w:t>7 Waste-to-energy plants can indeed operate in a cogenerative setup, and the amount of electricity that can be produced depends (inversely) on the amount of heat that is delivered to the district heating network. Therefore, although the waste itself is provided at zero cost (if not negative), the transfer to the TLR network of the heat generated from waste-to-energy would be "costly" for the group to the extent that it requires forgoing alternative revenues from electricity production.</w:t>
      </w:r>
    </w:p>
    <w:p>
      <w:r>
        <w:t>BULLETIN NO. 24 OF JUNE 26, 2023 11</w:t>
      </w:r>
    </w:p>
    <w:p>
      <w:r>
        <w:t>IV. ASSESSMENTS</w:t>
      </w:r>
    </w:p>
    <w:p>
      <w:r>
        <w:t>IV.1. The relevant markets and the dominant position of Iren</w:t>
      </w:r>
    </w:p>
    <w:p>
      <w:r>
        <w:t>19. As previously mentioned, the district heating service exhibits clear characteristics of a natural monopoly, due to the non-replicability of the network used for the provision of the service itself in each local area, considering the size of the demand that can be expressed by such area, similar to the distribution services of gas and electricity.</w:t>
      </w:r>
    </w:p>
    <w:p>
      <w:r>
        <w:t>20. Regarding the hypothetical substitutability of district heating services with alternative heating methods, particularly with traditional systems that use gas boilers, it is noted that, as recently observed by ARERA in its fact-finding investigation, it appears to be entirely limited. This Authority has indeed observed in its analysis that the prices charged by TLR operators, although based on a formula that aims to quantify the "avoided cost" for the consumer in forgoing a traditional heating system, exceed the estimate that this Authority has made of the actual cost, for a consumer, of a heating system using a gas boiler. The evidence of this one-sided price difference leads to the conclusion that consumers' ability to accurately quantify ex-ante the costs associated with different heating systems and to compare them still appears insufficient (also due to the limited understanding of available technologies, their respective offers, and the categories and levels of associated costs). In this regard, it is noted that a conscious decision would also require the consumer's ability to anticipate and correctly factor in the significant future switching costs (for example, the cost of disconnecting a TLR service to install a traditional heating system) that they will face once opting for the district heating system.</w:t>
      </w:r>
    </w:p>
    <w:p>
      <w:r>
        <w:t>21. In addition to this – and especially – as noted by ARERA itself, TLR systems, unlike traditional heating systems, can use energy sources – such as waste-to-energy – different from natural gas. This technological difference represents another element that, in turn, makes these heating methods inherently different. In particular, in the event that natural gas fuel prices were to reach – as has occurred since the end of 2021 – high levels, the cost difference between a system that necessarily uses gas and a system that instead predominantly uses alternative energy sources could reach significant levels, thus leading to a "drastic" vertical differentiation between these technologies that could leave the TLR network operator without any effective competitive discipline.</w:t>
      </w:r>
    </w:p>
    <w:p>
      <w:r>
        <w:t>22. In light of these elements, it must be considered that TLR is a distinct relevant market, in commodity terms, from other forms of heating.</w:t>
      </w:r>
    </w:p>
    <w:p>
      <w:r>
        <w:t>23. That said, regarding the geographical extent of the TLR market, it clearly has a local dimension, defined based on the extent of the networks themselves. Within the reference locality, therefore, the TLR network operator undoubtedly holds a monopoly position on the service – and, therefore, a dominant position in the relevant market. Therefore, it can be concluded that Iren holds a dominant position in the relevant markets for the purposes of this proceeding regarding TLR services in the localities of Piacenza and Parma.</w:t>
      </w:r>
    </w:p>
    <w:p>
      <w:r>
        <w:rPr>
          <w:b/>
        </w:rPr>
        <w:t>[Pages 10–12]</w:t>
      </w:r>
    </w:p>
    <w:p>
      <w:r>
        <w:t>12 BULLETIN NO. 24 OF JUNE 26, 2023</w:t>
      </w:r>
    </w:p>
    <w:p>
      <w:r>
        <w:t>IV.2. The contested conduct</w:t>
      </w:r>
    </w:p>
    <w:p>
      <w:r>
        <w:t>24. Based on the above, in a context where there is an absence of intervention powers of the sector regulatory Authority, it is possible to hypothesize the existence of conduct that may constitute an abuse of dominant position by the companies of the Iren group, consisting of the imposition of excessively burdensome conditions and prices, in possible violation of Article 3, paragraph 1, letter a), of Law No. 287/90, in the market for the supply of heat in district heating networks.</w:t>
      </w:r>
    </w:p>
    <w:p>
      <w:r>
        <w:t>25. The conduct under examination must be contextualized within today's economic scenario, characterized by a significant increase in gas prices: for example, according to data from the Electricity Market Operator, the average market price of gas in the thermal years between 2016/2017 and 2020/2021 ranged from €10.678 to €24.570/MWh, while in the thermal years October 2021-September 2022 and October 2022-September 2023, the average gas market prices were €121.727 and €68.74/MWh, respectively. In the last two thermal years, therefore, gas prices in the day-ahead market have been recorded as being 280%-495% higher than in the previous five thermal years. Similar trends have been recorded in PSV prices. In this sense, the use by Iren of pricing formulas based on the evolution of natural gas prices, even where the heat supplied is predominantly obtained from different energy sources – specifically from the waste-to-energy conversion of waste collected by the same group that provides the heat – in the absence of corrective mechanisms for extremely high gas price levels, appears likely to transfer an excessive burden onto consumers, which would not seem justified in light of the impact of gas costs on heat production, making the clause for its definition excessively burdensome.</w:t>
      </w:r>
    </w:p>
    <w:p>
      <w:r>
        <w:t>Such a pricing mechanism, following the significant increases in gas costs recorded since the last months of 2021, therefore appears likely to have led to the application of excessive prices, generating excess profits for the companies of the Iren group in violation of Article 3, paragraph 1, letter a), of Law No. 287/90.</w:t>
      </w:r>
    </w:p>
    <w:p>
      <w:r>
        <w:t>26. The conduct under examination appears prima facie to be likely to constitute a violation of Article 3, paragraph 1, letter a), of Law No. 287/90 for the district heating networks of Parma and Piacenza, which produce a predominant share of heat through waste-to-energy conversion. There are no reasons to believe that the input waste from waste-to-energy conversion has experienced substantial cost increases or otherwise comparable to those that have affected the price of gas. It does not therefore seem justified to apply, even for these networks and in the exceptional context that has occurred, prices that reflect the increase in gas prices. This practice, on the other hand, would make it impossible for consumers to benefit from the technological difference and the choice to tie themselves to a method of heat production different from the combustion of natural gas – with the related advantages, including economic ones, that could manifest in certain scenarios, as recently observed.</w:t>
      </w:r>
    </w:p>
    <w:p>
      <w:r>
        <w:t>27. The above leads to the conclusion that there may be grounds for initiating proceedings against the companies of the Iren group involved in the management of district heating services in the networks of Parma and Piacenza, namely, the parent company Iren S.p.A., the companies Iren Energia S.p.A., Iren Ambiente S.p.A., and Iren Mercato S.p.A., to ascertain possible violations of Article 3, paragraph 1, letter a), of Law No. 287/90.</w:t>
      </w:r>
    </w:p>
    <w:p>
      <w:r>
        <w:t>THEREFORE, CONSIDERING that the described conduct, carried out by Iren S.p.A., Iren Energia S.p.A., Iren Ambiente S.p.A., and Iren Mercato S.p.A. in the two-year period 2021-2022, may constitute an abuse of dominant position pursuant to Article 3, paragraph 1, letter a) of Law No. 287/90;</w:t>
      </w:r>
    </w:p>
    <w:p>
      <w:r>
        <w:t>RESOLVES</w:t>
      </w:r>
    </w:p>
    <w:p>
      <w:r>
        <w:t>a) to initiate the investigation, pursuant to Article 14 of Law No. 287/90, against the companies Iren S.p.A., Iren Energia S.p.A., Iren Ambiente S.p.A., and Iren Mercato S.p.A., to ascertain the existence of possible violations of Article 3, paragraph 1, letter a), of Law No. 287/90;</w:t>
      </w:r>
    </w:p>
    <w:p>
      <w:r>
        <w:t>b) to set a deadline of sixty days from the notification of this provision for the exercise by the legal representatives of the Parties of the right to be heard, specifying that the request for a hearing must be received by the Transport, Energy and Environment Directorate of this Authority at least 15 days before the expiration of the aforementioned deadline;</w:t>
      </w:r>
    </w:p>
    <w:p>
      <w:r>
        <w:t>c) that the person responsible for the procedure is Dr. Giuseppe Quinto;</w:t>
      </w:r>
    </w:p>
    <w:p>
      <w:r>
        <w:t>d) that the documents of the procedure can be viewed at the Transport, Energy and Environment Directorate of this Authority by the legal representatives of the Parties, as well as by a person delegated by them;</w:t>
      </w:r>
    </w:p>
    <w:p>
      <w:r>
        <w:t>e) that the procedure must be concluded by July 31, 2024.</w:t>
      </w:r>
    </w:p>
    <w:p>
      <w:r>
        <w:t>This provision will be notified to the interested parties and published in the Bulletin of the Antitrust Authority.</w:t>
      </w:r>
    </w:p>
    <w:p>
      <w:r>
        <w:t>THE SECRETARY GENERAL THE PRESIDENT</w:t>
        <w:br/>
        <w:t>Guido Stazi Roberto Rustichelli</w:t>
      </w:r>
    </w:p>
    <w:p>
      <w:r>
        <w:t>14 BULLETIN NO. 24 OF JUNE 26, 2023</w:t>
      </w:r>
    </w:p>
    <w:p>
      <w:r>
        <w:t>A565 - A2A/HEATING PRICE</w:t>
        <w:br/>
        <w:t>Provision No. 30659</w:t>
        <w:br/>
        <w:t>THE ANTITRUST AUTHORITY</w:t>
      </w:r>
    </w:p>
    <w:p>
      <w:r>
        <w:t>IN ITS MEETING of June 13, 2023;</w:t>
      </w:r>
    </w:p>
    <w:p>
      <w:r>
        <w:t>HEARD the Rapporteur, President Roberto Rustichelli;</w:t>
      </w:r>
    </w:p>
    <w:p>
      <w:r>
        <w:t>VIEWED Law No. 287 of October 10, 1990, and subsequent amendments;</w:t>
      </w:r>
    </w:p>
    <w:p>
      <w:r>
        <w:t>VIEWED the Presidential Decree No. 217 of April 30, 1998;</w:t>
      </w:r>
    </w:p>
    <w:p>
      <w:r>
        <w:t>VIEWED the documentation on file;</w:t>
      </w:r>
    </w:p>
    <w:p>
      <w:r>
        <w:t>CONSIDERED the following:</w:t>
      </w:r>
    </w:p>
    <w:p>
      <w:r>
        <w:t>I. INTRODUCTION</w:t>
      </w:r>
    </w:p>
    <w:p>
      <w:r>
        <w:t>1. Since September 2022, several reports have been received complaining about the burden of the district heating service tariffs (“TLR”) and the difficulties in disconnecting from the TLR network and adopting a different heating system. The reports denounced significant increases in the fees charged for the service, which did not seem justifiable by the increase in the cost of raw materials, particularly for district heating networks whose predominant sources of heat are different from gas (for example, those powered by waste-to-energy conversion). These reports have also been echoed in public debate and in the press, where complaints have emerged regarding the possible unjustified increase in district heating tariffs in relation to some networks managed by the A2A group.</w:t>
      </w:r>
    </w:p>
    <w:p>
      <w:r>
        <w:t>2. The Offices sent a request for information to the A2A group on December 2, 2022. The request for information concerned the district heating networks operated by the group, the related energy sources used (and their weight, in terms of energy produced and expenditure for the service provider), the methods of price determination and the trend of raw material costs, the methods and costs of withdrawal, and, if applicable, the reimbursement of the initial investment, the presence or absence of any subsidies. The response to this request was received in January 2023 and was last supplemented on April 19, 2023.</w:t>
      </w:r>
    </w:p>
    <w:p>
      <w:r>
        <w:t>II. THE PARTIES</w:t>
      </w:r>
    </w:p>
    <w:p>
      <w:r>
        <w:t>3. A2A S.p.A. is the holding company of the A2A group, active in the production and sale of electricity, in the distribution and sale of natural gas, in waste collection and treatment, and in the construction and management of district heating networks. In this latter sector, the group operates through five distinct companies: A2A Calore e Servizi S.p.A., Linea Green S.r.l. (until December 31, 2022), Acinque Tecnologie S.p.A., Comocalor S.p.A., and Gelsia S.p.A. The consolidated revenue generated by the A2A Group in 2022 was approximately €23 billion.</w:t>
      </w:r>
    </w:p>
    <w:p>
      <w:r>
        <w:rPr>
          <w:b/>
        </w:rPr>
        <w:t>[Pages 13–15]</w:t>
      </w:r>
    </w:p>
    <w:p>
      <w:r>
        <w:t>BULLETIN NO. 24 OF JUNE 26, 2023 15</w:t>
      </w:r>
    </w:p>
    <w:p>
      <w:r>
        <w:t>4. Comocalor S.p.A. is the company to which the Municipality of Como has entrusted the public service of district heating. Currently, the network extends in the southern area of Como for a total length of 18 kilometers, providing heat to 140 residential buildings and other city structures. The revenue generated by Comocalor S.p.A. in 2021 was approximately 3.7 million euros.</w:t>
      </w:r>
    </w:p>
    <w:p>
      <w:r>
        <w:t>5. Acinque Ambiente S.r.l. is the company of the Acinque Group that deals with the collection and treatment of waste in the provinces of Como and Varese. It offers essential services in the value chain and waste management, including the management of the plant for energy recovery from non-recyclable waste in Como. The revenue generated by Acinque Ambiente S.r.l. in 2021 was approximately 39.6 million euros.</w:t>
      </w:r>
    </w:p>
    <w:p>
      <w:r>
        <w:t>III. PRICES CHARGED BY A2A FOR DISTRICT HEATING</w:t>
      </w:r>
    </w:p>
    <w:p>
      <w:r>
        <w:t>III.1. The district heating sector</w:t>
      </w:r>
    </w:p>
    <w:p>
      <w:r>
        <w:t>6. District heating is a system for supplying heat (delivered through hot water/steam) and domestic hot water to residential and non-residential users, as an alternative to the traditional heating system using gas boilers. The heat supplied through a district heating network can come from various types of plants and derive from different energy sources.</w:t>
      </w:r>
    </w:p>
    <w:p>
      <w:r>
        <w:t>7. A wide variety of fuels can be used to generate heat: natural gas, biomass, municipal solid waste, coal, fuel oil. Of the total thermal energy supplied, approximately 26% comes from sources considered renewable (bioenergy, geothermal, waste, etc.), while the remaining 74% comes from natural gas and, to a lesser extent, other fossil fuels (of which, 50% from cogeneration, 24% from simple production). About 2/3 of the heat fed into district heating networks is produced in "cogeneration" plants, i.e., in plants that allow for the simultaneous production of electricity and heat.</w:t>
      </w:r>
    </w:p>
    <w:p>
      <w:r>
        <w:t>8. The diffusion of the service remains concentrated mainly in Northern and Central Italy, where the higher demand for heat for building heating and the high population density justify the significant infrastructural investments necessary to ensure service availability to users. For historical reasons as well, the main operators are the major former municipal companies in the North of the country, generally active in the adjacent sectors of natural gas and electricity and integrated into the distribution and sales activities.</w:t>
      </w:r>
    </w:p>
    <w:p>
      <w:r>
        <w:t>9. The generation of heat generally assumes, in the Italian district heating networks (as well as, as will be seen, in the specific case of A2A), a configuration of vertically integrated monopoly, with the same entity generating the heat, transporting it, distributing it locally, and selling it to the end user. This, in turn, derives from the natural monopoly character of the heat transport and distribution network – analogous to other transport and distribution networks (for example, those of gas and electricity, often managed by the same monopolist that manages the district heating network). Unlike these latter, however, district heating could theoretically be replaced by alternative heating systems, particularly by traditional heating systems using gas boilers, and this possibility could, at least in theory, ensure the existence of a form of ex ante competition between alternative heating systems that could mitigate the market power of district heating operators over their users. Probably also for this reason, as well as the fact that district heating represented, in recent years, an emerging heating method, no regulation of the price of heat transfer to users has been foreseen so far, which is therefore left to the free determination of operators.</w:t>
      </w:r>
    </w:p>
    <w:p>
      <w:r>
        <w:t>10. In November 2022, ARERA published the results of its own fact-finding investigation into the district heating sector and, in particular, into the relationship between prices and related costs, to investigate the phenomenon of significant price increases for the service observed on average since the last quarter of 2021, coinciding with the sudden increase in natural gas prices. ARERA noted that among operators in the sector, it was common practice to set district heating service prices in a way that reflected the expenditure that the user would have incurred if they had used an alternative air conditioning system (the so-called "avoided cost" method). In any case, as illustrated by Figure 1 (extracted from the document published by the regulator), ARERA also noted that the prices charged by operators were generally higher than the estimate of the actual "avoided cost" made by that Authority, suggesting therefore that the possibility of switching to the traditional heating system was not entirely constraining for the prices charged by district heating operators, probably due to the imperfect ability of consumers to compare the convenience of different heating systems and due to the costs they incur to switch from one system to another (so-called switching costs). Finally, ARERA observed that, in any case, there were operators who, while adjusting their rates based on the trend of gas prices, produced the heat supplied through energy sources of another type, not necessarily subject to the same trend, noting that such operators would have realized significant excess profits.</w:t>
      </w:r>
    </w:p>
    <w:p>
      <w:r>
        <w:t>BULLETIN NO. 24 OF JUNE 26, 2023 17</w:t>
      </w:r>
    </w:p>
    <w:p>
      <w:r>
        <w:t>Figure 1: Comparison between the observed prices and the estimate of the avoided cost developed by ARERA</w:t>
        <w:br/>
        <w:t>Source: ARERA fact-finding investigation on the evolution of prices and costs of district heating. The solid line (blue) represents the level of the avoided cost calculated by the Authority, while the boxplots show the distribution of the list prices published by the operators.</w:t>
      </w:r>
    </w:p>
    <w:p>
      <w:r>
        <w:t>III.2. A2A's district heating networks and price trends</w:t>
      </w:r>
    </w:p>
    <w:p>
      <w:r>
        <w:t>11. A2A, through its subsidiary A2A Calore e Servizi, historically manages the networks related to the territories of Brescia, Bergamo, and Milan. The Brescia network, second only to that of Turin, is primarily fed by the large municipal waste-to-energy plant. The Milan network is primarily fed by natural gas, with a significant contribution from waste heat. The Bergamo network is fed in similar proportions by heat from natural gas and from waste-to-energy.</w:t>
      </w:r>
    </w:p>
    <w:p>
      <w:r>
        <w:t>The A2A group also manages a number of medium and small district heating networks, fed by natural gas (Rho (MI), Crema (CR), Monza, Varese, Seregno (MB), and Giussano (MB)), to which sometimes wood biomass (Cremona, Lodi) and waste (Cremona) are added.</w:t>
      </w:r>
    </w:p>
    <w:p>
      <w:r>
        <w:t>In the city of Como, the subsidiary ComoCalor manages a small district heating network primarily fed by heat from waste combustion.</w:t>
      </w:r>
    </w:p>
    <w:p>
      <w:r>
        <w:t>Table 1 summarizes some salient characteristics of A2A's networks.</w:t>
      </w:r>
    </w:p>
    <w:p>
      <w:r>
        <w:rPr>
          <w:b/>
        </w:rPr>
        <w:t>[Pages 16–18]</w:t>
      </w:r>
    </w:p>
    <w:p>
      <w:r>
        <w:t>18 BULLETIN NO. 24 OF JUNE 26, 2023</w:t>
        <w:br/>
        <w:t>Table 1 - District heating networks of the A2A group*</w:t>
        <w:br/>
        <w:t>Tariff method (monomial /</w:t>
        <w:br/>
        <w:t>Company Networks Energy sources</w:t>
        <w:br/>
        <w:t>variable component binomial and trinomial)</w:t>
        <w:br/>
        <w:t>A2A Heat waste [60-70%] Weighted average PUN and cost</w:t>
        <w:br/>
        <w:t>Brescia</w:t>
        <w:br/>
        <w:t>and Gas Services [30-40%] gas procurement</w:t>
        <w:br/>
        <w:t>A2A Heat gas [60-70%] Weighted average PUN and cost</w:t>
        <w:br/>
        <w:t>Milan</w:t>
        <w:br/>
        <w:t>and Waste Services [30-40%] gas procurement</w:t>
        <w:br/>
        <w:t>A2A Heat waste [50-60%] Weighted average PUN and cost</w:t>
        <w:br/>
        <w:t>Bergamo</w:t>
        <w:br/>
        <w:t>and Gas Services [40-50%] gas procurement</w:t>
        <w:br/>
        <w:t>Crema gas [90-100%] Avoided cost + ARERA gas tariff variations</w:t>
        <w:br/>
        <w:t>Green/Natural gas [60-70%]</w:t>
        <w:br/>
        <w:t>Cremona waste [10-20%]</w:t>
        <w:br/>
        <w:t>Green/Natural wood biomass [0-10%]</w:t>
        <w:br/>
        <w:t>Lodi gas line [80-90%] Avoided cost + ARERA gas tariff variations</w:t>
        <w:br/>
        <w:t>Green/Natural wood chips [10-20%]</w:t>
        <w:br/>
        <w:t>Rho Natural gas</w:t>
        <w:br/>
        <w:t>Green/Natural gas</w:t>
        <w:br/>
        <w:t>Acinque gas [60-70%] Avoided cost + ARERA gas tariff variations</w:t>
        <w:br/>
        <w:t>Monza</w:t>
        <w:br/>
        <w:t>Natural heat recovery technologies</w:t>
        <w:br/>
        <w:t>Acinque Avoided cost + ARERA gas tariff variations</w:t>
        <w:br/>
        <w:t>Varese gas [90-100%]</w:t>
        <w:br/>
        <w:t>Natural technologies</w:t>
        <w:br/>
        <w:t>Avoided cost + ARERA gas tariff variations</w:t>
        <w:br/>
        <w:t>Gelsia Seregno Natural gas</w:t>
        <w:br/>
        <w:t>Natural</w:t>
        <w:br/>
        <w:t>Avoided cost + ARERA gas tariff variations</w:t>
        <w:br/>
        <w:t>Gelsia Giussano Natural gas</w:t>
        <w:br/>
        <w:t>Natural</w:t>
        <w:br/>
        <w:t>waste [80-90%] Avoided cost + ARERA gas tariff variations</w:t>
        <w:br/>
        <w:t>Comocalor Como</w:t>
        <w:br/>
        <w:t>gas [10-20%] Natural</w:t>
        <w:br/>
        <w:t>12. The natural gas heat production plants of A2A are owned by the same company that manages the district heating networks in the relevant territory or acquired from third parties, while the waste-to-energy plants are owned by the group companies operating in the environmental sector (in particular A2A Ambiente S.p.A. in the cases of Brescia, Bergamo, and Milan, Linea Ambiente in the case of Cremona, and Acinque Ambiente in the case of Como).</w:t>
        <w:br/>
        <w:t>13. Intra-group purchases of natural gas occur [omitted], while those of heat produced from waste-to-energy [omitted].</w:t>
        <w:br/>
        <w:t>14. Regarding tariff methods, the companies of the A2A group apply tariffs (monomial or binomial) that do not vary based on the volume or other characteristics of the customer, although they are sometimes structured based on the brackets representing the quantities consumed.</w:t>
        <w:br/>
        <w:t>* In this version, some data are omitted, as elements of confidentiality or secrecy of the information were deemed to exist.</w:t>
      </w:r>
    </w:p>
    <w:p>
      <w:r>
        <w:t>BULLETIN NO. 24 OF JUNE 26, 2023 19</w:t>
        <w:br/>
        <w:t>15. More specifically, for the networks of Brescia, Bergamo, and Milan, A2A Calore e Servizi uses a formula that determines the price of heat based on a weighted average (weighted by the percentage of heat production from fossil and non-fossil sources) of the cost of natural gas procurement (for the fossil part)4 and the cost of electricity not produced to provide heat to the district heating network, represented by the PUN.</w:t>
        <w:br/>
        <w:t>16. In the remaining district heating networks, and particularly in that of Como, the respective operators adopt tariff formulas based on the "avoided cost" of gas heating, in which the price varied quarterly based on the variations announced by ARERA of the component covering the cost of the raw material gas of the economic conditions of the protection service. Starting from October 1, 2022, following the changes made by ARERA to the reference value for determining the raw material component, the frequency of tariff adjustment became monthly.</w:t>
        <w:br/>
        <w:t>17. In Figure 1 below, the evolution of some tariffs and tariff components in the A2A group networks in the years 2021 and 2022 is shown.</w:t>
        <w:br/>
        <w:t>Figure 2: A2A group networks</w:t>
        <w:br/>
        <w:t>N.B.: the trinominal tariff for installed power &lt;35 kW in Bergamo and Milan is substantially equivalent to a monomial tariff.</w:t>
        <w:br/>
        <w:t>As can be observed, in the networks of Milan, Brescia, and Bergamo, the tariff remained fixed in the first three quarters of 2022.</w:t>
        <w:br/>
        <w:t>In the case of Como, the variable tariff part must be added to a fixed annual fee that increased from 2,880 euros per mc/h in January 2021 to 7,702 euros per mc/h in December 2022.</w:t>
        <w:br/>
        <w:t>18. Furthermore, in some cases, users of the group networks benefit from certain incentives or contributions, linked for example to the use of renewable sources by the network used, or otherwise made available by the Region or local authorities.</w:t>
        <w:br/>
        <w:t>4</w:t>
        <w:br/>
        <w:t>Until October 2022, the TTF quotations were considered, while subsequently, following ARERA's modification of the reference price for calculating the raw material cost for the protected market of natural gas, PSV quotations were taken into account.</w:t>
      </w:r>
    </w:p>
    <w:p>
      <w:r>
        <w:t>20 BULLETIN NO. 24 OF JUNE 26, 2023</w:t>
        <w:br/>
        <w:t>IV. ASSESSMENTS</w:t>
        <w:br/>
        <w:t>IV.1. The relevant markets and the dominant position of A2A</w:t>
        <w:br/>
        <w:t>19. As previously mentioned, the district heating service exhibits clear characteristics of a natural monopoly, due to the non-replicability of the network used for the provision of the service itself in each local area, considering the size of the demand that can be expressed by such area, similar to the distribution services of gas and electricity.</w:t>
        <w:br/>
        <w:t>20. Regarding the hypothetical substitutability of district heating services with alternative heating methods, particularly with traditional systems that use gas boilers, it is noted that, as recently observed by ARERA in its fact-finding investigation, it appears to be entirely limited. This Authority, in its analysis, has indeed observed that the prices charged by district heating operators, although based on a formula that aims to quantify the "avoided cost" to the consumer of forgoing a traditional heating system, exceed the estimate that this Authority has made of the actual cost, for a consumer, of a heating system using a gas boiler. The evidence of this one-sided price difference therefore leads to the conclusion that consumers' ability to accurately quantify ex-ante the costs associated with different heating systems and to compare them appears still insufficient (also due to the limited understanding of available technologies, their respective offers, and the categories and levels of associated costs). In this regard, it is noted that a conscious decision would also require the consumer's ability to anticipate and correctly factor in the significant future switching costs (for example, the cost of disconnecting a district heating connection to install a traditional heating system) that they will face once opting for the district heating system.</w:t>
        <w:br/>
        <w:t>21. In addition to this – and especially – as also noted by ARERA itself, district heating systems, unlike traditional heating systems, can utilize energy sources – such as waste-to-energy – different from natural gas. This technological difference represents an additional element that, in turn, makes these heating methods inherently different. In particular, in the event that natural gas fuel prices were to reach – as has occurred since the end of 2021 – high levels, the cost difference between a system that necessarily uses gas and a system that instead predominantly uses alternative energy sources could reach significant levels, thus resulting in a "drastic" vertical differentiation between these technologies that could leave the district heating network operator without any effective competitive discipline.</w:t>
        <w:br/>
        <w:t>22. In light of these elements, it must be considered that district heating is a distinct relevant market, in commodity terms, from other heating technologies.</w:t>
        <w:br/>
        <w:t>23. As for the geographical extent of the district heating market, it clearly has a local dimension, defined by the extent of the individual district heating network.</w:t>
        <w:br/>
        <w:t>24. Each district heating network thus constitutes a relevant market, in which the network operator holds a dominant – monopolistic – position in the supply of heat to users connected to the network itself and the related services.</w:t>
        <w:br/>
        <w:t>IV.2. The contested conduct</w:t>
        <w:br/>
        <w:t>25. The present proceeding concerns the district heating sector, subject for some aspects to the regulation of ARERA. This regulation does not concern the selling price of heat to users.</w:t>
      </w:r>
    </w:p>
    <w:p>
      <w:r>
        <w:rPr>
          <w:b/>
        </w:rPr>
        <w:t>[Pages 19–21]</w:t>
      </w:r>
    </w:p>
    <w:p>
      <w:r>
        <w:t>BULLETIN NO. 24 OF JUNE 26, 2023 21</w:t>
      </w:r>
    </w:p>
    <w:p>
      <w:r>
        <w:t>connected to the district heating network, which is freely established by the network operator. The setting of heat sale prices therefore fully falls within the scope of intervention of the Authority pursuant to Article 3, paragraph 1, of Law 287/1990.</w:t>
      </w:r>
    </w:p>
    <w:p>
      <w:r>
        <w:t>26. The conduct under examination must be contextualized within an economic scenario that has seen a rapid increase in natural gas prices at the main European hubs, particularly in the thermal year October 2021 – September 2022, and a significant instability of such prices (see Fig. 2).</w:t>
      </w:r>
    </w:p>
    <w:p>
      <w:r>
        <w:t>Figure 3: Trend of the spot price of natural gas at the major European hubs, 2018-2023</w:t>
        <w:br/>
        <w:t>Source: GME</w:t>
      </w:r>
    </w:p>
    <w:p>
      <w:r>
        <w:t>27. In light of the average prices below €25/MWh that prevailed in the market between 2015 and 2020, in the last quarter of 2021, prices reached levels four times higher, while the average price for 2022 was over 150% higher than that of 2021.</w:t>
      </w:r>
    </w:p>
    <w:p>
      <w:r>
        <w:t>28. In this context, Comocalor's use of a bi-variable tariff where changes in the variable part are based on the evolution of natural gas prices, despite the heat supplied being predominantly obtained from different energy sources whose cost is, in principle, independent of natural gas prices, appears susceptible, in the absence of corrective mechanisms for extremely high gas price levels, to transfer an excessive burden onto consumers, which does not seem justified given the impact of gas costs in heat production, making the clause for defining the same excessively burdensome. This burden appears to have been increased by the rise in the annual fixed fee, which is already significantly high, having more than doubled between 2021 and 2022.</w:t>
      </w:r>
    </w:p>
    <w:p>
      <w:r>
        <w:t>29. The application of this pricing formula, in a context dominated by extremely significant increases in gas costs recorded since the last months of 2021, appears prima facie to be susceptible of constituting a violation of Article 3, letter a) of Law No. 287/1990 for the district heating network of Como, which produces a predominant share of heat through waste-to-energy conversion, insofar as it has led to the application of excessive prices, generating unjustified superprofits for Comocalor and for Acinque, the company from which it purchases heat. The input waste from waste-to-energy conversion does not appear to have recorded substantial cost increases or those comparable to those concerning the price of gas. There is therefore no reason to apply, even for this network and in the exceptional context recorded, prices that reflect the increase in gas prices. This practice, on the other hand, would have prevented consumers from benefiting from the economic advantages that the choice to tie to a method of heat production different from the combustion of natural gas could have produced in the scenario of high gas prices recently experienced.</w:t>
      </w:r>
    </w:p>
    <w:p>
      <w:r>
        <w:t>30. The overall assessment of any excessive pricing for the TLR service cannot disregard an analysis of the methods of determining the transfer prices of heat between Acinque and Comocalor, also with reference to the actual costs of generating the supplied heat.</w:t>
      </w:r>
    </w:p>
    <w:p>
      <w:r>
        <w:t>31. The above leads to the conclusion that there may be grounds for initiating proceedings against Comocalor S.p.A., a company of the A2A group that manages TLR services in the Como network, Acinque Ambiente S.r.l., from which Comocalor procures heat, and the parent company A2A S.p.A., to ascertain possible violations of Article 3, letter a), Law 287/1990.</w:t>
      </w:r>
    </w:p>
    <w:p>
      <w:r>
        <w:t>CONSIDERING, therefore, that the described conduct, carried out by A2A S.p.A., Comocalor S.p.A., and Acinque Ambiente S.r.l., in the two-year period 2021-2022 may constitute an abuse of a dominant position pursuant to Article 3, paragraph 1, letter a) of Law 287/1990;</w:t>
      </w:r>
    </w:p>
    <w:p>
      <w:r>
        <w:t>RESOLVES</w:t>
      </w:r>
    </w:p>
    <w:p>
      <w:r>
        <w:t>a) to initiate the investigation, pursuant to Article 14 of Law No. 287/1990, against A2A S.p.A., Comocalor S.p.A., and Acinque Ambiente S.r.l. to ascertain the existence of possible violations of Article 3, paragraph 1, letter a), of Law 287/1990;</w:t>
      </w:r>
    </w:p>
    <w:p>
      <w:r>
        <w:t>b) to set a deadline of sixty days from the notification of this provision for the exercise by the legal representatives of the Parties of the right to be heard, specifying that the request for a hearing must be received by the Transport, Energy and Environment Directorate of this Authority at least 15 days before the expiration of the above-mentioned deadline;</w:t>
      </w:r>
    </w:p>
    <w:p>
      <w:r>
        <w:t>c) that the person responsible for the procedure is Dr. Ginevra Marandola;</w:t>
      </w:r>
    </w:p>
    <w:p>
      <w:r>
        <w:t>d) that the documents of the procedure can be viewed at the Transport, Energy and Environment Directorate of this Authority by the legal representatives of the Parties, as well as by a person delegated by them;</w:t>
      </w:r>
    </w:p>
    <w:p>
      <w:r>
        <w:t>e) that the procedure must be concluded by July 31, 2024.</w:t>
      </w:r>
    </w:p>
    <w:p>
      <w:r>
        <w:t>BULLETIN NO. 24 OF JUNE 26, 2023 23</w:t>
      </w:r>
    </w:p>
    <w:p>
      <w:r>
        <w:t>This provision will be notified to the interested parties and published in the Bulletin of the Competition and Market Authority.</w:t>
      </w:r>
    </w:p>
    <w:p>
      <w:r>
        <w:t>THE SECRETARY GENERAL THE PRESIDENT</w:t>
        <w:br/>
        <w:t>Guido Stazi Roberto Rustichelli</w:t>
      </w:r>
    </w:p>
    <w:p>
      <w:r>
        <w:rPr>
          <w:b/>
        </w:rPr>
        <w:t>[Pages 22–24]</w:t>
      </w:r>
    </w:p>
    <w:p>
      <w:r>
        <w:t>24 BULLETIN NO. 24 OF JUNE 26, 2023</w:t>
      </w:r>
    </w:p>
    <w:p>
      <w:r>
        <w:t>CONCENTRATION OPERATIONS</w:t>
      </w:r>
    </w:p>
    <w:p>
      <w:r>
        <w:t>C12532 - NORDOVEST INSIEME/BRANCHES OF BENNET</w:t>
      </w:r>
    </w:p>
    <w:p>
      <w:r>
        <w:t>Provision No. 30656</w:t>
      </w:r>
    </w:p>
    <w:p>
      <w:r>
        <w:t>THE ANTITRUST AUTHORITY</w:t>
      </w:r>
    </w:p>
    <w:p>
      <w:r>
        <w:t>IN ITS MEETING of June 6, 2023;</w:t>
      </w:r>
    </w:p>
    <w:p>
      <w:r>
        <w:t>HEARD the Rapporteur Professor Elisabetta Iossa;</w:t>
      </w:r>
    </w:p>
    <w:p>
      <w:r>
        <w:t>HAVING REGARD TO Regulation (EC) No. 139/2004;</w:t>
      </w:r>
    </w:p>
    <w:p>
      <w:r>
        <w:t>HAVING REGARD TO Law No. 287 of October 10, 1990;</w:t>
      </w:r>
    </w:p>
    <w:p>
      <w:r>
        <w:t>HAVING REGARD TO Presidential Decree No. 217 of April 30, 1998;</w:t>
      </w:r>
    </w:p>
    <w:p>
      <w:r>
        <w:t>HAVING REGARD TO the communication made by the companies Conad Nord Ovest Società Cooperativa and IGES S.r.l., received on March 30, 2023;</w:t>
      </w:r>
    </w:p>
    <w:p>
      <w:r>
        <w:t>HAVING REGARD TO the request for information, with the related interruption of deadlines pursuant to Article 5, paragraph 3, of Presidential Decree No. 217/98, sent to the company Conad Nord Ovest Società Cooperativa on April 26, 2023;</w:t>
      </w:r>
    </w:p>
    <w:p>
      <w:r>
        <w:t>HAVING REGARD TO the response to the aforementioned request for information, sent by the company Conad Nord Ovest Società Cooperativa, received on May 11, 2023, and supplemented on May 22, 2023;</w:t>
      </w:r>
    </w:p>
    <w:p>
      <w:r>
        <w:t>HAVING REGARD TO the documentation on file;</w:t>
      </w:r>
    </w:p>
    <w:p>
      <w:r>
        <w:t>CONSIDERING the following:</w:t>
      </w:r>
    </w:p>
    <w:p>
      <w:r>
        <w:t>I. THE PARTIES</w:t>
      </w:r>
    </w:p>
    <w:p>
      <w:r>
        <w:t>1. Conad Nord Ovest Società Cooperativa (hereinafter "Conad NO") is the company resulting from the merger, which took place in 2019, between the cooperatives Nordiconad Soc. Coop. and Conad del Tirreno Soc. Coop. and is one of the 5 cooperatives belonging to the National Consortium of Retailers CONAD S.c. a r.l. (hereinafter "CONAD"). The company operates in the distribution of food and non-food products of mass consumption through a network of approximately 600 sales points in the large-scale distribution sector, both direct and associated, marked by Conad signage. In particular, based on the existing geographical distribution scheme within the Conad system, Conad NO operates in the following areas: Aosta Valley, Piedmont, Lombardy (province of Mantua), Liguria, Emilia-Romagna (provinces of Modena, Bologna, and Ferrara), Tuscany, Lazio (provinces of Rome and Viterbo), and Sardinia. In 2021, Conad NO achieved a turnover of approximately 2.7 billion euros in Italy, while the total turnover of the sales network, including associated or affiliated sales points, exceeded 4.3 billion euros. Among the members of Conad NO is the company Nordovest Insieme S.r.l. (hereinafter Nordovest Insieme), whose share capital is predominantly held by entrepreneur members of Conad NO and by Conad NO itself (which holds approximately 43% of the share capital). The turnover of Nord Ovest Insieme S.r.l. was approximately 650 million euros in 2021.</w:t>
      </w:r>
    </w:p>
    <w:p>
      <w:r>
        <w:t>1 Source: social report of Conad Nord Ovest for 2021.</w:t>
      </w:r>
    </w:p>
    <w:p>
      <w:r>
        <w:t>25 BULLETIN NO. 24 OF JUNE 26, 2023</w:t>
      </w:r>
    </w:p>
    <w:p>
      <w:r>
        <w:t>2. The organizational model of the CONAD system is structured on three levels:</w:t>
      </w:r>
    </w:p>
    <w:p>
      <w:r>
        <w:t>(i) the first level is represented by individual entrepreneurs, members of the cooperatives and owners of the sales points, who conduct business and manage the sales points in the territory, operating independently and at their own business risk, utilizing the supply of goods and services from the individual cooperative; among these members is also Nord Ovest Insieme S.r.l.;</w:t>
      </w:r>
    </w:p>
    <w:p>
      <w:r>
        <w:t>(ii) the second level, in which Conad NO is located, is represented by the 5 cooperative members of the national consortium (in addition to Conad Nord Ovest, PAC 2000, Conad Adriatico, Conad Centro Nord, and Commercianti Indipendenti Associati), which support and coordinate the individual entrepreneurs by providing administrative, commercial, logistical, and financial services. Each of the 5 cooperatives operates in a specific and distinct territorial area, represented by a set of regions and/or provinces;</w:t>
      </w:r>
    </w:p>
    <w:p>
      <w:r>
        <w:t>(iii) the third level is constituted by the national consortium CONAD, which operates as a purchasing and service center, is responsible for strategic planning, marketing, and communication activities for the entire system, as well as the production, promotion, and development of the CONAD brand.</w:t>
      </w:r>
    </w:p>
    <w:p>
      <w:r>
        <w:t>3. The Target business branch of the operation (hereinafter the Target) consists of 3 business branches belonging to the company Bennet S.p.A., specifically: a hypermarket located in Turin, a supermarket located in Ovada (AL), and a fraction of a hypermarket located in Verbania, whose surface corresponds to that of a supermarket. The total turnover of the target sales points was approximately 33 million euros in 2021.</w:t>
      </w:r>
    </w:p>
    <w:p>
      <w:r>
        <w:t>II. DESCRIPTION OF THE OPERATION</w:t>
      </w:r>
    </w:p>
    <w:p>
      <w:r>
        <w:t>4. The operation consists of the acquisition of the business branches described, owned by the company Bennet, by Conad NO, through its associated and participated company Nordovest Insieme. In particular, the two business branches in Turin and Ovada, which together had a turnover of less than 32 million euros in 2021, were already acquired by the company Bennet on January 31, 2023, while the acquisition of the third sales point is governed by a separate agreement concluded at a later date between the same companies. This last acquisition, resulting in the exceeding of the threshold of 32 million euros of the total turnover of the Target, triggered the obligation to notify the entire operation.</w:t>
      </w:r>
    </w:p>
    <w:p>
      <w:r>
        <w:t>III. QUALIFICATION OF THE OPERATION</w:t>
      </w:r>
    </w:p>
    <w:p>
      <w:r>
        <w:t>5. The notified operation, as it involves the acquisition of control over parts of a business, constitutes a concentration pursuant to Article 5, paragraph 1, letter b), of Law No. 287/1990. It falls within the scope of application of Law No. 287/1990 as the conditions of Article 1 of Regulation (EC) No. 139/2004 are not met, and it is subject to the obligation of prior notification provided for by Article 16, paragraph 1, of the same law, as the total turnover achieved, in the last financial year at the national level, by all the companies involved in the operation exceeded 532 million euros and the turnover achieved in the last financial year at the national level by the companies subject to acquisition exceeded 32 million euros.</w:t>
      </w:r>
    </w:p>
    <w:p>
      <w:r>
        <w:t>26 BULLETIN NO. 24 OF JUNE 26, 2023</w:t>
      </w:r>
    </w:p>
    <w:p>
      <w:r>
        <w:t>IV. ASSESSMENT OF THE OPERATION</w:t>
      </w:r>
    </w:p>
    <w:p>
      <w:r>
        <w:t>The relevant markets</w:t>
      </w:r>
    </w:p>
    <w:p>
      <w:r>
        <w:t>6. This operation concerns the markets for the retail sale of food and non-food products of mass consumption through sales points of the Large Scale Distribution (GDO). In this sector, multiple operators operate at the national level, with varied sizes and organizational formulas. This sector is usually divided into: Large Distribution (GD), which includes large retail chains organized in the form of a company or group of companies, and Organized Distribution (DO), which includes chains (among which Conad) constituted by entities that, while being legally distinct, operate in the market under the same signage and/or identifying features, by virtue of their common adherence to associative formulas such as consortia, voluntary unions, service companies, consumer cooperatives, or retailers, etc.</w:t>
      </w:r>
    </w:p>
    <w:p>
      <w:r>
        <w:t>7. Within the GDO, the following types of sales points are also distinguished, differentiated based on a series of characteristics (size, positioning, range of products offered, presence of fresh counters, etc.) that contribute to determining their quality and level of services offered: hypermarkets, supermarkets, convenience stores, and discount stores.</w:t>
      </w:r>
    </w:p>
    <w:p>
      <w:r>
        <w:t>8. In the context of the most recent provisions regarding concentration operations in the GDO sector, the Authority has, firstly, included sales points managed under the discount formula in the relevant markets relating to the types of GDO sales points of corresponding size, namely convenience stores (100-399 sqm), supermarkets (400-2,499 sqm), and hypermarkets (from 2,500 sqm and above), as they are considered by consumers to be a substitutable purchase option with such other types of GDO sales points.</w:t>
      </w:r>
    </w:p>
    <w:p>
      <w:r>
        <w:t>9. Secondly, with reference to hypermarkets, supermarkets, and convenience stores, the Authority has defined the following distinct product markets:</w:t>
      </w:r>
    </w:p>
    <w:p>
      <w:r>
        <w:t>i) the market for convenience stores, including all sales points with a size between 100 and 2,499 sqm (i.e., convenience stores, supermarkets, and discount stores with a size below 2,500 sqm);</w:t>
      </w:r>
    </w:p>
    <w:p>
      <w:r>
        <w:t>ii) the market for supermarkets, including all sales points with a size from 100 sqm and above (i.e., supermarkets, convenience stores, hypermarkets, and discount stores);</w:t>
      </w:r>
    </w:p>
    <w:p>
      <w:r>
        <w:t>iii) the market for hypermarkets, including all sales points from 400 sqm and above (i.e., hypermarkets, supermarkets, and discount stores with a size equal to or greater than 400 sqm).</w:t>
      </w:r>
    </w:p>
    <w:p>
      <w:r>
        <w:t>10. From a geographical perspective, local markets have been defined consisting of isochrone curves centered on the target sales points, with a width of 10 minutes of driving for the convenience store market and 15 minutes of driving for the supermarket and hypermarket markets.</w:t>
      </w:r>
    </w:p>
    <w:p>
      <w:r>
        <w:t>11. In this case, the relevant markets are therefore: that of supermarkets (all sales points with a size from 100 sqm and above located within a 15-minute driving isochrone), for the sales points in Ovada and Verbania, and that of hypermarkets (all sales points with a size from 400 sqm and above located within a 15-minute driving isochrone), for the sales point in Turin.</w:t>
      </w:r>
    </w:p>
    <w:p>
      <w:r>
        <w:rPr>
          <w:b/>
        </w:rPr>
        <w:t>[Pages 25–27]</w:t>
      </w:r>
    </w:p>
    <w:p>
      <w:r>
        <w:t>BULLETIN NO. 24 OF JUNE 26, 2023 27</w:t>
      </w:r>
    </w:p>
    <w:p>
      <w:r>
        <w:t>The effects of the operation</w:t>
      </w:r>
    </w:p>
    <w:p>
      <w:r>
        <w:t>12. At the national level, based on the data provided by the Parties, the Conad chain holds a market share of approximately 15% in the GDO sector, which would increase negligibly as a result of the present operation. Similarly marginal is the increase in market power resulting from the present operation within the Conad-Finiper purchasing center, which currently holds a national market share of approximately 17%, lower than that held by the super-central ESD.</w:t>
      </w:r>
    </w:p>
    <w:p>
      <w:r>
        <w:t>13. At the local level, in the relevant markets represented by the isochrones built around the sales points of Ovada and Verbania, the operation would entail the new entry of the Conad group, which currently does not operate there. With reference to the market represented by the isochrone built around the sales point subject to acquisition in Turin, the new post-merger entity would hold a combined market share of approximately 11%, with an increase of less than 2%. In the same market, other qualified competitors operate, also with higher shares, such as Carrefour (22%), Selex (16%), and PAM (13%).</w:t>
      </w:r>
    </w:p>
    <w:p>
      <w:r>
        <w:t>14. In light of the above considerations, the concentration under examination does not appear to significantly hinder effective competition in the relevant markets or to result in the establishment or strengthening of a dominant position.</w:t>
      </w:r>
    </w:p>
    <w:p>
      <w:r>
        <w:t>CONSIDERING, therefore, that the operation in question does not significantly hinder effective competition in the relevant markets pursuant to Article 6, paragraph 1, of Law No. 287/1990 and does not entail the establishment or strengthening of a dominant position;</w:t>
      </w:r>
    </w:p>
    <w:p>
      <w:r>
        <w:t>RESOLVES</w:t>
      </w:r>
    </w:p>
    <w:p>
      <w:r>
        <w:t>not to initiate the investigation referred to in Article 16, paragraph 4, of Law No. 287/1990.</w:t>
      </w:r>
    </w:p>
    <w:p>
      <w:r>
        <w:t>The above conclusions will be communicated, pursuant to Article 16, paragraph 4, of Law No. 287/1990, to the interested companies and to the Minister of Enterprises and Made in Italy.</w:t>
      </w:r>
    </w:p>
    <w:p>
      <w:r>
        <w:t>This provision will be published in the Bulletin of the Antitrust Authority.</w:t>
      </w:r>
    </w:p>
    <w:p>
      <w:r>
        <w:t>THE SECRETARY GENERAL THE PRESIDENT</w:t>
      </w:r>
    </w:p>
    <w:p>
      <w:r>
        <w:t>Guido Stazi Roberto Rustichelli</w:t>
      </w:r>
    </w:p>
    <w:p>
      <w:r>
        <w:t>28 BULLETIN NO. 24 OF JUNE 26, 2023</w:t>
      </w:r>
    </w:p>
    <w:p>
      <w:r>
        <w:t>C12543 - STELLAGROUP/PRATIC F.LLI ORIOLI</w:t>
      </w:r>
    </w:p>
    <w:p>
      <w:r>
        <w:t>Provision No. 30657</w:t>
      </w:r>
    </w:p>
    <w:p>
      <w:r>
        <w:t>THE ANTITRUST AUTHORITY</w:t>
      </w:r>
    </w:p>
    <w:p>
      <w:r>
        <w:t>IN ITS MEETING of June 6, 2023;</w:t>
      </w:r>
    </w:p>
    <w:p>
      <w:r>
        <w:t>HEARD the Rapporteur, Professor Elisabetta Iossa;</w:t>
      </w:r>
    </w:p>
    <w:p>
      <w:r>
        <w:t>HAVING REGARD to Regulation (EC) No. 139/2004 of the Council, of January 20, 2004, concerning the control of concentrations between undertakings;</w:t>
      </w:r>
    </w:p>
    <w:p>
      <w:r>
        <w:t>HAVING REGARD to Law No. 287 of October 10, 1990;</w:t>
      </w:r>
    </w:p>
    <w:p>
      <w:r>
        <w:t>HAVING REGARD to the Presidential Decree No. 217 of April 30, 1998;</w:t>
      </w:r>
    </w:p>
    <w:p>
      <w:r>
        <w:t>HAVING REGARD to the communication made by StellaGroup S.A.S., received on May 12, 2023;</w:t>
      </w:r>
    </w:p>
    <w:p>
      <w:r>
        <w:t>HAVING REGARD to the documentation on file;</w:t>
      </w:r>
    </w:p>
    <w:p>
      <w:r>
        <w:t>CONSIDERING the following:</w:t>
      </w:r>
    </w:p>
    <w:p>
      <w:r>
        <w:t>I. THE PARTIES</w:t>
      </w:r>
    </w:p>
    <w:p>
      <w:r>
        <w:t>1. StellaGroup S.A.S. (hereinafter, StellaGroup) is a company under French law active in the production and marketing of closure solutions, i.e., doors, shutters, and blinds for residential buildings, shops, and industrial buildings, including rolling shutters, blinds, garage doors, aluminum doors, fences, facade closures, and external sun protection systems.</w:t>
      </w:r>
    </w:p>
    <w:p>
      <w:r>
        <w:t>2. StellaGroup is a portfolio company belonging to the PAI Partners Group.</w:t>
      </w:r>
    </w:p>
    <w:p>
      <w:r>
        <w:t>3. In 2021, the PAI Partners Group achieved a consolidated global turnover of at least [20-30]* billion euros, of which at least [10-20] billion euros from sales in the European Union and approximately [700-1,000] million euros from sales in Italy.</w:t>
      </w:r>
    </w:p>
    <w:p>
      <w:r>
        <w:t>4. Pratic F.lli Orioli S.p.A. (hereinafter, Target) is a company active in the design, planning, production, and marketing of external sun protection systems, particularly traditional pergolas, bioclimatic pergolas, awnings, and related accessories.</w:t>
      </w:r>
    </w:p>
    <w:p>
      <w:r>
        <w:t>5. The share capital of Target is held 55% by Unick S.r.l., which is exclusively controlled by a natural person, and 45% by Libra 20 S.r.l., which is exclusively controlled by another natural person (hereinafter, Unick S.r.l. and Libra 20 S.r.l., collectively, the sellers).</w:t>
      </w:r>
    </w:p>
    <w:p>
      <w:r>
        <w:t>6. In 2021, Target achieved a global turnover of approximately 67.8 million euros, of which approximately [32-100] million euros from sales in the European Union and approximately [32-100] million euros from sales in Italy.</w:t>
      </w:r>
    </w:p>
    <w:p>
      <w:r>
        <w:t>* In this version, some data are omitted, as there were deemed to be elements of confidentiality or secrecy of the information.</w:t>
      </w:r>
    </w:p>
    <w:p>
      <w:r>
        <w:t>BULLETIN NO. 24 OF JUNE 26, 2023 29</w:t>
      </w:r>
    </w:p>
    <w:p>
      <w:r>
        <w:t>II. DESCRIPTION OF THE OPERATION</w:t>
      </w:r>
    </w:p>
    <w:p>
      <w:r>
        <w:t>7. The Operation can be summarized, in extreme synthesis, as follows. On the closing date, which will take place on the eighth working day following the fulfillment of certain suspensive conditions, i.e., the notification of the operation to two creditor banks and the authorization of the operation by the competent antitrust authorities, the acquisition of 100% of the share capital of the Target by StellaGroup will be perfected.</w:t>
      </w:r>
    </w:p>
    <w:p>
      <w:r>
        <w:t>8. Immediately after the closing, StellaGroup will ensure that the Target's assembly appoints a temporary transitional board of directors of five members (three appointed by StellaGroup and two by the sellers), solely for the purpose of preserving the value of the Target, for a limited initial transitional period that will end on December 31, 2023. During this limited initial period, the board members appointed by the sellers will have veto rights over decisions regarding, e.g., the annual budget and the financial plan of the Target. Therefore, the Target will be jointly controlled by StellaGroup and the sellers only for a short transitional period, until December 31, 2023, after which it will be exclusively controlled by StellaGroup.</w:t>
      </w:r>
    </w:p>
    <w:p>
      <w:r>
        <w:t>9. The sellers undertake, for a period of five years following the closing date, not to engage in activities in competition with those of the Target in the EU territory. The sellers also undertake, for a period of three years following the closing date, not to solicit employees and agents of the Target to terminate their collaboration with the Target to begin providing their services for other parties.</w:t>
      </w:r>
    </w:p>
    <w:p>
      <w:r>
        <w:t>III. QUALIFICATION OF THE OPERATION</w:t>
      </w:r>
    </w:p>
    <w:p>
      <w:r>
        <w:t>10. The notified operation constitutes a concentration pursuant to Article 5, paragraph 1, letter b), of Law No. 287/90, as it involves the acquisition of exclusive control of an undertaking.</w:t>
      </w:r>
    </w:p>
    <w:p>
      <w:r>
        <w:t>11. It falls within the scope of application of Law No. 287/1990, as the conditions set out in Article 1 of Regulation (EC) No. 139/2004 do not apply, and it is subject to the obligation of prior notification provided for by Article 16, paragraph 1, of the same law, as the total turnover achieved in the last financial year at the national level by all the undertakings involved was over 532 million euros and the turnover achieved individually at the national level by at least two of the undertakings involved was over 32 million euros.</w:t>
      </w:r>
    </w:p>
    <w:p>
      <w:r>
        <w:t>12. The aforementioned non-compete agreement signed by the parties can be deemed directly connected and necessary for the realization of the concentration operation under examination, as it is functional to safeguarding the value of the acquired undertaking, provided that it is limited in time to a period of two years, and does not prevent the sellers from acquiring or holding shares solely for financial investment purposes1.</w:t>
      </w:r>
    </w:p>
    <w:p>
      <w:r>
        <w:t>13. The non-solicitation agreement signed by the parties can be deemed directly connected and necessary for the realization of the concentration operation under examination, as it is functional to the 1 [Communication from the Commission on restrictions directly connected and necessary to concentration operations (2005/C 56/03) published in the Official Journal of the European Communities on March 5, 2005.]</w:t>
      </w:r>
    </w:p>
    <w:p>
      <w:r>
        <w:rPr>
          <w:b/>
        </w:rPr>
        <w:t>[Pages 28–30]</w:t>
      </w:r>
    </w:p>
    <w:p>
      <w:r>
        <w:t>30 BULLETIN NO. 24 OF JUNE 26, 2023</w:t>
      </w:r>
    </w:p>
    <w:p>
      <w:r>
        <w:t>safeguarding the value of the acquired company, provided that it is limited in time to a period of two years2.</w:t>
      </w:r>
    </w:p>
    <w:p>
      <w:r>
        <w:t>IV. ASSESSMENT OF THE CONCENTRATION</w:t>
      </w:r>
    </w:p>
    <w:p>
      <w:r>
        <w:t>The product market</w:t>
      </w:r>
    </w:p>
    <w:p>
      <w:r>
        <w:t>14. The Target is active in the design, planning, production, and marketing of external sun protection systems (and to some extent also from rain and wind) for outdoor environments, and in particular of bioclimatic pergolas (i.e. highly green-friendly and eco-compatible), traditional pergolas, pergola covers, awnings, shading/blackout curtains, shading sails, roller blinds, and vertical blinds, shutters, and related accessories (e.g., glass walls, doors, glass doors, support and support structures and elements, etc.).</w:t>
      </w:r>
    </w:p>
    <w:p>
      <w:r>
        <w:t>15. The buyers of such products are not only residential customers (in particular private consumers and families), but also businesses, restaurants, hotels, shops, and managers of swimming centers and wellness centers.</w:t>
      </w:r>
    </w:p>
    <w:p>
      <w:r>
        <w:t>16. In light of the activity carried out by the Target, it seems reasonable to consider that the relevant product market for the Operation is the market for the design, planning, production, and marketing of external sun protection systems, including inter alia traditional and bioclimatic pergolas, awnings, shading curtains, shading sails, roller blinds, vertical blinds, external drapes, shutters, and related accessories.</w:t>
      </w:r>
    </w:p>
    <w:p>
      <w:r>
        <w:t>17. However, for the purposes of this operation, it does not seem necessary to arrive at an exact definition of the product market, as the competitive assessment of the operation would not change.</w:t>
      </w:r>
    </w:p>
    <w:p>
      <w:r>
        <w:t>The geographic market</w:t>
      </w:r>
    </w:p>
    <w:p>
      <w:r>
        <w:t>18. The market for external sun protection systems is characterized by significant differences between the various European countries regarding climatic conditions, the frequency and intensity of exposure to sunlight, the frequency and intensity of exposure to other weather phenomena that may influence consumer choices (e.g. the frequency and intensity of rainy/windy days, etc.) and regarding the different habits and preferences and tastes of consumers in different countries. Therefore, it seems reasonable to consider that the geographic dimension of the market in question is national.</w:t>
      </w:r>
    </w:p>
    <w:p>
      <w:r>
        <w:t>19. However, for the purposes of this operation, it does not seem necessary to arrive at an exact definition of the geographic market, as the competitive assessment of the operation would not change.</w:t>
      </w:r>
    </w:p>
    <w:p>
      <w:r>
        <w:t>Effects of the operation</w:t>
      </w:r>
    </w:p>
    <w:p>
      <w:r>
        <w:t>20. In the Italian market for external sun protection systems, the Target holds a share of approximately [5-10%] while the PAI Partners Group holds a share [of less than 1%].</w:t>
      </w:r>
    </w:p>
    <w:p>
      <w:r>
        <w:t>21. In this market, there are numerous and qualified competitors.</w:t>
      </w:r>
    </w:p>
    <w:p>
      <w:r>
        <w:t>22. In light of the above considerations, the concentration in question does not appear to significantly hinder effective competition in the relevant market and does not lead to the establishment or strengthening of a dominant position.</w:t>
      </w:r>
    </w:p>
    <w:p>
      <w:r>
        <w:t>CONSIDERING, therefore, that the operation in question does not significantly hinder effective competition in the relevant market pursuant to Article 6, paragraph 1, of Law No. 287/90 and does not involve the establishment or strengthening of a dominant position;</w:t>
      </w:r>
    </w:p>
    <w:p>
      <w:r>
        <w:t>CONSIDERING, furthermore, that the non-competition and non-solicitation obligations between the parties are accessory to this operation only to the limits described above and that the Authority reserves the right to assess the aforementioned agreements that exceed the limits indicated therein;</w:t>
      </w:r>
    </w:p>
    <w:p>
      <w:r>
        <w:t>RESOLVES</w:t>
      </w:r>
    </w:p>
    <w:p>
      <w:r>
        <w:t>not to initiate the investigation referred to in Article 16, paragraph 4, of Law No. 287/90.</w:t>
      </w:r>
    </w:p>
    <w:p>
      <w:r>
        <w:t>The above conclusions will be communicated, pursuant to Article 16, paragraph 4, of Law No. 287/1990, to the interested companies and to the Minister of Enterprises and Made in Italy.</w:t>
      </w:r>
    </w:p>
    <w:p>
      <w:r>
        <w:t>This provision will be published in the Bulletin of the Antitrust Authority.</w:t>
      </w:r>
    </w:p>
    <w:p>
      <w:r>
        <w:t>THE SECRETARY GENERAL THE PRESIDENT</w:t>
      </w:r>
    </w:p>
    <w:p>
      <w:r>
        <w:t>Guido Stazi Roberto Rustichelli</w:t>
      </w:r>
    </w:p>
    <w:p>
      <w:r>
        <w:t>32 BULLETIN NO. 24 OF JUNE 26, 2023</w:t>
      </w:r>
    </w:p>
    <w:p>
      <w:r>
        <w:t>C12535 – ITALIAN PETROLI/ESSO ITALIANA</w:t>
      </w:r>
    </w:p>
    <w:p>
      <w:r>
        <w:t>Provision No. 30664</w:t>
      </w:r>
    </w:p>
    <w:p>
      <w:r>
        <w:t>THE ANTITRUST AUTHORITY</w:t>
      </w:r>
    </w:p>
    <w:p>
      <w:r>
        <w:t>IN ITS MEETING of June 19, 2023;</w:t>
      </w:r>
    </w:p>
    <w:p>
      <w:r>
        <w:t>HEARD the Rapporteur Professor Elisabetta Iossa;</w:t>
      </w:r>
    </w:p>
    <w:p>
      <w:r>
        <w:t>HAVING REGARD to Reg. (EC) No. 139/2004;</w:t>
      </w:r>
    </w:p>
    <w:p>
      <w:r>
        <w:t>HAVING REGARD to Law No. 287 of October 10, 1990;</w:t>
      </w:r>
    </w:p>
    <w:p>
      <w:r>
        <w:t>HAVING REGARD to the D.P.R. No. 217 of April 30, 1998;</w:t>
      </w:r>
    </w:p>
    <w:p>
      <w:r>
        <w:t>HAVING REGARD to the communication from Italiana Petroli S.p.A. received on April 11, 2023;</w:t>
      </w:r>
    </w:p>
    <w:p>
      <w:r>
        <w:t>HAVING REGARD to the request for information sent to Italiana Petroli S.p.A. and Esso Italiana S.r.l. on May 10, 2023, with consequent interruption of the deadlines pursuant to Article 5, paragraph 3, of the D.P.R. No. 217 of April 30, 1998;</w:t>
      </w:r>
    </w:p>
    <w:p>
      <w:r>
        <w:t>HAVING REGARD to the information and documentation sent by Italiana Petroli S.p.A. on May 19 and 23, 2023;</w:t>
      </w:r>
    </w:p>
    <w:p>
      <w:r>
        <w:t>HAVING REGARD to the Authority's resolution of June 13, 2023;</w:t>
      </w:r>
    </w:p>
    <w:p>
      <w:r>
        <w:t>HAVING REGARD to the documentation on file;</w:t>
      </w:r>
    </w:p>
    <w:p>
      <w:r>
        <w:t>CONSIDERING the following:</w:t>
      </w:r>
    </w:p>
    <w:p>
      <w:r>
        <w:t>I. THE PARTIES</w:t>
      </w:r>
    </w:p>
    <w:p>
      <w:r>
        <w:t>1. Italiana Petroli S.p.A. (hereinafter, IP) is a company active in the refining, distribution, and marketing of petroleum products for automotive use. IP is under the exclusive control of Api Holding S.p.A., the parent company of the API group (hereinafter, the API group). The API group operates at an integrated level in the downstream oil cycle, from crude oil procurement, refining, logistics, to the distribution and sale of products, both on the ordinary network (road and highway) and off-network (wholesale and retail). In 2021, the consolidated revenue of the API group was approximately 4.6 billion Euros, predominantly generated in Italy.</w:t>
      </w:r>
    </w:p>
    <w:p>
      <w:r>
        <w:t>2. Esso Italiana S.r.l. (hereinafter, ESSO) is a company active in the downstream sector of refining, marketing, and distribution of petroleum products. The share capital of ESSO is exclusively held by the Belgian company Exxonmobil Petroleum &amp; Chemical BVBA (ESSO group). ESSO is currently present in the retail market through a so-called branded wholesale organizational model (since in February 2018 it completed the transition by divesting all its owned sales points on the road and highway network).</w:t>
      </w:r>
    </w:p>
    <w:p>
      <w:r>
        <w:rPr>
          <w:b/>
        </w:rPr>
        <w:t>[Pages 31–33]</w:t>
      </w:r>
    </w:p>
    <w:p>
      <w:r>
        <w:t>BULLETIN NO. 24 OF JUNE 26, 2023 33</w:t>
      </w:r>
    </w:p>
    <w:p>
      <w:r>
        <w:t>The revenue (including sales to controlled and controlling companies) generated by the business branch subject to acquisition in 2021 was approximately [5-6]* billion euros, of which [5-6] billion euros were generated exclusively in Italy.</w:t>
      </w:r>
    </w:p>
    <w:p>
      <w:r>
        <w:t>II. DESCRIPTION OF THE OPERATION</w:t>
      </w:r>
    </w:p>
    <w:p>
      <w:r>
        <w:t>3. The communicated operation consists of the exclusive acquisition of control by IP of a newly established company in which ESSO will confer its so-called downstream oil activities, net of the lubricants and chemicals branch. An agreement between the Parties (Sale &amp; Purchase Agreement - “SPA”) was signed on December 20, 2022 (hereinafter also referred to as the Operation).</w:t>
      </w:r>
    </w:p>
    <w:p>
      <w:r>
        <w:t>4. ESSO undertakes, in particular, to confer into the NewCo: (1) its downstream oil activities still present in Italy (net of the lubricants and chemicals branch); (2) its stakes in the companies Sarpom1 (75.04%), Engycalor2 (100%) and Disma3 (12.5%); (3) its contracts for the supply of bitumen and other products (gasolines and diesel); (4) all its logistical assets, the hydrocarbon warehouse, and its working capital. The shares of the NewCo will therefore be fully acquired by IP, which will hold exclusive control over ESSO's business. IP has emphasized that the operation aims, in particular, to achieve: (i) significant economic and industrial synergies and a reduction in costs necessary to counter the predictable decline in sales volumes (due to the increase in raw material prices and the gradual electrification of the vehicle fleet); (ii) the strengthening of IP's activities in the logistics markets, thanks to the integration of ESSO's assets; (iii) the increase in IP's capacity to manage future conversion choices of the plants in the context of energy transition; and (iv) the company's ability to achieve significant environmental benefits such as the downsizing of the Ancona refinery and the rationalization of refining in the tributary area of the Po Valley with emission advantages for the national system.</w:t>
      </w:r>
    </w:p>
    <w:p>
      <w:r>
        <w:t>5. The Operation is cumulatively subject to obtaining: (i) authorization from the Antitrust Authority and (ii) Golden Power authorization from the Presidency of the Council of Ministers (the latter was granted on March 7, 2023).</w:t>
      </w:r>
    </w:p>
    <w:p>
      <w:r>
        <w:t>6. Section 27 of the SPA provides for a non-competition clause and stipulates that ESSO shall refrain for a period of five years from engaging in activities in Italy that compete with those subject to the transferred business. This clause, in the Parties' perspective, would be directly connected to the realization of the Operation, as it is instrumental in ensuring the full value of the acquired business, allowing IP to attract ESSO's clientele and fully exploit its know-how. For this reason, IP believes that it should be considered an ancillary restriction to the Operation in question, as it is of a duration strictly necessary for the complete transfer to IP of ESSO's know-how; geographically limited to the territory (Italy) in which the ESSO Group provided the products/services subject to transfer before the business transfer; concerning only the products/services that constitute the subject of ESSO's activity; directed exclusively to the ESSO group.</w:t>
      </w:r>
    </w:p>
    <w:p>
      <w:r>
        <w:t>III. QUALIFICATION OF THE OPERATION</w:t>
      </w:r>
    </w:p>
    <w:p>
      <w:r>
        <w:t>7. The Operation is subject to the obligation of prior notification to the Authority as both turnover thresholds provided for by Article 16, paragraph 1, of Law No. 287/1990, as last amended by Law No. 124/2017, are satisfied. The Operation does not have European relevance, as both IP and ESSO generate more than two-thirds of their respective revenues in Italy (see Article 1, paragraph 2, of Regulation (EC) No. 139/2004). In accordance with the above, the operation in question constitutes a concentration within the meaning of Article 5, paragraph 1, letter b), of Law No. 287/1990. It falls within the scope of application of Law No. 287/1990 as, although the conditions of Article 1 of Regulation (EC) 139/2004 are met, each of the companies involved generates more than two-thirds of its total EU turnover in Italy (see the same Article 1 of Regulation (EC) 139/2004). The Operation is subject to the prior notification obligation established by Article 16, paragraph 1, of the same law, as the total turnover generated in the last financial year at the national level by all the companies involved was over 532 million euros and the total turnover generated individually in the last financial year at the national level by at least two of the companies involved was over 32 million euros4.</w:t>
      </w:r>
    </w:p>
    <w:p>
      <w:r>
        <w:t>8. The non-competition agreements described above will be subject to further examination during the investigation to assess their ancillary nature concerning the notified operation.</w:t>
      </w:r>
    </w:p>
    <w:p>
      <w:r>
        <w:t>IV. ASSESSMENT OF THE CONCENTRATION</w:t>
      </w:r>
    </w:p>
    <w:p>
      <w:r>
        <w:t>Premise</w:t>
      </w:r>
    </w:p>
    <w:p>
      <w:r>
        <w:t>9. The Operation in question, which involves two of the main oil groups active in the Italian territory, assumes undeniable significance for the entire sector downstream of oil refining and is therefore constituted by the sale in the country of petroleum products and bitumen. This sale, in addition to originating from the same refineries or from the loading plants and bases located in the territory of the country (as in the case of sales of so-called extra-network petroleum products and bitumens), occurs, in the case of automotive fuels, also through the retail distribution networks spread across ordinary roads and Italian highways.</w:t>
      </w:r>
    </w:p>
    <w:p>
      <w:r>
        <w:t>10. The scope of the Operation and, above all, its characteristics cannot, however, be fully understood without considering the "vertical" links between the various levels of the distribution chains and the contractual relationships between oil companies and other parties involved in the distribution phase, particularly those active in the retail distribution networks that use the companies' brands and, at the same time, are responsible for exclusively selling the fuels produced by them.</w:t>
      </w:r>
    </w:p>
    <w:p>
      <w:r>
        <w:t>11. In particular, although there is a widespread network of ESSO-branded sales points in Italy, the Parties argue that the Operation does not involve any type of overlap in the distribution of fuels on the network, as ESSO is neither the owner nor in a position to manage such sales points and, therefore, is not in a position to determine the retail selling price practiced by them. The company has, in fact, sold the ownership of such sales points to third parties in recent years, simultaneously concluding wholesale sales agreements with these parties called "branded wholesale" (BW) contracts and has established that these parties (referred to as "branded wholesalers") contract a certain number of sales points with the ESSO brand. ESSO has also set contractual obligations for exclusive supply of fuels with its own brand [omitted]. ESSO claims not to be active in retail distribution but only to conduct wholesale sales to wholesalers (or "branded wholesalers").</w:t>
      </w:r>
    </w:p>
    <w:p>
      <w:r>
        <w:t>The distribution model adopted by ESSO does not, however, appear to significantly deviate from the similar distribution methods known as CODO (Company Owned and Dealer Operated - company-owned sales points managed by a third-party retailer, who purchases fuels from the company) or DODO (Dealer Owned and Dealer Operated - sales points owned by third parties and managed by third-party retailers who purchase the company's fuels) that the Authority has always assessed as part of the distribution network of the oil company that supplies exclusively to the sales points bearing its brand (see below).</w:t>
      </w:r>
    </w:p>
    <w:p>
      <w:r>
        <w:t>12. Following a similar line of reasoning, the Parties have argued that the acquiring group IP should only be attributed the sales points that it directly manages, thus excluding the sales points that, while using the IP brand, are not actually managed by the company (these are the CODO and DODO sales points).</w:t>
      </w:r>
    </w:p>
    <w:p>
      <w:r>
        <w:t>13. Regarding these arguments, it is anticipated that they are not shareable or, in any case, do not allow for neglecting the analysis of the horizontal overlaps that the Operation could create in the local markets of retail distribution of automotive fuels among the sales points that use the brands of the merging parties. In fact, while admitting that ESSO has no direct control over the commercial policies practiced by the sales points bearing its brand and linked to the company solely by the BW contract and that, similarly, IP has no direct control over the commercial policies of its CODO and DODO sales points, the fact that these sales points exclusively sell products of their respective companies cannot be ignored and is, indeed, decisive.</w:t>
      </w:r>
    </w:p>
    <w:p>
      <w:r>
        <w:t>14. In fact, unlike non-contracted distributors – the so-called "white pumps" – these plants are exclusively dedicated to the sale of products of the companies whose brand they display. Therefore, each additional unit of fuel sold by each contracted distributor necessarily represents an additional unit of fuel sold wholesale by the oil company5. For this reason, companies are not indifferent to the level of sales – and, therefore, to the level of competitive pressure – exerted on these latter. At the same time, companies, as exclusive suppliers of the plants, have the ability to influence</w:t>
      </w:r>
    </w:p>
    <w:p>
      <w:r>
        <w:t>5 Even in cases where a relatively competitive wholesale market remains after the Operation, in fact, oil companies know that distributors using their brand will not be able to purchase fuels from competing companies but will, in any case, be responsible for distributing their products.</w:t>
      </w:r>
    </w:p>
    <w:p>
      <w:r>
        <w:rPr>
          <w:b/>
        </w:rPr>
        <w:t>[Pages 34–36]</w:t>
      </w:r>
    </w:p>
    <w:p>
      <w:r>
        <w:t>36 BULLETIN NO. 24 OF JUNE 26, 2023</w:t>
        <w:br/>
        <w:t>indirectly the level of the retail selling price through the wholesale price applied to them (directly or through the intermediation of wholesalers specifically contracted), which constitutes a minimum limit on the final selling price selected by the operator and which, at the same time, represents an income for the oil company. What has been stated implies that, in relation to the affiliated sales points that sell fuel exclusively (or predominantly), the companies effectively face the same trade-off between the selected price level and the quantities sold that they would face if they were directly managing the retail outlets and, therefore, are limited by the same type of competitive constraints that weigh on the individual operators of the outlets, constraints that must be appreciated at the local level, in accordance with the substitutability between the individual distribution outlets.</w:t>
      </w:r>
    </w:p>
    <w:p>
      <w:r>
        <w:t>15. In the described context, in fact, the level of local competitive pressure borne by an affiliated outlet (or a group of affiliated outlets located in a certain area) induces the company that supplies it exclusively to limit the level of the wholesale price applied to that outlet (or group of outlets). Therefore, the removal or attenuation of such local competitive pressure abstractly attributable to the Operation could induce the company to increase the level of such wholesale prices.</w:t>
      </w:r>
    </w:p>
    <w:p>
      <w:r>
        <w:t>16. In other words, at the moment IP were to take over from ESSO in the exclusive supplies to the ESSO-branded outlets, it would know that part of the sales it would lose in the event of increasing prices (at retail or wholesale) of the IP-branded distributors would be recovered from the sales of the ESSO-branded distributors (which, in the post-merger scenario, would represent revenue for IP itself, being supplied exclusively by it) and this circumstance would constitute an incentive to proceed with such a price increase compared to the pre-merger scenario. Conversely, following the concentration, IP could find it profitable to increase the prices (wholesale) charged to the ESSO distributors, supplied exclusively by it, as it would know that part of the volumes lost due to such an increase would be recovered from the IP-branded network.</w:t>
      </w:r>
    </w:p>
    <w:p>
      <w:r>
        <w:t>17. The extent of such effects, being linked to the substitutability between the individual distribution outlets for end consumers, therefore depends on the local overlaps between the distribution outlets and requires, accordingly, an analysis of such overlaps. Therefore, the assessment of the effects of the Operation cannot disregard such an analysis.</w:t>
      </w:r>
    </w:p>
    <w:p>
      <w:r>
        <w:t>18. This approach, moreover, is consistent with the Authority's practice, which has, in its precedents, included in its assessments also the sales points (CODO, DODO) for which the oil company was not directly involved in setting the retail price. In the next paragraph regarding the relevant markets, the overlaps between sales points will also be examined with reference to the sales points that use the Parties' brand and are not managed by them or over which the Parties themselves do not have the authority to determine the retail selling price.</w:t>
      </w:r>
    </w:p>
    <w:p>
      <w:r>
        <w:t>6 Also [omitted].</w:t>
        <w:br/>
        <w:t>7 Such effects, for example, would not exist in any way if the merging parties were owners of retail networks located in different and distant areas of the country, whose outlets would therefore not be considered substitutable by motorists. Conversely, they could be significant if the retail networks were located in the same territories and, therefore, concerned sales points considered substitutable by consumers.</w:t>
        <w:br/>
        <w:t>8 See decision no. 29824 of September 14, 2021, C12386 – Tamoil Italia/Repsol Italia, in Bulletin no. 39/2021.</w:t>
      </w:r>
    </w:p>
    <w:p>
      <w:r>
        <w:t>BULLETIN NO. 24 OF JUNE 26, 2023 37</w:t>
        <w:br/>
        <w:t>IV.1 Relevant markets</w:t>
        <w:br/>
        <w:t>19. Due to the operations of the acquired company, the operation results in horizontal overlaps in the markets for the wholesale and retail distribution of petroleum products off-network, in the markets for the retail distribution of automotive fuels on ordinary and highway road networks, and in the market for the marketing of traditional road bitumens.</w:t>
      </w:r>
    </w:p>
    <w:p>
      <w:r>
        <w:t>IV.1.1 Wholesale and retail markets for off-network petroleum products</w:t>
        <w:br/>
        <w:t>20. The Parties are active in the off-network sales markets for petroleum products and, in particular, for gasoline, diesel for automotive use, agricultural diesel, heating diesel, marine diesel, LPG, kerosene, and fuel oils, where each product represents a distinct commodity category. Each of these markets can theoretically be divided into off-network wholesale and retail markets, although this distinction may in some cases be blurred. The Parties have, in any case, distinguished, in the data provided, the values of sales made in the wholesale segment (identified as business-to-business - hereinafter also "B2B", i.e., sales made by oil companies to large retailers within the primary distribution phase) and those made in the retail segment (identified as business-to-customers - hereinafter also "B2C", i.e., off-network sales made to end users of such petroleum products, including individual service stations and belonging to a secondary phase of distribution).</w:t>
      </w:r>
    </w:p>
    <w:p>
      <w:r>
        <w:t>21. Due to what has been described regarding the distributors affiliated with the oil companies (including those affiliated through so-called BW contracts), the off-network B2B and B2C markets towards third-party customers (intermediaries, end consumers, or individual outlets that do not use the company's brand nor have exclusive purchase ties with it) do not include the product transfers of the Parties to the retail distributors that display their own brand and are affiliated with them in various capacities.</w:t>
      </w:r>
    </w:p>
    <w:p>
      <w:r>
        <w:t>22. The geographical extent of the market, in accordance with the recent practice of the Authority, should be identified in the traceable catchment areas, using a certain radius, around each outlet used for the sale of the aforementioned petroleum products.</w:t>
      </w:r>
    </w:p>
    <w:p>
      <w:r>
        <w:t>23. The Parties have argued, in the notification, that the geographical extent of the off-network B2B and B2C petroleum product markets is, respectively, of a macro-regional type (for the B2B markets) and provincial (for the B2C markets) and, using this criterion, have provided an estimate of their market shares only for the so-called "affected markets," i.e., for those in which the joint share of the Parties exceeds 15%. Based on such information, in any case, the Parties would hold, following the Operation, joint shares in several cases exceeding 40% and in many cases exceeding 30% at the B2B level and a provincial share exceeding 70% at the B2C level regarding the sale of agricultural diesel. The magnitude of these values suggests, prima facie, that the Operation, even if one were to follow (which is not the case) the approach of the party, is nonetheless potentially capable of producing, at least in certain areas, significant competitive effects in the off-network B2B and B2C markets.</w:t>
      </w:r>
    </w:p>
    <w:p>
      <w:r>
        <w:t>24. This approach, however, is not shareable, as it does not reflect – nor, in light of the scope of the Operation and the available information, can it approximate in any way – the criterion used by the Authority in the most recent practice, consisting of a substantial analysis that takes into account the actual shipping distances of the products and therefore the actual constraint represented by transportation costs, regardless of the administrative boundaries in which the outlets are located.</w:t>
      </w:r>
    </w:p>
    <w:p>
      <w:r>
        <w:t>25. To this end, the Authority requested the notifying Party, in the aforementioned request for information interrupting the terms for the assessment of the notified Operation, the information necessary to construct traceable catchment areas around the Parties' outlets. Similar requests were sent to other leading market operators. Finally, the Authority submitted an online questionnaire to some buyers of the petroleum products sold by the Parties in the off-network B2B and B2C markets in which, among other things, useful indications for constructing the aforementioned catchment areas were requested.</w:t>
      </w:r>
    </w:p>
    <w:p>
      <w:r>
        <w:t>26. Based on the information collected, including through the aforementioned mass consultations of the interested parties, it was possible to deduce that the average distance within which shipments of such petroleum products occur – and, therefore, the radius to be used for defining the outlets belonging to each catchment area – is equal to 150 km for both B2B and B2C markets. That said, the geographical definition of the off-network markets, as well as the assessment of the effects of the Operation in the catchment areas, will be the subject of further investigation within this inquiry.</w:t>
      </w:r>
    </w:p>
    <w:p>
      <w:r>
        <w:t>IV.1.2 Markets for the distribution of automotive fuels on ordinary and highway road networks</w:t>
        <w:br/>
        <w:t>27. At the national level, the Operation results in the establishment of the first operator in terms of the size of the network under its own brand, with a widespread presence throughout the Italian territory, and consequently the main integrated operators, active on a national basis, will decrease from five to four.</w:t>
      </w:r>
    </w:p>
    <w:p>
      <w:r>
        <w:t>28. Table 1 shows the shares of each operator based on the number of outlets present in the Italian territory. Following the notified Operation, the Parties would exclusively supply 29% of the existing outlets and would be the first operator in the national territory, compared to the second operator – ENI – with a share in terms of the number of outlets under its own brand equal to 18%.</w:t>
      </w:r>
    </w:p>
    <w:p>
      <w:r>
        <w:rPr>
          <w:b/>
        </w:rPr>
        <w:t>[Pages 37–39]</w:t>
      </w:r>
    </w:p>
    <w:p>
      <w:r>
        <w:t xml:space="preserve">BULLETIN NO. 24 OF JUNE 26, 2023 39  </w:t>
        <w:br/>
        <w:t xml:space="preserve">Table 1. Total number of installations by flag in Italy (2023)  </w:t>
        <w:br/>
        <w:t xml:space="preserve">Total number of installations (March 2023) % number of installations on total  </w:t>
        <w:br/>
        <w:t xml:space="preserve">IP 4220 19%  </w:t>
        <w:br/>
        <w:t xml:space="preserve">Esso 2316 10%  </w:t>
        <w:br/>
        <w:t xml:space="preserve">Post-merger entity 6536 29%  </w:t>
        <w:br/>
        <w:t xml:space="preserve">Eni 4133 18%  </w:t>
        <w:br/>
        <w:t xml:space="preserve">Q8 2825 13%  </w:t>
        <w:br/>
        <w:t xml:space="preserve">Tamoil 1540 7%  </w:t>
        <w:br/>
        <w:t xml:space="preserve">White pumps  </w:t>
        <w:br/>
        <w:t xml:space="preserve">7334 33%  </w:t>
        <w:br/>
        <w:t xml:space="preserve">(in aggregate)  </w:t>
        <w:br/>
        <w:t xml:space="preserve">Total 22368 100%  </w:t>
        <w:br/>
        <w:t xml:space="preserve">Source and processing: AGCM processing on MISE data.  </w:t>
        <w:br/>
        <w:t xml:space="preserve">29. The market for the distribution of automotive fuels on the ordinary road network, according to the Authority's practice, is distinct from the market for the distribution of automotive fuels on the highway network. Conversely, these markets do not present, within themselves, a segmentation with respect to the type of fuel offered.  </w:t>
        <w:br/>
        <w:t xml:space="preserve">30. The refueling stations operating on the road network and on the highway network, with the brands (also called "colors" or "flags") of the oil companies, can generally be grouped into the following types, based on the possible articulations of ownership and management structures:  </w:t>
        <w:br/>
        <w:t xml:space="preserve">- sales points owned by the company and managed by it (Company Owned and Company Operated - “COCO”);  </w:t>
        <w:br/>
        <w:t xml:space="preserve">- sales points leased from the company and managed by it (Company Leased and Company Operated - “CLOCO”);  </w:t>
        <w:br/>
        <w:t xml:space="preserve">- sales points owned by the company and managed by a third-party dealer, who purchases fuels from the company (Company Owned and Dealer Operated - “CODO”);  </w:t>
        <w:br/>
        <w:t xml:space="preserve">- sales points that the company has leased from third parties and that are managed by a third-party dealer, who purchases fuels from the company (Company Leased and Dealer Operated - “CLODO”);  </w:t>
        <w:br/>
        <w:t xml:space="preserve">- sales points owned by third parties and managed by third-party dealers who purchase fuels from the company (Dealer Owned and Dealer Operated - “DODO”);  </w:t>
        <w:br/>
        <w:t xml:space="preserve">- sales points owned by third parties and managed by third-party dealers in which a wholesaler (called branded wholesaler) purchases fuels from the company and simultaneously grants the sales point the use of the company's brand under a sub-license (“BW”).  </w:t>
        <w:br/>
        <w:t xml:space="preserve">31. In cases of management by a third party, the transfer prices are generally set through two methods: (1) the List Price formula, in which the company supplies the fuel to the manager at a price established based on a discount from a retail price recommended by the company itself (but not directly binding for the manager) and (2) the Platts+ formula, which consists of a predetermined selling price established based on the international Platts quotation of petroleum products, to which an additional component is added.  </w:t>
        <w:br/>
        <w:t xml:space="preserve">32. With reference to the geographical extent of the market, in line with the practice adopted in previous cases, it is necessary to define the breadth of the market taking into account the actual substitutability links existing between installations from the perspective of final consumers. From the consumer's point of view, in fact, competition occurs at the local level, among the various installations located in the territory. Therefore, local markets have been identified by resorting to the definition of catchment areas, i.e. geographical areas identified around the installations of one of the Parties (so-called “centroids”) based on a certain radius, definable in terms of distance or travel time.  </w:t>
        <w:br/>
        <w:t xml:space="preserve">33. This radius, in the Authority's most recent practice, has been set at 20 km for the ordinary road network and 100 km for the highway network. Also in order to verify the appropriateness of this radius, and thus the breadth of the market in question, the Authority commissioned the company SWG to conduct a market survey, carried out through the administration of a questionnaire to a representative sample - on a national basis - of consumers who regularly refuel their vehicles.  </w:t>
        <w:br/>
        <w:t xml:space="preserve">34. Through the survey, their behavior in terms of travel habits was investigated, in particular, asking respondents to indicate the distance in driving minutes they would travel to find an alternative to the installation where they last refueled in the event that they found it closed.  </w:t>
        <w:br/>
        <w:t xml:space="preserve">35. In this regard, the responses to the survey highlighted the distribution of travel times shown in the following table, from which it emerges that a wide majority of consumers - about 88% - travel to find a refueling station on the ordinary network within a distance of fifteen minutes from the closed installation.  </w:t>
        <w:br/>
        <w:t xml:space="preserve">36. The responses provided by consumers in the survey thus allow us to assert that purchases of fuels on the ordinary network do not extend beyond the boundaries of isochrones of 15 minutes and, on this basis, in line with the Authority's practice, it is possible to define the relevant geographical market.  </w:t>
        <w:br/>
        <w:t xml:space="preserve">37. As for the highway network, the survey commissioned by the Authority allowed for the verification of the appropriateness of the breadth of the market for the product in question considered so far. In particular, it emerged that consumers, in order to seek an alternative refueling station to the one found closed on the highway, are willing in 94% of cases to travel up to 60 km.  </w:t>
        <w:br/>
        <w:t xml:space="preserve">Table 3 -– Consumer mobility on the highway network  </w:t>
        <w:br/>
        <w:t xml:space="preserve">Driving time % of respondents  </w:t>
        <w:br/>
        <w:t xml:space="preserve">Up to 20 Km 40%  </w:t>
        <w:br/>
        <w:t xml:space="preserve">Up to 40 Km 35%  </w:t>
        <w:br/>
        <w:t xml:space="preserve">Up to 60 Km 19%  </w:t>
        <w:br/>
        <w:t xml:space="preserve">Up to 80 Km 4%  </w:t>
        <w:br/>
        <w:t xml:space="preserve">Over 80 Km 2%  </w:t>
        <w:br/>
        <w:t xml:space="preserve">Source and processing: AGCM processing on SWG survey data.  </w:t>
        <w:br/>
        <w:t>38. Therefore, in light of the responses provided by consumers in the survey, it is believed that the correct geographical dimension of the market for fuel purchases on the highway network is identified.</w:t>
      </w:r>
    </w:p>
    <w:p>
      <w:r>
        <w:rPr>
          <w:b/>
        </w:rPr>
        <w:t>[Pages 40–42]</w:t>
      </w:r>
    </w:p>
    <w:p>
      <w:r>
        <w:t>42 BULLETIN NO. 24 OF JUNE 26, 2023</w:t>
      </w:r>
    </w:p>
    <w:p>
      <w:r>
        <w:t>from the area defined within a radius of 60 kilometers from the facilities located at the center of the catchment areas.</w:t>
      </w:r>
    </w:p>
    <w:p>
      <w:r>
        <w:t>39. That said, regarding the distribution of fuels on the road network, the position of the Parties has been examined within local markets defined as isochrones centered on IP facilities. In particular, based on the dataset provided by the Parties, the number of IP facilities located on the ordinary network – and, therefore, the number of local markets - consists of a total of 19,744 facilities distributed across the national territory, for a total of 28 billion liters supplied, as shown in Table 4.</w:t>
      </w:r>
    </w:p>
    <w:p>
      <w:r>
        <w:t>Table 4: Total number of facilities falling within the isochrones centered on IP facilities and total liters supplied by flag of such facilities (2022)22</w:t>
        <w:br/>
        <w:t>% number Total volume % volume</w:t>
        <w:br/>
        <w:t>Total number of facilities on sold (liters) sold on total (2022)</w:t>
        <w:br/>
        <w:t>facilities (2022) total (2022) total sold</w:t>
        <w:br/>
        <w:t>IP [omitted] [15-20%] [omitted] [10-15%]</w:t>
        <w:br/>
        <w:t>Esso [omitted] [10-15%] [omitted] [10-15%]</w:t>
        <w:br/>
        <w:t>Post-merger entity [omitted] [30-35%] [omitted] [20-25%]</w:t>
        <w:br/>
        <w:t>Eni [omitted] [15-20%] [omitted] [20-25%]</w:t>
        <w:br/>
        <w:t>Q8 [omitted] [10-15%] [omitted] [15-20%]</w:t>
        <w:br/>
        <w:t>Tamoil [omitted] [5-10%] [omitted] [5-10%]</w:t>
        <w:br/>
        <w:t>White pumps</w:t>
        <w:br/>
        <w:t>[omitted] [30-35%] [omitted] [30-35%]</w:t>
        <w:br/>
        <w:t>(in aggregate)</w:t>
        <w:br/>
        <w:t>Total: [omitted] 100% [omitted] 100%</w:t>
        <w:br/>
        <w:t>Source: data from the parties provided on 05/19/2023 processed by AGCM.</w:t>
      </w:r>
    </w:p>
    <w:p>
      <w:r>
        <w:t>40. Therefore, following the concentration operation, the new entity would be overall, in the local markets defined in terms of isochrones centered on IP facilities, the first operator on the ordinary network, with a market share in terms of the number of facilities where its product is exclusively supplied equal to [30-35%], significantly higher than that of the second operator Eni ([15-20%]).</w:t>
      </w:r>
    </w:p>
    <w:p>
      <w:r>
        <w:t>41. IP and ESSO operate, also indirectly, in the distribution of fuels through variously configured distribution networks from a proprietary, managerial, and contractual perspective. As mentioned above, some "contracted" facilities under the IP brand and the facilities bearing the ESSO brand, although not owned by the post-merger entity, would be linked to it by exclusive contracts. In line with the Authority's precedents, therefore, the analysis of the relevant market under consideration has been carried out considering the consistency of the networks and the volumes supplied concerning: (i)</w:t>
      </w:r>
    </w:p>
    <w:p>
      <w:r>
        <w:t>22 It is noted that the total number of facilities does not coincide with the national total, but only with the total of the facilities that fall within the isochrones centered on IP facilities on the ordinary road network. The MISE dataset indicates a total of 21,933 facilities in the national territory, of which 2,260 under the ESSO brand. Thus, 90% of the facilities under the ESSO brand fall within an isochrone of IP.</w:t>
      </w:r>
    </w:p>
    <w:p>
      <w:r>
        <w:t>BULLETIN NO. 24 OF JUNE 26, 2023 43</w:t>
      </w:r>
    </w:p>
    <w:p>
      <w:r>
        <w:t>both the owned facilities, (ii) and the branded facilities bound by exclusive contractual obligations for the sale of the company's fuels.</w:t>
      </w:r>
    </w:p>
    <w:p>
      <w:r>
        <w:t>42. As explained previously (see supra), in defining the geographical market, competition in the downstream market for retail fuel sales takes place within a local dimension. Therefore, an analysis was conducted to assess whether the concentration operation under consideration could lead to a significant impediment to the proper functioning of the various local markets involved.</w:t>
      </w:r>
    </w:p>
    <w:p>
      <w:r>
        <w:t>43. In particular, based on the currently available data, an analysis of market shares was conducted across all local markets. The number of local markets in which the Parties overlap is found to be 3,407, out of a total of 3,945 isochrones (approximately 86%)23.</w:t>
      </w:r>
    </w:p>
    <w:p>
      <w:r>
        <w:t>44. The following table provides the average data of structural indicators in the local markets where the Parties overlap. From this table, it emerges that the post-merger entity will hold an average market share of 35% in terms of the number of facilities, and 29% in terms of volumes24. Furthermore, the average values of the post-merger HHI and the delta HHI are always very high, being significantly above the thresholds of 2000 and 250, respectively.</w:t>
      </w:r>
    </w:p>
    <w:p>
      <w:r>
        <w:t>Table 5. Average data of structural indicators of the local markets where the parties overlap</w:t>
        <w:br/>
        <w:t>Number of facilities Average market share Average market share</w:t>
        <w:br/>
        <w:t>Average market share 2nd HHI post- Delta Average market share 2nd HHI post- Delta</w:t>
        <w:br/>
        <w:t>post-merger operator * merger HHI operator * merger HHI</w:t>
        <w:br/>
        <w:t>merger merger</w:t>
        <w:br/>
        <w:t>35% 26.2% 2927 520 29% 25.9% 2802 396</w:t>
        <w:br/>
        <w:t>Source: data from the parties provided on 05/19/2023 processed by AGCM.</w:t>
        <w:br/>
        <w:t>(Only overlaps where the market share of ESSO is strictly above 2% are considered.)</w:t>
        <w:br/>
        <w:t>*Market share of the second operator when the post-merger entity is the first operator.</w:t>
      </w:r>
    </w:p>
    <w:p>
      <w:r>
        <w:t>45. The following table indicates the distribution of market shares that the post-merger entity will hold, in terms of both the number of facilities and the volumes supplied, in the geographical markets where there is an overlap between the Parties. In particular, based on the data provided by the Parties, it emerges that the joint market share (in terms of the number of facilities) is above 25%25 in 2,803 isochrones (approximately 82% of the isochrones with overlaps) and in 2,182 isochrones (64%) when considering the volumes supplied. Furthermore, a combined share - when considering the number of facilities - exceeding 40% is found in 935 local markets and in 488 if such shares are calculated in terms of volumes. Finally, the markets with overlaps where the share is greater than 50% are 191, considering the positioning of the Parties in terms of the consistency of facilities with their own brand and 114 in terms of volumes.</w:t>
      </w:r>
    </w:p>
    <w:p>
      <w:r>
        <w:t>23 For the purposes of identifying local markets, all IP facilities were considered regardless of their contractual relationships with the Party. In other words, local markets were defined based on catchment areas (CA) centered on all facilities displaying the IP brand, even if managed or owned by third parties.</w:t>
      </w:r>
    </w:p>
    <w:p>
      <w:r>
        <w:t>24 It is specified that the volumes of the facilities are actual only for IP, while for the ESSO branded refueling stations and for competitors, the values are estimated by IP.</w:t>
      </w:r>
    </w:p>
    <w:p>
      <w:r>
        <w:t>25 From now on, non-residual market share deltas, that is, those exceeding 2%, will always be considered.</w:t>
      </w:r>
    </w:p>
    <w:p>
      <w:r>
        <w:t>44 BULLETIN NO. 24 OF JUNE 26, 2023</w:t>
      </w:r>
    </w:p>
    <w:p>
      <w:r>
        <w:t>46. This scenario does not change substantially even considering the values that the HHI index and the delta HHI would assume downstream of the operation (see the second row of the table), considering those situations where there would also be: i) an HHI greater than or equal to 1,000 and less than or equal to 2,000, with a delta of attention not less than 250 or ii) an HHI greater than 2,000 with a delta not less than 15026. The number of isochrones with a market share – in terms of the number of facilities – greater than 25% and with HHI indices above the thresholds described above would be 2,781 and 2,161 in terms of volumes. Considering shares greater than 40% and 50%, however, the situation would not change in any way compared to the picture derived solely from the analysis of market shares27.</w:t>
      </w:r>
    </w:p>
    <w:p>
      <w:r>
        <w:t>Table 6: Number of local markets where the parties overlap and distribution of market shares28</w:t>
        <w:br/>
        <w:t>Number of facilities Volumes</w:t>
        <w:br/>
        <w:t>Market share Market share &gt; Market share Market share Market share Market share</w:t>
        <w:br/>
        <w:t>&gt; 25% 40% &gt; 50% &gt; 25% &gt; 40% &gt; 50%</w:t>
        <w:br/>
        <w:t>No. local markets 2803 935 191 2182 488 114</w:t>
        <w:br/>
        <w:t>No. local markets with also</w:t>
        <w:br/>
        <w:t>1000≤HHI≤2000 and delta HHI≥250</w:t>
        <w:br/>
        <w:t>or HHI&gt;2000 and delta HHI≥150 2781 935 191 2161 488 114</w:t>
        <w:br/>
        <w:t>No. local markets with overlaps 3407</w:t>
        <w:br/>
        <w:t>Source: data from the parties provided on 05/19/2023 processed by AGCM.</w:t>
        <w:br/>
        <w:t>*Only overlaps where the market share of ESSO is strictly above 2% are considered.</w:t>
      </w:r>
    </w:p>
    <w:p>
      <w:r>
        <w:t>47. Figures 1 and 2 below illustrate where the isochrones on the ordinary network with a combined market share greater than 25% and 40% are located, respectively. The potentially problematic areas are distributed throughout the Italian territory, in a relatively homogeneous manner, although with the largest number of problematic areas located in the Center, followed by the Northwest and the South, as illustrated in Table 7.</w:t>
      </w:r>
    </w:p>
    <w:p>
      <w:r>
        <w:t>26 Regarding the level of post-merger HHI and delta HHI to be considered, see the "Guidelines for the assessment of horizontal concentrations under the Council Regulation on the control of concentrations between undertakings," in OJEC 2004/C 31/03.</w:t>
      </w:r>
    </w:p>
    <w:p>
      <w:r>
        <w:t>27 It should be noted that all white pump operators are grouped under a single operator. This assumption, which only affects the absolute level of the pre- and post-concentration HHI, and not the level of the delta, allows for a conservative measure of the post-concentration HHI.</w:t>
      </w:r>
    </w:p>
    <w:p>
      <w:r>
        <w:t>28 It is noted that, compared to the dataset provided by the Parties, AGCM has omitted from the market share count all facilities located on the highway network - including interchanges - for a total of 1,280 observations removed from the dataset, including those located on the connectors.</w:t>
      </w:r>
    </w:p>
    <w:p>
      <w:r>
        <w:rPr>
          <w:b/>
        </w:rPr>
        <w:t>[Pages 43–45]</w:t>
      </w:r>
    </w:p>
    <w:p>
      <w:r>
        <w:t>BULLETIN NO. 24 OF JUNE 26, 2023 45</w:t>
      </w:r>
    </w:p>
    <w:p>
      <w:r>
        <w:t xml:space="preserve">Figure 1. Distribution of isochrones with overlaps and market shares (in terms of number of installations) exceeding 25%.  </w:t>
        <w:br/>
        <w:t>Source: data provided by the parties on 05/19/2023 processed by AGCM.</w:t>
      </w:r>
    </w:p>
    <w:p>
      <w:r>
        <w:t xml:space="preserve">Figure 2. Distribution of isochrones with overlaps and market shares (in terms of number of installations) exceeding 40%.  </w:t>
        <w:br/>
        <w:t>Source: data provided by the parties on 05/19/2023 processed by AGCM.</w:t>
      </w:r>
    </w:p>
    <w:p>
      <w:r>
        <w:t xml:space="preserve">46 BULLETIN NO. 24 OF JUNE 26, 2023  </w:t>
        <w:br/>
        <w:t xml:space="preserve">Table 7. Number of local markets with overlaps and market shares exceeding 25% (excluding markets with ESSO increase ≤2%) by macro area market share category  </w:t>
        <w:br/>
        <w:t xml:space="preserve">Number of installations Volume  </w:t>
        <w:br/>
        <w:t xml:space="preserve">Macro areas QdM &gt; 25% QdM &gt; 40% QdM &gt; 50% QdM &gt; 25% QdM &gt; 40% QdM &gt; 50%  </w:t>
        <w:br/>
        <w:t xml:space="preserve">North-east 367 140 28 273 64 17  </w:t>
        <w:br/>
        <w:t xml:space="preserve">North-west 794 224 30 617 93 20  </w:t>
        <w:br/>
        <w:t xml:space="preserve">Center 875 299 69 727 172 42  </w:t>
        <w:br/>
        <w:t xml:space="preserve">South 650 238 54 484 139 29  </w:t>
        <w:br/>
        <w:t xml:space="preserve">Islands 117 34 10 81 20 6  </w:t>
        <w:br/>
        <w:t>Source: data provided by the parties on 05/19/2023 processed by AGCM.</w:t>
      </w:r>
    </w:p>
    <w:p>
      <w:r>
        <w:t xml:space="preserve">48. With reference to highway distribution, the dataset provided by the parties for the construction of isochrones centered on IP installations located on the highway network consists of a total of [omitted] installations distributed across the national territory, for a total of [omitted] liters dispensed, as shown in the following table.  </w:t>
        <w:br/>
        <w:t xml:space="preserve">Table 8. Total number of installations falling within the isometric lines centered on IP installations and total liters dispensed by flag of such installations (2022) 29  </w:t>
        <w:br/>
        <w:t xml:space="preserve">% number Total volume % volume  </w:t>
        <w:br/>
        <w:t xml:space="preserve">Total number of installations sold (liters) sold on  </w:t>
        <w:br/>
        <w:t xml:space="preserve">installations (2022) total (2022) total sold  </w:t>
        <w:br/>
        <w:t xml:space="preserve">IP [omitted] [25-30%] [omitted] [20-25%]  </w:t>
        <w:br/>
        <w:t xml:space="preserve">Esso [omitted] [10-15%] [omitted] [5-10%]  </w:t>
        <w:br/>
        <w:t xml:space="preserve">Post-merger entity [omitted] [35-40%] [omitted] [30-35%]  </w:t>
        <w:br/>
        <w:t xml:space="preserve">Eni [omitted] [20-25%] [omitted] [25-30%]  </w:t>
        <w:br/>
        <w:t xml:space="preserve">Q8 [omitted] [15-20%] [omitted] [20-25%]  </w:t>
        <w:br/>
        <w:t xml:space="preserve">Tamoil [omitted] [5-10%] [omitted] [5-10%]  </w:t>
        <w:br/>
        <w:t xml:space="preserve">WP [omitted] [10-15%] [omitted] [5-10%]  </w:t>
        <w:br/>
        <w:t xml:space="preserve">Total: [omitted] 100% [omitted] 100%  </w:t>
        <w:br/>
        <w:t xml:space="preserve">Source: data provided by the parties on 05/19/2023 processed by AGCM.  </w:t>
        <w:br/>
        <w:t>29 It is noted that the total number of installations does not coincide with the national total, but only with the total number of installations that fall within the isochrones centered on IP installations on the highway network. The MISE dataset indicates a total of 445 installations in the national territory, of which 56 are branded ESSO. Thus, 63% of the installations branded ESSO fall within an IP highway isochrone.</w:t>
      </w:r>
    </w:p>
    <w:p>
      <w:r>
        <w:t>BULLETIN NO. 24 OF JUNE 26, 2023 47</w:t>
      </w:r>
    </w:p>
    <w:p>
      <w:r>
        <w:t xml:space="preserve">49. Therefore, following the concentration operation, the new entity would be, overall, the first operator also on the highway network, with a market share in terms of the number of installations ([35-40%]) significantly higher than the second operator Eni ([20-25%]).  </w:t>
        <w:br/>
        <w:t xml:space="preserve">50. As illustrated for the ordinary network, the Authority also conducted a local analysis for the highway network to identify the geographical areas where there would be an impediment to the proper functioning of the market following the operation.  </w:t>
        <w:br/>
        <w:t xml:space="preserve">51. The following table reports the average values of structural indicators in the overlapping local markets, from which it emerges that the joint share of the parties stands at around 45% (39% in terms of dispensed volume), against a share of the second operator – when the post-merger entity is the first operator – equal to 26.6% (27.5% with market shares in volumes). Furthermore, the average value of the HHI is around 3660 (3679 with shares expressed in volume) while the delta HHI is on average equal to 951 (703 with shares expressed in volume).  </w:t>
        <w:br/>
        <w:t xml:space="preserve">Table 9. Average data of structural indicators of local markets where the parties overlap  </w:t>
        <w:br/>
        <w:t xml:space="preserve">Number of installations Volumes  </w:t>
        <w:br/>
        <w:t xml:space="preserve">Average QdM Average QdM  </w:t>
        <w:br/>
        <w:t xml:space="preserve">Average QdM 2nd HHI post- Delta Average QdM 2nd HHI post- Delta  </w:t>
        <w:br/>
        <w:t xml:space="preserve">post entity post  </w:t>
        <w:br/>
        <w:t xml:space="preserve">operator * merger HHI operator * merger HHI  </w:t>
        <w:br/>
        <w:t xml:space="preserve">merger merger  </w:t>
        <w:br/>
        <w:t xml:space="preserve">45% 26.6% 3660 951 39% 27.5% 3679 703  </w:t>
        <w:br/>
        <w:t xml:space="preserve">Source: data provided by the parties on 05/19/2023 processed by AGCM.  </w:t>
        <w:br/>
        <w:t xml:space="preserve">*Qdm of the second operator when the post-merger entity is the first operator.  </w:t>
        <w:br/>
        <w:t xml:space="preserve">52. As reported in the following table, the number of local markets - defined as geographical areas within a radius of 60 km from IP installations - in which the parties overlap is 58, out of a total of 90 (about 64%). Of these markets, the parties register a joint market share exceeding 25% in 55 local markets (46 if shares are expressed in terms of dispensed volumes), a share greater than 40% in 41 markets (23 if considering the dispensed volume) and exceeding 50% in 15 markets (14 in terms of dispensed volumes).  </w:t>
        <w:br/>
        <w:t>53. The number of potentially problematic areas does not change if the results emerging from the analysis of other structural indicators, i.e. the post-concentration HHI and the delta HHI, are also taken into account.</w:t>
      </w:r>
    </w:p>
    <w:p>
      <w:r>
        <w:rPr>
          <w:b/>
        </w:rPr>
        <w:t>[Pages 46–48]</w:t>
      </w:r>
    </w:p>
    <w:p>
      <w:r>
        <w:t xml:space="preserve">48 BULLETIN NO. 24 OF JUNE 26, 2023  </w:t>
        <w:br/>
        <w:t xml:space="preserve">Table 10. Number of local markets where the parties overlap and distribution of market shares30  </w:t>
        <w:br/>
        <w:t xml:space="preserve">Number of installations Volumes  </w:t>
        <w:br/>
        <w:t xml:space="preserve">QdM &gt; QdM &gt; QdM &gt; QdM &gt; QdM &gt; QdM &gt;  </w:t>
        <w:br/>
        <w:t xml:space="preserve">25% 40% 50% 25% 40% 50%  </w:t>
        <w:br/>
        <w:t xml:space="preserve">N. local markets 55 41 15 46 23 14  </w:t>
        <w:br/>
        <w:t xml:space="preserve">N. local markets with also  </w:t>
        <w:br/>
        <w:t xml:space="preserve">1000≤(cid:4)(cid:4)(cid:5)≤2000 and delta  </w:t>
        <w:br/>
        <w:t xml:space="preserve">(cid:4)(cid:4)(cid:5)≥250 55 41 15 46 23 14  </w:t>
        <w:br/>
        <w:t xml:space="preserve">O  </w:t>
        <w:br/>
        <w:t xml:space="preserve">(cid:4) (cid:4)(cid:5)&gt;2000 and delta HHI≥150  </w:t>
        <w:br/>
        <w:t xml:space="preserve">N. local markets with  </w:t>
        <w:br/>
        <w:t xml:space="preserve">58  </w:t>
        <w:br/>
        <w:t xml:space="preserve">overlaps  </w:t>
        <w:br/>
        <w:t xml:space="preserve">Source: data provided by the parties on 05/19/2023 processed by AGCM  </w:t>
        <w:br/>
        <w:t xml:space="preserve">54. Similarly to what happens for the ordinary network, the distribution of centroids with a combined post-concentration market share greater than 25% is found to be more concentrated in the Northwest, with 31 areas having a market share greater than 25%, 24 with a market share greater than 40%, and 8 with a market share greater than 50%, looking at the market shares constructed based on the number of installations.  </w:t>
        <w:br/>
        <w:t xml:space="preserve">Table 11. Number of local markets with overlaps and with market shares greater than 25% (excluding markets with an increase of ESSO≤2%) by macro-area and market share category  </w:t>
        <w:br/>
        <w:t xml:space="preserve">Number of installations Volume  </w:t>
        <w:br/>
        <w:t xml:space="preserve">Macro-areas QdM &gt; 25% QdM &gt; 40% QdM &gt; 50% QdM &gt; 25% QdM &gt; 40% QdM &gt; 50%  </w:t>
        <w:br/>
        <w:t xml:space="preserve">Northeast 8 6 3 6 5 2  </w:t>
        <w:br/>
        <w:t xml:space="preserve">Northwest 31 24 8 26 21 7  </w:t>
        <w:br/>
        <w:t xml:space="preserve">Center 11 8 2 11 7 2  </w:t>
        <w:br/>
        <w:t xml:space="preserve">South 5 3 2 3 2 2  </w:t>
        <w:br/>
        <w:t xml:space="preserve">Islands 0 0 0 0 0 0  </w:t>
        <w:br/>
        <w:t xml:space="preserve">Source: data provided by the parties on 05/19/2023 processed by AGCM  </w:t>
        <w:br/>
        <w:t xml:space="preserve">55. The concentration under examination, as notified, is suitable to determine the establishment of an entity that will be by far the largest national operator in the sale of fuels on the network. At the local level – based on the available data – the operation will result in a significant increase in concentration in several hundred isochrones, spread across the entire national territory,  </w:t>
        <w:br/>
        <w:t>30 It is noted that, for the highway network, all the installations identified by the Parties have been included for the purpose of calculating market shares, thus potentially including some installations located on the ordinary network.</w:t>
      </w:r>
    </w:p>
    <w:p>
      <w:r>
        <w:t xml:space="preserve">BULLETIN NO. 24 OF JUNE 26, 2023 49  </w:t>
        <w:br/>
        <w:t xml:space="preserve">in which the entity resulting from the concentration will be the first operator. The exact identification of potentially problematic isochrones, however, can be carried out during the investigation, based on detailed data on the volumes supplied at the installation level by all operators active in the various affected markets.  </w:t>
        <w:br/>
        <w:t xml:space="preserve">56. The changes in the structure of the markets resulting from the operation under examination appear likely to determine significant unilateral effects, even in the form of the creation and/or strengthening of a dominant position in the sale of fuels on the ordinary and highway road networks. The concentration, in particular, appears potentially capable of creating the risk of an increase in the prices of fuels supplied on the network branded IP and/or on the network branded ESSO, either through control of the definition of the final price charged and/or recommended, or through control of the price at which fuels are sold to the affiliated distributors that are part of the distribution networks of the two operators.  </w:t>
        <w:br/>
        <w:t xml:space="preserve">IV.1.3 Market for the marketing of traditional road bitumens  </w:t>
        <w:br/>
        <w:t xml:space="preserve">57. The Operation finally results in horizontal overlaps in the market for the marketing of traditional road bitumens31. Traditional bitumens are mixtures of hydrocarbons and organic compounds that constitute, for specially configured installations, one of the possible products of the petroleum refining process. The use of bitumens mainly concerns road paving activities and building waterproofing32.  </w:t>
        <w:br/>
        <w:t xml:space="preserve">58. Regarding the geographical dimension of the market, it is influenced by the circumstance that bitumen should preferably maintain a certain temperature during the transportation process. Therefore, although there is no technical geographical limit to the shipping distance of the product, it is transported more easily over short distances and in warmer seasons. Even in this case, however, the geographical dimension of the market should be determined with a substantial criterion that takes into account, regardless of administrative boundaries, the catchment areas traceable around each sales point, adopting the effective distance within which the product is generally sold. This distance, in some precedents of the Authority, has been hypothesized to be approximately 300 km, while recognizing the possibility that, in fact, companies may be able to serve any customer in the Italian territory33. Moreover, due to the excess capacity present in the Italian market, over half of the production is exported abroad.  </w:t>
        <w:br/>
        <w:t xml:space="preserve">59. The Parties, in the notification, have, however, analyzed their position from a macro-regional perspective, stating that the only macro-region in which the Operation results in horizontal overlaps is the macro-area South, where they would hold a joint market share of less than 30% (and decreasing in recent years), against a share of over 50% attributed to the Eni group in the same area. The Parties then stated that there are no other installations located within 300 km of the only installation, located in Naples, used by ESSO for the sale of bitumens within the aforementioned macro-region and that both IP and third-party competitors make their sales in the South area via transport by ship or by road. This circumstance  </w:t>
        <w:br/>
        <w:t xml:space="preserve">31 ESSO is not active in modified road bitumens.  </w:t>
        <w:br/>
        <w:t xml:space="preserve">32 See decision no. 22322 of April 20, 2011, I732 – Price increase bitumen, in Bulletin no. 16/2011 and C12131, cited.  </w:t>
        <w:br/>
        <w:t>33 See I732, cited.</w:t>
      </w:r>
    </w:p>
    <w:p>
      <w:r>
        <w:t xml:space="preserve">50 BULLETIN NO. 24 OF JUNE 26, 2023  </w:t>
        <w:br/>
        <w:t xml:space="preserve">demonstrates, in the opinion of the Parties, that a catchment area with a radius of 300 km does not adequately represent the geographical dimension of the market in question.  </w:t>
        <w:br/>
        <w:t xml:space="preserve">60. Furthermore, IP has provided the value of its sales in the territory of the macro-region South, made from the Falconara refinery (located about 430 km from the ESSO depot in Naples). In light of this information, it is possible to estimate that, even in a catchment area constructed with a radius greater than 300 km (and, therefore, capable of including, at least, the starting base of IP's bitumen sales to customers located in the macro-region South) which should, therefore, include at least the Eni installation located in Taranto (and, thus, at a distance from Naples just over 300 km), the Parties would, in any case, hold a joint share of less than 35% (a level that, probably, must also be understood as overestimated, as it does not take into account the possible presence of other operators within that catchment area)34. The Operation, therefore, even adopting a substantial perspective, does not appear likely to lead to the establishment or strengthening of a dominant position of the Parties or a significant obstacle to competition in the market for traditional bitumens.  </w:t>
        <w:br/>
        <w:t xml:space="preserve">CONSIDERING, therefore, that the operation under examination appears likely to significantly hinder effective competition, pursuant to Article 6, paragraph 1, of Law No. 287/1990, particularly due to the establishment or strengthening of a dominant position in the wholesale markets for petroleum products off-network (distinguished by each type of product), in the retail markets for petroleum products off-network (distinguished by each type of product), in the market for the distribution of automotive fuels on the ordinary road network and in the market for the distribution of automotive fuels on the highway network, as well as in the related local articulations of each of these markets;  </w:t>
        <w:br/>
        <w:t xml:space="preserve">RESOLVES  </w:t>
        <w:br/>
        <w:t xml:space="preserve">a) to initiate the investigation, pursuant to Article 16, paragraph 4, of Law No. 287/1990, against the companies Italiana Petroli S.p.A. and Esso Italiana S.r.l.;  </w:t>
        <w:br/>
        <w:t xml:space="preserve">b) to set a deadline of ten days, starting from the date of notification of this provision, for the exercise by the legal representatives of the Parties, or by persons delegated by them, of the right to be heard, pursuant to Article 14, paragraph 1, of Law No. 287/1990, specifying that the request for a hearing must be received by the Transport, Energy and Environment Directorate of the Competition Department 2 of this Authority at least three days before the expiration of the above-mentioned deadline;  </w:t>
        <w:br/>
        <w:t xml:space="preserve">c) that the person responsible for the procedure is Dr. Giuseppe Quinto;  </w:t>
        <w:br/>
        <w:t xml:space="preserve">d) that the acts of the procedure can be viewed at the Transport, Energy and Environment Directorate of the Competition Department 2 of this Authority by the legal representatives of the Parties, as well as by persons having a legally relevant interest or by persons delegated by them;  </w:t>
        <w:br/>
        <w:t>34 This estimate is made possible by the availability of the sales data of bitumens made by Eni from that plant.</w:t>
      </w:r>
    </w:p>
    <w:p>
      <w:r>
        <w:rPr>
          <w:b/>
        </w:rPr>
        <w:t>[Pages 49–51]</w:t>
      </w:r>
    </w:p>
    <w:p>
      <w:r>
        <w:t>BULLETIN NO. 24 OF JUNE 26, 2023 51</w:t>
      </w:r>
    </w:p>
    <w:p>
      <w:r>
        <w:t xml:space="preserve">e) that the procedure must be concluded within forty-five days from the date of resolution of this provision.  </w:t>
        <w:br/>
        <w:t xml:space="preserve">This provision will be notified to the interested parties and published in the Bulletin of the Authority for Competition and the Market.  </w:t>
        <w:br/>
        <w:t xml:space="preserve">THE SECRETARY GENERAL THE PRESIDENT  </w:t>
        <w:br/>
        <w:t>Guido Stazi Roberto Rustichelli</w:t>
      </w:r>
    </w:p>
    <w:p>
      <w:r>
        <w:t xml:space="preserve">52 BULLETIN NO. 24 OF JUNE 26, 2023  </w:t>
        <w:br/>
        <w:t xml:space="preserve">ACTIVITY OF REPORTING AND CONSULTATION  </w:t>
        <w:br/>
        <w:t xml:space="preserve">AS1892 - GIULIANOVA PORT AUTHORITY - ACQUISITION OF A SHARE IN  </w:t>
        <w:br/>
        <w:t xml:space="preserve">THE GIULIANOVA FISH MARKET SCARL  </w:t>
        <w:br/>
        <w:t xml:space="preserve">Rome, March 20, 2023  </w:t>
        <w:br/>
        <w:t xml:space="preserve">Abruzzo Region  </w:t>
        <w:br/>
        <w:t xml:space="preserve">Municipality of Giulianova (TE)  </w:t>
        <w:br/>
        <w:t xml:space="preserve">The Authority for Competition and the Market, in its meeting on March 14, 2023, resolved to express an opinion, pursuant to Article 21-bis of Law No. 287 of October 10, 1990, regarding the Resolutions of the Assembly of the Giulianova Port Authority No. 3 of November 3, 2022, and No. 1 of February 15, 2023, concerning the operation of "Purchase of a share in the 'Giulianova Fish Market Limited Liability Consortium,' as well as the related managerial determinations of the Municipality of Giulianova No. 1065 of August 25, 2022, No. 1138 of September 8, 2022, and No. 113 of January 30, 2023, regarding the direct award of the management service of the fish market of the city of Giulianova. The aforementioned resolutions of the Giulianova Port Authority were transmitted to the Authority, respectively, on January 24 and February 23, 2023, by the Abruzzo Region, pursuant to Article 5, paragraph 3, of Legislative Decree No. 175/2016 (Consolidated Law on Public Participation – TUSPP), while the knowledge of the determinations of the Municipality of Giulianova was acquired independently.  </w:t>
        <w:br/>
        <w:t xml:space="preserve">The Giulianova Port Authority (hereinafter also referred to as the Authority) is a consortium of public entities, established in 1996 pursuant to Article 31 of Legislative Decree No. 267/2000 concerning local entities, which allows them to join together in a consortium for the common management, specifically, of services related to maritime transport. The Authority is defined as an instrumental entity of the public entities that are part of it (Article 2, paragraph 2, of the Statute) and aims to provide for the realization and management of "structures and infrastructures for the increase, processing, enhancement, and marketing of fish products and services suitable to the needs of fishing operators" (Article 5, letter d, of the Authority's Statute), as well as to manage operations or services and port structures under concession, maintain and expand port structures, realize and manage structures intended for recreational boating and tourism, and "establish joint-stock companies or limited liability companies and acquire majority stakes in the aforementioned companies" (Article 5, letters a), b), c), and e), of the Statute). The Authority operates according to the criteria of efficiency, cost-effectiveness, and productivity set forth by Article 114 of Legislative Decree No. 267/2000, pursuing a balanced budget (Article 7, paragraph 1, of the same Statute).  </w:t>
        <w:br/>
        <w:t xml:space="preserve">The Giulianova Fish Market Limited Liability Consortium (hereinafter also referred to as the Consortium) was established on March 19, 2022, by 10 private members representing fish product traders active at the local level, each with a share of 1,000 euros. The Consortium's purpose is the organization and management of fish markets, both wholesale and retail, including the services related to it, as well as providing logistics and promotional services to the members (Article 3 of the Consortium Statute). All enterprises constituted in any form that engage in production and/or trade, wholesale and/or retail, in the fishing sector and the fishing supply chain and related services may join the consortium as members (Article 7). The distribution of profits to members in any form is prohibited, given its consortium and non-profit purpose (Article 30).  </w:t>
        <w:br/>
        <w:t xml:space="preserve">With Assembly Resolution No. 3 of November 3, 2022, concerning the "Purchase of a share in the 'Giulianova Fish Market Limited Liability Consortium'" (hereinafter also Resolution No. 3/2022), the Authority resolved to purchase a share valued at 1,000 euros in the Consortium. The same Resolution No. 3/2022 provides that it is the Region that fulfills the communication obligation pursuant to Article 5, paragraph 3, of the TUSPP and notes that, since the Giulianova fish market is located within the Port, the proper functioning and development of the fish market represents an opportunity for growth, enhancement, and development of the territory and the local economy (related to tourism and the trade of blue fish from the Adriatic), as well as an opportunity for growth in terms of employment and development of the fishing fleet docked at the Port of Giulianova. The economic convenience of the operation is thus linked to the direct and indirect benefits it would bring to the Authority, thanks to the increase in commercial movements in the Port generated by better management of the fish market. The economic/financial sustainability lies in the fact that the Consortium will not be structurally in loss and will have results already balanced in the first financial year.  </w:t>
        <w:br/>
        <w:t xml:space="preserve">With Assembly Resolution No. 1 of February 15, 2023 (hereinafter also Resolution No. 1/2023), the Authority decided to integrate the previous Resolution No. 3/2022 to fulfill the obligations of analytical motivation and thus specifies that, to give "continuity and complete execution to the financial plan developed by the Consortium (...) it is crucial, from the perspective of business continuity, to subordinate the purchase of the share to the definitive award of the fish market already under concession to the Municipality of Giulianova." The maintenance of the Authority's participation in the Consortium is also expressly conditioned resolutely on the award by the Municipality of Giulianova of the definitive management of the fish market.  </w:t>
        <w:br/>
        <w:t xml:space="preserve">From information obtained on the internet, the management of the Giulianova fish market by the Consortium has already taken place temporarily, with the managerial determination of the Municipality of Giulianova No. 1138 of September 8, 2022, for four months and for a value of approximately €80,000.  </w:t>
        <w:br/>
        <w:t>In attachment to the communication under examination, a document is produced that depicts the Giulianova fish market as of October 31, 2022, entrusted since 2016 until December 2023 to the company Giulianova Patrimonio Srl (Annex A). From checks on chamber data, it appears that this company, wholly controlled by the Municipality of the same name, has been consistently in loss over the last three years, against the 2021 budget of the Authority, with a turnover of nearly €600,000 and profits of approximately €22,000 (Annex B).</w:t>
      </w:r>
    </w:p>
    <w:p>
      <w:r>
        <w:rPr>
          <w:b/>
        </w:rPr>
        <w:t>[Pages 52–54]</w:t>
      </w:r>
    </w:p>
    <w:p>
      <w:r>
        <w:t xml:space="preserve">54 BULLETIN NO. 24 OF JUNE 26, 2023  </w:t>
        <w:br/>
        <w:t xml:space="preserve">“since it is a public service to be guaranteed”3. The assignment has been viewed as a sort of de facto privatization of the management of the fish market4.  </w:t>
        <w:br/>
        <w:t xml:space="preserve">This executive determination of the Municipality of Giulianova refers to executive determination no. 1065 of August 25, 2022, with which the municipality of Giulianova decided to initiate the procedure for granting the temporary management of the Giulianova Fish Market for four months “by resorting to direct assignment pursuant to Law no. 108 of July 29, 2021, in derogation of Articles 36, paragraph 2, and 157, paragraph 2, of Legislative Decree no. 50/2016 [which provide for a prior comparison of at least three quotes or a market survey, ed.], by inviting a single economic operator, registered in the Register of economic operators of the platform, assuming as the selection criterion that of the economically most advantageous offer (…)”.  </w:t>
        <w:br/>
        <w:t xml:space="preserve">In this regard, it is specified that the regulatory reference concerns Article 51 of Law no. 108/2022 (converting Legislative Decree no. 77/2021 on the PNRR) which, as far as relevant, modifies Article 1, paragraphs 1 and 2, of Legislative Decree no. 76/2020 (so-called Simplifications Decree, converted, with modifications, by Law no. 120/2020) extending until June 30, 2023, the effectiveness of the derogation for acts/resolutions to initiate the procedure adopted before that date (paragraph 1) and allowing for direct assignment of services with a value of less than €139,000, while still ensuring “compliance with the principles of Article 30 of the Public Contracts Code referred to in Legislative Decree of April 18, 2016, no. 50, and the need for the selection of subjects with prior and documented experience similar to that subject to assignment, also identified among those registered in lists or registers established by the contracting authority, in any case in compliance with the principle of rotation” (paragraph 2, lett. a). It is recalled that the aforementioned Article 30 of Legislative Decree no. 50/2016 imposes on contracting authorities the obligation to award contracts also according to the principles of free competition, non-discrimination, transparency, proportionality, and publicity.  </w:t>
        <w:br/>
        <w:t xml:space="preserve">The Authority intends to make the following considerations.  </w:t>
        <w:br/>
        <w:t xml:space="preserve">The operation described above, which concerns the management of the fish market in the Port of Giulianova, presents some competitive criticalities.  </w:t>
        <w:br/>
        <w:t xml:space="preserve">Indeed, although the development of the fish market of Giulianova pursued by the Consortium can certainly fall within one of the institutional purposes of the Entity, it emerges, however, that the acquisition of a minority stake by the Entity in the Consortium is illegitimate due to the violation of the purpose constraint provided for by Article 4, paragraph 1, of the TUSPP, which prohibits the administration from acquiring stakes not strictly necessary for the pursuit of its institutional purposes.  </w:t>
        <w:br/>
        <w:t xml:space="preserve">3 The executive determination no. 1138/2022 also accounts for the resolution of the contract with the previous manager due to subsequent economic inefficiency and the need to guarantee the public service (auctions, veterinary service, weighing, issuance of transport documents and invoices, etc.), despite the failure to submit a technical offer by the Consortium. This assignment has been viewed as a sort of de facto privatization of the management of the fish market, see the article https://www.rete8.it/cronaca/mercato-ittico-giulianova-avviata-con-successo-la-nuova-gestione-temporanea/  </w:t>
        <w:br/>
        <w:t>4 See the article https://www.rete8.it/cronaca/mercato-ittico-giulianova-avviata-con-successo-la-nuova-gestione-temporanea/.</w:t>
      </w:r>
    </w:p>
    <w:p>
      <w:r>
        <w:t xml:space="preserve">BULLETIN NO. 24 OF JUNE 26, 2023 55  </w:t>
        <w:br/>
        <w:t xml:space="preserve">In fact, the minimal and merely symbolic nature of the participation (a single share) acquired by the Entity, not accompanied by special voting rights or specific other agreements, does not allow for the guarantee that the administration – in this case, the Entity – can exercise a decisive influence on the choices of the subsidiary (the Consortium). Therefore, the participation itself is not strictly necessary to achieve the institutional purposes of the Entity7, whose Statute, moreover, includes among its institutional purposes the acquisition of majority stakes in other companies (Article 5, lett. e, of the Entity's Statute). It is therefore not possible to establish that it is “able to influence the financial and strategic management decisions related to the social activity” of the participated Consortium, nor to exclude that the participation is reduced “to the rank of mere investment in risk capital”8.  </w:t>
        <w:br/>
        <w:t xml:space="preserve">Moreover, the motivational burden prescribed by the TUSPP has a substantial nature, to be evaluated in concrete terms with respect to the institutional purposes, which represent the “central point of the analytical motivation prescribed by the norm,” while the other criteria of economic convenience and financial sustainability are functional to demonstrate the concrete compatibility of the operation with the constitutional principles of budget balance and good administration (Article 97, paragraphs 1 and 2, Constitution) and must result from “adequate investigative activity with reference to the technical-economic elements”9. It cannot therefore be considered fulfilled by the use of mere stylistic clauses, linked to the insignificance of the expenditure, as expressed in resolution no. 3/2022 or by extraneous elements (the business plans of the Consortium), mentioned in resolution no. 1/2023.  </w:t>
        <w:br/>
        <w:t xml:space="preserve">These considerations also apply to the share of capital of the consortium that the municipality of Giulianova, a minority member of the Entity, indirectly holds.  </w:t>
        <w:br/>
        <w:t xml:space="preserve">In this regard, the operation presents another element of criticality, from the perspective of the assignment of the service for the management of the local fish market by the municipality of Giulianova, the competent subject to assign the service in question. A mixing of the assigning subject and the assignee is created, in whose capital the Municipality indirectly enters, losing impartiality and neutrality with respect to the latter, even in the case of assignment through a European public tender.  </w:t>
        <w:br/>
        <w:t xml:space="preserve">5 The Court of Auditors, Regional Section for Puglia, Deliberation no. 75/2018/PAR, clarified that “In the case of minority public participation, the non-strategic nature of it precludes the exercise of any decisive influence by the public member in the case of a majority of private capital, while, in the presence of other public members, it requires the demonstration, in the context of the decision to maintain, of the actual existence, even through joint public control, of the aforementioned teleological constraint.”  </w:t>
        <w:br/>
        <w:t xml:space="preserve">6 According to the Constitutional Court (sentence no. 201/2022), in the case of minority participation, there is an obligation of “reinforced” motivation regarding the analytical respect of the public purpose constraint, highlighting the “reasons and purposes that justify this choice, also in terms of economic convenience and financial sustainability as well as direct or outsourced management of the entrusted service,” as well as the “compatibility of the choice with the principles of efficiency, effectiveness, and economy of administrative action.”  </w:t>
        <w:br/>
        <w:t xml:space="preserve">7 See, for example, Council of State, Section V, January 23, 2019 no. 578.  </w:t>
        <w:br/>
        <w:t xml:space="preserve">8 See, inter alia, Court of Auditors, Regional Section for Emilia Romagna, Deliberation no. 110/2022/PAR; Regional Section for Veneto, Deliberation no. 23/2019/VSGO.  </w:t>
        <w:br/>
        <w:t>9 See Court of Auditors, Regional Section for Emilia Romagna, Deliberation no. 135/2021/PAR and Court of Auditors, Regional Section for Friuli Venezia Giulia, Deliberation no. FVG/31/2021/PAR.</w:t>
      </w:r>
    </w:p>
    <w:p>
      <w:r>
        <w:t xml:space="preserve">56 BULLETIN NO. 24 OF JUNE 26, 2023  </w:t>
        <w:br/>
        <w:t xml:space="preserve">In this perspective, on the one hand, the motivation of Resolution no. 1/2023 is significant, with which the Entity imposes the resolutory condition that links the acquisition of the share to the assignment to the Consortium of the service, “in the perspective of the business continuity” of the Consortium itself and to give “continuity and complete execution to the financial plan” developed by it, rather than in the perspective of achieving its institutional purposes; on the other hand, it is noteworthy that, despite the simplification actually provided by the legislation on the PNRR for the direct assignment of contracts below the threshold decided before June 30, 2023, this legislation expressly preserves the principles of competition, equality, non-discrimination, and transparency/publicity (Article 30 of Legislative Decree no. 50/2016), which are prejudiced by the mixing of the assigning and assignee subjects noted above. The cited Article 51, according to which the assignee – who receives and will receive public resources – must be chosen among subjects with equivalent prior experience – also appears to be disregarded by the operation, as the experience (merely entrepreneurial) of the individual consortium companies may not be sufficient to compensate for that of the newly established Consortium, which acts with broader objectives than the reality of the individual operator that is part of it.  </w:t>
        <w:br/>
        <w:t xml:space="preserve">Finally, beyond the derogatory norm mentioned, it is believed that it is not sufficient to justify the sudden transition from the organization of an open procedure even at the European level to direct assignment, as such legislation exhausts its effectiveness in June 2023 and the lack of personnel invoked “now” by the Municipality to organize the European open procedure cannot suffice to overcome a selection method based on competitive grounds for the assignment of the fish market of Giulianova. In fact, it does not fall within the scope of the regulation on the assignment to in-house companies defined by the TUSPP (Articles 2, paragraph 1, lett. c) and d), and 16), precisely to evaluate the legitimacy of the methods by which public contracts are awarded by public administrations.  </w:t>
        <w:br/>
        <w:t xml:space="preserve">As far as relevant in this context, the following requirements are lacking: i) total public participation, which is evidently lacking in this case, where the Consortium is exclusively and then predominantly privately owned; ii) the exercise of control similar to that exercised over its own services, hindered by minority participations10.  </w:t>
        <w:br/>
        <w:t xml:space="preserve">Therefore, the operation, which consists of the acquisition of a direct minority participation of the Entity in the Consortium and, indirectly, of the municipality of Giulianova, and which appears at least preparatory to a direct definitive assignment to the Consortium itself of the management of the fish market of Giulianova, is suitable to grant an operator, moreover just established, an undue competitive advantage, thanks to the public resources it has and will have11. This results in a violation of Article 106 et seq. TFEU, Articles 3, 41, 97, and 117 of the Constitution, Articles 2, 4,  </w:t>
        <w:br/>
        <w:t xml:space="preserve">10 Court of Auditors, Regional Section for Lombardy, Deliberation no. 77/2020/PAR.  </w:t>
        <w:br/>
        <w:t>11 See https://www.ilcentro.it/teramo/mercato-ittico-al-consorzio-gestione-prorogata-per-4-mesi-1.3070908, as well as https://www.ilcentro.it/teramo/il-mercato-ittico-cambia-gestione-via-all-incarico-sulla-gara-europea-1.2757861, where the statement of the president of the Consortium is read, according to which in the first four months of management, the Consortium had to incur “unexpected” expenses, such as those “for the conduct of the auction, for the replacement of the cash service bank, or for the security plan,” reaching a substantial balance and that for the next four months it expects to further contain expenses, using plastic boxes instead of polystyrene boxes, reusable, after washing with special machines purchased by the Municipality. Furthermore, the entry of the Entity into the Consortium is defined as an operation that has allowed the realization of the “utopian dream of consorting producers and buyers, wholesalers and fishermen, that is, commercially antagonistic categories, which have agreed for the good of our market; the management of the service has led, to date, to minimal profits but boasts a profitable balance, on what was a loss item for Giulianova Patrimonio.”</w:t>
      </w:r>
    </w:p>
    <w:p>
      <w:r>
        <w:rPr>
          <w:b/>
        </w:rPr>
        <w:t>[Pages 55–57]</w:t>
      </w:r>
    </w:p>
    <w:p>
      <w:r>
        <w:t>BULLETIN NO. 24 OF JUNE 26, 2023 57</w:t>
      </w:r>
    </w:p>
    <w:p>
      <w:r>
        <w:t>paragraphs 1, 5, and 16 of the TUSPP and Articles 30 and 36 of the Public Contracts Code, thereby altering the structures of the market for the management of a potentially contestable fish market at the European level.</w:t>
      </w:r>
    </w:p>
    <w:p>
      <w:r>
        <w:t>Pursuant to Article 21-bis, paragraph 2, of Law No. 287/90, the addressed administrations must communicate to the Authority, within sixty days from the receipt of this opinion, the initiatives taken to remove the aforementioned competition violation. If, within the aforementioned term, such initiatives do not comply with the competitive principles expressed above, the Authority may file an appeal within the subsequent thirty days.</w:t>
      </w:r>
    </w:p>
    <w:p>
      <w:r>
        <w:t>This opinion will be published in the Bulletin of the Antitrust Authority.</w:t>
      </w:r>
    </w:p>
    <w:p>
      <w:r>
        <w:t>THE PRESIDENT</w:t>
        <w:br/>
        <w:t>Roberto Rustichelli</w:t>
      </w:r>
    </w:p>
    <w:p>
      <w:r>
        <w:t>___________________________________________________________________</w:t>
      </w:r>
    </w:p>
    <w:p>
      <w:r>
        <w:t>Press release regarding the failure of the Abruzzo region and the Municipality of Giulianova to comply with the motivated opinion expressed by the Authority pursuant to Article 21-bis of Law No. 287/1990 concerning the acquisition of a shareholding in the Mercato Ittico Giulianova Società Consortile a responsabilità limitata and the definitive assignment of the management of the fish market of Giulianova.</w:t>
      </w:r>
    </w:p>
    <w:p>
      <w:r>
        <w:t>In its meeting of March 14, 2023, the Authority decided to send to the Abruzzo Region and the Mayor of the Municipality of Giulianova (hereinafter, respectively, also Region and Municipality) a motivated opinion pursuant to Article 21-bis of Law No. 287/1990, regarding the Resolutions of the Assembly of the Port Authority of Giulianova No. 3 of November 3, 2022, and No. 1 of February 15, 2023, concerning the operation of "Acquisition of a shareholding in the Mercato Ittico Giulianova Società Consortile a responsabilità limitata" (hereinafter also Consortium), as well as the related managerial determinations of the Municipality of Giulianova No. 1065 of August 25, 2022, No. 1138 of September 8, 2022, and No. 113 of January 30, 2023, regarding the direct award of the management service of the fish market of the city of Giulianova.</w:t>
      </w:r>
    </w:p>
    <w:p>
      <w:r>
        <w:t>From the examination of the aforementioned resolutions, the proposed operation consists of the acquisition of a direct participation of the Authority in the Consortium and an indirect participation of the Municipality of Giulianova in the Consortium. This dual acquisition is also preparatory to a definitive direct assignment to the Consortium itself of the management of the fish market of Giulianova, suitable for attributing to an operator, in the absence of the legal requirements that allow for recourse to in-house providing management. As extensively outlined in the motivated opinion, the Authority has indeed deemed the following requirements to be lacking: i) total public participation, which evidently is missing in this case, as the share capital of the Consortium remains predominantly private following the aforementioned acquisitions; ii) the exercise of control similar to that exercised over its own services which, in this case and in light of the jurisprudence, including constitutional, appears precluded by fragmented participations. The Authority has therefore contested the violation of Article 106 et seq. TFEU, Articles 3, 41, 97, and 117 of the Constitution, Articles 2, 4, paragraph 1, 5, and 16 of Legislative Decree No. 175/2016 (Consolidated Law on Publicly Held Companies), and Articles 30 and 36 of Legislative Decree No. 50/2016 (Public Contracts Code), considering such violations capable of altering the structures of the market for the management of a potentially contestable fish market at the union level.</w:t>
      </w:r>
    </w:p>
    <w:p>
      <w:r>
        <w:t>Within the legally prescribed term, which expired on May 19, the interested Administrations did not provide any feedback.</w:t>
      </w:r>
    </w:p>
    <w:p>
      <w:r>
        <w:t>Noting the failure of the aforementioned Administrations to comply with the motivated opinion of March 14, 2023, the Authority, in its meeting of May 30, 2023, therefore decided to file an appeal against the aforementioned Resolutions to the Regional Administrative Court of Abruzzo - L'Aquila.</w:t>
      </w:r>
    </w:p>
    <w:p>
      <w:r>
        <w:t>BULLETIN NO. 24 OF JUNE 26, 2023 59</w:t>
      </w:r>
    </w:p>
    <w:p>
      <w:r>
        <w:t>UNFAIR TRADE PRACTICES</w:t>
      </w:r>
    </w:p>
    <w:p>
      <w:r>
        <w:t>PS12580 - INTESA SANPAOLO RBM SALUTE/PREVIMEDICAL</w:t>
      </w:r>
    </w:p>
    <w:p>
      <w:r>
        <w:t>Notice of initiation of investigative proceedings</w:t>
      </w:r>
    </w:p>
    <w:p>
      <w:r>
        <w:t>THE ANTITRUST AUTHORITY</w:t>
      </w:r>
    </w:p>
    <w:p>
      <w:r>
        <w:t>Notice of the initiation of the investigation, due to the high number of intervention requests received, pursuant to Article 6,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the procedure PS12580-Intesa Sanpaolo RBM Salute/Previmedical.</w:t>
      </w:r>
    </w:p>
    <w:p>
      <w:r>
        <w:t>THE PARTIES</w:t>
      </w:r>
    </w:p>
    <w:p>
      <w:r>
        <w:t>1. Intesa Sanpaolo RBM Salute S.p.A. (hereinafter, RBM Salute), as a professional, pursuant to Article 18, paragraph 1, letter b), of Legislative Decree No. 206/2005 (hereinafter, Consumer Code). RBM Salute is an insurance company specialized in health insurance, largely attributable to insurance agreements made with companies aimed at offering forms of supplementary health assistance to their personnel.</w:t>
      </w:r>
    </w:p>
    <w:p>
      <w:r>
        <w:t>2. Previmedical Servizi per Sanità Integrativa S.p.A. (hereinafter, also Previmedical), as a professional, pursuant to Article 18, paragraph 1, letter b), of the Consumer Code. Previmedical is the service provider to which RBM Salute has outsourced the management of claims, operating as a Third Party Administrator (TPA), providing management of administrative, liquidative, IT, and consulting services for funds, cash desks, and insurance companies operating in the supplementary health sectors.</w:t>
      </w:r>
    </w:p>
    <w:p>
      <w:r>
        <w:t>II. THE COMMERCIAL PRACTICE</w:t>
      </w:r>
    </w:p>
    <w:p>
      <w:r>
        <w:t>According to the information acquired for the application of the Consumer Code and reports from individual consumers, it has emerged that the companies RBM Salute and Previmedical, in the context of the offer of insurance services, have engaged, in concert with each other, since January 2023, in a commercial practice likely to violate consumer protection regulations. The possible unfair conduct has been reported by numerous consumers since January 2023.</w:t>
      </w:r>
    </w:p>
    <w:p>
      <w:r>
        <w:t>Consumers have reported the rejection of reimbursement requests made, or the rejection of requests that had already been previously authorized, delays and/or errors in the management of reimbursement or authorization requests that, in many cases, remain pending for several months. Consumers also complain that the reasons for the rejection of reimbursement requests are not consistent with the contractual provisions and the documentation provided by the insured, and that often the professionals initially consider the documentation submitted to be lacking.</w:t>
      </w:r>
    </w:p>
    <w:p>
      <w:r>
        <w:rPr>
          <w:b/>
        </w:rPr>
        <w:t>[Pages 58–59]</w:t>
      </w:r>
    </w:p>
    <w:p>
      <w:r>
        <w:t>60 BULLETIN NO. 24 OF JUNE 26, 2023</w:t>
      </w:r>
    </w:p>
    <w:p>
      <w:r>
        <w:t>supporting a refund request, generically contesting the lack thereof, thereby delaying and/or obstructing the due refunds. Finally, consumers complain about the difficulty of contacting professionals to request information or assistance in resolving the issues encountered, particularly in cases of non-payment of refunds or services. The conduct of the professionals may be in violation of the duty of professional diligence prescribed by Article 20 of the Consumer Code, and may also constitute a violation of Articles 24 and 25 of the Consumer Code, as it appears overall aimed at hindering or delaying the exercise of the contractual rights of consumers/insured parties, inducing them to waive the economic and assistance benefits to which they would be entitled.</w:t>
      </w:r>
    </w:p>
    <w:p>
      <w:r>
        <w:t>III. NOTICE</w:t>
      </w:r>
    </w:p>
    <w:p>
      <w:r>
        <w:t>Through this notice, interested parties who have submitted a request for intervention pursuant to Article 4 of the Regulation are informed that, with communication dated May 16, 2023, an investigative procedure has been initiated against the Professionals aimed at ascertaining any violation of Articles 20, paragraph 2, 24, and 25, paragraph 1, letter d), of the Consumer Code.</w:t>
      </w:r>
    </w:p>
    <w:p>
      <w:r>
        <w:t>It is also informed that interested parties have the right to intervene in the ongoing procedure by submitting a specific act, duly signed, containing the elements indicated in Article 10 of the Regulation.</w:t>
      </w:r>
    </w:p>
    <w:p>
      <w:r>
        <w:t>For any communication addressed to the Authority regarding the case in question, please refer to the Directorate for Credit, Insurance, Postal Services, Tourism, and Sports of the Department for Consumer Protection 2 and the reference PS12580.</w:t>
      </w:r>
    </w:p>
    <w:p>
      <w:r>
        <w:t>Antitrust Authority Weekly Bulletin</w:t>
        <w:br/>
        <w:t>of Competition and Market Year XXXIII - No. 24 - 2023</w:t>
        <w:br/>
        <w:t>Editorial Coordination Giulia Antenucci</w:t>
        <w:br/>
        <w:t>Editorial Staff Valerio Ruocco, Manuela Villani</w:t>
        <w:br/>
        <w:t>Antitrust Authority</w:t>
        <w:br/>
        <w:t>Document Management, Protocol, and Statistical Services Directorate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