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https://www.agcm.it/dotcmsdoc/bollettini/2019/25-19.pdf</w:t>
      </w:r>
    </w:p>
    <w:p>
      <w:r>
        <w:t>Pages translated : 39</w:t>
      </w:r>
    </w:p>
    <w:p/>
    <w:p>
      <w:r>
        <w:rPr>
          <w:b/>
        </w:rPr>
        <w:t>[Pages 1–3]</w:t>
      </w:r>
    </w:p>
    <w:p>
      <w:r>
        <w:t>Bulletin</w:t>
        <w:br/>
        <w:t>Weekly</w:t>
        <w:br/>
        <w:t>Year XXIX - No. 25</w:t>
        <w:br/>
        <w:t>Published on the website www.agcm.it</w:t>
        <w:br/>
        <w:t>June 24, 2019</w:t>
      </w:r>
    </w:p>
    <w:p>
      <w:r>
        <w:t>SUMMARY</w:t>
        <w:br/>
        <w:t>CONCENTRATION OPERATIONS 5</w:t>
        <w:br/>
        <w:t>C12224 - DOLOMITI ENERGIA HOLDING-ALPERIA/ALPERIA SMART MOBILITY</w:t>
        <w:br/>
        <w:t>Provision No. 27795 5</w:t>
        <w:br/>
        <w:t>C12232 - SACCHI GIUSEPPE/DEMO</w:t>
        <w:br/>
        <w:t>Provision No. 27796 13</w:t>
        <w:br/>
        <w:t>REPORTING AND CONSULTATIVE ACTIVITIES 19</w:t>
        <w:br/>
        <w:t>AS1590 – MINISTRY OF HEALTH - REQUEST FOR CIVIC ACCESS BY THE NATIONAL CONFEDERATION COLDIRETTI TO DATA ON MILK AND DAIRY PRODUCT IMPORTS 19</w:t>
        <w:br/>
        <w:t>UNFAIR TRADE PRACTICES 22</w:t>
        <w:br/>
        <w:t>PS11263 - TIGER SHOP-CANCELLED ORDERS</w:t>
        <w:br/>
        <w:t>Provision No. 27803 22</w:t>
        <w:br/>
        <w:t>PS11425 - TECNO TRADE-ONLINE SALES</w:t>
        <w:br/>
        <w:t>Provision No. 27804 27</w:t>
        <w:br/>
        <w:t>UNFAIR CLAUSES 31</w:t>
        <w:br/>
        <w:t>CV170B - ITALIAN GROUP-PARTIRIPARTI</w:t>
        <w:br/>
        <w:t>Provision No. 27797 31</w:t>
        <w:br/>
        <w:t>CONFLICT OF INTEREST 39</w:t>
        <w:br/>
        <w:t>SI867C – PAOLO FOIETTA - FORMER EXTRAORDINARY COMMISSIONER FOR THE RAILWAY LINE TURIN-LYON – POST OFFICE OPINION 39</w:t>
      </w:r>
    </w:p>
    <w:p>
      <w:r>
        <w:t>BULLETIN NO. 25 OF JUNE 24, 2019 5</w:t>
        <w:br/>
        <w:t>CONCENTRATION OPERATIONS</w:t>
        <w:br/>
        <w:t>C12224 - DOLOMITI ENERGIA HOLDING-ALPERIA/ALPERIA SMART MOBILITY</w:t>
        <w:br/>
        <w:t>Provision No. 27795</w:t>
        <w:br/>
        <w:t>THE ANTITRUST AUTHORITY</w:t>
        <w:br/>
        <w:t>IN ITS MEETING of June 5, 2019;</w:t>
        <w:br/>
        <w:t>HEARD the Rapporteur Professor Michele Ainis;</w:t>
        <w:br/>
        <w:t>HAVING REGARD to Law No. 287 of October 10, 1990;</w:t>
        <w:br/>
        <w:t>HAVING REGARD to the Presidential Decree No. 217 of April 30, 1998;</w:t>
        <w:br/>
        <w:t>HAVING REGARD to the communication from the companies Dolomiti Energia Holding S.p.A. and Alperia S.p.A. received on March 18, 2019;</w:t>
        <w:br/>
        <w:t>HAVING REGARD to the request for information sent on April 17, 2019, with consequent interruption of the deadlines pursuant to Article 5, paragraph 3, of the Presidential Decree No. 217 of April 30, 1998;</w:t>
        <w:br/>
        <w:t>HAVING REGARD to the further information transmitted by the companies Dolomiti Energia Holding S.p.A. and Alperia S.p.A. on May 8, 2019;</w:t>
        <w:br/>
        <w:t>HAVING REGARD to the documentation on file;</w:t>
        <w:br/>
        <w:t>CONSIDERING the following:</w:t>
        <w:br/>
        <w:t>I. THE PARTIES</w:t>
        <w:br/>
        <w:t>1. Dolomiti Energia Holding S.p.A. (hereinafter, Dolomiti) is the parent company of the eponymous group. The Dolomiti group is a multiutility and one of the main producers of hydroelectric energy in Italy. The group is also active through controlled companies in the generation, distribution, and retail sale of electricity, natural gas, and LNG, as well as in the sectors of cogeneration, district heating, the provision of integrated water services, energy efficiency, environmental hygiene, and purification. The share capital of Dolomiti is owned 47.8% by FinDolomiti Energia S.r.l., 11.9% by Ft Energia S.p.A., 5.3% by the Fondazione Caritro (Cassa di Risparmio di Trento e Rovereto), 5.8% by the Municipality of Trento, 4.3% by the Municipality of Rovereto, and 4.2% by Istituto Atesino di Sviluppo (ISA) S.p.A., with smaller shares held by other municipalities in Trentino and companies or enterprises. Within the Dolomiti group, the company managing electric charging activities is Dolomiti Energia S.p.A. In 2017, the consolidated revenue of Dolomiti, almost entirely generated in Italy, exceeded 1.3 billion euros.</w:t>
        <w:br/>
        <w:t>2. Alperia S.p.A. (hereinafter, Alperia) is the holding company at the head of the eponymous group, operating - almost exclusively in the Autonomous Province of Bolzano and, to a lesser extent, in South Tyrol and other Regions of Italy - in the sectors of electricity production from hydroelectric, photovoltaic, and biomass resources; in the transmission of electricity; in the distribution and sale of electricity and natural gas; in the provision of heat through the management of district heating plants; in the management of public lighting systems; in the marketing of green certificates and in the provision of services and consultancy in the field of energy efficiency;</w:t>
      </w:r>
    </w:p>
    <w:p>
      <w:r>
        <w:rPr>
          <w:b/>
        </w:rPr>
        <w:t>[Pages 4–6]</w:t>
      </w:r>
    </w:p>
    <w:p>
      <w:r>
        <w:t>6 BULLETIN NO. 25 OF JUNE 24, 2019</w:t>
      </w:r>
    </w:p>
    <w:p>
      <w:r>
        <w:t>in the installation of charging stations for electric cars and in the construction of fiber optic infrastructures and the provision of related services. Alperia is jointly controlled by the Autonomous Province of Bolzano, the Municipality of Bolzano, and the Municipality of Merano. In 2017, the consolidated revenue of the Alperia group was approximately 1.1 billion euros, almost entirely generated in Italy.</w:t>
      </w:r>
    </w:p>
    <w:p>
      <w:r>
        <w:t>3. Alperia Smart Mobility (ASM) S.r.l. is the company of the Alperia group that deals with electric mobility and, in particular, with the charging service for electric vehicles. ASM's capital is 100% owned by Alperia. The revenue of ASM, generated entirely in Italy, in 2017, was approximately 44,000 euros.</w:t>
      </w:r>
    </w:p>
    <w:p>
      <w:r>
        <w:t>II. DESCRIPTION OF THE OPERATION</w:t>
      </w:r>
    </w:p>
    <w:p>
      <w:r>
        <w:t>4. The operation consists of the transition of ASM from the exclusive control of Alperia to the joint control of Alperia and Dolomiti. In particular, the operation involves the transfer to Dolomiti of an initial stake equal to 25% of ASM's share capital, a subsequent capital increase of that company reserved for Dolomiti, so that Dolomiti acquires a total stake corresponding to 50% of the share capital of the company. Concurrently with Dolomiti's entry into the share capital of ASM, the company will change its name to Neogy S.r.l. (hereinafter, Neogy) and all signs, trademarks, and other symbols will be modified to reflect the new brand. Dolomiti will also ensure that Dolomiti Energia S.p.A. transfers to Neogy its already established or under-construction public charging stations. Neogy will operate in the market as a full-function company, equipped with the means and personnel necessary to carry out its activities and will not be bound by supply obligations towards Alperia and Dolomiti. Furthermore, Alperia and Dolomiti commit not to engage in activities that compete with Neogy as long as joint control by the parties exists. The operation is conditionally suspended pending authorization from the Authority.</w:t>
      </w:r>
    </w:p>
    <w:p>
      <w:r>
        <w:t>III. QUALIFICATION OF THE OPERATION</w:t>
      </w:r>
    </w:p>
    <w:p>
      <w:r>
        <w:t>5. The communicated operation, as it involves the transition from Alperia's exclusive control over ASM to the joint control of Alperia and Dolomiti over the same company, renamed Neogy,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companies involved exceeded 495 million euros and the total revenue generated in the last financial year at the national level by at least two of the companies involved exceeded 30 million euros.</w:t>
      </w:r>
    </w:p>
    <w:p>
      <w:r>
        <w:t>IV. EVALUATION OF THE CONCENTRATION</w:t>
      </w:r>
    </w:p>
    <w:p>
      <w:r>
        <w:t>The relevant sector</w:t>
      </w:r>
    </w:p>
    <w:p>
      <w:r>
        <w:t>6. The sector affected by the operation is that of charging services for electric vehicles. In particular, Neogy will provide charging services to consumers and businesses, to accommodation and commercial facilities as well as services for access to public or privately owned charging infrastructures open to the public.</w:t>
      </w:r>
    </w:p>
    <w:p>
      <w:r>
        <w:t>BULLETIN NO. 25 OF JUNE 24, 2019 7</w:t>
      </w:r>
    </w:p>
    <w:p>
      <w:r>
        <w:t>The electric vehicle charging services supply chain</w:t>
      </w:r>
    </w:p>
    <w:p>
      <w:r>
        <w:t>7. It is preliminarily noted that in Italy the sector of services for charging electric vehicles is currently, also due to the still limited diffusion of this category of vehicles, in an initial development phase, in which business models are still being defined. From the demand perspective, the service user can charge their electric vehicle either at a private site available to them, such as in their garage or at the company where they work, or at designated public or publicly accessible refueling points (e.g., in shopping centers). Regarding private charging, it is noteworthy that the method of simply using a domestic power outlet is still widespread, but it appears destined to be replaced by the use of specific charging equipment. The customer (private/business) often, when opting for the installation of a charging system, owns the system itself and is the holder of the POD (point of delivery) that supplies it and, therefore, also of the electricity supply contract. The POD, in such cases, can be unique for other uses, or a dedicated one can be created to power the charging station. In such situations, therefore, the private customer does not avail themselves of the charging services offered by the operators present in the market.</w:t>
      </w:r>
    </w:p>
    <w:p>
      <w:r>
        <w:t>8. As for public or private charging points but with public access (e.g., shopping centers), two distinct economic activities offered by companies active in this sector can be identified: on one hand, the development and management of physical charging points (particularly public networks but also private charging points open to the public or with private access – in the latter case, usually for business customers), and on the other hand, the actual offering of electric charging services, which requires direct interaction with consumers. In the first activity, installation and management of both public and private charging stations with public access, the so-called Charge Point Operators (CPO) operate, while in the management of relationships related to the provision of the charging service, including related payment services, the so-called Electric Mobility Providers (EMP) or Mobility Service Providers (MSP) operate.</w:t>
      </w:r>
    </w:p>
    <w:p>
      <w:r>
        <w:t>9. According to some available estimates, today in Italy 84% of users have access to private charging infrastructures and only 16% rely exclusively on public charging; 90% of users utilize public charging points although only 32% use them regularly. The same estimates, however, confirm that this is a rapidly evolving sector, both from the demand side and from the supply side. In Italy, it is estimated that the number of electric vehicles has increased from about 13,000 units at the end of 2017 to over 20,000 at the end of 2018, with an annual growth rate exceeding 50% of the total. Regarding the spread of electric charging stations on public land, estimated at 2,700 at the end of 2017, it is expected that they will be approximately between 7,500 and 10,000 by 2020 and between 28,000 and 48,000 by 2030.</w:t>
      </w:r>
    </w:p>
    <w:p>
      <w:r>
        <w:t>10. In this context of strong evolution, EU legislation, as transposed by Legislative Decree of December 16, 2016, No. 257 (art. 4, para. 9), has established that in the case of "publicly accessible" charging infrastructures, the CPO (charging point operator) represents the final purchaser in the energy sale contract with the electricity supplier. In this way, the provision of energy to electric car owners is included, along with a whole series of other utilities (management of interoperability for access to the networks of various CPOs, management of payment methods, provision of aids for locating refueling points, etc.) among the services provided by the EMP, which for this purpose must enter into specific interoperability contracts with individual CPOs, holders of charging points in each geographical area.</w:t>
      </w:r>
    </w:p>
    <w:p>
      <w:r>
        <w:t>11. The activity carried out by the CPO thus differs, from an operational point of view, from that of the EMP. The end customer, who needs the electric charging service on public land or publicly accessible areas, interfaces with one (or more) EMPs to have the possibility to charge their vehicle at the stations located in the geographical areas where their mobility takes place. The user, for this purpose, is provided by the EMP with an App or card capable of interacting with the individual charging point enabling it to deliver electricity to the user under pre-established economic conditions, while there is no need to have contractual relationships with the CPOs managing the same charging points.</w:t>
      </w:r>
    </w:p>
    <w:p>
      <w:r>
        <w:t>12. At present, however, the most widespread business model is that in which the same company acts both as a CPO and as an EMP: more than 80% of operators active in charging services are indeed simultaneously CPOs and EMPs. More often, the two activities are carried out by the same legal entity, while in one case, two different legal entities have been established to carry out the two businesses. However, although to date all CPOs are also EMPs, some EMPs are not also CPOs. This second business model, which provides for the offering of only the charging service without managing their own charging points, is followed by some foreign groups, for example, in Italy, by the Edison group. Furthermore, it is important to emphasize that even EMPs integrated into CPO activities must, in any case, offer their customers access to third-party charging points, necessary to provide customers with a sufficiently wide and geographically distributed network of charging points. For this purpose, agreements are entered into.</w:t>
      </w:r>
    </w:p>
    <w:p>
      <w:r>
        <w:rPr>
          <w:b/>
        </w:rPr>
        <w:t>[Pages 7–9]</w:t>
      </w:r>
    </w:p>
    <w:p>
      <w:r>
        <w:t>BULLETIN NO. 25 OF JUNE 24, 2019 9</w:t>
        <w:br/>
        <w:t>interoperability between EMP and CPO, essential for carrying out the activities of EMP. The interoperability agreements can be Peer to Peer (P2P) when they occur bilaterally between a CPO and an EMP or in the form of roaming when conducted through digital platforms. The two main European platforms for electric mobility (Hubject and Gireve) aggregate the offers of the main CPOs with the related contractual conditions to which EMPs may choose to adhere.</w:t>
      </w:r>
    </w:p>
    <w:p>
      <w:r>
        <w:t>13. As mentioned, therefore, the supply chain of electric vehicle charging services involves the intervention of numerous parties and can develop according to various business models, which, in light of the expected significant future evolution of the supply, could lead to solutions different from those currently prevailing. However, the distinction between CPO and EMP appears to be quite defined, also because it is consistent with current regulations, and the possibility that at least some operators do not simultaneously carry out both activities. Furthermore, as further confirmation of this, a single end user can decide, as mentioned, to enter into contracts with more than one EMP.</w:t>
      </w:r>
    </w:p>
    <w:p>
      <w:r>
        <w:t>The relevant markets</w:t>
        <w:br/>
        <w:t>14. The competitive analysis of the supply of electric vehicle charging services can be conducted with exclusive reference to activities that require the intervention of specialized operators, such as charging services at public stations or at private stations with public access carried out through the installation of dedicated charging points and with the intervention of specialized operators. The market in question should exclude private charging carried out through the mere household electrical outlet or the purchase of the charging system by the private individual who enters into a contract for the supply of electricity on their own. In such cases, in fact, there is no significant difference compared to the normal supply of electricity to residential customers, and no specific charging service is provided.</w:t>
      </w:r>
    </w:p>
    <w:p>
      <w:r>
        <w:t>15. For all the above reasons, and unless otherwise indicated by the evolution of the supply chain, it is believed that, at present, the activities into which the supply of charging services is articulated, although, as seen above, the companies active in them tend to coincide in most cases, are at least two:</w:t>
        <w:br/>
        <w:t>(a) the installation and management of charging points on public or private land with public access, that is, the activity carried out by the CPO;</w:t>
        <w:br/>
        <w:t>(b) the interface with end consumers, which includes a series of necessary services so that they can access the charging service on a broad basis and in an easy and convenient manner (EMP).</w:t>
      </w:r>
    </w:p>
    <w:p>
      <w:r>
        <w:t>16. Due to the characteristics described above, the two activities are complementary but not overlapping, nor does it appear essential for them to be carried out in an integrated manner. Therefore, although to date the two activities are predominantly carried out by entities that engage in both, they identify distinct relevant markets.</w:t>
      </w:r>
    </w:p>
    <w:p>
      <w:r>
        <w:t>17. Regarding the geographical dimension of the two markets, this can be defined based on the needs of demand. In this sense, it should first be considered that, according to the available estimates mentioned above, to date, only 43% of users use the electric vehicle for trips over 100 km, although the range of electric vehicles is increasing year by year and, therefore, the geographical scope of the requested charging service is also expanding. That said, it is evident that the EMP service, which directly addresses end consumers, in addition to ensuring access to a particularly wide network of sales points at the local level, must also allow the use of the charging service considering broader mobility needs than the local context.</w:t>
      </w:r>
    </w:p>
    <w:p>
      <w:r>
        <w:t>Given the presence of interoperability agreements between EMP and CPO and the relative ease for the former to access the charging points in a given geographical area following negotiation with the locally active CPOs, end consumers can benefit from the charging service in the geographical area of their interest provided by all EMPs that have included such charging points in their service supply network.</w:t>
      </w:r>
    </w:p>
    <w:p>
      <w:r>
        <w:t>18. The possibility for an EMP to exercise market power in a given geographical area is therefore excluded by the simultaneous presence of other service providers (EMPs) at the same charging points due to the possible existence of multiple interoperability agreements between the existing CPO(s) and the interested EMPs. For this reason, therefore, it seems that, in the first approximation, the EMP service does not have particular geographical limitations and thus has at least national dimensions. In any case, it does not seem necessary to adopt a more precise definition of the geographical scope of this market in the specific case, as this would not change the outcome of the assessment.</w:t>
      </w:r>
    </w:p>
    <w:p>
      <w:r>
        <w:t>19. Regarding the CPO service, on the other hand, there seem to be stricter geographical constraints. CPOs offer both (i) EMPs access services to public charging points managed by them; and (ii) to private individuals the installation and management of publicly accessible charging points. In both cases, interoperability contracts are entered into with the EMPs interested in including such charging points in their network. For the activities carried out by CPOs, a territorial constraint may be of greater relevance. In fact, given not only the limited mobility of electric vehicles but also, and above all, the necessity for the end customer to have access to charging points in areas of their more frequent mobility, and therefore local in nature, an EMP wishing to provide its services to end consumers in a given geographical area must have a contract with the locally active CPO(s), which cannot be replaced by CPOs with charging points in other areas. However, it should be noted that the contracting party of the CPO, the EMP, is not directly the end user of the electric charging service (i.e., the user of the electric car who, as already seen, enters into a contract with one or more EMPs), so the commercial dynamics that arise between CPO and EMP will reflect the overall bargaining power of the CPO in a geographical area larger than the single local area to take into account all portions of the national territory in which it is present; finally, considering the predominantly integrated nature of the CPO and EMP figures, the commercial power dynamics between the various operators may also be balanced by a certain reciprocity of conditions in accessing their respective networks in different geographical areas.</w:t>
      </w:r>
    </w:p>
    <w:p>
      <w:r>
        <w:t>In any case, even in relation to this market, it does not seem necessary, with regard to the present operation, to define its scope more precisely because this would not change the outcome of the assessment.</w:t>
      </w:r>
    </w:p>
    <w:p>
      <w:r>
        <w:t>The presence of the parties in the relevant markets and the effects of the operation</w:t>
        <w:br/>
        <w:t>20. Regarding the presence of the interested parties in the defined markets and the possible effects of the operation, it is noted that the private customers of ASM and Dolomiti in the EMP service market are [200-800]*, of which only a few units are customers of Dolomiti and a significantly larger number are customers of ASM, compared to a national total of electric car owners estimated today at over 20,000. The relative size of the parties in the EMP service market, therefore, is so limited that it does not make the operation susceptible to creating critical issues in that market.</w:t>
      </w:r>
    </w:p>
    <w:p>
      <w:r>
        <w:t>21. As for the presence of the parties in the market for the installation and management of charging points (CPO), it is noted that the public charging stations of the parties (about [50-250] at the end of 2018) out of approximately 2700 total existing in Italy (also at the end of 2018) are all attributable to ASM, and are geographically very concentrated as they are all located in the provinces of Trento and Bolzano. Furthermore, of these, the charging stations of ASM are [80-200], predominantly concentrated in the province of Bolzano and residually in the province of Trento ([1-30]), while those of Dolomiti are [10-40] and are all located in the province of Trento. In the provinces of Trento and Bolzano, other operators are also active, such as Enel X, Route220, AGSM Primiero, Driwe, and the Institute of Technological Innovation. Among them, the only two that have a significant presence, although less significant than that of the parties, are Enel X and Route220, with approximately [10-40] and [1-30] public or publicly accessible charging stations each.</w:t>
      </w:r>
    </w:p>
    <w:p>
      <w:r>
        <w:t>22. In the market for CPO services, therefore, the operation sees an extremely limited overlap between the activities of the parties. Regarding this market, it also seems reasonable to observe that its current industrial configuration is not very significant, due to the prospects of its considerable and rapid development, also in light of relatively simple administrative procedures for access to the activity, although not homogeneous across the national territory in terms of methods and timing, and the existence of forms of economic incentives for the creation of charging station networks initiated by local administrations, to which, from the users' side, are added economic incentives for the purchase of electric vehicles and charging stations.</w:t>
      </w:r>
    </w:p>
    <w:p>
      <w:r>
        <w:t>* In this version, some data are omitted, as elements of confidentiality or secrecy of the information were deemed to exist.</w:t>
      </w:r>
    </w:p>
    <w:p>
      <w:r>
        <w:rPr>
          <w:b/>
        </w:rPr>
        <w:t>[Pages 10–12]</w:t>
      </w:r>
    </w:p>
    <w:p>
      <w:r>
        <w:t>12 BULLETIN NO. 25 OF JUNE 24, 2019</w:t>
      </w:r>
    </w:p>
    <w:p>
      <w:r>
        <w:t>As mentioned, it is indeed expected that the number of charging points will double already by 2020 and then multiply by an additional factor between three and five in the following decade. For these reasons, it is believed that the operation is not likely to create or strengthen a dominant position even in the CPO service market, regardless of its geographical scope.</w:t>
      </w:r>
    </w:p>
    <w:p>
      <w:r>
        <w:t>23. In conclusion, based on the considerations outlined above, the effects of the operation in the aforementioned relevant markets appear marginal, consistent, moreover, with the small size of the Parties involved. It should indeed be noted that Alperia Smart Mobility generated revenue of less than 50,000 euros in 2017, and the estimated figure for 2018 is [less than 1 million] euros, while Dolomiti generated an estimated revenue of less than 3,000 euros in each of the years 2017 and 2018 from the provision of charging services for electric cars.</w:t>
      </w:r>
    </w:p>
    <w:p>
      <w:r>
        <w:t>CONSIDERED, therefore, that the operation under examination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r>
    </w:p>
    <w:p>
      <w:r>
        <w:t>Filippo Arena Roberto Rustichelli</w:t>
      </w:r>
    </w:p>
    <w:p>
      <w:r>
        <w:t>21 The forecast of the aforementioned study indicated a transition from 2,700 charging points in 2017 to approximately 7,500-10,000 by 2020. As seen, by the end of 2018, the estimate of existing charging points was already about 5,000, therefore, compared to the number indicated for 2020, one can hypothesize, indeed, approximately a doubling of the estimated total charging points.</w:t>
      </w:r>
    </w:p>
    <w:p>
      <w:r>
        <w:t>22 In abstract terms, since it is necessary to resort to the local distributor for the connection of charging stations to the electricity grid, foreclosure effects resulting from the integration of the Parties upstream with the electricity distribution activity could occur with the operation under examination. However, such effects are not subject to evaluation as the current regulations (Article 4, paragraph 12 of Legislative Decree 257/16 cited, transposing the EU Directive 2014/94/EU, so-called DAFI cited) expressly provide for non-discrimination obligations, stipulating that electricity distribution companies "cooperate on a non-discriminatory basis with any person who opens or manages publicly accessible charging points."</w:t>
      </w:r>
    </w:p>
    <w:p>
      <w:r>
        <w:t>BULLETIN NO. 25 OF JUNE 24, 2019 13</w:t>
      </w:r>
    </w:p>
    <w:p>
      <w:r>
        <w:t>C12232 - SACCHI GIUSEPPE/DEMO</w:t>
      </w:r>
    </w:p>
    <w:p>
      <w:r>
        <w:t>Provision No. 27796</w:t>
      </w:r>
    </w:p>
    <w:p>
      <w:r>
        <w:t>THE ANTITRUST AUTHORITY</w:t>
      </w:r>
    </w:p>
    <w:p>
      <w:r>
        <w:t>IN ITS MEETING of June 5, 2019;</w:t>
      </w:r>
    </w:p>
    <w:p>
      <w:r>
        <w:t>HEARD the Rapporteur Dr. Gabriella Muscolo;</w:t>
      </w:r>
    </w:p>
    <w:p>
      <w:r>
        <w:t>SEEN Law No. 287 of October 10, 1990;</w:t>
      </w:r>
    </w:p>
    <w:p>
      <w:r>
        <w:t>SEEN the Presidential Decree No. 217 of April 30, 1998;</w:t>
      </w:r>
    </w:p>
    <w:p>
      <w:r>
        <w:t>SEEN the communication from Sacchi Giuseppe S.p.A., received on May 15, 2019;</w:t>
      </w:r>
    </w:p>
    <w:p>
      <w:r>
        <w:t>CONSIDERED the following:</w:t>
      </w:r>
    </w:p>
    <w:p>
      <w:r>
        <w:t>I. THE PARTIES</w:t>
      </w:r>
    </w:p>
    <w:p>
      <w:r>
        <w:t>1. Sacchi Giuseppe S.p.A. (hereinafter Sagiu) is an Italian company active in several Italian regions primarily in the wholesale (and, to a lesser extent, retail) trade of electrical materials, lighting, and industrial automation, as well as, secondarily, household appliances and consumer electronics (such as PCs and related items). Sagiu, along with its subsidiaries Comel Elettroforniture S.r.l. and D.M.E. Distribuzione Materiale Elettrico S.r.l., is part of the Sonepar group, which, through Sonepar Italia Holding S.p.A., holds 90% of its share capital (the remaining share is divided among three individuals). In 2018, the Sonepar group achieved a total revenue of 21.9 billion euros, of which [10-20]* and [1-2] billion were from sales made in the European Union and in Italy, respectively.</w:t>
      </w:r>
    </w:p>
    <w:p>
      <w:r>
        <w:t>2. Demo S.p.A. (hereinafter Demo) is also an Italian company primarily active in the wholesale (and, to a lesser extent, retail) trade of electrical materials in general, as well as, secondarily, household appliances and consumer electronics (such as PCs and related items). The share capital of Demo is divided among two companies (Fin.P.O. S.p.A. and Ivaldi S.r.l.). The total revenue generated by Demo in the 2018 financial year was [100-498] million euros, almost entirely generated in Italy.</w:t>
      </w:r>
    </w:p>
    <w:p>
      <w:r>
        <w:t>II. DESCRIPTION OF THE OPERATION</w:t>
      </w:r>
    </w:p>
    <w:p>
      <w:r>
        <w:t>3. The communication under examination concerns the acquisition, by the Sonepar-Sacchi group, of exclusive control of Demo through the purchase of its entire share capital.</w:t>
      </w:r>
    </w:p>
    <w:p>
      <w:r>
        <w:t>4. The operation includes some non-compete clauses. In particular, the sellers undertake, for a period of three years and with respect to the Italian territory, not to engage - directly or indirectly - in activities competing with those of the acquiring group and the company being acquired, as well as with activities ancillary to these.</w:t>
      </w:r>
    </w:p>
    <w:p>
      <w:r>
        <w:t>* In this version, some data are omitted, as elements of confidentiality or secrecy of the information were deemed to exist.</w:t>
      </w:r>
    </w:p>
    <w:p>
      <w:r>
        <w:t>14 BULLETIN NO. 25 OF JUNE 24, 2019</w:t>
      </w:r>
    </w:p>
    <w:p>
      <w:r>
        <w:t>III. QUALIFICATION OF THE OPERATION</w:t>
      </w:r>
    </w:p>
    <w:p>
      <w:r>
        <w:t>5. The communicated operation, as it involves the acquisition of control of a company, constitutes a concentration pursuant to Article 5, paragraph 1, letter b), of Law No. 287/90. It falls within the scope of application of Law No. 287/90, as the conditions of Article 1 of EC Regulation 139/2004 do not apply, and it is subject to the obligation of prior notification provided for by Article 16, paragraph 1, of the same law, as the total revenue generated, in the last financial year at the national level, by the group of interested companies exceeded 498 million euros and the total revenue generated, in the last financial year at the national level, individually by at least two of the interested companies exceeded 30 million euros.</w:t>
      </w:r>
    </w:p>
    <w:p>
      <w:r>
        <w:t>6. The non-compete agreements described above can be qualified as ancillary to the notified concentration to the extent that they contain restrictions directly related to the realization of the operation and necessary for it. In particular, in this case, the commitments made by the sellers benefit the acquirer and respond to the need to ensure the transfer of the actual value of the acquisition to the latter. However, to avoid exceeding the limits of what is reasonably required for this purpose, it is necessary: that the duration is limited to two years, as the acquirer is already present in the relevant markets; that the geographical and material scope does not exceed the current operational scope - respectively territorial and product-related - of the company being acquired; that the sellers are not precluded from making financial investments.</w:t>
      </w:r>
    </w:p>
    <w:p>
      <w:r>
        <w:t>IV. EVALUATION OF THE CONCENTRATION</w:t>
      </w:r>
    </w:p>
    <w:p>
      <w:r>
        <w:t>The product market</w:t>
      </w:r>
    </w:p>
    <w:p>
      <w:r>
        <w:t>7. From a product perspective, the sector concerned by the operation under examination is that in which the acquired company Demo operates, namely wholesale trade, and to a marginal extent retail, of electrical materials.</w:t>
      </w:r>
    </w:p>
    <w:p>
      <w:r>
        <w:t>8. This product scope particularly concerns the wholesale distribution, by market operators, of various types of electrical materials, primarily intended for the electromechanical and electronic sectors, which are purchased by customers (comprising industries, public entities, construction companies, panel builders, industrial automation specialists, electrical installers - including specialized and large-scale ones - as well as, to a lesser extent, retail distributors who in turn resell to individuals) to meet their various needs.</w:t>
      </w:r>
    </w:p>
    <w:p>
      <w:r>
        <w:t>9. According to what the Parties have represented, there is also a significant phenomenon of direct sales - thus without the intermediation of wholesalers - from producers directly to customers.</w:t>
      </w:r>
    </w:p>
    <w:p>
      <w:r>
        <w:rPr>
          <w:b/>
        </w:rPr>
        <w:t>[Pages 13–15]</w:t>
      </w:r>
    </w:p>
    <w:p>
      <w:r>
        <w:t>BULLETIN NO. 25 OF JUNE 24, 2019 15</w:t>
        <w:br/>
        <w:t>final customers, whose activity is therefore in competition with wholesale distributors. The same manufacturers can in turn enter the wholesale distribution market, as indicated by the Parties with reference to the German manufacturer Würth, which in recent years has acquired medium-large entities operating in the distribution sector. Among the competitors of wholesalers, the Parties also consider operators of the so-called specialized large distribution (such as Bricocenter, Leroy Merlin, etc.), due to the fact that customers also use this additional supply channel because of particularly aggressive offers, the possibility of obtaining commercial credit, and the availability of a complementary range of items for their needs.</w:t>
      </w:r>
    </w:p>
    <w:p>
      <w:r>
        <w:t>The geographical market</w:t>
        <w:br/>
        <w:t>10. As for the geographical relevance, it is believed that the wholesale distribution of electrical materials has a regional or provincial/multi-provincial dimension, considering the operational scope of wholesalers who, in general, serve a rather extensive territorial area (retail distribution, on the other hand, typically has a local relevance). In this specific case, however, it is not necessary to arrive at a precise geographical delimitation of the market, as whatever definition is adopted, the assessment of the competitive impact of the operation would not change.</w:t>
      </w:r>
    </w:p>
    <w:p>
      <w:r>
        <w:t>11. Considering the operational scope of the acquired company, the operation in question affects the four regions of Lombardy, Emilia Romagna, Liguria, and Piedmont as well as the fourteen provinces of: Monza and Brianza, Milan and Pavia; Piacenza; Genoa, Savona, and Imperia; Alessandria, Asti, Biella, Cuneo, Novara, Turin, and Vercelli.</w:t>
      </w:r>
    </w:p>
    <w:p>
      <w:r>
        <w:t>Effects of the operation</w:t>
        <w:br/>
        <w:t>12. Given the marginality of retail sales, the Parties have estimated their shares in the relevant regional and provincial markets considering the total sales of electrical materials, thus not distinguishing between wholesale and retail channels. In any case, according to what has been represented, the individual market shares related to retail sales alone are below 5% in each of these markets and, furthermore, the individual shares related to wholesale sales alone (i.e., excluding the portion related to retail sales) do not show substantial variations compared to the values reported below.</w:t>
      </w:r>
    </w:p>
    <w:p>
      <w:r>
        <w:t>13. Regarding the retail distribution of electrical materials, the Parties have indicated that most of the main distributors are active, like the Parties themselves, both in wholesale and retail. This circumstance, along with the fact that retailers generally constitute a marginal category among the customers of wholesalers and the modest market shares estimated for the Parties, leads to the conclusion that the vertical aspects of this operation are not problematic, particularly in terms of customer foreclosure and input foreclosure.</w:t>
      </w:r>
    </w:p>
    <w:p>
      <w:r>
        <w:t>14. As for wholesale distribution, horizontal overlaps between the Parties are recorded in all the aforementioned territorial areas (except in the province of Vercelli where only the target Demo is present and, therefore, the operation will result in the replacement of one operator with another). In relation to the affected regional areas, in the regions of Lombardy and Emilia Romagna, the estimated market share for the target is negligible (below 1%) and therefore does not effectively change the share attributable to the acquiring group (respectively equal to [20-25%] and [5-10%]). As for the remaining regions of Piedmont and Liguria, the aggregate share is estimated around [10-20%], in line with that of other competitors (particularly Comoli Ferrari).</w:t>
      </w:r>
    </w:p>
    <w:p>
      <w:r>
        <w:t>With reference to the affected provincial areas, a marginal share (still below 5%) for the acquired company is recorded in the provinces of Monza and Brianza, Milan, Pavia, Piacenza, and Turin, areas in which, therefore, the operation does not appear to modify the pre-existing competitive structures. For the provinces of Genoa, Imperia, and Savona, the aggregate share is estimated around [10-20%], in line with that of other competitors (particularly Comoli Ferrari).</w:t>
      </w:r>
    </w:p>
    <w:p>
      <w:r>
        <w:t>15. Finally, regarding the remaining Piedmontese provinces of Alessandria, Asti, Biella, Cuneo, and Novara, the tables that follow report the Parties' estimates regarding their market shares and those of the two main competitors. As can be observed, the joint share of Sagiu and Demo never exceeds [30%-35%], in the presence in all cases of several qualified competitors.</w:t>
      </w:r>
    </w:p>
    <w:p>
      <w:r>
        <w:t>ALESSANDRIA</w:t>
        <w:br/>
        <w:t>% Share Sonepar-Sacchi [5-10%]</w:t>
        <w:br/>
        <w:t>% Share Demo [25-30%]</w:t>
        <w:br/>
        <w:t>% Joint share [30-35%]</w:t>
        <w:br/>
        <w:t>% Share Comoli Ferrari [15-20%]</w:t>
        <w:br/>
        <w:t>% Share Elettrogruppo ZeroUno [15-20%]</w:t>
      </w:r>
    </w:p>
    <w:p>
      <w:r>
        <w:t>BULLETIN NO. 25 OF JUNE 24, 2019 17</w:t>
        <w:br/>
        <w:t>ASTI</w:t>
        <w:br/>
        <w:t>% Share Sonepar-Sacchi [10-15%]</w:t>
        <w:br/>
        <w:t>% Share Demo [5-10%]</w:t>
        <w:br/>
        <w:t>% Joint share [15-20%]</w:t>
        <w:br/>
        <w:t>% Share Elettrogruppo ZeroUno [15-20%]</w:t>
        <w:br/>
        <w:t>% Share Biesse [15-20%]</w:t>
      </w:r>
    </w:p>
    <w:p>
      <w:r>
        <w:t>BIELLA</w:t>
        <w:br/>
        <w:t>% Share Sonepar-Sacchi [15-20%]</w:t>
        <w:br/>
        <w:t>% Share Demo [10-15%]</w:t>
        <w:br/>
        <w:t>% Joint share [30-35%]</w:t>
        <w:br/>
        <w:t>% Share Comoli Ferrari [25-30%]</w:t>
        <w:br/>
        <w:t>% Share Gtm [10-15%]</w:t>
      </w:r>
    </w:p>
    <w:p>
      <w:r>
        <w:t>CUNEO</w:t>
        <w:br/>
        <w:t>% Share Sonepar-Sacchi [10-15%]</w:t>
        <w:br/>
        <w:t>% Share Demo [20-25%]</w:t>
        <w:br/>
        <w:t>% Joint share [30-35%]</w:t>
        <w:br/>
        <w:t>% Share Biesse [20-25%]</w:t>
        <w:br/>
        <w:t>% Share Idg [10-15%]</w:t>
      </w:r>
    </w:p>
    <w:p>
      <w:r>
        <w:t>NOVARA</w:t>
        <w:br/>
        <w:t>% Share Sonepar-Sacchi [10-15%]</w:t>
        <w:br/>
        <w:t>% Share Demo [5-10%]</w:t>
        <w:br/>
        <w:t>% Joint share [15-20%]</w:t>
        <w:br/>
        <w:t>% Share Comoli Ferrari [40-45%]</w:t>
        <w:br/>
        <w:t>% Share Idg [20-25%]</w:t>
      </w:r>
    </w:p>
    <w:p>
      <w:r>
        <w:t>16. In light of all the foregoing considerations, the concentration under examination does not appear capable of significantly altering the competitive dynamics in the relevant markets. CONSIDERED, therefore, that the operation in question does not entail, pursuant to Article 6, paragraph 1, of Law No. 287/90, the establishment or strengthening of a dominant position in the relevant markets, such as to eliminate or substantially and durably reduce competition; CONSIDERED, furthermore, that the agreed non-compete clauses are accessory to this operation only to the limits specified above, and that the Authority reserves the right to evaluate, where applicable.</w:t>
      </w:r>
    </w:p>
    <w:p>
      <w:r>
        <w:rPr>
          <w:b/>
        </w:rPr>
        <w:t>[Pages 16–18]</w:t>
      </w:r>
    </w:p>
    <w:p>
      <w:r>
        <w:t>18 BULLETIN NO. 25 OF JUNE 24, 2019</w:t>
      </w:r>
    </w:p>
    <w:p>
      <w:r>
        <w:t>the conditions, such clauses to the extent that they are realized beyond the duration, the material scope, and the geographical scope indicated therein;</w:t>
      </w:r>
    </w:p>
    <w:p>
      <w:r>
        <w:t>RESOLVES</w:t>
      </w:r>
    </w:p>
    <w:p>
      <w:r>
        <w:t>not to initiate the investigation referred to in Article 16, paragraph 4, of Law No. 287/90. The conclusions above will be communicated, pursuant to Article 16, paragraph 4, of Law No. 287/90, to the interested companies and to the Minister of Economic Development. This provision will be published in the Bulletin of the Antitrust Authority.</w:t>
      </w:r>
    </w:p>
    <w:p>
      <w:r>
        <w:t>THE SECRETARY GENERAL THE PRESIDENT</w:t>
        <w:br/>
        <w:t>Filippo Arena Roberto Rustichelli</w:t>
      </w:r>
    </w:p>
    <w:p>
      <w:r>
        <w:t>BULLETIN NO. 25 OF JUNE 24, 2019 19</w:t>
      </w:r>
    </w:p>
    <w:p>
      <w:r>
        <w:t>REPORTING AND CONSULTATIVE ACTIVITY</w:t>
      </w:r>
    </w:p>
    <w:p>
      <w:r>
        <w:t>AS1590 – MINISTRY OF HEALTH - REQUEST FOR CIVIC ACCESS FROM THE NATIONAL CONFEDERATION COLDIRETTI FOR DATA ON IMPORTS OF MILK AND DAIRY PRODUCTS</w:t>
      </w:r>
    </w:p>
    <w:p>
      <w:r>
        <w:t>Rome, June 12, 2019</w:t>
      </w:r>
    </w:p>
    <w:p>
      <w:r>
        <w:t>Ministry of Health</w:t>
        <w:br/>
        <w:t>Directorate General of Animal Health and Veterinary Medicines</w:t>
      </w:r>
    </w:p>
    <w:p>
      <w:r>
        <w:t>On April 16, 2019, a request for an opinion was received from the Ministry of Health - Directorate General of Animal Health and Veterinary Medicines (hereinafter also referred to as "Ministry"), which was also sent to the Data Protection Authority, concerning, as far as this Authority is concerned, the possible competitive consequences arising from the communication to the National Confederation Coldiretti (hereinafter also referred to as "Coldiretti") of data relating to imports into Italy of milk and dairy products and, more specifically, the information concerning the entry, exit, transit, and storage operations of raw materials concerning milk and dairy products coming from EU and non-EU countries carried out by national food sector operators, including the names of the importing Italian companies (hereinafter also referred to as "Data").</w:t>
      </w:r>
    </w:p>
    <w:p>
      <w:r>
        <w:t>The Data was requested from the Ministry by Coldiretti, between April and October 2017, through a request for civic access pursuant to Article 5 of Legislative Decree No. 33 of March 14, 2013, as amended by Legislative Decree No. 97 of May 25, 2016; following a partial denial of communication of the requested data, Coldiretti appealed to the administrative justice. As a result of the appeal against the ruling of the TAR Lazio (No. 2994 of March 16, 2018) which rejected Coldiretti's request, the Council of State ultimately issued a ruling (No. 1546 of March 6, 2019) which, among other things, established "the obligation of the Administration to proceed, without any delay, with the second request for civic access of the appellant Association, after activating and concluding, within the legal terms, the procedure for consultation with potential interested parties, who, in relation to the specificity of the case, may be preliminarily consulted in general via electronic means. The Administration may, if necessary, take into account (by partially obscuring the data) only any specific confidentiality reasons of the interested parties" (para. 21).</w:t>
      </w:r>
    </w:p>
    <w:p>
      <w:r>
        <w:t>In order to comply with the aforementioned ruling, in parallel with the conduct of the consultation procedure with the interested parties, the Ministry asked the Authority "whether the dissemination of the data requested by Coldiretti could compromise competition in the market as well as the credibility and productivity of companies, considering that such data play a fundamental role in the business strategy and that their dissemination to competing companies could severely harm the economic and commercial interests, also considering that Coldiretti is not only an agricultural union, representing direct farmers, businesses and agricultural companies, transformation cooperatives, and business consortia, but is also a shareholder, with its representatives on the boards of directors, of numerous private and cooperative transformation companies and therefore also acts as a competitor of the companies from which it requests confidential data and information, and that, therefore, there is a concrete risk that the information disseminated [by the Ministry] may be used in a instrumental, distorted, or partial manner by one or more competitors."</w:t>
      </w:r>
    </w:p>
    <w:p>
      <w:r>
        <w:t>Having said that, the Authority, in its meeting of June 5, 2019, issues the following opinion.</w:t>
      </w:r>
    </w:p>
    <w:p>
      <w:r>
        <w:t>With reference to the possibility of anticompetitive effects arising from the communication of the Data to Coldiretti, it is necessary to consider, first of all, that the requested data are sensitive commercial information, not aggregated and therefore capable of allowing those who obtain them to significantly reduce the natural uncertainties inherent in competitive comparison between companies; this is because their content relates, among other things, to sources of supply and related operational dependencies, production activities and their planning, with the possibility of inferring even the installed capacities of a particular operator. Given the characteristics of the relevant economic sector and the aforementioned nature of the Data, in line with established case law (see, inter alia, Court of Justice EU, C-8/08, judgment of June 4, 2009, T-Mobile Netherlands), the relevance of the same appears certain from an antitrust perspective in the event that they were exchanged between competing operators.</w:t>
      </w:r>
    </w:p>
    <w:p>
      <w:r>
        <w:t>Due to the nature and consequent competitive relevance of the Data, it must secondly be considered whether harm to competition could arise from their availability to Coldiretti, due to the subjective and operational characteristics of such organization.</w:t>
      </w:r>
    </w:p>
    <w:p>
      <w:r>
        <w:t>In this regard, the Authority preliminarily notes that, due to the unavailability of public accounting statements relating to Coldiretti (understood as a system that includes both the national confederation and the various local branches), it is not possible to have an informative framework on its corporate participations, and more generally its relevant economic activities. Nevertheless, it appears from open sources that at least territorial structures of Coldiretti – specifically, a provincial federation – currently hold participations in important national companies operating in the dairy sector, and moreover in partnership with primary operators in the same sector who are active both in Italy and abroad. It is also noted that in the governing and representative bodies of Coldiretti, both at the level of the national confederation and of individual local federations, there are individuals holding direct interests in companies in the dairy sector. Finally, it is well known that a large number of companies active in the dairy sector are associated with Coldiretti, with respect to which the organization, in addition to carrying out representation and defense activities of common interests, provides various services, including business consulting, for which the availability of the Data could constitute both a primary operational resource and a differentiating element compared to the services possibly provided by competing companies. In the absence of specific, rigorous, predetermined, and transparent measures aimed at circumscribing and tracing Coldiretti's use of the Data to ensure that they are not used by it as a company or interlocutor and/or facilitator of contacts between third-party companies (whether or not they are its associates), it cannot therefore be excluded that the transmission of the Data to such organization may result in harm to the correct dynamics of the market.</w:t>
      </w:r>
    </w:p>
    <w:p>
      <w:r>
        <w:t>In light of the elements noted above, with reference to the request for an opinion made by the Ministry, the Authority emphasizes that the Council of State, in the aforementioned ruling No. 1546/2019, clearly recalled the obligation for the Administration to initiate, upon receipt of the request,</w:t>
      </w:r>
    </w:p>
    <w:p>
      <w:r>
        <w:rPr>
          <w:b/>
        </w:rPr>
        <w:t>[Pages 19–21]</w:t>
      </w:r>
    </w:p>
    <w:p>
      <w:r>
        <w:t>BULLETIN NO. 25 OF JUNE 24, 2019 21</w:t>
        <w:br/>
        <w:t xml:space="preserve">the procedure in adversarial proceedings with any interested parties in order to protect their rights. If, in the context of this inquiry procedure, the interested parties raised the potential relevance from a competitive standpoint, in the terms indicated above, of the communication of Data to Coldiretti, such objection should be taken into account as a specific reason for confidentiality, in order to avoid any prejudice to the competitive conditions of the relevant sector. This opinion will be published in the bulletin referred to in Article 26 of Law No. 287/90. </w:t>
        <w:br/>
        <w:t xml:space="preserve">THE PRESIDENT </w:t>
        <w:br/>
        <w:t>Roberto Rustichelli</w:t>
      </w:r>
    </w:p>
    <w:p>
      <w:r>
        <w:t xml:space="preserve">22 BULLETIN NO. 25 OF JUNE 24, 2019 </w:t>
        <w:br/>
        <w:t xml:space="preserve">UNFAIR TRADE PRACTICES </w:t>
        <w:br/>
        <w:t xml:space="preserve">PS11263 - TIGER SHOP - CANCELED ORDERS </w:t>
        <w:br/>
        <w:t xml:space="preserve">Provision No. 27803 </w:t>
        <w:br/>
        <w:t xml:space="preserve">THE ANTITRUST AUTHORITY </w:t>
        <w:br/>
        <w:t xml:space="preserve">IN ITS MEETING of June 12, 2019; </w:t>
        <w:br/>
        <w:t xml:space="preserve">HEARD the Rapporteur Dr. Gabriella Muscolo; </w:t>
        <w:br/>
        <w:t xml:space="preserve">HAVING REGARD to Part II, Title III, and Part III, Title III, Chapter 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acts of the procedure; </w:t>
        <w:br/>
        <w:t xml:space="preserve">HAVING REGARD to the communication of the initiation of procedure PS11263 of May 20, 2019, aimed at verifying the existence of unfair commercial practices in violation of Articles 24, 25, letter d), 49, paragraph 1, letters h) and v), 54, paragraph 1, letter b), and 56, paragraph 1, of the Consumer Code, carried out by the company Tiger Group S.r.l.; </w:t>
        <w:br/>
        <w:t xml:space="preserve">CONSIDERED the following: </w:t>
        <w:br/>
        <w:t xml:space="preserve">I. FACT </w:t>
        <w:br/>
        <w:t xml:space="preserve">1. According to reports received by the Authority since May 2017 and based on information acquired ex officio for the application of the Consumer Code, the Party would have engaged in online product offerings through the website https://www.tigershop.it, conduct that could involve violations both in terms of unfair commercial practices (UCP) and with reference to consumer rights in contracts (CRD), specifically: </w:t>
        <w:br/>
        <w:t xml:space="preserve">a) issues in the delivery of products purchased online (non-delivery and/or products with characteristics differing from those ordered); </w:t>
        <w:br/>
        <w:t xml:space="preserve">b) untrue information regarding the legal warranty of conformity on the professional's website; </w:t>
        <w:br/>
        <w:t xml:space="preserve">c) imposition of obstacles to the exercise of certain contractual rights by consumers, such as, for example, subjecting the exercise of the right of withdrawal by consumers to acceptance; </w:t>
        <w:br/>
        <w:t xml:space="preserve">d) absence of a link to the extrajudicial dispute resolution platform (ODR). </w:t>
        <w:br/>
        <w:t xml:space="preserve">2. Based on the information acquired in the acts, on May 20, 2019, the investigative procedure PS11263 was initiated, pursuant to Article 27, paragraph 3, of the Consumer Code, as well as pursuant to Article 6 of the Regulation, in order to verify the existence of violations of Articles 24, 25 letter d), 49, paragraph 1, letters h) and v), 54, paragraph 1, letter b), and 56, paragraph 1, of the Consumer Code. </w:t>
        <w:br/>
        <w:t xml:space="preserve">3. The Party in the procedure, in the capacity of professional, is the company Tiger Group S.r.l.. </w:t>
        <w:br/>
        <w:t xml:space="preserve">4. Concurrently with the communication of the initiation of the procedure, the Party was invited, pursuant to Article 8, paragraph 2, of the Regulation, to submit written statements and documents within 10 days from its receipt, for the evaluation of the prerequisites for the provisional suspension of the practices, pursuant to Article 27, paragraph 3, of the Consumer Code. </w:t>
        <w:br/>
        <w:t xml:space="preserve">II. PARTIES' MEMORIES </w:t>
        <w:br/>
        <w:t xml:space="preserve">5. On May 28, 2019, the professional submitted a defensive memorandum to the Authority in order to provide evaluation elements regarding the provisional suspension of the activity pursuant to Article 27, paragraph 3, of the Consumer Code. Concurrently, the Party provided the requested information at the initiation of the inquiry. </w:t>
        <w:br/>
        <w:t xml:space="preserve">6. After highlighting that a large part of the issues reported by the complainants in the procedure in question would have arisen from the collaboration with third parties (primarily couriers), the professional emphasized that in the event of incidents such as the loss of the product ordered online during transit, the Party proceeds in any case to refund the amounts paid by consumers. Similarly, in the case of a different product being delivered than that indicated by the customer, Tiger Shop claims to provide "immediate collection (obviously free of charge) and replacement with the good actually requested." </w:t>
        <w:br/>
        <w:t xml:space="preserve">7. Regarding the alleged omissions of the informational obligations on the professional's website (see above, §§ 1.b, 1.c, and 1.d), Tiger Shop observes: i) that it has updated the website so that it is entirely clear that the legal warranty of conformity extends to all products for a period of 24 months; ii) regarding the exercise of the right of withdrawal subject to acceptance by the professional, that before proceeding with the request made by the customer, the company "must necessarily and preliminarily verify compliance with the conditions for exercising the right, among all whether the customer is within the terms for making the return, or to prevent potential fraud" (e.g., software tampering, etc.); iii) that on the professional's website there would be a link concerning extrajudicial dispute resolution (so-called ODR). </w:t>
        <w:br/>
        <w:t xml:space="preserve">8. Finally, the Party provided some data regarding the request for information made in the Communication of Initiation. In particular, regarding the number of orders received through the website in the period from January 1, 2018, to April 30, 2019, the Party noted that it relies on data provided by the courier, as its database would not contain the same since their retention would negatively affect the functionality of the server. Similarly, with reference to the data regarding the number of requests to exercise the right of withdrawal received in the same period, the Party limited itself to stating that this is a data it has never accounted for. Similar considerations were expressed by the Party regarding the number of orders canceled by the professional (defined as "chaotic data and not important for us") or in relation to the number of refunds made by the professional in the same time frame (data not precise as it is counted "manually"). </w:t>
        <w:br/>
        <w:t xml:space="preserve">III. EVALUATIONS </w:t>
        <w:br/>
        <w:t>9. From the perspective of fumus boni iuris, the elements described above lead to the belief that prima facie there is a violation of Articles 24, 25, letter d), 49, paragraph 1, letters h) and v), 54, paragraph 1, letter b), and 56, paragraph 1, of the Consumer Code, particularly with regard to the conduct that consists of the non-delivery of ordered and paid products (or the delivery of products with characteristics differing from those ordered) and the failure to refund consumers when they, following a series of reminders and complaints, proceed to cancel the order. Indeed, these could be entirely illegitimate obstructive conducts that have the effect of significantly limiting the exercise of contractual rights by consumers.</w:t>
      </w:r>
    </w:p>
    <w:p>
      <w:r>
        <w:rPr>
          <w:b/>
        </w:rPr>
        <w:t>[Pages 22–24]</w:t>
      </w:r>
    </w:p>
    <w:p>
      <w:r>
        <w:t xml:space="preserve">24 BULLETIN NO. 25 OF JUNE 24, 2019  </w:t>
        <w:br/>
        <w:t xml:space="preserve">10. Furthermore, based on the reports, the behavior of the professional is characterized by particular seriousness and unfairness, given that the same immediately collects, at the moment the consumer places the order, the amount to be paid, even before shipping the product and, consequently, also in those cases where the product is subsequently unavailable or its availability requires a considerable amount of time. In such cases, therefore, the professional would benefit and profit from the immediate availability of the amount paid by the consumer, shifting the risk of unavailability of the good onto the latter.  </w:t>
        <w:br/>
        <w:t xml:space="preserve">11. In this context, the responses of the Party to the reports mentioned in the Communication of Initiation appear very evasive and generic, with Tiger Shop merely stating an alleged "meticulousness" in preparing its packages for shipment, or attributing the responsibility for the issues reported by consumers apodictically to third parties (primarily couriers). No elements are highlighted by the professional regarding the correctness of their actions, nor is any proof provided regarding the resolution of the reported issues by the same professional.  </w:t>
        <w:br/>
        <w:t xml:space="preserve">12. It is also worth noting the organizational deficit that seems to characterize the activity of the Party, which becomes evident when the same Tiger Shop, in providing the requested data in the initiation communication, relating to very significant variables in the relationship with consumers, highlighted that in some cases such data regarding received orders would have been deleted from its database, necessitating retrieval through the express courier; similarly, Tiger Shop would have never collected data regarding the number of complaints and cancellations, nor that regarding the number of orders canceled by the professional (which the Party defines as "chaotic and unimportant"); concerning the data regarding refunds made, defined as "important" by the Party, the same would, however, be "manually counted," with the consequence that it could be subject to a certain margin of error.  </w:t>
        <w:br/>
        <w:t xml:space="preserve">13. In this context, it is also worth noting the indeterminacy of the arguments raised by the Party when referring to the alleged, asserted practice of refunding its customers in the event of loss of a product in transit or in response to a withdrawal request. In particular, the attached documentation, rather than providing unequivocal proof of such practice, in fact merely shows some evidence of sporadic episodes resolved by the Party favorably for the customers.  </w:t>
        <w:br/>
        <w:t xml:space="preserve">14. From the perspective of periculum in mora, it is worth noting that the behaviors described above are characterized by a high degree of offensiveness as the website www.tigershop.it is still active and, as such, capable, during the proceedings and considering the exponential growth of online sales and the characteristics of the offers advertised by the professionals (among others, IT and telephony products), of reaching a large number of consumers who could purchase the products, pay the price, not receive the goods, and find it particularly difficult and complex to have the amounts paid refunded.  </w:t>
        <w:br/>
        <w:t xml:space="preserve">15. In light of all the above, considering the current nature of the described behaviors, the website in question appears capable, during the proceedings, of inducing its visitors to make a commercial decision that they otherwise would not take, such as making purchases in the belief that they will receive the purchased products shortly, with the consequence of paying an amount for products that may not be delivered and for which the return of the amounts paid proves particularly difficult and complex.  </w:t>
        <w:br/>
        <w:t>CONSIDERED, therefore, that from the examination of the acts of the proceedings, elements emerge that support the necessity to act with particular urgency in order to prevent the aforementioned commercial practices from continuing to be carried out during the proceedings on the merits;</w:t>
      </w:r>
    </w:p>
    <w:p>
      <w:r>
        <w:t xml:space="preserve">BULLETIN NO. 25 OF JUNE 24, 2019 25  </w:t>
        <w:br/>
        <w:t xml:space="preserve">ORDERS  </w:t>
        <w:br/>
        <w:t xml:space="preserve">pursuant to Article 27, paragraph 3, of the Consumer Code and Article 8, paragraph 1, of the Regulation, that the company Tiger Group S.r.l.:  </w:t>
        <w:br/>
        <w:t xml:space="preserve">a) temporarily suspend any activity aimed at the marketing and sale of products that are unavailable or otherwise not actually ready for delivery;  </w:t>
        <w:br/>
        <w:t xml:space="preserve">b) communicate to the Authority the execution of this suspension provision and the related methods within 10 days from the receipt of this provision, sending a detailed report illustrating the measures adopted.  </w:t>
        <w:br/>
        <w:t xml:space="preserve">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  </w:t>
        <w:br/>
        <w:t>This provision will be communicated to the interested parties and published in the Bulletin of the Competition and Market Authority.</w:t>
      </w:r>
    </w:p>
    <w:p>
      <w:r>
        <w:t xml:space="preserve">26 BULLETIN NO. 25 OF JUNE 24, 2019  </w:t>
        <w:br/>
        <w:t xml:space="preserve">An appeal against this provision may be filed with the Regional Administrative Court (TAR) of Lazio, pursuant to Article 135, paragraph 1, letter b), of the Code of Administrative Procedure (Legislative Decree of July 2, 2010, No. 104), within sixty days from the date of communication of the provision itself, without prejudice to the longer terms provided for in Article 41, paragraph 5, of the Code of Administrative Procedure, or an extraordinary appeal may be submitted to the President of the Republic, pursuant to Article 8 of the Decree of the President of the Republic of November 24, 1971, No. 1199, within one hundred and twenty days from the date of communication of the provision itself.  </w:t>
        <w:br/>
        <w:t xml:space="preserve">It is reminded that, pursuant to Article 8, paragraph 4, of the Regulation, this suspension decision must be immediately executed by the professionals and that the appeal against the suspension provision of the Authority does not suspend its execution.  </w:t>
        <w:br/>
        <w:t xml:space="preserve">THE SECRETARY GENERAL THE PRESIDENT  </w:t>
        <w:br/>
        <w:t>Filippo Arena Roberto Rustichelli</w:t>
      </w:r>
    </w:p>
    <w:p>
      <w:r>
        <w:rPr>
          <w:b/>
        </w:rPr>
        <w:t>[Pages 25–27]</w:t>
      </w:r>
    </w:p>
    <w:p>
      <w:r>
        <w:t>BULLETIN NO. 25 OF JUNE 24, 2019 27</w:t>
        <w:br/>
        <w:t>PS11425 - TECNO TRADE-ONLINE SALES</w:t>
        <w:br/>
        <w:t>Provision No. 27804</w:t>
        <w:br/>
        <w:t>THE ANTITRUST AUTHORITY</w:t>
        <w:br/>
        <w:t>IN ITS MEETING of June 12, 2019;</w:t>
        <w:br/>
        <w:t>HEARD the Rapporteur Dr. Gabriella Muscolo;</w:t>
        <w:br/>
        <w:t>VIEWED Part II, Title III, and Part III, Title III, Chapter 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documents of the proceeding;</w:t>
        <w:br/>
        <w:t>VIEWED the communication initiating proceeding PS11425 of May 16, 2019, aimed at verifying the existence of unfair commercial practices in violation of Articles 24, 25 letter, 49, paragraph 1, letters e) and h), 54, paragraph 1, 56, paragraph 1, 61, paragraph 1, and 66-bis of the Consumer Code, carried out by the company Tecnotrade S.r.l.s. (VAT No. 14164221005);</w:t>
        <w:br/>
        <w:t>CONSIDERED the following:</w:t>
        <w:br/>
        <w:t>I. FACT</w:t>
        <w:br/>
        <w:t>1. According to the 10 reports received by the Authority since February 2019, and based on some information acquired ex officio for the application of the Consumer Code, the party would have engaged in conduct in the online offering of products through the website www.tecnotradeshop.it, which could involve violations both in terms of unfair commercial practices (UCP) and with reference to consumer rights in contracts (CRD), specifically:</w:t>
        <w:br/>
        <w:t>a) a consumer purchased a mobile phone on the professional's website on February 1, 2019, simultaneously proceeding with payment via credit card. Despite the immediate withdrawal of the agreed amount (€725), the good was not delivered despite complaints and requests made to the professional;</w:t>
        <w:br/>
        <w:t>b) a buyer ordered and paid for a smartphone without having received it. Upon contacting the professional, they received vague and unconvincing explanations regarding the reason for the delay. Upon expressing the intention to withdraw from the contract, they are still waiting to receive a refund of the amount paid;</w:t>
        <w:br/>
        <w:t>c) another buyer ordered and paid for two different products on January 16, 2019, and subsequently, after the delivery deadlines had passed, requested a refund of the amount paid without receiving any response;</w:t>
        <w:br/>
        <w:t>d) a consumer ordered and paid for three Apple Airpods devices and, only after numerous complaints, managed to obtain partial delivery of the goods subject to the purchase;</w:t>
        <w:br/>
        <w:t>1 Report prot.21104 of 02/28/2019.</w:t>
        <w:br/>
        <w:t>2 Report prot.26633 of 03/28/2019.</w:t>
        <w:br/>
        <w:t>3 Report prot.28665 of 04/05/2019.</w:t>
        <w:br/>
        <w:t>4 Report prot.29195 of 04/08/2019.</w:t>
      </w:r>
    </w:p>
    <w:p>
      <w:r>
        <w:t>28 BULLETIN NO. 25 OF JUNE 24, 2019</w:t>
        <w:br/>
        <w:t>e) another consumer, on February 6, 2019, registered on the professional's website and purchased an iPhone X 256Gb at the price of €865.00 via credit card. On February 19, 2019, she requested information regarding the shipment of the phone, receiving the response that the delivery time was expected to be 15/20 working days. Subsequently, on March 15, 2019, following a reminder and various phone calls, the buyer received an email informing her that if she did not receive the ordered item by the following week, she would be entitled to a refund of the amount paid. On March 30, 2019, and on April 4, 2019, she sent two further emails to inquire about the ordered item without receiving any response. Subsequent attempts to contact the company by phone were unsuccessful as the line appeared to be disconnected;</w:t>
        <w:br/>
        <w:t>f) finally, a buyer ordered and paid for a Samsung S9 smartphone. Given the prolonged delivery times, he formally requested the professional to deliver the item in question or refund the amount paid without receiving any response.</w:t>
        <w:br/>
        <w:t>2. Further checks carried out on the party's website revealed some omissions of the pre-contractual information obligations, which burden the professional in the case of distance negotiated contracts, capable of inducing consumers to make commercial decisions that they would not otherwise take. In particular:</w:t>
        <w:br/>
        <w:t>a) the prices of the products are not published despite the "Terms and Conditions of Sale" stating: "7.1 All sale prices of the products displayed and indicated within the website www.tecnotradeshop.it are expressed in euros and constitute an offer to the public pursuant to Article 1336 of the Civil Code";</w:t>
        <w:br/>
        <w:t>b) in the information concerning the exercise of the right of withdrawal (available on the "Returns, Withdrawals and Refunds" page), there is no form for exercising the right of withdrawal, while it is provided that those wishing to withdraw must send a registered letter with acknowledgment of receipt to the professional indicating their intention;</w:t>
        <w:br/>
        <w:t>c) in the section dedicated to the right of withdrawal, it states: "5.2 Any refund to the Buyer will be credited using one of the methods proposed by the Seller and chosen by the Buyer, promptly and, in the event of exercising the right of withdrawal, (…), no later than 30 days from the date on which the Seller became aware of the withdrawal itself."</w:t>
        <w:br/>
        <w:t>The professional, finally, does not indicate the competent court in case of dispute.</w:t>
        <w:br/>
        <w:t>3. Based on the information acquired in the documents, on May 16, 2019, the investigative proceeding PS11425 was initiated, pursuant to Article 27, paragraph 3, of the Consumer Code, as well as pursuant to Article 6 of the Regulation, in order to verify the existence of violations of Articles 24, 25, letter, 49, paragraph 1, letters e) and h), 54, paragraph 1, 56, paragraph 1, 61, paragraph 1, and 66-bis of the Consumer Code.</w:t>
        <w:br/>
        <w:t>4. The party to the proceeding, in the capacity of professional, is the company Tecnotrade S.r.l.s..</w:t>
        <w:br/>
        <w:t>5. Concurrently with the communication initiating the proceeding, the Party was invited, pursuant to Article 8, paragraph 2, of the Regulation, to submit written statements and documents within 10 days of receipt, for the evaluation of the prerequisites for the provisional suspension of the practices, pursuant to Article 27, paragraph 3, of the Consumer Code.</w:t>
        <w:br/>
        <w:t>5 Report prot.31977 of 04/19/2019.</w:t>
        <w:br/>
        <w:t>6 Report prot.33451 of 05/02/2019.</w:t>
        <w:br/>
        <w:t>7 Cf. Minutes of document acquisition of May 9, 2019 "Product sheet example".</w:t>
        <w:br/>
        <w:t>8 Cf. Minutes of document acquisition of May 9, 2019 "Terms and Conditions of Sale".</w:t>
        <w:br/>
        <w:t>9 Cf. Minutes of document acquisition of May 9, 2019 "Terms and Conditions of Sale".</w:t>
      </w:r>
    </w:p>
    <w:p>
      <w:r>
        <w:t>BULLETIN NO. 25 OF JUNE 24, 2019 29</w:t>
        <w:br/>
        <w:t>6. The professional did not provide any response despite the communication initiating the proceeding being correctly notified via Certified Electronic Mail (prot. No. 36558 of May 20, 2019).</w:t>
        <w:br/>
        <w:t>II. EVALUATIONS</w:t>
        <w:br/>
        <w:t>7. From the perspective of fumus boni iuris, the elements described above lead to the conclusion that the violations of the Consumer Code contested in the initiation communication are prima facie present, particularly with regard to the conduct consisting of the failure to deliver the ordered and paid products, which then transforms into the failure to refund after consumers, following a series of reminders and complaints, proceed to cancel the order. Indeed, it could involve obstructive conduct that is entirely illegitimate and has the effect of significantly limiting the exercise of contractual rights by consumers.</w:t>
        <w:br/>
        <w:t>8. Furthermore, based on what emerges from the reports, the behavior of the professional is characterized by particular seriousness and unfairness as he immediately collects, already at the moment the consumer places the order, the amount to be paid, even before shipping the product and, consequently, also in those cases where the product is subsequently unavailable or its availability takes a long time. In such cases, therefore, the professional would benefit and profit from the immediate availability of the amount paid by the consumer, shifting the risk of unavailability of the good onto the consumer.</w:t>
        <w:br/>
        <w:t>9. From the perspective of periculum in mora, it is worth noting that the conduct described above is characterized by a high degree of offensiveness as the website www.tecnotradeshop.it is still active and as such capable, during the course of the proceeding - also considering the exponential growth of online sales and the characteristics of the advertised offer - of reaching a large number of consumers who could purchase the products, pay the price, not receive the goods, and not manage to have the amounts paid refunded.</w:t>
        <w:br/>
        <w:t>10. In light of all the above, considering the current nature of the described conduct, the website in question appears capable, during the course of the proceeding, of inducing visitors to make a commercial decision that they would not otherwise take, such as making purchases in the belief that they will receive the purchased products shortly, with the consequence of paying an amount for products that may not be delivered and for which the return of the amounts paid is particularly difficult and complex.</w:t>
        <w:br/>
        <w:t>CONSIDERED, therefore, that from the examination of the documents of the proceeding, elements emerge that support the need to act with particular urgency in order to prevent the above-described commercial practices from continuing to be carried out during the course of the substantive proceeding;</w:t>
        <w:br/>
        <w:t>ORDERS</w:t>
        <w:br/>
        <w:t>pursuant to Article 27, paragraph 3, of the Consumer Code and Article 8, paragraph 1, of the Regulation, that the company Tecnotrade S.r.l.s.:</w:t>
        <w:br/>
        <w:t>a) provisionally suspend any activity aimed at the marketing and sale of unavailable products or otherwise not actually ready for delivery;</w:t>
        <w:br/>
        <w:t>b) communicate to the Authority the execution of this suspension provision and the related methods within 10 days of receipt of this provision, sending a detailed report in which the measures adopted are illustrated.</w:t>
      </w:r>
    </w:p>
    <w:p>
      <w:r>
        <w:rPr>
          <w:b/>
        </w:rPr>
        <w:t>[Pages 28–30]</w:t>
      </w:r>
    </w:p>
    <w:p>
      <w:r>
        <w:t>30 BULLETIN NO. 25 OF JUNE 24, 2019</w:t>
        <w:br/>
        <w:t>Pursuant to Article 27, paragraph 12, of the Consumer Code, in the event of non-compliance with this resolution, the Authority applies an administrative pecuniary sanction from €10,000 to €5,000,000. In cases of repeated non-compliance, the Authority may order the suspension of business activities for a period not exceeding thirty days. This provision will be communicated to the interested parties and published in the Bulletin of the Competition and Market Authority. An appeal against this provision may be filed with the Regional Administrative Court (TAR) of Lazio, pursuant to Article 135, paragraph 1, letter b), of the Code of Administrative Procedure (Legislative Decree of July 2, 2010, No. 104), within sixty days from the date of communication of the provision itself, without prejudice to the longer terms provided for in Article 41, paragraph 5, of the Code of Administrative Procedure, or an extraordinary appeal may be submitted to the President of the Republic, pursuant to Article 8 of the Decree of the President of the Republic of November 24, 1971, No. 1199, within one hundred and twenty days from the date of communication of the provision itself. It is reminded that, pursuant to Article 8, paragraph 4, of the Regulation, this suspension decision must be executed immediately by the professionals and that the appeal against the Authority's suspension provision does not suspend its execution.</w:t>
        <w:br/>
        <w:t>THE SECRETARY GENERAL THE PRESIDENT</w:t>
        <w:br/>
        <w:t>Filippo Arena Roberto Rustichelli</w:t>
      </w:r>
    </w:p>
    <w:p>
      <w:r>
        <w:t>BULLETIN NO. 25 OF JUNE 24, 2019 31</w:t>
        <w:br/>
        <w:t>UNFAIR CLAUSES</w:t>
        <w:br/>
        <w:t>CV170B - ITALIAN GROUP - PARTIRIPARTI</w:t>
        <w:br/>
        <w:t>Provision No. 27797</w:t>
        <w:br/>
        <w:t>THE COMPETITION AND MARKET AUTHORITY</w:t>
        <w:br/>
        <w:t>IN ITS MEETING of June 5, 2019;</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documents of the procedure;</w:t>
        <w:br/>
        <w:t>CONSIDERED the following:</w:t>
        <w:br/>
        <w:t>I. THE PARTY</w:t>
        <w:br/>
        <w:t>1. Gruppo Italiano S.r.l. (hereinafter, Gruppo Italiano), as a professional, pursuant to Article 3 of the Consumer Code. This company is active in the tourism services sector.</w:t>
        <w:br/>
        <w:t>II. THE CLAUSE SUBJECT TO EVALUATION</w:t>
        <w:br/>
        <w:t>Clause on the right of withdrawal</w:t>
        <w:br/>
        <w:t>2. The clause transcribed below from Article 5 of the General Conditions applicable to contracts relating to long-term holiday products offered by the professional is subject to evaluation in this proceeding:</w:t>
        <w:br/>
        <w:t>"The Buyer is informed that within 14 (fourteen) days from the signing of this contract, they will have the right to withdraw as provided for by Article 73 of Legislative Decree No. 79/2011. This right must be exercised by sending a registered letter to the Seller at P.zza del Sindacato, 5 - 35010 Cadoneghe (PD). In case of withdrawal, the Buyer will not be required to pay any costs or penalties but agrees to pay only the documented expenses incurred for the conclusion of this contract, quantified at €249 (two hundred forty-nine/00) and related charges to be strictly fulfilled before the expiration of the withdrawal period, quantified at 10% of the purchase price of the holiday package."</w:t>
        <w:br/>
        <w:t>3. It should be noted that the clause in question is included in a contract relating to a long-term holiday product, that is, in a "contract of more than one year under which a consumer acquires for a fee essentially the right to obtain discounts or other benefits regarding accommodation, separately or together with travel or other services" according to the definition set forth in Article 69, paragraph 1, letter b), of the Consumer Code (as replaced by Article 2 of Legislative Decree No. 79 of May 23, 2011, containing the Code of state regulations on the organization and market of tourism, as well as the implementation of Directive 2008/122/EC concerning timeshare contracts, contracts relating to long-term holiday products, resale and exchange contracts).</w:t>
      </w:r>
    </w:p>
    <w:p>
      <w:r>
        <w:t>32 BULLETIN NO. 25 OF JUNE 24, 2019</w:t>
        <w:br/>
        <w:t>III. THE INVESTIGATIVE FINDINGS</w:t>
        <w:br/>
        <w:t>a) The procedure's process</w:t>
        <w:br/>
        <w:t>a.1) Pre-investigative activities and initiation of the procedure</w:t>
        <w:br/>
        <w:t>4. Based on reports from some consumers, the information transmitted by the professional on July 23, August 1, and October 12, 2018 - in response to the request for information sent by the Authority - on January 28, 2019, the investigative procedure CV170 B - Gruppo Italiano "Partiriparti" was initiated against the company Gruppo Italiano S.r.l..</w:t>
        <w:br/>
        <w:t>5. This initiation follows a preliminary activity of moral suasion, conducted during 2017, towards the operator, who communicated that they had not applied the contested clause and had adopted a new text of Article 5 of the General Conditions of contract from which any reference to the payment of a penalty in case of withdrawal was removed.</w:t>
        <w:br/>
        <w:t>6. However, from the reports in the documents, it emerged that Article 5 in the contested formulation continued to be included in the contractual forms.</w:t>
        <w:br/>
        <w:t>7. Therefore, in the communication of the initiation of the procedure, it was represented to Gruppo Italiano that the clause referred to in Article 5 of the General Conditions of contract could be deemed unfair pursuant to Articles 33, paragraph 1, and 35, paragraph 1, of the Consumer Code, as it could create a significant imbalance in the rights and obligations arising from the contract to the detriment of the consumer, as well as being deficient in terms of clarity and comprehensibility.</w:t>
        <w:br/>
        <w:t>a.2) The procedure</w:t>
        <w:br/>
        <w:t>8. Concurrently with the communication of the initiation of the procedure, pursuant to Article 12, paragraph 1, of the Regulation, a request for information was addressed to Gruppo Italiano, to which the professional did not respond.</w:t>
        <w:br/>
        <w:t>9. The Authority was informed in its meeting of February 13, 2019, pursuant to Article 23, paragraph 6, of the Regulation, and on February 15, 2019, the consultation referred to in Article 37-bis, paragraph 1, of the Consumer Code was ordered, publishing for 30 days on the Authority's official website (www.agcm.it) a notice and the contractual clause subject to contestation. The consultation was participated in by a consumer and the consumer association Codacons, who submitted their contributions.</w:t>
        <w:br/>
        <w:t>10. On April 4, 2019, the date of conclusion of the investigative phase was communicated to Gruppo Italiano pursuant to Article 16, paragraph 1, of the Regulation.</w:t>
        <w:br/>
        <w:t>11. Gruppo Italiano did not carry out any defensive activity.</w:t>
        <w:br/>
        <w:t>b) The outcomes of the consultation on the Authority's website</w:t>
        <w:br/>
        <w:t>12. In the context of the consultation referred to in Article 37-bis, paragraph 1, of the Consumer Code, Codacons submitted its contribution, agreeing with the Authority's contestation regarding the possible unfairness of the clause subject to the procedure.</w:t>
      </w:r>
    </w:p>
    <w:p>
      <w:r>
        <w:rPr>
          <w:b/>
        </w:rPr>
        <w:t>[Pages 31–33]</w:t>
      </w:r>
    </w:p>
    <w:p>
      <w:r>
        <w:t>BULLETIN NO. 25 OF JUNE 24, 2019 33</w:t>
        <w:br/>
        <w:t>IV. CONCLUDING ASSESSMENTS</w:t>
        <w:br/>
        <w:t>13. The assessments that follow concern the clause indicated in point II of this provision, which presents profiles of unfairness pursuant to the provisions of Articles 33, paragraph 1, and 35, paragraph 1, of the Consumer Code.</w:t>
      </w:r>
    </w:p>
    <w:p>
      <w:r>
        <w:t>It is worth noting, first of all, that the regulations regarding contracts related to long-term holiday products provide, among the consumer protection tools, the right to complete and transparent information during the pre-contractual phase pursuant to Article 71 of the Consumer Code, as well as the right of withdrawal pursuant to Article 73 of the same Code. This provision, in particular, grants the consumer a period of 14 days, natural and consecutive, to withdraw, without specifying the reason, from the contract, with the period starting from the conclusion of the contract. According to the subsequent Article 74, paragraph 4, the consumer exercising the right of withdrawal incurs no costs, is not required to pay any penalties, nor is liable for the value corresponding to any service rendered prior to the withdrawal.</w:t>
      </w:r>
    </w:p>
    <w:p>
      <w:r>
        <w:t>14. It is also recalled that, as reiterated by the Court of Justice of the European Union in recent rulings, the consumer protection system regarding unfair clauses established by Directive 93/13/EEC – the transposition of which is currently contained in Articles 33 and following of the Consumer Code – is based on the assumption that “the consumer finds himself in a position of inferiority compared to the professional regarding both the power in negotiations and the level of information, a situation that leads him to adhere to the conditions set without being able to influence their content.”</w:t>
      </w:r>
    </w:p>
    <w:p>
      <w:r>
        <w:t>15. Regarding the clarity and transparency that must necessarily inspire the drafting of contractual clauses, European jurisprudence has repeatedly reaffirmed the principle of extensive interpretation of the duty of information and transparency. The Court has established that this obligation operates not only on a merely formal and lexical level but also on an informational level, in the sense that the clauses, in correlation with each other, must allow the consumer to understand and evaluate, based on precise and intelligible criteria, the consequences that arise from adherence to the contract, even on an economic level.</w:t>
      </w:r>
    </w:p>
    <w:p>
      <w:r>
        <w:t>16. The clause referred to in point II of this provision first excludes the payment of charges or penalties by the consumer exercising the right of withdrawal concerning a contract related to long-term holiday products and then provides, for this eventuality, the right of the professional to retain an amount for expenses and charges, equal to €249 plus 10% of the price of the tourist service. In other words, this provision, in addition to improperly referencing Article 73 of Legislative Decree No. 79 of May 23, 2011 – which does not exist – confusingly presents the consequences of exercising a consumer's right, as it, although abstractly excluding the payment of charges or penalties by the purchaser, in practice burdens him with documented expenses incurred for the conclusion of the contract, as well as other charges, thus imposing a severe limitation on the contractual right recognized by Articles 73 and following of the Consumer Code.</w:t>
      </w:r>
    </w:p>
    <w:p>
      <w:r>
        <w:t>17. This clause is in conflict with Article 35, paragraph 1, of the Consumer Code as it is drafted with an intrinsically contradictory content, capable of generating confusion among consumers regarding the identification of the consequences of exercising the right of withdrawal, in violation of the provision of Article 74, paragraph 4, of the Consumer Code, according to which the consumer wishing to withdraw is not required to pay any expenses. In this regard, reference is made to the jurisprudence of the Court of Justice and that of national judges in the sense of considering unfair those obscure and incomprehensible clauses which, as such, alter the contractual balance of the legal relationship between the professional and the consumer, resulting in a significant contractual imbalance. This clause is also capable of creating a significant imbalance of rights and obligations arising from the contract for the consumer, as it imposes a cost on the consumer in the event of withdrawal, thereby nullifying the exercise of an essential contractual right established by the Consumer Code to protect consumers.</w:t>
      </w:r>
    </w:p>
    <w:p>
      <w:r>
        <w:t>18. In light of the aforementioned considerations, the clause in question is deemed unfair pursuant to Article 33, paragraph 1, and Article 35, paragraph 1, of the Consumer Code.</w:t>
      </w:r>
    </w:p>
    <w:p>
      <w:r>
        <w:t>CONSIDERED, therefore, based on the above considerations, that the clause described in point II of this provision is unfair pursuant to Article 33, paragraph 1, and Article 35, paragraph 1, of the Consumer Code;</w:t>
      </w:r>
    </w:p>
    <w:p>
      <w:r>
        <w:t>CONSIDERED that, pursuant to Article 37-bis, paragraph 2, of the Consumer Code and Article 23, paragraph 8, of the Regulation, the publication of an extract of this provision is required to fully inform consumers of the unfairness of the clause subject to this assessment on the Authority's website and that of the Party;</w:t>
      </w:r>
    </w:p>
    <w:p>
      <w:r>
        <w:t>CONSIDERED appropriate the duration of the aforementioned publication equal to twenty days and that there are no particular factual and legal elements to order further measures to inform consumers;</w:t>
      </w:r>
    </w:p>
    <w:p>
      <w:r>
        <w:t xml:space="preserve">RESOLVES </w:t>
        <w:br/>
        <w:t>that the clause referred to in Article 5 of the General Terms and Conditions of Contract, applicable to contracts related to long-term holiday products offered by the company Gruppo Italiano S.r.l., described in point II of this provision, constitutes a case of an unfair clause pursuant to Articles 33, paragraph 1, and 35, paragraph 1, of the Consumer Code for the reasons and within the limits stated in the motivation.</w:t>
      </w:r>
    </w:p>
    <w:p>
      <w:r>
        <w:t xml:space="preserve">DISPOSES </w:t>
        <w:br/>
        <w:t xml:space="preserve">a) that the company Gruppo Italiano S.r.l. publishes, at its own expense, an extract of the provision, pursuant to Article 37-bis of the Consumer Code and Article 21, paragraph 8, of the Regulation, according to the following modalities: </w:t>
        <w:br/>
        <w:t xml:space="preserve">1) the text of the extract of the provision is that reported in the annex to this provision; </w:t>
        <w:br/>
        <w:t xml:space="preserve">2) the text of the extract of the provision must be published for thirty consecutive days on the homepage of the websites http://www.partiriparti.it/ and http://www.agenziaviaggipartiripartipadova.it/ with adequate graphic prominence and in a position on the web page that does not require the consumer to scroll, within twenty days from the communication of the adoption of this provision; </w:t>
        <w:br/>
        <w:t xml:space="preserve">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websites http://www.agenziaviaggipartiripartipadova.it/ and http://www.partiriparti.it/; </w:t>
        <w:br/>
        <w:t>c) that the publication must fully reflect the setting, structure, and appearance of the extract attached to this provision; the writing, printing, and dissemination methods must not be such as to nullify the effects of the publication; in particular, on the page of the website publishing the extract, as well as on the remaining pages, there must not be messages that conflict with the content of the extract or that tend to diminish its scope and meaning.</w:t>
      </w:r>
    </w:p>
    <w:p>
      <w:r>
        <w:t>Pursuant to Article 37-bis, paragraph 2, of the Consumer Code, in case of non-compliance, the Authority applies an administrative pecuniary sanction from €5,000 to €50,000.</w:t>
      </w:r>
    </w:p>
    <w:p>
      <w:r>
        <w:t>An appeal against this provision may be filed with the TAR of Lazio, pursuant to Article 37-bis, paragraph 4, and Article 135, paragraph 1, letter b), of the Code of Administrative Procedure (Legislative Decree of July 2, 2010, No. 104), within sixty days from the date of communication of the same, without prejudice to the longer terms provided for in Article 41, paragraph 5, of the Code of Administrative Procedure, or an extraordinary appeal may be submitted to the President of the Republic pursuant to Article 8 of the Decree of the President of the Republic of November 24, 1971, No. 1199 within one hundred and twenty days from the date of communication of the provision itself.</w:t>
      </w:r>
    </w:p>
    <w:p>
      <w:r>
        <w:t>This provision will be communicated to the interested parties and published in the Bulletin of the Authority for the Competition and the Market.</w:t>
      </w:r>
    </w:p>
    <w:p>
      <w:r>
        <w:t>The extract of the provision will also be published, within twenty days from the communication of its adoption, in a specific section of the institutional website of the Authority.</w:t>
      </w:r>
    </w:p>
    <w:p>
      <w:r>
        <w:t xml:space="preserve">THE SECRETARY GENERAL THE PRESIDENT </w:t>
        <w:br/>
        <w:t>Filippo Arena Roberto Rustichelli</w:t>
      </w:r>
    </w:p>
    <w:p>
      <w:r>
        <w:rPr>
          <w:b/>
        </w:rPr>
        <w:t>[Pages 34–36]</w:t>
      </w:r>
    </w:p>
    <w:p>
      <w:r>
        <w:t>36 BULLETIN NO. 25 OF JUNE 24, 2019</w:t>
      </w:r>
    </w:p>
    <w:p>
      <w:r>
        <w:t>BULLETIN NO. 25 OF JUNE 24, 2019 37</w:t>
        <w:br/>
        <w:t>CV170B – ITALIAN GROUP – PARTIRIPARTI</w:t>
        <w:br/>
        <w:t>Annex to provision No. 27797</w:t>
        <w:br/>
        <w:t>Annex to the provision of the Antitrust Authority of June 5, 2019 regarding administrative protection against unfair clauses pursuant to Article 37 bis of the Consumer Code.</w:t>
        <w:br/>
        <w:t>On January 28, 2019, the procedure CV170 B – Italian Group – Partiriparti was initiated against Gruppo Italiano S.r.l. for the alleged unfairness of the clause contained in Article 5 of the contractual model submitted for acceptance by consumers wishing to use the long-term holiday products provided by the Professional.</w:t>
        <w:br/>
        <w:t>[omissis]</w:t>
        <w:br/>
        <w:t>Clause on the right of withdrawal</w:t>
        <w:br/>
        <w:t>2. The clause transcribed below from Article 5 of the General Conditions applicable to contracts relating to long-term holiday products offered by the professional is subject to evaluation in this procedure:</w:t>
        <w:br/>
        <w:t>“The Buyer is informed that within 14 (fourteen) days from the signing of this contract, they will have the right to withdraw as provided for by Article 73 of Legislative Decree No. 79/2011. This right must be exercised by sending a registered letter to the Seller at P.zza del Sindacato, 5 - 35010 Cadoneghe (PD). In case of withdrawal, the Buyer will not be required to pay any costs or penalties but agrees to pay only the documented expenses incurred for the conclusion of this contract, quantified at € 249 (two hundred forty-nine/00) and related charges to be strictly fulfilled before the expiration of the withdrawal period, quantified at 10% of the purchase price of the holiday package.”</w:t>
        <w:br/>
        <w:t>[omissis]</w:t>
        <w:br/>
        <w:t>16. The clause [omissis] initially excludes the payment of charges or penalties by the consumer exercising the right of withdrawal [omissis] and then provides, for this eventuality, the right of the professional to retain an amount for expenses and charges, equal to € 249 plus 10% of the price of the tourist service.</w:t>
        <w:br/>
        <w:t>[omissis]</w:t>
        <w:br/>
        <w:t>17. This clause is found to be [omissis] drafted with an intrinsically contradictory content, such as to create confusion among consumers regarding the identification of the consequences of exercising the right of withdrawal, in violation of the provision of Article 74, paragraph 4, of the Consumer Code, according to which the consumer wishing to withdraw is not required to pay any expenses.</w:t>
        <w:br/>
        <w:t>Such a clause is also capable of creating a significant imbalance in the rights and obligations arising from the contract for the consumer, as it imposes a cost on the consumer in the event of withdrawal, undermining the exercise of an essential contractual right established by the Consumer Code for the protection of consumers.</w:t>
      </w:r>
    </w:p>
    <w:p>
      <w:r>
        <w:t>38 BULLETIN NO. 25 OF JUNE 24, 2019</w:t>
        <w:br/>
        <w:t>[omissis]</w:t>
        <w:br/>
        <w:t>CONSIDERED, therefore, based on the aforementioned considerations, that the clause described in point II of this provision is unfair pursuant to Article 33, paragraph 1, and Article 35, paragraph 1, of the Consumer Code;</w:t>
        <w:br/>
        <w:t>[omissis]</w:t>
        <w:br/>
        <w:t>RESOLVES</w:t>
        <w:br/>
        <w:t>that the clause referred to in Article 5 of the General Conditions of contract, applicable to contracts relating to long-term holiday products offered by the company Gruppo Italiano S.r.l., described in point II of this provision, constitutes an instance of an unfair clause pursuant to Articles 33, paragraph 1, and 35, paragraph 1, of the Consumer Code for the reasons and within the limits set forth in the motivation.</w:t>
        <w:br/>
        <w:t>[omissis]</w:t>
      </w:r>
    </w:p>
    <w:p>
      <w:r>
        <w:rPr>
          <w:b/>
        </w:rPr>
        <w:t>[Pages 37–39]</w:t>
      </w:r>
    </w:p>
    <w:p>
      <w:r>
        <w:t>BULLETIN NO. 25 OF JUNE 24, 2019 39</w:t>
        <w:br/>
        <w:t>CONFLICT OF INTEREST</w:t>
        <w:br/>
        <w:t>SI867C – PAOLO FOIETTA - FORMER EXTRAORDINARY COMMISSIONER FOR THE</w:t>
        <w:br/>
        <w:t>TORINO-LYON RAILWAY CORRIDOR – POST OFFICE OPINION</w:t>
        <w:br/>
        <w:t>Rome, May 27, 2019</w:t>
        <w:br/>
        <w:t>Subject: request for an opinion regarding the regime of post-office incompatibilities pursuant to</w:t>
        <w:br/>
        <w:t>Article 2, paragraph 4, of Law No. 215 of July 20, 2004, containing "Rules on the resolution of</w:t>
        <w:br/>
        <w:t>conflicts of interest," received on April 3, 2019.</w:t>
        <w:br/>
        <w:t>Dear Architect,</w:t>
        <w:br/>
        <w:t>on April 3, 2019, a note was received by the Authority in which you request an opinion on the</w:t>
        <w:br/>
        <w:t>compatibility between the position of Extraordinary Government Commissioner for the Torino-Lyon</w:t>
        <w:br/>
        <w:t>railway corridor, held by you until February 14, 2019, and the assumption of a position of</w:t>
        <w:br/>
        <w:t>"highly professional collaboration to support the President of the Regional Council," conferred to you</w:t>
        <w:br/>
        <w:t>by the Piedmont Region under the resolution of the Regional Council of March 1, 2019, No. 1-8466.</w:t>
        <w:br/>
        <w:t>In relation to this request, the Authority, in its meeting on April 30, 2019, resolved the following</w:t>
        <w:br/>
        <w:t>opinion.</w:t>
        <w:br/>
        <w:t>The case in question falls under Article 2, paragraph 1, letter d) of Law No. 215 of July 20, 2004,</w:t>
        <w:br/>
        <w:t>a provision referenced by Article 2, paragraph 4, of the same law, according to which "the</w:t>
        <w:br/>
        <w:t>incompatibility provided for by the provisions of letters b), c) and d) of paragraph 1 lasts for twelve</w:t>
        <w:br/>
        <w:t>months from the end of the government position with respect to public law entities, including</w:t>
        <w:br/>
        <w:t>economic ones, as well as to profit-making companies that operate predominantly in sectors related</w:t>
        <w:br/>
        <w:t>to the position held."</w:t>
        <w:br/>
        <w:t>The investigation into the elements of connection and prevalence, referred to in Article 2, paragraph 4,</w:t>
        <w:br/>
        <w:t>second sentence, of Law No. 215 of July 20, 2004, aims to verify what the predominant sectors of</w:t>
        <w:br/>
        <w:t>activity of the companies or entities in favor of which or at which the position must be carried out are,</w:t>
        <w:br/>
        <w:t>investigating whether there are, for such activities, profiles of connection with the functions and</w:t>
        <w:br/>
        <w:t>institutional competencies of the office holder.</w:t>
        <w:br/>
        <w:t>The assessment focuses on the abstract analysis of the attributions of the government position,</w:t>
        <w:br/>
        <w:t>ascertaining its suitability to involve those same sectors in which the company or entity operates</w:t>
        <w:br/>
        <w:t>predominantly, also verifying whether there may be, in fact, a link between the attributions of the</w:t>
        <w:br/>
        <w:t>office holder and the entity or company concerned (for example, through the power to appoint</w:t>
        <w:br/>
        <w:t>management or as a result of previous contractual relationships of the company or entity with the</w:t>
        <w:br/>
        <w:t>relevant ministry).</w:t>
        <w:br/>
        <w:t>In this case, the distinguishing element has been identified in the continuity between, on one hand,</w:t>
        <w:br/>
        <w:t>your previous functions as Extraordinary Government Commissioner for the Torino-Lyon railway</w:t>
        <w:br/>
        <w:t>corridor and as President of the Observatory, and on the other hand, the position concerning the</w:t>
        <w:br/>
        <w:t>"collaboration to support the functions of the President of the Regional Council in the activities of</w:t>
        <w:br/>
        <w:t>updating and strategic oversight of the issue 'adjustment of the Torino-Lyon railway corridor.'"</w:t>
        <w:br/>
        <w:t>This relationship of continuity, expressly referenced among the reasons for the conferment of the</w:t>
        <w:br/>
        <w:t>consultancy position mentioned in the request for an opinion, therefore integrates the elements of</w:t>
        <w:br/>
        <w:t>connection and prevalence required by Article 2, paragraph 4, Law No. 215 of July 20, 2004, for the</w:t>
        <w:br/>
        <w:t>integration of a situation of post-office incompatibility.</w:t>
        <w:br/>
        <w:t>Based on the considerations outlined above, it must therefore be concluded that there is</w:t>
        <w:br/>
        <w:t>incompatibility between the position conferred to you by the Piedmont Region under the resolution of</w:t>
        <w:br/>
        <w:t>the Regional Council of March 1, 2019, No. 1-8466 and the position of Extraordinary Government</w:t>
        <w:br/>
        <w:t>Commissioner for the Torino-Lyon railway corridor, held by you until February 14, 2019.</w:t>
        <w:br/>
        <w:t>It is noted that this opinion, pursuant to Article 23, second paragraph of the Regulation on</w:t>
        <w:br/>
        <w:t>conflicts of interest, is subject to publication in the Authority's bulletin, except for "any</w:t>
        <w:br/>
        <w:t>confidentiality needs duly represented."</w:t>
        <w:br/>
        <w:t>You are therefore requested to communicate to this Authority, within 15 days from the receipt of</w:t>
        <w:br/>
        <w:t>the opinion, the existence of any confidentiality needs, providing specific reasons for them.</w:t>
        <w:br/>
        <w:t>Best regards.</w:t>
        <w:br/>
        <w:t>THE SECRETARY GENERAL</w:t>
        <w:br/>
        <w:t>Filippo Arena</w:t>
      </w:r>
    </w:p>
    <w:p>
      <w:r>
        <w:t>Authority for the Guarantee of Competition and Market Weekly Bulletin</w:t>
        <w:br/>
        <w:t>Year XXIX - No. 25 - 2019</w:t>
        <w:br/>
        <w:t>Editorial Coordination Giulia Antenucci</w:t>
        <w:br/>
        <w:t>Editorial Staff Sandro Cini, Valerio Ruocco, Simonetta Schettini,</w:t>
        <w:br/>
        <w:t>Manuela Villani</w:t>
        <w:br/>
        <w:t>Authority for the Guarantee of Competition and Market</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