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https://www.agcm.it/dotcmsdoc/bollettini/2022/25-22.pdf</w:t>
      </w:r>
    </w:p>
    <w:p>
      <w:r>
        <w:t>Pages translated : 54</w:t>
      </w:r>
    </w:p>
    <w:p/>
    <w:p>
      <w:r>
        <w:rPr>
          <w:b/>
        </w:rPr>
        <w:t>[Pages 1–3]</w:t>
      </w:r>
    </w:p>
    <w:p>
      <w:r>
        <w:t>Bulletin</w:t>
        <w:br/>
        <w:t>Weekly</w:t>
        <w:br/>
        <w:t>Year XXXII - No. 25</w:t>
        <w:br/>
        <w:t>Published on the website www.agcm.it</w:t>
        <w:br/>
        <w:t>July 4, 2022</w:t>
      </w:r>
    </w:p>
    <w:p>
      <w:r>
        <w:t>SUMMARY</w:t>
        <w:br/>
        <w:t>AGREEMENTS AND ABUSE OF DOMINANT POSITION 5</w:t>
        <w:br/>
        <w:t>A546 - MCDONALD'S FRANCHISING</w:t>
        <w:br/>
        <w:t>Decision No. 30199 5</w:t>
        <w:br/>
        <w:t>CONCENTRATION OPERATIONS 20</w:t>
        <w:br/>
        <w:t>C12457 - DEA CAPITAL ALTERNATIVE FUNDS SGR-BRIDGE TER/COSTA EDUTAINMENT</w:t>
        <w:br/>
        <w:t>Decision No. 30200 20</w:t>
        <w:br/>
        <w:t>REPORTING AND CONSULTATIVE ACTIVITIES 24</w:t>
        <w:br/>
        <w:t>AS1845 - SICILY REGION - REGIONAL INTEGRATIVE AGREEMENT OF FREE CHOICE PEDIATRIC SPECIALISTS 24</w:t>
        <w:br/>
        <w:t>TELEVISION RIGHTS 28</w:t>
        <w:br/>
        <w:t>SR41 - LEGA PRO/GUIDELINES FOR THE MARKETING OF AUDIOVISUAL RIGHTS SEASONS</w:t>
        <w:br/>
        <w:t>2022/2023 - 2023/2024 - 2024/2025</w:t>
        <w:br/>
        <w:t>Decision No. 30204 28</w:t>
        <w:br/>
        <w:t>UNFAIR TRADE PRACTICES 41</w:t>
        <w:br/>
        <w:t>IP359 - UNIEURO/MONCLICK ONLINE SALES - VARIOUS ISSUES</w:t>
        <w:br/>
        <w:t>Decision No. 30201 41</w:t>
        <w:br/>
        <w:t>PS12152 - TRINACRIA ELEVATORS OF GAETANO DI PIETRO - ELEVATOR ASSISTANCE</w:t>
        <w:br/>
        <w:t>Decision No. 30203 50</w:t>
      </w:r>
    </w:p>
    <w:p>
      <w:r>
        <w:t>BULLETIN NO. 25 OF JULY 4, 2022 5</w:t>
        <w:br/>
        <w:t>AGREEMENTS AND ABUSE OF DOMINANT POSITION</w:t>
        <w:br/>
        <w:t>A546 - MCDONALD'S FRANCHISING</w:t>
        <w:br/>
        <w:t>Decision No. 30199</w:t>
        <w:br/>
        <w:t>THE ANTITRUST AUTHORITY</w:t>
        <w:br/>
        <w:t>IN ITS MEETING of June 14, 2022;</w:t>
        <w:br/>
        <w:t>HEARD the Rapporteur Professor Michele Ainis;</w:t>
        <w:br/>
        <w:t>HAVING REGARD to Law No. 287 of October 10, 1990 and, in particular, Article 14-ter;</w:t>
        <w:br/>
        <w:t>HAVING REGARD to Law No. 192 of June 18, 1998 and, in particular, Article 9;</w:t>
        <w:br/>
        <w:t>HAVING REGARD to Presidential Decree No. 217 of April 30, 1998;</w:t>
        <w:br/>
        <w:t>HAVING REGARD to the "Communication on the procedures for the application of Article 14-ter of Law No. 287 of October 10, 1990," adopted in the meeting of September 6, 2012 and published in Bulletin No. 35 of September 17, 2012;</w:t>
        <w:br/>
        <w:t>HAVING REGARD to its decision No. 29793 of July 27, 2021, with which an investigation was initiated pursuant to Article 9, paragraph 3-bis, of Law No. 192 of June 18, 1998 and Article 14 of Law No. 287 of October 10, 1990, against the company McDonald's Development Italy LLC (hereinafter also MCDI), in relation to conduct carried out against its network of affiliates;</w:t>
        <w:br/>
        <w:t>HAVING REGARD to the communication of February 14, 2022, with which the company MCDI submitted commitments, pursuant to Article 14-ter of Law No. 287/90, according to the methods indicated in the specific "Form for the submission of commitments pursuant to Article 14-ter of Law No. 287/90";</w:t>
        <w:br/>
        <w:t>HAVING REGARD to its resolution No. 30059 of March 15, 2022, with which the publication, on March 17, 2022, of the commitments proposed by the company MCDI on the Authority's website was ordered, in order to allow interested third parties to express their observations;</w:t>
        <w:br/>
        <w:t>HAVING REGARD to the observations on the commitments submitted by interested third parties on April 15, 2022;</w:t>
        <w:br/>
        <w:t>HAVING REGARD to the ancillary modifications to the commitments submitted by MCDI on May 18, 2022;</w:t>
        <w:br/>
        <w:t>HAVING REGARD to the acts of the proceeding and the documentation acquired during the investigation;</w:t>
        <w:br/>
        <w:t>CONSIDERING the following:</w:t>
        <w:br/>
        <w:t>I. THE PARTIES</w:t>
        <w:br/>
        <w:t>1. McDonald's Development Italy LLC (hereinafter also MCDI, the grantor or franchisor) - formerly McDonald’s Development Italy Inc - is a U.S. company, with its legal headquarters in Wilmington and a secondary office for Italy in Milan, belonging to the McDonald’s Group, which is headed by McDonald's Corporation, a U.S. company based in Oak Brook, Illinois. The McDonald’s Group has developed and manages one of the leading global chains of fast food restaurants of U.S. origin, partly directly and partly indirectly, through affiliation agreements.</w:t>
      </w:r>
    </w:p>
    <w:p>
      <w:r>
        <w:rPr>
          <w:b/>
        </w:rPr>
        <w:t>[Pages 4–6]</w:t>
      </w:r>
    </w:p>
    <w:p>
      <w:r>
        <w:t>6 BULLETIN NO. 25 OF JULY 4, 2022</w:t>
        <w:br/>
        <w:t>In Italy, the restaurants and commercial establishments of the chain are managed by MCDI, which, by virtue of a "Master License Agreement," has obtained the right to use and grant sublicenses for the use of the McDonald's System and the associated intellectual property. Currently, the McDonald’s network consists of 640 restaurants - in addition to 950 commercial establishments between McDrive (420 drive-thru service points) and McCafè (530 Italian-style cafes) - predominantly managed under franchise agreements by 140 licensees and to a lesser extent directly (so-called "corporate" restaurants).</w:t>
      </w:r>
    </w:p>
    <w:p>
      <w:r>
        <w:t>2. The complainants (hereinafter also referred to as entrepreneurs, affiliates, or franchisees) are legal entrepreneurs representing three limited liability companies, which have operated within the so-called McDonald’s system (hereinafter also McD), having managed restaurants of the fast food chain in various Italian regions, through branch lease and/or franchise agreements, which are now terminated.</w:t>
      </w:r>
    </w:p>
    <w:p>
      <w:r>
        <w:t>II. THE COMPLAINTS</w:t>
        <w:br/>
        <w:t>3. In the complaints received on March 12, 2021, March 31, 2021, and May 27, 2021, supplemented on July 9 and 12, 2021, the entrepreneurs reported a series of allegedly abusive conduct by MCDI - adopted towards their affiliates throughout the entire commercial relationship and even before the signing of the contracts - consisting of the imposition of a complex and integrated system of fees, royalties, financial and investment burdens, sales policies, and multiple behavioral obligations, extremely burdensome and not strictly necessary and connected to the granting of the affiliation or the lease of the business branch.</w:t>
      </w:r>
    </w:p>
    <w:p>
      <w:r>
        <w:t>4. In particular, the complainants detail the affiliation relationships with MCDI, starting from the initial pre-contractual contacts and the signing of the franchise and/or branch lease agreements until the termination of the relationships with the grantor. They also attached to the complaints a franchise agreement and six branch lease agreements, with nearly identical content and the same twenty-year duration, all concerning the conditions for the adoption and use of the McDonald’s system by the complainants.</w:t>
      </w:r>
    </w:p>
    <w:p>
      <w:r>
        <w:t>III. THE CONDUCTS CHALLENGED IN THE INITIATION ORDER</w:t>
        <w:br/>
        <w:t>5. In the initiation order, adopted by the Authority on July 27, 2021, a series of conducts carried out by MCDI towards its affiliates were contested as a possible abuse of economic dependence pursuant to Article 9 of Law 198/1992, consisting of the imposition of a set of conditions and obligations capable of unduly conditioning their entrepreneurial activity and unjustifiably compressing their profit margins.</w:t>
      </w:r>
    </w:p>
    <w:p>
      <w:r>
        <w:t>6. The conducts considered for the qualification and configuration of the case, however indicated in an exemplary and non-exhaustive manner, have been grouped into 4 main categories: i) conducts adopted before the signing of the contract; ii) clauses included in the branch lease and/or franchise agreements; iii) conducts adopted during the contractual relationship; and iv) further conducts adopted at the end of the contractual relationship.</w:t>
      </w:r>
    </w:p>
    <w:p>
      <w:r>
        <w:t>i) Conducts adopted before the signing of the contract</w:t>
        <w:br/>
        <w:t>7. This category of conducts was taken into consideration as the management of the pre-contractual phase by MCDI appeared capable of placing future affiliates, already at the time of signing the contract, in a condition of absence of bargaining power and choice alternatives. In this regard, the following were particularly considered: the obligation imposed on the prospective affiliate to undergo, entirely at their own expense, a training period at the McDonald’s Group restaurants; the absence of information, during this training period, on the economic-financial management of the restaurants and their average profitability, as well as on the terms of any future negotiation proposal and the location of the restaurant that may be assigned; the impossibility of reviewing the contract before the signing date.</w:t>
      </w:r>
    </w:p>
    <w:p>
      <w:r>
        <w:t>ii) Clauses included in the branch lease and/or franchise agreements</w:t>
        <w:br/>
        <w:t>8. Within the contracts present in the file at the time of initiation (all signed before 2000), numerous contractual conditions were deemed, as a whole, particularly burdensome for the affiliates, both in terms of economic burdens and in terms of their suitability to compress their entrepreneurial autonomy margins.</w:t>
      </w:r>
    </w:p>
    <w:p>
      <w:r>
        <w:t>9. Under the first aspect, in particular, the following were taken into consideration: the imposition of a very broad and articulated system of fees, not always necessary to compensate for the possibility of joining the McDonald’s system; the obligation to bear, during the contractual relationship, all expenses for the equipment, machinery, and furnishings of the premises, as well as, in derogation of the provisions of the civil code, any replacement and maintenance expenses, ordinary and extraordinary, of the equipment and commercial premises; the obligation to bear all expenses for the training activities of the manager as indicated from time to time by MCDI; the obligation to invest a percentage not less than 1.5% of turnover for local advertising.</w:t>
      </w:r>
    </w:p>
    <w:p>
      <w:r>
        <w:t>10. Regarding the limitation of the entrepreneurial autonomy of the affiliate, the following contractual clauses were highlighted, among others: the obligation to comply with all policies, practices, and business techniques imposed by MCDI; the obligation to comply with McDonald’s pricing policy, with increases in recommended prices to be communicated in advance; the obligation to comply with the terms and conditions of the promotions proposed from time to time.</w:t>
      </w:r>
    </w:p>
    <w:p>
      <w:r>
        <w:t>11. Also deemed penalizing for the lessees were the following additional contractual constraints: maintaining residence no more than 50 km from the premises and devoting all their work activity exclusively to the management of the premises; a non-competition obligation extended to any food service activity, for the entire duration of the contracts and for one year after their termination.</w:t>
      </w:r>
    </w:p>
    <w:p>
      <w:r>
        <w:t>12. Finally, regarding the exit conditions from the contract, both the lack of provision, upon termination of the contractual relationship, of indemnities or compensations to the affiliate for any reason and the obligation for the affiliate to waive any right related to positive differences between the expenses incurred for the equipment and their value at expiration were highlighted.</w:t>
      </w:r>
    </w:p>
    <w:p>
      <w:r>
        <w:t>iii) Conducts adopted during the contractual relationship</w:t>
        <w:br/>
        <w:t>13. Within the initiation order, it was also highlighted that, based on what was stated by the complainants, the dictates and indications to the affiliates provided by MCDI during the contractual relationship - to which the affiliates would be obliged to conform - are even more numerous and pervasive than those provided for in the franchise agreement. They would concern, in fact, all aspects of the management of the leased restaurants, effectively eliminating any margin of decision-making autonomy for the affiliates in the exercise of their business activity.</w:t>
      </w:r>
    </w:p>
    <w:p>
      <w:r>
        <w:t>14. In this regard, particular relevance was attributed, for example, to both the obligation of the affiliate to comply with the decisions made regarding selling prices by the Executive Committee of McCoop and the obligation to use exclusively the suppliers indicated by MCDI. And this not only concerning equipment and raw materials but also all other products necessary for the operation of the restaurant business.</w:t>
      </w:r>
    </w:p>
    <w:p>
      <w:r>
        <w:t>15. The failure to align with the prices and all the indications provided by MCDI in terms of sales policies, suppliers, personnel, operational management, and financial parameters, according to what was stated by the complainants and highlighted in the initiation order, would result in the "non-expandability" of the affiliate, i.e., the impossibility of being considered suitable to manage other restaurants; this condition is deemed by the complainants necessary to achieve adequate profitability in management.</w:t>
      </w:r>
    </w:p>
    <w:p>
      <w:r>
        <w:t>iv) Conducts adopted at the end of the contractual relationship</w:t>
        <w:br/>
        <w:t>16. Among the potentially abusive conducts, the initiation order also considered the economic exit conditions from the McDonald’s system, which would result in a significant portion of the affiliates' investments translating into unrecoverable costs for these entrepreneurs, to the full advantage of the grantor. In particular, with specific reference to the expenses incurred for the furnishings and equipment of the restaurants, structured exclusively according to the needs and choices of MCDI, the complainants highlighted the impossibility of "reconverting" such assets in favor of other commercial affiliations, making it only possible for MCDI to repurchase them at negligible prices (the so-called Book Value). Such prices would not take into account either the costs incurred, including maintenance costs, or the value at which MCDI could resell the equipment to the new affiliate who would take over the management of the restaurant.</w:t>
      </w:r>
    </w:p>
    <w:p>
      <w:r>
        <w:t>IV. THE INQUIRY PROCEDURE</w:t>
        <w:br/>
        <w:t>17. During the inquiry procedure, on September 10 and 15, 2021, and October 12 and 20, 2021, further complaints were received from 3 former licensees of MCDI and associations.</w:t>
      </w:r>
    </w:p>
    <w:p>
      <w:r>
        <w:rPr>
          <w:b/>
        </w:rPr>
        <w:t>[Pages 7–9]</w:t>
      </w:r>
    </w:p>
    <w:p>
      <w:r>
        <w:t>BULLETIN NO. 25 OF JULY 4, 2022 9</w:t>
        <w:br/>
        <w:t>Codacons - Citizen Defense Movement - Active Citizenship, which also submitted a request to participate in the proceedings. All participation requests were accepted6.</w:t>
      </w:r>
    </w:p>
    <w:p>
      <w:r>
        <w:t>18. On October 27, 2021, a contribution was also received from Assofranchising – Italian Franchise Association7.</w:t>
      </w:r>
    </w:p>
    <w:p>
      <w:r>
        <w:t>19. On December 6, 2021, a detailed request for information was sent to MCDI, which provided a response on January 11, 20228. The operator was heard in a hearing on January 14, 20229.</w:t>
      </w:r>
    </w:p>
    <w:p>
      <w:r>
        <w:t>20. Following requests made by MCDI, the Authority ordered, due to the specific needs expressed by the Party, an extension of the deadline for the submission of commitments, pursuant to Article 14-ter of Law No. 287 of October 10, 1990, first to December 20, 2021, and then to February 15, 2022, pursuant to the "Communication on the procedures for the application of Article 14-ter of Law No. 287 of October 10, 1990" of September 6, 201210.</w:t>
      </w:r>
    </w:p>
    <w:p>
      <w:r>
        <w:t>21. The Parties and third parties intervening have accessed the file on several occasions11.</w:t>
      </w:r>
    </w:p>
    <w:p>
      <w:r>
        <w:t>22. On December 20, 2021, MCDI submitted a set of commitments pursuant to Article 14-ter of Law No. 287/1990, aimed at resolving the critical issues highlighted by the Authority in the decision to initiate the proceedings. These commitments were then resubmitted, in an integrated and modified version, on February 14, 202212.</w:t>
      </w:r>
    </w:p>
    <w:p>
      <w:r>
        <w:t>V. THE COMMITMENTS OF MCDI</w:t>
        <w:br/>
        <w:t>i) The sub-procedure for evaluating the commitments</w:t>
        <w:br/>
        <w:t>23. With a resolution dated March 15, 2022, the Authority deemed the commitments submitted on February 14, 2022, not manifestly unfounded, ordering their publication on its website on March 17, 2022, in order to allow interested third parties to express their observations.</w:t>
      </w:r>
    </w:p>
    <w:p>
      <w:r>
        <w:t>24. By the deadline set for the conclusion of the market test, observations were received from the associations Codacons - Citizen Defense Movement - Active Citizenship and from the former franchisees who reported13.</w:t>
      </w:r>
    </w:p>
    <w:p>
      <w:r>
        <w:t>25. In response to the outcome of the public consultation, on May 18, 2022, MCDI submitted the final version of its commitments, attached to this decision and which constitute an integral part thereof; in this version, the original commitments were supplemented with ancillary modifications.</w:t>
      </w:r>
    </w:p>
    <w:p>
      <w:r>
        <w:t>26. MCDI also filed a memorandum accompanying the ancillary modifications, in which it illustrated the additional measures presented following the public consultation, as well as</w:t>
      </w:r>
    </w:p>
    <w:p>
      <w:r>
        <w:t>6 See docs. 14, 17, 22, 23, 26, 28, 32, 41, and 44 of the investigative file.</w:t>
        <w:br/>
        <w:t>7 See doc. 31 of the investigative file.</w:t>
        <w:br/>
        <w:t>8 See docs. 45, 54, and 55 with attachments of the investigative file.</w:t>
        <w:br/>
        <w:t>9 See doc. 56 with attachments of the investigative file.</w:t>
        <w:br/>
        <w:t>10 See docs. 30, 36, 56 with attachments and 58 of the investigative file.</w:t>
        <w:br/>
        <w:t>11 See docs. 13, 40, and 62 of the investigative file and doc. 5 of the index of the sub-procedure for commitments regarding MCD's accesses; docs. 42 and 67 of the investigative file regarding the accesses of the associations Codacons - Citizen Defense Movement - Active Citizenship; docs. 47, 48, and 49 of the investigative file regarding the accesses of the reporting former franchisees.</w:t>
        <w:br/>
        <w:t>12 See docs. 51 with attachments and 64 with attachments of the investigative file.</w:t>
        <w:br/>
        <w:t>13 See docs. 2 and 3 of the index of the sub-procedure for commitments.</w:t>
      </w:r>
    </w:p>
    <w:p>
      <w:r>
        <w:t>10 BULLETIN NO. 25 OF JULY 4, 2022</w:t>
        <w:br/>
        <w:t>accounting for the reasons why it deemed it appropriate not to follow up on some observations made by participants in the market test14.</w:t>
      </w:r>
    </w:p>
    <w:p>
      <w:r>
        <w:t>ii) The content of the commitments submitted to the market test</w:t>
        <w:br/>
        <w:t>27. The commitments originally proposed by MCDI, and submitted to the market test, consisted, in summary, of the measures described below.</w:t>
      </w:r>
    </w:p>
    <w:p>
      <w:r>
        <w:t>Measure 1: modification of the MCDI contractual model, in order to provide that the franchisee has, with respect to the assets and premises included in the business branch leased, exclusively an obligation for ordinary maintenance, provided that the franchisee has properly and timely performed the ordinary maintenance of the same.</w:t>
      </w:r>
    </w:p>
    <w:p>
      <w:r>
        <w:t>Measure 2: modification of the same contractual model, in order to clarify that the article on training costs during the contractual relationship refers exclusively to the training of the franchisee's employees and that the costs of training and related facilities are borne by MCDI, in the event that the courses are held at the Company's premises;</w:t>
      </w:r>
    </w:p>
    <w:p>
      <w:r>
        <w:t>Measure 3: non-reintroduction of the previous obligation to invest in local advertising 1.5% of the gross monthly turnover of each restaurant, maintaining unchanged the obligation of the current contractual standard, referred to a percentage already reduced to 1%.</w:t>
      </w:r>
    </w:p>
    <w:p>
      <w:r>
        <w:t>Measure 4: confirmation of the removal from the contractual standard, already carried out in 2018, of the obligation of residence of the franchisee within a radius of 50 km from the restaurant; further modification of its contractual model aimed at providing that the management of the restaurant under the McDonald's brand represents for the Manager only a predominant activity, and no longer necessarily full-time.</w:t>
      </w:r>
    </w:p>
    <w:p>
      <w:r>
        <w:t>Measure 5: reformulation of the non-competition obligation in such a way as to: i) remove the non-competition obligation for the period following the conclusion of the contractual relationship; ii) limit its scope of application to informal restaurant activities only.</w:t>
      </w:r>
    </w:p>
    <w:p>
      <w:r>
        <w:t>Measure 6: introduction of clarifications, in the contractual standard used, regarding the absence of interference by MCDI in determining the commercial policies of the affiliates, explicitly stating the affiliate's right not to adhere to the price recommendations and promotions proposed by MCDI. Adoption, during the contractual relationship, of further initiatives aimed at reaffirming the autonomy of the affiliates in this regard, such as the organization of compliance courses for employees on competition protection laws and, with reference to the so-called expandability (i.e., the suitability to negotiate a new contract), sending an additional communication to franchisees to clarify that the possibility of accessing expandability is not subject to compliance with commercial policies or prices indicated by MCDI, given the autonomy of the affiliates in this regard.</w:t>
      </w:r>
    </w:p>
    <w:p>
      <w:r>
        <w:t>Measure 7: expansion of the possibilities for franchisees to use suppliers of their choice for the purchase of services, products, equipment, and materials. This especially concerning goods and services considered "non-core" and not identifying of the system, or "ancillary" to the management of the Restaurant.</w:t>
      </w:r>
    </w:p>
    <w:p>
      <w:r>
        <w:t>Measure 8: modification of the contractual provisions regarding the adjustment of the rental fee, in order to: i) remove the prior waiver by the franchisee regarding the possibility of raising objections concerning said costs and ii) limit the cases in which the rental fee for the premises during the contract term can be increased only if such modification arises from the Title, from regulatory provisions, or from compliance with contractual provisions.</w:t>
      </w:r>
    </w:p>
    <w:p>
      <w:r>
        <w:t>Measure 9: introduction of an obligation for MCDI, at the request of the franchisee, to repurchase equipment and furnishings purchased in the three years preceding the contract expiration at the original cost price, net of depreciation due to normal wear and tear quantified at 5% per year.</w:t>
      </w:r>
    </w:p>
    <w:p>
      <w:r>
        <w:t>Measure 10: modification of the standard of the "Irrevocable Proposal" with which MCDI, during the preliminary contact phase, sends the prospective licensee a proposal for the management of a specific restaurant, with an attached economic-financial analysis on the restaurant itself. In this regard, MCDI's commitment consists of extending the deadline for acceptance and analysis of this proposal by the candidate from 3 to 15 days.</w:t>
      </w:r>
    </w:p>
    <w:p>
      <w:r>
        <w:t>iii) Timing and methods of implementation of the proposed commitments</w:t>
        <w:br/>
        <w:t>28. The commitments presented concerning the contractual modifications, referred to in Measures 1 to 9, will be implemented by the Company both in the standard contracts to be signed in the future and in existing contracts.</w:t>
      </w:r>
    </w:p>
    <w:p>
      <w:r>
        <w:t>29. In particular, regarding the timing of implementation, MCDI has committed to:</w:t>
        <w:br/>
        <w:t>i) implement the necessary contractual modifications to prepare a new standard contract to be used in future relationships with licensees within 60 days from the date of notification by the Authority of any decision to accept the commitments and close the proceedings;</w:t>
        <w:br/>
        <w:t>ii) extend the contractual modifications referred to in Measures 1 to 9 also to existing contracts, for their remaining duration, within 9 months from the date of notification by the Authority of any decision to accept the commitments and close the proceedings;</w:t>
        <w:br/>
        <w:t>iii) make the communications referred to in Measure 6 within 60 days from the date of notification by the Authority of any decision to accept the commitments and close the proceedings;</w:t>
        <w:br/>
        <w:t>iv) implement the modification referred to in Measure 10 within 10 days from the date of notification by the Authority of any decision to accept the commitments and close the proceedings.</w:t>
      </w:r>
    </w:p>
    <w:p>
      <w:r>
        <w:t>iv) The main observations of interested third parties</w:t>
        <w:br/>
        <w:t>30. Both the intervening consumer associations (Codacons - Citizen Defense Movement - Active Citizenship) and the reporting former franchisees made numerous observations on the commitments presented by MCDI, both of a general nature and related to the individual proposed measures.</w:t>
      </w:r>
    </w:p>
    <w:p>
      <w:r>
        <w:t>31. From a general perspective, the interested parties highlighted the inadequacy of the proposed commitments, consisting mainly of a series of modifications to the contractual clauses, to remedy the serious distortions of free competition caused by the practices and policies adopted by the franchisor during the negotiating relationship with its affiliates. In any case, the interested parties believe the commitments are insufficient both to restore a condition of substantial balance between the contractual parties and to adequately compensate the franchisees (current or already exited from the system) for the abuses suffered by MCDI during the duration of the affiliation relationship.</w:t>
      </w:r>
    </w:p>
    <w:p>
      <w:r>
        <w:t>32. Furthermore, the interested parties contested that among the measures proposed by MCDI, there is no inclusion of any contractual provision that provides, in favor of the franchisees, some form of territorial protection. In this regard, in particular, they pointed out how, among the</w:t>
      </w:r>
    </w:p>
    <w:p>
      <w:r>
        <w:rPr>
          <w:b/>
        </w:rPr>
        <w:t>[Pages 10–12]</w:t>
      </w:r>
    </w:p>
    <w:p>
      <w:r>
        <w:t>12 BULLETIN NO. 25 OF JULY 4, 2022</w:t>
        <w:br/>
        <w:t>practices concretely implemented by MCDI during the contractual relationship, there would be the opening of new restaurants in the same trading area as the franchisee, managed by other entrepreneurs, resulting in the diversion of a significant portion of the clientele from the already existing restaurant and a corresponding decrease in its revenue.</w:t>
      </w:r>
    </w:p>
    <w:p>
      <w:r>
        <w:t>33. With reference to each of the individual measures indicated below, the complainants have made the following observations.</w:t>
      </w:r>
    </w:p>
    <w:p>
      <w:r>
        <w:t>Measure 1. The fact that MCDI intends to assume the burdens of extraordinary maintenance of Premises and Equipment only where the franchisee has correctly and timely performed the ordinary maintenance of the same would render the measure ineffective and insufficient. In fact, on one hand, it would be an incongruous provision with the regulations on leases and with prevailing practice; on the other hand, its application would presuppose a merit and discretionary judgment, which, in cases of urgency – such as those typically involving extraordinary maintenance – could entail the risk of an immediate outlay by the franchisees (subject to possible reimbursement following verification); finally, the provision regarding extraordinary maintenance should be made consistent with other contractual clauses.</w:t>
      </w:r>
    </w:p>
    <w:p>
      <w:r>
        <w:t>Measure 2. There would be no rational reason to limit MCDI's burden to only the training expenses incurred "at the Company's premises." It would indeed be correct for the reimbursement of all training expenses to be borne by MCDI both during the contractual relationship and during the pre-contractual training phase.</w:t>
      </w:r>
    </w:p>
    <w:p>
      <w:r>
        <w:t>Measure 3. The proposed reduction of local advertising expenses by MCDI – from 1.5% to 1% of revenue – would not mitigate the abusive nature of the provision, imposed unilaterally and without taking into account the specific needs and peculiarities (for example, geographical and customer base) of the various franchisees. Decisions regarding which and how many advertising investments to make should typically be discretionary choices left to the free entrepreneurial autonomy. Therefore, this provision should be eliminated outright from the standard contracts.</w:t>
      </w:r>
    </w:p>
    <w:p>
      <w:r>
        <w:t>Measure 4. The relaxation of the franchisee's obligations regarding residence and time dedicated to the management of the restaurants should be made consistent with other provisions of the 2021 standard contract, which have not been modified by MCDI.</w:t>
      </w:r>
    </w:p>
    <w:p>
      <w:r>
        <w:t>Measure 5. The list of Activities (considered by MCDI) in Competition would be unjustifiably broad, including types of establishments (e.g., pizzerias, street food kiosks, kebabs, poke) that are not comparable – either by type of offering, type of consumers, or price range – to the American fast food restaurant activities, to which the non-competition obligation should instead be limited; moreover, the formulation proposed by MCDI would unjustifiably extend the non-competition prohibition to activities conducted in a manner different from commercial affiliation and would not provide for any territorial limitation.</w:t>
      </w:r>
    </w:p>
    <w:p>
      <w:r>
        <w:t>Measure 6. The commitment regarding the absence of interference by MCDI in determining the commercial policies of the affiliates would be inadequate to remove the reported abuses against the franchisees, according to which MCDI would have implemented and would continue to implement, consistently and independently of the contractual provisions, various practices aimed at imposing prices and commercial policies (through resolutions within the McCoop Consortium, the application of the expandability criterion, the launch of national promotional campaigns at predetermined prices, the discounts on fees owed by the affiliates linked to the prices applied, the loading of prices onto the restaurant cash management software).</w:t>
      </w:r>
    </w:p>
    <w:p>
      <w:r>
        <w:t>BULLETIN NO. 25 OF JULY 4, 2022 13</w:t>
        <w:br/>
        <w:t>Measure 7. In the measure regarding the choice of suppliers, there would be no unambiguous definition of the products and services included in the "core" and "non-core" categories. Furthermore, the formulation of the commitment would still presuppose the need for prior approval by MCDI on the so-called alternative suppliers (which the franchisor would have the discretion, but not the obligation, to grant).</w:t>
      </w:r>
    </w:p>
    <w:p>
      <w:r>
        <w:t>Measure 9. The obligation for MCDI to repurchase furnishings and equipment would be limited (i) only to cases of natural expiration of the franchise agreement, thus excluding all cases of early termination of the same, even by mutual consent or due to MCDI's default; (ii) to goods purchased in the 3 years preceding. Conversely, this obligation should operate automatically for all goods of the restaurant (systems, supplies, equipment, including furnishings), regardless of the time of their purchase by the franchisee and/or their amortization period. Nor would it be fair for this obligation to be conditioned on the "proper maintenance" of the goods. Furthermore, the modifications proposed by MCDI should be made consistent with other provisions of the standard contract.</w:t>
      </w:r>
    </w:p>
    <w:p>
      <w:r>
        <w:t>Measure 10. The measure to extend (from 3 to 15 days) the deadline for acceptance of MCDI's Irrevocable Proposal by prospective franchisees would be insufficient to remedy the issue of pre-contractual informational deficiencies.</w:t>
      </w:r>
    </w:p>
    <w:p>
      <w:r>
        <w:t>v) The ancillary modifications made by MCDI following the market test</w:t>
      </w:r>
    </w:p>
    <w:p>
      <w:r>
        <w:t>34. MCDI - following the observations of the associations Codacons - Movimento Difesa Cittadino - Cittadinanzattiva and the former reporting franchisees - in the context of ancillary modifications, has enriched the measures already presented and added further measures. In particular, to the measures already proposed, the integrations and/or modifications briefly described below have been made.</w:t>
      </w:r>
    </w:p>
    <w:p>
      <w:r>
        <w:t>Measure 1: the costs of extraordinary maintenance of the Premises and Equipment will be borne by MCDI and may only be charged to the franchisee in the presence of an objective technical assessment by the professionals in charge of the intervention, which ascertains the existence of a precise causal link between the franchisee's failure (or inadequate) ordinary maintenance and the necessity of the extraordinary maintenance intervention. The contractual provisions relating to Premises and Equipment are consequently reformulated to eliminate any uncertainty regarding the correct allocation of maintenance burdens.</w:t>
      </w:r>
    </w:p>
    <w:p>
      <w:r>
        <w:t>Measure 3: the minimum percentage of investment by the franchisee in local advertising and promotion of the Restaurant is further reduced from 1% to 0.5% of Gross Monthly Revenue.</w:t>
      </w:r>
    </w:p>
    <w:p>
      <w:r>
        <w:t>Measure 4: all contractual provisions are made consistent to clarify that the management of the McD Restaurant must represent a predominant activity for the franchisee Manager (and no longer full-time) and that residence must be established accordingly, to ensure adequate presence to guarantee compliance with the system.</w:t>
      </w:r>
    </w:p>
    <w:p>
      <w:r>
        <w:t>Measure 6: while reiterating the affiliate's discretion not to adhere to price recommendations and proposed promotions, MCDI explicitly commits to: i) (continue to) set maximum prices only in relation to a limited number of products or services offered to consumers, with the clarification that, in any case, the indication of maximum prices should not become a primary and predominant tool of its commercial policy; ii) (continue to) not provide and apply incentives (such as de-rentizations) conditioned on compliance with prices, with the sole exception of those linked to compliance with maximum prices, within the limits indicated in the preceding point.</w:t>
      </w:r>
    </w:p>
    <w:p>
      <w:r>
        <w:t>14 BULLETIN NO. 25 OF JULY 4, 2022</w:t>
        <w:br/>
        <w:t>Measure 7: the contractual standard regarding the choice of suppliers is further modified to clearly outline the differentiated regime applicable to the products and services identifying the system compared to that applicable to other products and services, specifying the ancillary services for which franchisees can freely identify suppliers.</w:t>
      </w:r>
    </w:p>
    <w:p>
      <w:r>
        <w:t>Measure 9: the obligation for MCDI to repurchase furnishings and equipment in cases where the contract reaches natural expiration is extended to all purchases made during the contractual relationship, providing for a valuation that, for Equipment and furnishings purchased prior to three years from the natural expiration of the Contract, is equal to the value of such goods resulting from the accounting books increased by 20%.</w:t>
      </w:r>
    </w:p>
    <w:p>
      <w:r>
        <w:t>35. Finally, MCDI has added the following two additional measures to those already proposed:</w:t>
      </w:r>
    </w:p>
    <w:p>
      <w:r>
        <w:t>Measure 11: with reference to the pre-contractual phase, MCDI commits to continue to guarantee, also in the future, to prospective franchisees: i) compensations and reimbursements in line with those currently made available; ii) adequate information regarding policies, procedures, and other elements of the McD system necessary for a correct understanding of the same; iii) adequate information on the standards that prospective affiliates will be required to observe in the management of the Restaurant and that compliance with them will be subject to evaluation during the contractual relationship.</w:t>
      </w:r>
    </w:p>
    <w:p>
      <w:r>
        <w:t>Measure 12: without prejudice to the absence of rights, interests, or preferences for the franchisee regarding the opening of new McDonald's restaurants, if the revenue of a restaurant managed by an affiliate suffers serious harm following the opening of a new restaurant by MCDI in the immediate vicinity (provided that the franchisee proves the causal link between the drop in revenue and the new opening), the Parties will meet to negotiate in good faith possible measures to mitigate the effect of the new opening on the economic results of the franchisee's restaurant.</w:t>
      </w:r>
    </w:p>
    <w:p>
      <w:r>
        <w:t>VI. EVALUATION OF COMMITMENTS</w:t>
      </w:r>
    </w:p>
    <w:p>
      <w:r>
        <w:t>i) Measures related to the management of the pre-contractual phase (10 and 11)</w:t>
      </w:r>
    </w:p>
    <w:p>
      <w:r>
        <w:t>36. It is preliminarily noted that, based on the information and documentation provided by MCDI, it appears that, already currently, as a result of the numerous changes made to the practices used for the recruitment and training of managers, prospective affiliates arrive at the signing of the contract in a situation of substantial awareness of the contents of the agreement they are about to sign, without having made costly and non-recoverable investments in training activities.</w:t>
      </w:r>
    </w:p>
    <w:p>
      <w:r>
        <w:t>37. In particular, based on what MCDI has stated, the pre-contractual phase for prospective affiliates, to date, is structured as described below: i) a preliminary application process lasting 4 months, which involves numerous meetings and operational experiences and in which the candidate already receives economic and financial information related to the management of a McD restaurant. In this phase, among other things, the candidate indicates/confirms their preferences in terms of restaurant location; ii) a training period conducted in Rome or Milan – which prospective franchisees freely decide whether or not to undertake once they have successfully completed the preliminary process – lasting from 6 to 12 months and during which, since 2019, candidates are regularly hired with an employment contract, without paying any participation fee. During this training path, they are</w:t>
      </w:r>
    </w:p>
    <w:p>
      <w:r>
        <w:rPr>
          <w:b/>
        </w:rPr>
        <w:t>[Pages 13–15]</w:t>
      </w:r>
    </w:p>
    <w:p>
      <w:r>
        <w:t>BULLETIN NO. 25 OF JULY 4, 2022 15</w:t>
        <w:br/>
        <w:t>various moments and training modules dedicated to the explanation and understanding of the financial aspects and management rules, including operational ones, that underlie adherence to the system;</w:t>
      </w:r>
    </w:p>
    <w:p>
      <w:r>
        <w:t>iii) formalization and sending to the prospective affiliate - once the training period has been successfully completed and in any case about 3 months before the signing of the contract - of an "Irrevocable Proposal" (for MCDI) for the management of a restaurant, which contains both the essential terms of the future contractual relationship and a "tailor-made" economic-financial analysis of the restaurant, based on which to evaluate the profitability of the management and request any necessary financing from credit institutions.</w:t>
      </w:r>
    </w:p>
    <w:p>
      <w:r>
        <w:t>38. MCDI also specified that, in implementation of Law No. 129 of 2004 ("Franchising Law"), the franchisor sends the prospective franchisee, at least 30 days before the scheduled notarial signing, the contract and the respective attachments, including a summary table of the costs and the economic conditions applied, with a descriptive formulation of the individual items.</w:t>
      </w:r>
    </w:p>
    <w:p>
      <w:r>
        <w:t>39. As seen, with Measure No. 11, MCDI commits to substantially maintaining the current practice of managing the pre-contractual phase, with particular reference to the level of remuneration and reimbursements currently provided and the information provided regarding policies and procedures. In addition, there is a commitment to ensure information on the conduct standards that prospective affiliates will be required to observe in the management of the restaurant and that compliance with these obligations will be subject to evaluation.</w:t>
      </w:r>
    </w:p>
    <w:p>
      <w:r>
        <w:t>40. Furthermore, Measure No. 10 of the commitments presented by MCDI provides for the modification of the "Irrevocable Proposal" standard to extend the acceptance period from 3 to 15 days.</w:t>
      </w:r>
    </w:p>
    <w:p>
      <w:r>
        <w:t>41. Measures 10 and 11 of the commitments undertaken by MCDI, therefore, both aim to maintain a significant limitation on the burdens incurred for pre-contractual training and to ensure the awareness of the prospective affiliate regarding both the contents of the contract and the agreements that will regulate the potential future affiliation relationship, also with reference to the expected profitability of the management.</w:t>
      </w:r>
    </w:p>
    <w:p>
      <w:r>
        <w:t>42. The adoption of such measures therefore appears to eliminate the concerns expressed at the outset, according to which, at the time of signing the contract, the prospective franchisee would already find themselves in a condition of economic dependence on MCDI which, while progressively strengthening during the term of the contractual relationship, would already be sufficient to reduce their chances of finding satisfactory alternatives in the market, substantially conditioning their choice to sign the contract.</w:t>
      </w:r>
    </w:p>
    <w:p>
      <w:r>
        <w:t>43. Therefore, Measures 10 and 11 under examination seem to place aspiring franchisee entrepreneurs who are about to sign the affiliation contract in a position to more consciously weigh the consequences and scope, also considering any alternatives to signing the contract itself.</w:t>
      </w:r>
    </w:p>
    <w:p>
      <w:r>
        <w:t>ii) Changes to the contractual standard in use (Measures 1 to 9 and 12)</w:t>
      </w:r>
    </w:p>
    <w:p>
      <w:r>
        <w:t>44. The commitments proposed by the Party regarding the numerous changes to be made or maintained to the contractual standard in use appear to address all the main critical points raised in the initiation provision, both to mitigate and circumscribe the scope of the obligations imposed on licensees and to clarify their application scope and implications.</w:t>
      </w:r>
    </w:p>
    <w:p>
      <w:r>
        <w:t>45. In particular, with reference to the individual proposed measures, the following can be observed:</w:t>
      </w:r>
    </w:p>
    <w:p>
      <w:r>
        <w:t>16 BULLETIN NO. 25 OF JULY 4, 2022</w:t>
        <w:br/>
        <w:t>1. the provision that the franchisee has, regarding the assets and premises included in the business branch leased, only the burden of ordinary maintenance, now placing the burden of extraordinary maintenance on MCDI, introduces greater protection for the affiliate and aligns the contractual obligations with the provisions of the Civil Code regarding leases, without at the same time undermining the lessor's need to ensure that affiliates operate in compliance with the standards and quality levels of the system;</w:t>
      </w:r>
    </w:p>
    <w:p>
      <w:r>
        <w:t>2. the simplification of the logistics of mandatory training courses during the contractual relationship and the clarification that they refer exclusively to the employees of the franchisee, on one hand, significantly reduces the costs of training activities, on the other hand, justifies the fact that they are largely borne by the affiliates, as employers of their employees;</w:t>
      </w:r>
    </w:p>
    <w:p>
      <w:r>
        <w:t>3. MCDI's commitment to reduce the percentage to be invested in local advertising to 0.5% of the gross monthly turnover of each restaurant also acts to increase the entrepreneurial autonomy of the franchisee;</w:t>
      </w:r>
    </w:p>
    <w:p>
      <w:r>
        <w:t>4. similarly, the elimination of the obligation for the affiliate to reside within 50 km of the restaurant and the clarification that the management of the McD restaurant must represent for the manager only a "prevalent" activity (and no longer full-time) remove important constraints on the entrepreneurial and personal autonomy of the franchisee;</w:t>
      </w:r>
    </w:p>
    <w:p>
      <w:r>
        <w:t>5. likewise, the reformulation of the non-competition obligation, which is still functional to the protection of the licensor's know-how, broadens the entrepreneurial autonomy of the franchisee, to the extent that this obligation is removed for the entire period following the termination of the contractual relationship and is limited, during the affiliation relationship, to the informal restaurant sector, in which MCDI's restaurant network operates;</w:t>
      </w:r>
    </w:p>
    <w:p>
      <w:r>
        <w:t>6. for the purpose of easing the obligations of franchisees to comply with MCDI's commercial policies, all contractual clarifications and specific communications that will be sent to licensees, regarding the recognition of the franchisee's autonomy to adhere or not to the proposed promotional campaigns and the recommended selling prices by MCDI, appear particularly effective, without such entrepreneurial decisions being included among the criteria for evaluating the so-called expandability. Nor does the fact that MCDI may continue to provide incentives for compliance with certain maximum prices - set for a limited number of products - appear to unjustifiably limit the autonomy of franchisees, given that the indication, which is not imperative, of upper limits on the selling prices of certain qualifying or "iconic" products or services of MCDI's offer can be deemed functional to maintaining a unified image of the McD system;</w:t>
      </w:r>
    </w:p>
    <w:p>
      <w:r>
        <w:t>7. with reference to the criteria for selecting suppliers - which certainly, with reference to the "core" products of the commercial activity, also constitute identifying and qualifying elements of the image of the McD system - the possibility for the licensee to use suppliers who have not been previously approved by McD is of great importance. This specifically refers to all "non-core" products and ancillary services, provided that the products and services offered meet the quality standards required by the licensee;</w:t>
      </w:r>
    </w:p>
    <w:p>
      <w:r>
        <w:t>8. MCDI's commitment to limit the cases in which the rent can be unilaterally increased during the contract to the sole hypothesis in which the modification arises from the Title, from regulatory provisions, or from compliance with contractual provisions appears suitable to remove a possible abusive profile, while still leaving the franchisee the opportunity to raise objections regarding said costs;</w:t>
      </w:r>
    </w:p>
    <w:p>
      <w:r>
        <w:t>9. as for the provision of an obligation for MCDI to repurchase the equipment and furnishings purchased by the licensee - at the price actually paid by the franchisee, for purchases made in the three years preceding the expiration of the contract (net of a depreciation of 5% per year), or, in any case, at a value proportional to the actual depreciation of the assets, for purchases made more than 3 years before expiration - it represents an important form of protection for the investments made by licensees during their contractual relationship with MCDI. On the other hand, the fact that the same obligation is not provided in the event of early termination of the contract appears consistent with the need, in such circumstances, to agree on the conditions for terminating the contractual relationship within the framework of a specific private negotiation between the licensor and the licensee;</w:t>
      </w:r>
    </w:p>
    <w:p>
      <w:r>
        <w:t>10. finally, the entirely new provision that requires MCDI to negotiate, in good faith, possible measures aimed at mitigating any negative effects arising for the franchisee from the hypothetical opening of a new restaurant in the immediate vicinity appears to introduce an additional, significant form of protection for the already present and active affiliate in a specific trading area. In this regard, it is worth noting that the absence of a true territorial exclusivity clause, on one hand, can represent an important tool for managing its sales network for the franchisor, also in a perspective of increasing intrabrand competition and improving consumer benefits, on the other hand, does not appear to limit the entrepreneurial and commercial autonomy of the franchisee.</w:t>
      </w:r>
    </w:p>
    <w:p>
      <w:r>
        <w:t>VII. CONCLUSIONS</w:t>
      </w:r>
    </w:p>
    <w:p>
      <w:r>
        <w:t>46. Based on the above, it is believed that the commitments proposed by MCDI are overall suitable to remove the competitive concerns related to the profiles of economic dependence abuse hypothesized in the initiation procedure, pursuant to Article 9 of Law 198/1992. Furthermore, it should be noted that during the procedure it was possible to verify that some of the issues raised by entrepreneurs had already been addressed by MCDI even before the initiation of the investigation.</w:t>
      </w:r>
    </w:p>
    <w:p>
      <w:r>
        <w:t>47. In particular, the measures taken regarding the management of the pre-contractual phase appear suitable to ensure full awareness on the part of prospective affiliates regarding the contents of the agreement they are about to sign, as well as the obligations and commitments, as well as the profitability, connected to the management activity of a McDonald's restaurant, also reducing the costs incurred for training activities.</w:t>
      </w:r>
    </w:p>
    <w:p>
      <w:r>
        <w:t>48. Moreover, the new contractual standard proposed by MCDI, which would gradually be extended to all previously signed and still existing contracts, appears to significantly limit the gap of rights and obligations that arises between the licensee and its network of franchisees at the same time as the establishment of the affiliation relationship, also strengthening the affiliates' ability to negotiate, during the relationship, both their adherence to specific</w:t>
      </w:r>
    </w:p>
    <w:p>
      <w:r>
        <w:rPr>
          <w:b/>
        </w:rPr>
        <w:t>[Pages 16–18]</w:t>
      </w:r>
    </w:p>
    <w:p>
      <w:r>
        <w:t>18 BULLETIN NO. 25 OF JULY 4, 2022</w:t>
        <w:br/>
        <w:t>initiatives suggested and/or the indications received from MCDI regarding any exit conditions from the contract.</w:t>
      </w:r>
    </w:p>
    <w:p>
      <w:r>
        <w:t>49. Furthermore, with reference to the conduct adopted by MCDI during the contractual relationship - substantially represented by the indications provided to the licensee concerning various aspects of business management - it is believed that the clarifications included in the contracts in application of the proposed measures, especially regarding the recognition of the autonomy of the licensees in terms of commercial policies, are suitable to guarantee a margin of autonomy in the entrepreneurial choices of the franchisees, compatible with the need to maintain adequate quality standards and uniformity of image for the proper functioning of the McD system.</w:t>
      </w:r>
    </w:p>
    <w:p>
      <w:r>
        <w:t>50. Finally, with reference to some specific conducts highlighted by individual reporters, but which do not appear to have been adopted by MCDI within the generality of contractual relationships (for example, the imposition of the closure of a specific restaurant, the request to manage a different restaurant in place of the one already started, the request to make unexpected restructuring investments or to replace furnishings and equipment deemed unnecessary, etc.), it is worth emphasizing that this provision concerns exclusively the standard conduct adopted by MCDI towards the generality of its licensees, with the assessment of their competitive relevance, contained in the initiation provision, based precisely on their generalized application to the network of affiliates.</w:t>
      </w:r>
    </w:p>
    <w:p>
      <w:r>
        <w:t>CONSIDERING, therefore, that the commitments presented by MCDI are suitable to eliminate the critical issues subject to investigation;</w:t>
      </w:r>
    </w:p>
    <w:p>
      <w:r>
        <w:t>CONSIDERING to order the mandatory nature of the commitments presented by MCDI pursuant to Article 14-ter, paragraph 1, of Law No. 287/90;</w:t>
      </w:r>
    </w:p>
    <w:p>
      <w:r>
        <w:t>all of the above having been stated and considered:</w:t>
      </w:r>
    </w:p>
    <w:p>
      <w:r>
        <w:t>RESOLVES</w:t>
        <w:br/>
        <w:t>a) to make the commitments presented by McDonald's Development Italy LLC mandatory, pursuant to Article 14-ter, paragraph 1, of Law No. 287/90, in the terms described above and in the version attached to this provision, which forms an integral part thereof;</w:t>
        <w:br/>
        <w:t>b) to close the proceeding without establishing the infringement of Article 9 of Law 198/1992, pursuant to Article 14-ter, paragraph 1, of Law No. 287/90;</w:t>
        <w:br/>
        <w:t>c) that McDonald's Development Italy LLC shall present to the Authority, within sixty days from the notification of this provision, a report on the status of implementation of the commitments undertaken.</w:t>
      </w:r>
    </w:p>
    <w:p>
      <w:r>
        <w:t>This provision will be notified to the interested parties and published in the Bulletin of the Antitrust Authority.</w:t>
      </w:r>
    </w:p>
    <w:p>
      <w:r>
        <w:t>BULLETIN NO. 25 OF JULY 4, 2022 19</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THE SECRETARY GENERAL THE PRESIDENT</w:t>
        <w:br/>
        <w:t>Guido Stazi Roberto Rustichelli</w:t>
      </w:r>
    </w:p>
    <w:p>
      <w:r>
        <w:t>20 BULLETIN NO. 25 OF JULY 4, 2022</w:t>
        <w:br/>
        <w:t>CONCENTRATION OPERATIONS</w:t>
        <w:br/>
        <w:t>C12457 - DEA CAPITAL ALTERNATIVE FUNDS SGR-PONTE TER/COSTA</w:t>
        <w:br/>
        <w:t>EDUTAINMENT</w:t>
        <w:br/>
        <w:t>Provision No. 30200</w:t>
        <w:br/>
        <w:t>THE ANTITRUST AUTHORITY</w:t>
        <w:br/>
        <w:t>IN ITS MEETING of June 14, 2022;</w:t>
        <w:br/>
        <w:t>HEARD the Rapporteur, Professor Elisabetta Iossa;</w:t>
        <w:br/>
        <w:t>HAVING REGARD to Law No. 287 of October 10, 1990;</w:t>
        <w:br/>
        <w:t>HAVING REGARD to the D.P.R. No. 217 of April 30, 1998;</w:t>
        <w:br/>
        <w:t>HAVING REGARD to the communication from DeA Capital Alternative Funds SGR S.p.A., received on May 24, 2022;</w:t>
        <w:br/>
        <w:t>HAVING REGARD to the subsequent communication from the aforementioned DeA Capital Alternative Funds SGR S.p.A., received on May 27, 2022, which also contained the turnover data necessary for verifying the obligation of prior notification;</w:t>
      </w:r>
    </w:p>
    <w:p>
      <w:r>
        <w:t>CONSIDERED the following:</w:t>
        <w:br/>
        <w:t>I. THE PARTIES</w:t>
        <w:br/>
        <w:t>1. DeA Capital Alternative Funds SGR S.p.A. (hereinafter DEA) is a company of the De Agostini group (a group headed by De Agostini S.p.A.) active particularly in collective asset management and in the exercise of related or instrumental activities. For the purposes of this operation, DEA manages the closed-end fund reserved for qualified investors called IDeA CCR II (hereinafter Fund) with the aim of providing financial support in the context of business restructuring operations. The De Agostini group is subject to the control of B&amp;D Holding S.p.A., which holds approximately 61% of the capital of the parent company. In 2020, the De Agostini group achieved a total turnover of [3-4]* billion euros, of which [1-2] billion and [700-1,000] million for sales made respectively in the European Union and in Italy.</w:t>
      </w:r>
    </w:p>
    <w:p>
      <w:r>
        <w:t>2. Costa Edutainment S.p.A. (hereinafter Costa) is an Italian company at the head of the eponymous group formed with the subsidiaries Idrorama S.r.l., C-Way S.r.l., Zifio Ltd as well as, recently acquired, Oltremare S.r.l. and Marina S.r.l.</w:t>
        <w:br/>
        <w:t>* In this version, some data are omitted, as elements of confidentiality or secrecy of the information were deemed to exist.</w:t>
      </w:r>
    </w:p>
    <w:p>
      <w:r>
        <w:rPr>
          <w:b/>
        </w:rPr>
        <w:t>[Pages 19–21]</w:t>
      </w:r>
    </w:p>
    <w:p>
      <w:r>
        <w:t>BULLETIN NO. 25 OF JULY 4, 2022 21</w:t>
      </w:r>
    </w:p>
    <w:p>
      <w:r>
        <w:t>The Costa group is active in the management of amusement parks, entertainment, and scientific education (such as the Aquarium of Genoa, the attractions of the Porto Antico area, the Aquarium of Livorno, the parks known as Aquafan and Italy in Miniature, etc.)1. The (exclusive) control of Costa is currently held by the holding company Ponte Ter, which is in turn attributable to members of the Costa family. The Costa group achieved a total revenue of [31-100] million euros in 2021, of which [31-100] million was from sales made in Italy.</w:t>
      </w:r>
    </w:p>
    <w:p>
      <w:r>
        <w:t>II. DESCRIPTION OF THE OPERATION</w:t>
      </w:r>
    </w:p>
    <w:p>
      <w:r>
        <w:t>3. The communication under examination concerns the acquisition, by DEA and thus the De Agostini group, of joint control - together with the current owners, who currently exercise exclusive control - of Costa, in particular through the purchase, via the aforementioned Fund, of a 10%2 stake in the share capital of a newco that will acquire the entire capital of Costa, as well as through the provisions of the shareholders' agreement signed (regarding the governance of newco) that grants DEA a decisive influence over the strategic decisions of the newco and therefore of the acquired entity.</w:t>
      </w:r>
    </w:p>
    <w:p>
      <w:r>
        <w:t>4. In particular, at the assembly level, the favorable vote of DEA is required on various matters including amendments to the Articles of Association; corporate transactions (mergers, demergers, listings, etc.); transactions concerning the share capital; issuance of financial instruments; dissolution and liquidation; revocation of the Board of Directors; etc. For its part, at the level of the administrative body, a veto right is provided for the Board of Directors of DEA on strategic matters such as the appointment of the CEO; the granting and revocation of powers to other Directors; the dismissal and appointment of senior management figures; the acquisition and/or disposal of shareholdings, businesses, or business units; as well as the approval of the budget and business plan and non-marginal changes to them.</w:t>
      </w:r>
    </w:p>
    <w:p>
      <w:r>
        <w:t>5. The operation also includes some non-competition clauses. In particular, the sellers undertake, for an undefined period of time and with respect to the Italian territory (and the Republic of San Marino), not to engage in activities in competition with the subsidiaries of newco (and therefore with Costa).</w:t>
      </w:r>
    </w:p>
    <w:p>
      <w:r>
        <w:t>III. QUALIFICATION OF THE OPERATION</w:t>
      </w:r>
    </w:p>
    <w:p>
      <w:r>
        <w:t>6. The communicated operation constitutes a concentration pursuant to Article 5, paragraph 1 letter b), of Law No. 287/90, as it involves the acquisition of joint control of a company.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 the last financial year at the national level, individually by at least two of the companies involved was over 31 million euros.</w:t>
      </w:r>
    </w:p>
    <w:p>
      <w:r>
        <w:t>7. The non-competition agreements described above can be qualified as ancillary to the communicated concentration to the extent that they contain restrictions directly related to the realization of the operation and necessary for it3. In particular, in this case, the commitments made by the sellers benefit the buyer and respond to the need to ensure the transfer of the actual value of the acquisition to the latter. However, in order not to exceed the limits of what is reasonably required for this purpose, it is necessary that the duration be limited to a maximum of three years from the date of closing.</w:t>
      </w:r>
    </w:p>
    <w:p>
      <w:r>
        <w:t>IV. ASSESSMENT OF THE CONCENTRATION</w:t>
      </w:r>
    </w:p>
    <w:p>
      <w:r>
        <w:t>The product and geographic market</w:t>
      </w:r>
    </w:p>
    <w:p>
      <w:r>
        <w:t>8. As already noted by the Authority in relation to a previous acquisition of control over Costa4, from a commodity perspective, the sectors involved in the operation under examination are those in which the Costa companies subject to acquisition operate, namely the management of amusement parks and, to a residual extent, the provision of tour operator services. The thematic, amusement, entertainment, and scientific education parks can be differentiated, also for the purpose of delimiting their geographic relevance, by the level of mass attraction capacity. For example, regional parks can be defined as those managed by Costa (characterized by smaller sizes, visitors mainly from nearby areas, generally shorter visit times, and fewer complementary services), except for the more well-known structures (Aquarium of Genoa, Aquafan parks, and Italy in Miniature) of a nationally significant, if not broader, relevance. The tour operating activity consists instead of the organization and marketing, also through travel agencies, of integrated travel packages. For the Costa group, as mentioned, the activity in this market is residual as it is strictly dependent, connected, and functional to the presence in the first market and moreover in relation to the only Aquarium of Genoa (and Porto Antico). In any case, in this specific case, given the absence of overlaps between the Parties, no further in-depth analysis of the commodity and geographic relevance of the markets in question is necessary.</w:t>
      </w:r>
    </w:p>
    <w:p>
      <w:r>
        <w:t>Effects of the operation</w:t>
      </w:r>
    </w:p>
    <w:p>
      <w:r>
        <w:t>9. The operation under examination does not create horizontal overlaps between the buyer of joint control and the Costa group, nor vertical relationships between the same Parties. No company of the De Agostini group is, in fact, active in the markets described above, nor in sectors upstream or downstream of them.</w:t>
      </w:r>
    </w:p>
    <w:p>
      <w:r>
        <w:t>10. The presence of the Costa group in the relevant markets is also negligible with respect to the tour operator activity (well below 1%) and is just over 20% with respect to the management of amusement parks, a field in which it competes with various and qualified competitors (such as Gardaland, Magicland, Zoomarine, etc.).</w:t>
      </w:r>
    </w:p>
    <w:p>
      <w:r>
        <w:t>11. In light of the foregoing considerations, the concentration under examination does not appear capable of significantly altering the competitive dynamics in the relevant markets.</w:t>
      </w:r>
    </w:p>
    <w:p>
      <w:r>
        <w:t>CONSIDERING, therefore, that the operation under examination does not entail, pursuant to Article 6, paragraph 1, of Law No. 287/90, the creation or strengthening of a dominant position in the relevant markets, such as to eliminate or substantially and durably reduce competition;</w:t>
      </w:r>
    </w:p>
    <w:p>
      <w:r>
        <w:t>CONSIDERING, furthermore, that the non-competition clauses agreed upon are ancillary to the present operation only within the limits specified above, and that the Authority reserves the right to evaluate, where the conditions exist, such clauses to the extent that they are realized beyond the duration indicated therein;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Guido Stazi Roberto Rustichelli</w:t>
      </w:r>
    </w:p>
    <w:p>
      <w:r>
        <w:rPr>
          <w:b/>
        </w:rPr>
        <w:t>[Pages 22–24]</w:t>
      </w:r>
    </w:p>
    <w:p>
      <w:r>
        <w:t>24 BULLETIN NO. 25 OF JULY 4, 2022</w:t>
        <w:br/>
        <w:t>REPORTING AND CONSULTATIVE ACTIVITY</w:t>
        <w:br/>
        <w:t>AS1845 - SICILY REGION - REGIONAL SUPPLEMENTARY AGREEMENT OF FREE CHOICE PEDIATRIC SPECIALISTS</w:t>
        <w:br/>
        <w:t>Rome, March 18, 2022</w:t>
        <w:br/>
        <w:t>Department of Health of the Sicilian Region</w:t>
        <w:br/>
        <w:t>The Antitrust Authority, in exercising the power under Article 21-bis of Law No. 287 of October 10, 1990, and following a report received on January 20, 2022, from a pediatric specialist, in its meeting on March 15, 2022, resolved to formulate the following considerations regarding Article 4 of the regional supplementary agreement of free choice pediatric specialists (PLS) signed on November 16, 2021, and made effective by Assessorial Decree No. 1501 of December 31, 2021, subsequently published in the Official Gazette of the Sicilian Region No. 2 of January 14, 2022.</w:t>
        <w:br/>
        <w:t>In particular, Article 4 of the Agreement contained in the Decree, which replaces the previous Article 21 of the Regional Supplementary Agreement of Pediatrics (AIR), states: “[...] The area defined as 'in assistance distress' is primarily that portion of territory where the average number of patients per pediatrician in the area is equal to or greater than the current maximum (currently equal to 800 choices), considering that the calculation of the maximum must exclude non-EU patients, those over fourteen with chronic conditions, and territorial exemptions, pursuant to Articles 38 and 39 of the ACN; furthermore, those areas that due to geographical or other conditions highlighted by the Company, and evaluated in the Company Committee, make access to assistance difficult are considered 'in assistance distress.'</w:t>
        <w:br/>
        <w:t>Moreover, the same article provides that: “Provincial Health Authorities, in the presence of an area 'in assistance distress' as identified above, in order to verify the possibility of inserting a free choice pediatrician, in derogation of the criteria provided by the ACN, apply a calculation that takes into account the resident population aged 0-6 years plus 55% of the patients aged 7-14 years under the care of PLS in areas with less than 250,000 residents and 70% in areas with more than 250,000 residents.</w:t>
        <w:br/>
        <w:t>If from the aforementioned calculation a 'extraordinary zone' is identified, the Company, in order to verify the possibility of inserting an additional pediatrician, will carry out a new calculation, counting the average number of patients under the care of pediatricians in the area concerned, also considering the pediatrician who will settle in the area in distress, as determined above; if the average number of patients is equal to or greater than the maximum (based on the current ACN of 800 patients), it will again apply the calculation criteria provided by the previous paragraph (resident population aged 0-6 years plus 55% of the patients aged 7-14 years under the care of PLS in areas with less than 250,000 residents and 70% in areas with more than 250,000 residents) to verify if an additional 'extraordinary zone' is determined.</w:t>
        <w:br/>
        <w:t>The Company must follow this procedure as long as the average number of patients under the care of pediatricians (both present and to be recruited for the identified extraordinary zones) remains below the current maximum (currently 800). In the calculation of the average, pursuant to the current ACN, temporary choices, patients over fourteen with chronic conditions, and territorial exemptions must still be excluded.”</w:t>
        <w:br/>
        <w:t>In this regard, it is noted that the calculation method adopted for identifying the areas 'in assistance distress' does not adequately reflect either the actual population aged 7-14 'assisted', nor that 'assistable'. In fact, although the new Article 21 AIR states that “the high quality of pediatric assistance has resulted in the fact that in almost all assistance areas the majority of citizens have opted for assistance from PLS for those assistable in the 7-14 age group,” in the calculation proposed for verifying the possibility of inserting a new pediatrician, the resident population aged 0-6 years is summed with “55% of the patients aged 7-14 under the care of PLS in areas with less than 250,000 residents and 70% in areas with more than 250,000 residents.”</w:t>
        <w:br/>
        <w:t>Therefore, not only are not all patients between the ages of 7 and 14 considered, but there is no mechanism to estimate how many children between the ages of 7 and 14 are currently assisted by a general practitioner, but who could represent a potential demand worthy of inclusion for the purpose of calculating assistance distress, given the specific expertise of pediatric specialists regarding the child population.</w:t>
        <w:br/>
        <w:t>The inadequate representation of the 7-14 age group thus reflects both on the levels of assistance offered to the affected population and on the fewer number of new pediatricians to be inserted, thereby integrating a competitive restriction on access to the profession of PLS.</w:t>
        <w:br/>
        <w:t>That said, Article 4 of the regional supplementary agreement also contains an additional competitive criticality already reported by the Authority, pursuant to Article 21 of Law No. 287/90.</w:t>
        <w:br/>
        <w:t>In particular, no derogation is provided for Article 38, paragraph 13, of the National Collective Agreement of Pediatrics (ACN), whereby certain categories of patients do not count towards the maximum, thus not following the Authority's hope for “the adoption of a mechanism that allows for the weighting for the determination of the maximum also of temporary choices (non-EU patients and non-resident patients), patients over fourteen with chronic conditions (and until the age of sixteen), and patients who have exercised the right of revocation towards an ultra-maximal pediatrician, in order to make the related calculation of patients more consistent with the number of patients actually assisted by the PLS.”</w:t>
        <w:br/>
        <w:t>In light of the foregoing considerations, it is believed that what has been noted regarding Article 4 of the regional supplementary agreement of free choice pediatric specialists adopted with Assessorial Decree No. 1501 of December 31, 2021, impacting the number of new permanent PLS, constitutes a restriction on access to the profession, in violation of Articles 45 and 56 of the Treaty on the Functioning of the European Union and Article 41 of the Constitution.</w:t>
        <w:br/>
        <w:t>Pursuant to Article 21-bis, paragraph 2, of Law No. 287/90, this Administration must communicate to the Authority, within sixty days from the receipt of this opinion, the initiatives taken to remove the aforementioned competition violation, in relation to Article 4 of the cited supplementary agreement and any other related, connected, and consequent acts. If within the aforementioned term such initiatives do not prove to be compliant with the above-expressed competition principles, the Authority may file an appeal within the following thirty days.</w:t>
        <w:br/>
        <w:t>This opinion will be published in the Bulletin of the Authority pursuant to Article 26 of Law No. 287/90.</w:t>
        <w:br/>
        <w:t>THE PRESIDENT</w:t>
        <w:br/>
        <w:t>Roberto Rustichelli</w:t>
        <w:br/>
        <w:t>_______________________________________________________________</w:t>
        <w:br/>
        <w:t>Statement regarding the failure of the Sicily Region to comply with the reasoned opinion expressed by the Authority pursuant to Article 21-bis of Law No. 287/1990 regarding the regulation of access to free choice pediatricians.</w:t>
        <w:br/>
        <w:t>In its meeting on March 15, 2022, the Authority resolved to send to the Sicily Region, and for information to the Ministry of Health, a reasoned opinion pursuant to Article 21-bis of Law No. 287 of October 10, 1990, published above this communication, regarding Article 4 of the regional supplementary agreement of free choice pediatric specialists, signed on November 16, 2021, and made effective by Assessorial Decree No. 1501 of December 31, 2021 (hereinafter also DA No. 1501/2021).</w:t>
        <w:br/>
        <w:t>The Authority particularly criticized the failure to define the parameter of 'assistance distress' to calculate the entry of new PLS with reference to all patients in the age group 7-14, assisted by the general practitioner and potentially assistable by PLS, and the lack of provision, already hoped for in a previous report of 2021, of certain particular situations in the definition of the maximum.</w:t>
        <w:br/>
        <w:t>Noting the failure of the Sicily Region to comply within the legally prescribed time frame with the observations contained in the reasoned opinion, the Authority, in its meeting on May 24, 2022, resolved to appeal against such acts to the Regional Administrative Court of Sicily – Palermo.</w:t>
        <w:br/>
        <w:t>On May 27, 2022, the Sicily Region submitted a brief note in defense of its actions, considered to be an improvement over the reference regulation. In the meeting on June 7, 2022, the Authority, considering that the Sicily Region did not provide new elements suitable to negate the previous observations, decided to proceed with the appeal.</w:t>
      </w:r>
    </w:p>
    <w:p>
      <w:r>
        <w:rPr>
          <w:b/>
        </w:rPr>
        <w:t>[Pages 25–27]</w:t>
      </w:r>
    </w:p>
    <w:p>
      <w:r>
        <w:t>BULLETIN NO. 25 OF JULY 4, 2022 27</w:t>
        <w:br/>
        <w:t>the issues identified in the reasoned opinion and noted that it has only provided a partial and generic willingness to address the concerns regarding the calculation of the cap during an upcoming Working Group, has confirmed its decision to file an appeal.</w:t>
      </w:r>
    </w:p>
    <w:p>
      <w:r>
        <w:t>28 BULLETIN NO. 25 OF JULY 4, 2022</w:t>
        <w:br/>
        <w:t>TELEVISION RIGHTS</w:t>
        <w:br/>
        <w:t>SR41 - LEGA PRO/GUIDELINES FOR THE MARKETING OF AUDIOVISUAL RIGHTS</w:t>
        <w:br/>
        <w:t>SEASONS 2022/2023 - 2023/2024 - 2024/2025</w:t>
        <w:br/>
        <w:t>Provision No. 30204</w:t>
        <w:br/>
        <w:t>THE ANTITRUST AUTHORITY</w:t>
        <w:br/>
        <w:t>IN ITS MEETING of June 14, 2022;</w:t>
        <w:br/>
        <w:t>HEARD the Rapporteur, Professor Michele Ainis;</w:t>
        <w:br/>
        <w:t>HAVING REGARD to Law No. 287 of October 10, 1990;</w:t>
        <w:br/>
        <w:t>HAVING REGARD to Legislative Decree No. 9 of January 9, 2008, concerning the Regulation of ownership and marketing of sports audiovisual rights and the related distribution of resources;</w:t>
        <w:br/>
        <w:t>HAVING REGARD to Article 6, paragraph 1, of the aforementioned Legislative Decree, according to which the Italian Professional Football League is required to predetermine, for the football competitions under its jurisdiction, guidelines "for the marketing of audiovisual rights containing rules regarding the offer and assignment of the same audiovisual rights, criteria regarding the formation of the related packages and the further rules" provided for by the decree in order to guarantee participants in the competitive procedures "conditions of absolute fairness, transparency, and non-discrimination";</w:t>
        <w:br/>
        <w:t>HAVING REGARD to Article 6, paragraph 6, of the same Legislative Decree, which establishes that the Authority for Guarantees in Communications and the Antitrust Authority shall verify, for their respective areas of competence, the compliance of the guidelines with the principles and provisions of Legislative Decree No. 9/2008 and approve them within sixty days of receipt;</w:t>
        <w:br/>
        <w:t>HAVING REGARD to the guidelines, pursuant to Legislative Decree No. 9/2008, for the sports seasons 2022/2023, 2023/2024, and 2024/2025, transmitted by the Italian Professional Football League with a note dated April 28, 2022;</w:t>
        <w:br/>
        <w:t>HAVING REGARD to the public consultation convened by the Authority with resolution dated May 10, 2022;</w:t>
        <w:br/>
        <w:t>HAVING REGARD to the contribution provided on May 23, 2022, by a communication operator;</w:t>
        <w:br/>
        <w:t>CONSIDERING the following:</w:t>
        <w:br/>
        <w:t>I. THE ITALIAN PROFESSIONAL FOOTBALL LEAGUE</w:t>
        <w:br/>
        <w:t>1. The Italian Professional Football League (hereinafter also referred to as Lega Pro) is the private association of football clubs registered in the Single Division Championship. Among the tasks assigned to Lega Pro are the organization and management of the Single Division Championship – structured in the Regular Season, Play Off, and Play Out tournaments – and the events of the Coppa Italia di Lega Pro and the Supercoppa di Lega Pro.</w:t>
        <w:br/>
        <w:t>II. THE CONTENTS OF THE GUIDELINES</w:t>
        <w:br/>
        <w:t>2. Below are summarized the main contents of the guidelines prepared by Lega Pro, as communicated by the aforementioned association on April 28, 2022.</w:t>
      </w:r>
    </w:p>
    <w:p>
      <w:r>
        <w:t>BULLETIN NO. 25 OF JULY 4, 2022 29</w:t>
        <w:br/>
        <w:t>3. The Guidelines in question govern the sports audiovisual and radio rights pertaining to the following football competitions, organized by Lega Pro for the sports seasons 2022/2023, 2023/2024, and 2024/2025: Single Division Championship, the Play Off and Play Out tournaments, the Coppa Italia di Lega Pro tournament, and the Supercoppa di Lega Pro tournament.</w:t>
        <w:br/>
        <w:t>4. For the mentioned competitions, Lega Pro will proceed with the centralized sale of primary audiovisual rights (first broadcast rights of events) and secondary rights (rights to broadcast replays, summaries, and highlights of events) through the development of rights packages that provide for television transmission methods (satellite and digital terrestrial), radio, and via IP protocol, which differ from each other depending on the exclusive or non-exclusive nature of their exploitation.</w:t>
        <w:br/>
        <w:t>a. The "Serie C TV" channel</w:t>
        <w:br/>
        <w:t>5. For several years, Lega Pro has offered fans the direct distribution of all matches of all Sports Societies through its owned channel, currently and at least until the end of the 2022/2023 season available on the multichannel distribution platform "Eleven Sports."</w:t>
        <w:br/>
        <w:t>6. The results of the channel, despite the difficulties related to the economic crisis, have remained in line with expectations. Furthermore, the interest and loyalty of fans to the channel lead Lega Pro to continue with the project.</w:t>
        <w:br/>
        <w:t>7. The live matches on the channel are distributed for a fee with the adoption of a particularly low-cost policy. The results achieved, in terms of subscriptions and memberships, both monthly and annual, remain satisfactory as in the previous three-year period. Similarly, the data regarding the number of views per single match day are at respectable levels, and even better results are expected concerning the Play Off and Play Out tournaments.</w:t>
        <w:br/>
        <w:t>b. General marketing criteria</w:t>
        <w:br/>
        <w:t>8. Regarding the marketing of Audiovisual Rights in the upcoming three-year period, Lega Pro intends to reaffirm its traditional offer of free content to national and local operators. This approach is indeed dictated by the desire to guarantee clubs not only economic resources but also, and above all, visibility in the territory, with various packages of rights offered mainly to local operators where the sports realities associated with Lega Pro can attract greater interest.</w:t>
        <w:br/>
        <w:t>9. Lega Pro therefore intends to continue the marketing of "live" broadcasts on traditional free television, both at the national level (about 40/50 Regular Season matches broadcast per season in free mode) and at the local level (with the broadcast of some away matches), which, however, has the merit of ensuring visibility for events and the movement in general. For this last reason, Lega Pro will continue to market the packages related to "live" broadcasts in free mode following the receipt of expressions of interest from operators.</w:t>
        <w:br/>
        <w:t>10. Lega Pro will also offer, to local and national operators, in a logic of promoting the movement, as well as to ensure the widespread dissemination of information beyond mere reporting, the usual packages already marketed in previous Sports Seasons related to highlights, delayed broadcasts, studio-stadium connections, and radio broadcasts.</w:t>
        <w:br/>
        <w:t>11. Lega Pro in the last two Sports Seasons has marketed a variable number of live broadcasts to be transmitted on a non-exclusive basis for a fee on the</w:t>
      </w:r>
    </w:p>
    <w:p>
      <w:r>
        <w:rPr>
          <w:b/>
        </w:rPr>
        <w:t>[Pages 28–30]</w:t>
      </w:r>
    </w:p>
    <w:p>
      <w:r>
        <w:t>30 BULLETIN NO. 25 OF JULY 4, 2022</w:t>
        <w:br/>
        <w:t>national territory through traditional broadcasting platforms. This is a market opportunity that has been identified in order to generate interest in the Pay world by allowing greater visibility for the clubs. Lega Pro is considering the possibility of replicating a similar offer in the next marketing cycle, also based on the indications that will be received from the market.</w:t>
      </w:r>
    </w:p>
    <w:p>
      <w:r>
        <w:t>12. Based on the provisions of Legislative Decree No. 9/2008 (hereinafter also referred to as the Melandri Decree), Lega Pro, as the Organizer of the competitions, continues to exercise the Audiovisual Rights of the competitions through two different marketing phases: a first phase for the marketing of the rights of events related to the Regular Season of the Championship and the Coppa Italia; a second phase, usually in the months of May and June, related to the Play Off and Play Out tournaments, the final matches of the Coppa Italia, and the matches of the Supercoppa, taking into account the Sports Societies admitted to participate at that time in the aforementioned competitions.</w:t>
      </w:r>
    </w:p>
    <w:p>
      <w:r>
        <w:t>c. The formation of the packages</w:t>
      </w:r>
    </w:p>
    <w:p>
      <w:r>
        <w:t>13. Lega Pro, while reserving the right to modify the packages at the time of their formal publication on its official website, has indicated in the Guidelines sent on April 28, 2022, some criteria for their marketing summarized below.</w:t>
      </w:r>
    </w:p>
    <w:p>
      <w:r>
        <w:t>a. The content of the packages will be determined by Lega Pro taking into account both the requests of the Communication Operators and the needs of users and fans related to the product, as well as the needs of the associated Sports Societies;</w:t>
      </w:r>
    </w:p>
    <w:p>
      <w:r>
        <w:t>b. packages will be prepared both for the entire national territory and limited to the local territory of the Society of interest. The aim is to satisfy both the interest of the entire country in being able to correctly follow the competitions that have national relevance, and to ensure greater visibility for the Societies within their own territory. Packages may also be developed that provide rights for the cumulative distribution of events from all groups or from a single group;</w:t>
      </w:r>
    </w:p>
    <w:p>
      <w:r>
        <w:t>c. the marketing method selected as a rule by Lega Pro is that of cross-distribution both "by platform" and "by product": each single package will indeed identify the specific events included therein and grant the license for the exercise of the Audiovisual Rights on a single Platform. This rule may be an exception for packages related to live broadcasts, whether free-to-air or paid, of matches on the national territory, if they are subject to marketing, which may allow the freedom of choice of the broadcasting Platform(s). Lega Pro, in any case, reserves the right to allow the choice of the broadcasting Platform even in the case of other packages, particularly where market evolution requires it;</w:t>
      </w:r>
    </w:p>
    <w:p>
      <w:r>
        <w:t>d. packages containing rights for the local distribution of free-to-air live events of individual Sports Societies via Satellite Platform (DTH) or Digital Terrestrial Platform (DTT) will generally be prepared in such a way as to allow the distribution of matches played away by the aforementioned teams, with the option to include within the same packages also their home matches, provided that such construction of the package may prove economically advantageous for Lega Pro;</w:t>
      </w:r>
    </w:p>
    <w:p>
      <w:r>
        <w:t>BULLETIN NO. 25 OF JULY 4, 2022 31</w:t>
        <w:br/>
        <w:t>e. the audiovisual production of the events will be characterized by uniformity and homogeneity, whether entrusted to the assignees, but always under the editorial control of Lega Pro, or if it is borne by Lega Pro itself. In the event that the Licensee of the Audiovisual Rights is authorized and intends to integrate the production of Lega Pro (for example, by using a greater number of cameras), while respecting the provisions of the "Regulation on audiovisual productions, access to stadiums, and interviews" issued by Lega Pro from time to time (hereinafter "Media Operational Regulation") and any subsequent modifications and any other applicable regulation or source, including the general licensing conditions contained in the invitations to offer, the "integrated" signal containing the images of the event itself and including any source of filming must still be made available to Lega Pro and the Sports Society as the Organizer of the event without any compensation or reimbursement of technical costs;</w:t>
      </w:r>
    </w:p>
    <w:p>
      <w:r>
        <w:t>f. within the invitation to offer, the minimum production standards in relation to each type of exploitation of the Audiovisual Rights will be specified, as well as the costs for access to the signal, which may not exceed what is provided for in the Tariff Schedule in Annex 1 of the Guidelines;</w:t>
      </w:r>
    </w:p>
    <w:p>
      <w:r>
        <w:t>g. in the event of a negative outcome of the competitive procedure (in the terms and with the methods indicated below), Lega Pro reserves the right to market new packages in subsequent procedures, prepared through the aggregation of existing ones or through separate licensing of the individual rights that are part of the package or other packages;</w:t>
      </w:r>
    </w:p>
    <w:p>
      <w:r>
        <w:t>h. both within the licensed rights in the packages and in the direct distribution of events on the "Serie C TV" channel, Lega Pro will proceed to exploit the so-called archive rights owned by the Sports Societies participating in the competitions, as per Article 3 of the Decree;</w:t>
      </w:r>
    </w:p>
    <w:p>
      <w:r>
        <w:t>i. Lega Pro will decide, as happened in the previous sales cycle, to license the audiovisual rights for one, two, or three years, depending on the needs that will arise during the procedures, taking into account the emergency situation that will continue even during the next Sports Season;</w:t>
      </w:r>
    </w:p>
    <w:p>
      <w:r>
        <w:t>j. Lega Pro intends to explore new avenues for the exploitation of audiovisual images, starting, in parallel with the exercise of audiovisual rights according to the criteria just specified, to explore the new world of the Metaverse, a direct experimentation in the digital market, which involves not only live images of matches but also innovative products such as NFTs (Non-Fungible Tokens). This new exploitation is reserved for Lega Pro itself and, once the experimental process is complete, may be included in the next sales cycle as a resource that Lega Pro can exploit in the interest of the Sports Societies in parallel with the marketing of Audiovisual Rights and the owned channel;</w:t>
      </w:r>
    </w:p>
    <w:p>
      <w:r>
        <w:t>k. with reference to the Audiovisual Rights, including the so-called betting rights, for the international territory, Lega Pro has confirmed in the recent cycle the limited interest shown by the international market. For this reason, Lega Pro may undertake, also based on Article 16 of the Melandri Decree, in parallel with direct distribution through the "Serie C TV" channel, agile marketing strategies with the main objective of perfecting the assignment of rights and thus facilitating the enjoyment of events for communities of compatriots abroad. Lega Pro in this sense does not exclude any marketing hypothesis and therefore remains open both to concluding licensing agreements with operators broadcasting in the international territory and to assigning rights to one or more intermediaries, possibly also through structured competitive procedures using the tool of private negotiation.</w:t>
      </w:r>
    </w:p>
    <w:p>
      <w:r>
        <w:t>d. Types of packages</w:t>
      </w:r>
    </w:p>
    <w:p>
      <w:r>
        <w:t>14. Based on the criteria mentioned above, Lega Pro may offer the market for the three-year period 2022/2025 packages of Audiovisual Rights with the following characteristics:</w:t>
      </w:r>
    </w:p>
    <w:p>
      <w:r>
        <w:t>a) possible exclusive national distribution of Live broadcasts and/or "highlights": one or more packages could be prepared for the transmission of Live broadcasts on any Platform of the Licensee's choice or packages for the transmission of Live broadcasts of the matches of a single team or a group of teams (including an entire group). Such packages may provide for distribution both free-to-air and paid and have both exclusive and non-exclusive content. Highlights of all competitions could be included within the aforementioned live packages, or they could be distributed individually for each Competition (Championship, Coppa Italia, and Supercoppa) or phase of Competition (Regular Season, Play Off, and Play Out) or for single/club matches within specific packages;</w:t>
      </w:r>
    </w:p>
    <w:p>
      <w:r>
        <w:t>b) possible exclusive local distribution of Live broadcasts: packages could be prepared for the distribution, free-to-air or paid, on any Platform, of Live broadcasts of external events of the Regular Season played away by a single team, also aggregating events into packages intended for macro regional areas, even with a limit on broadcasts related to the single team. Packages could also be prepared for the distribution on any Platform, free-to-air or paid, of Live broadcasts of events played away by one or more teams in the Play Off and Play Out tournaments. In the description of the package, it may be provided that, if a single external event is "chosen" for live transmission by the communication operator licensed for the Audiovisual Rights for national distribution, the local Licensee will be required to broadcast the event exclusively with conditional access and the agreed compensation will be proportionally reduced;</w:t>
      </w:r>
    </w:p>
    <w:p>
      <w:r>
        <w:t>c) exclusive local distribution of Delayed broadcasts: packages could be prepared for the free-to-air distribution of Delayed broadcasts of all events of the Regular Season of the Championship, of the Coppa Italia (excluding the events of the semifinals and finals) played by a single team, or packages for the distribution, free-to-air or paid, of Delayed broadcasts of events from the Play Off and Play Out tournaments, semifinals and finals of the Coppa Italia, and the Supercoppa;</w:t>
      </w:r>
    </w:p>
    <w:p>
      <w:r>
        <w:t>d) non-exclusive national or local audiovisual transmission of "related images" (so-called stadium – studio): packages could be prepared containing the non-exclusive right to create and transmit, live and free-to-air, generally with transmission methods via Satellite Platform and/or digital terrestrial and/or OTT, sports programs of the type "stadium – studio", broadcast live during the Regular Season matches (excluding events from the Play Out and Play Off Tournaments) and the Coppa Italia (excluding semifinals and finals) played by a single Sports Society, or by multiple Sports Societies; in conjunction with the package of a single Sports Society, the related highlights may also be licensed non-exclusively. Packages may also be prepared for the distribution, free-to-air or paid, of "stadium – studio" programs of events from the Play Off and Play Out tournaments, semifinals and finals of the Coppa Italia, and the Supercoppa;</w:t>
      </w:r>
    </w:p>
    <w:p>
      <w:r>
        <w:rPr>
          <w:b/>
        </w:rPr>
        <w:t>[Pages 31–33]</w:t>
      </w:r>
    </w:p>
    <w:p>
      <w:r>
        <w:t>BULLETIN NO. 25 OF JULY 4, 2022 33</w:t>
        <w:br/>
        <w:t>e) non-exclusive distribution at the national or local level of Highlights and/or Related Images: in coordination and taking into account the content of the packages referred to in point a), packages may be prepared for distribution, within sponsored in-depth programs and/or talk shows, of Highlights, lasting three/five minutes, of each event of the Regular Season of the Championship and the Coppa Italia (excluding the semifinals and the final) played by all participating Sports Societies, or of the events of the Play Off and Play Out tournaments, of the events of the semifinals and the final of the Coppa Italia, as well as the Supercoppa;</w:t>
      </w:r>
    </w:p>
    <w:p>
      <w:r>
        <w:t>f) exclusive radio broadcasting: packages of rights for live broadcasting, in full or in excerpts, of the radio commentary of all events of the Regular Season of the Championship and the Coppa Italia (excluding the events of the semifinals and the final) played by a single team, or of the events of the Play Off and Play Out tournaments, of the events of the semifinals and the final of the Coppa Italia, as well as the Supercoppa may be prepared;</w:t>
      </w:r>
    </w:p>
    <w:p>
      <w:r>
        <w:t>g) non-exclusive "web-commentary" rights via IP Platform: packages containing the non-exclusive right to provide, live free or pay, via IP Platform, the so-called "web-commentary" (textual commentary) of all events of the Regular Season of the Championship and the Coppa Italia (excluding the events of the semifinals and the final) played by a single team, or of the events of the Play Off and Play Out tournaments, of the events of the semifinals and the final of the Coppa Italia, as well as of the Supercoppa may be prepared;</w:t>
      </w:r>
    </w:p>
    <w:p>
      <w:r>
        <w:t>h) non-exclusive distribution of "highlights" and/or "related images" via IP Platform: packages containing the rights for non-exclusive broadcasting via IP Platform, live and/or free-to-air, of a commentary and in-depth program according to the "stadium – studio" format during the events of the Regular Season of the Championship and the Coppa Italia (excluding the events of the semifinals and the final) played by a single team, or of the events of the Play Off and Play Out tournaments, of the events of the semifinals and the final of the Coppa Italia, as well as of the Supercoppa may be prepared. During the program, web-commentary will not be allowed, but only updates on the progress of the event may be communicated, in accordance with the regulations for the exercise of the right to report dictated by AGCom;</w:t>
      </w:r>
    </w:p>
    <w:p>
      <w:r>
        <w:t>i) Additional packages: in recent years, also due to technological developments, the market has shown interest in specific rights packages, mainly focused on the exploitation of a limited selection of images on closed-circuit transmission systems. Among these, the rights for the exercise of "scouting" activities (consisting of the collection of selected images of each player for technical-tactical analysis purposes within a platform available only to professional users), "betting" (where images are made available to bettors within a closed-circuit system and with reduced quality and size of images, in order to allow live betting during the event) and "gaming" (where users are allowed to virtually replicate, through video gaming software, the individual actions of the events) stand out. These are therefore ranges of rights that constitute a highly specific niche and have an application intended for a limited and selected number of users, without the purpose of allowing the "enjoyment" of the sporting event in the strict sense. In this perspective, keeping in mind the rationale and the principles of transparency and market efficiency underlying the Melandri Decree, Lega Pro reasonably believes that the commercialization of the aforementioned rights is not subject to the provisions of the same Melandri Decree.</w:t>
      </w:r>
    </w:p>
    <w:p>
      <w:r>
        <w:t>34 BULLETIN NO. 25 OF JULY 4, 2022</w:t>
        <w:br/>
        <w:t>Nevertheless, Lega Pro intends to proceed with the commercialization of the same in order to foster healthy competition and protect the primary final interest of users.</w:t>
      </w:r>
    </w:p>
    <w:p>
      <w:r>
        <w:t>e. General licensing conditions</w:t>
        <w:br/>
        <w:t>15. The "General licensing conditions," which will be detailed in the invitations to offer, provide that only Communication Operators who possess the necessary qualifications, if required by current regulations, for the distribution of audiovisual content on the distribution platform provided for in the relevant package may become Licensees of one or more packages of Audiovisual Rights, and who guarantee the requirements analytically described in the Guidelines regarding the possession of an adequate organizational structure to broadcast the events provided in each package.</w:t>
      </w:r>
    </w:p>
    <w:p>
      <w:r>
        <w:t>16. Furthermore, the assignee of the packages will be required to comply with certain specific obligations regarding access to the stadiums, transmission of the Lega Pro signal, and protection and promotion of the image of the competitions organized by this Entity, more analytically illustrated in paragraph 18 of the Guidelines, from letter a) to letter o).</w:t>
      </w:r>
    </w:p>
    <w:p>
      <w:r>
        <w:t>f. General rules for offers and competitive procedure</w:t>
        <w:br/>
        <w:t>17. Lega Pro will proceed with the commercialization of the packages of Audiovisual Rights, pursuant to Article 7 of the Decree, through a specific competitive procedure in which Communication Operators and Intermediaries may participate. Notice of the start of this procedure and the deadlines for submitting offers will be published on the official website of Lega Pro, simultaneously with the publication of the invitation forms, within which the content of the individual packages will be detailed.</w:t>
      </w:r>
    </w:p>
    <w:p>
      <w:r>
        <w:t>18. The minimum price of the individual packages will be determined reasonably and taking into account market prices and dynamics, the value of the product, and the needs of fans.</w:t>
      </w:r>
    </w:p>
    <w:p>
      <w:r>
        <w:t>19. The submission of offers, which must relate to a single and autonomous package, as well as being free of any type of condition, by the operators must take place in formal ways analytically described in point 22 of the Guidelines, differing according to non-exclusive or exclusive packages.</w:t>
      </w:r>
    </w:p>
    <w:p>
      <w:r>
        <w:t>20. Following the opening of the envelopes, a ranking of the offers that have exceeded the minimum price will be drawn up and, if no irregularities are found in the documentation provided or in the payment, Lega Pro will proceed to award the package to the bidder who submitted the highest offer. If no offers exceeding the minimum price are received, Lega Pro will have the option, pursuant to Article 8, paragraph 4, of the Melandri Decree, after notifying the Authority, to revoke the offer of the package.</w:t>
      </w:r>
    </w:p>
    <w:p>
      <w:r>
        <w:t>21. In any case, the packages cannot be awarded at the end of the competitive procedure to Communication Operators against whom a dispute, even extrajudicial, is pending with Lega Pro for the failure or delayed payment of the fees provided for by the licensing contracts of the previous seasons to the current one, unless the operator has deposited, together with the offer, a bank guarantee on first demand (according to the model prepared by Lega Pro) for the payment of any accrued and unpaid fees.</w:t>
      </w:r>
    </w:p>
    <w:p>
      <w:r>
        <w:t>22. Lega Pro will use the tool of private negotiation for the licensing of Audiovisual Rights only in the event of a negative outcome of the competitive procedure (due to lack of offers, failure to reach the minimum price, for reasons of extreme urgency, or for any other reason that does not allow the allocation of the packages).</w:t>
      </w:r>
    </w:p>
    <w:p>
      <w:r>
        <w:t>23. In such a case:</w:t>
        <w:br/>
        <w:t>a) if two or more communication operators express interest in purchasing the package, a series of bids (regulated in the Invitation) will be held for the aforementioned subjects, closing the procedure with the submission of a sealed bid or via PEC. The package will be awarded to the party that offers the highest price;</w:t>
        <w:br/>
        <w:t>b) if, on the other hand, only one communication operator expresses interest in purchasing the package, a true negotiation will take place, which will conclude with the allocation or not of the Audiovisual Rights.</w:t>
      </w:r>
    </w:p>
    <w:p>
      <w:r>
        <w:t>24. The eventual failure to award packages means that the related Audiovisual Rights may be marketed or exercised directly by the individual Sports Societies, pursuant to Article 11, paragraph 3, of the Decree and, therefore, will not be marketed by Lega Pro exclusively.</w:t>
      </w:r>
    </w:p>
    <w:p>
      <w:r>
        <w:t>III. THE PUBLIC CONSULTATION</w:t>
        <w:br/>
        <w:t>25. On May 10, 2022, the public consultation concerning the Guidelines prepared by Lega Pro, transmitted on April 28, 2022, was initiated.</w:t>
      </w:r>
    </w:p>
    <w:p>
      <w:r>
        <w:t>26. On May 23, 2022, a contribution to the public consultation was received from a television operator who made observations regarding the type of packages, some provisions of the General licensing conditions – with particular reference to the regulation of the allocation of contractual risk in the event of interruption of competitions due to force majeure – the publication of the tariff relating to the cost of the signal, and some provisions regarding the awarding procedure and the transfer of copyright on the intellectual work rendered by journalists.</w:t>
      </w:r>
    </w:p>
    <w:p>
      <w:r>
        <w:t>27. Regarding the packages, the contribution received notes an indeterminacy of Point 6, letter a), of the Guidelines, where it is not clear whether the highlights of the matches are included in the live packages. This indeterminacy is attributed to an excessive discretion of Lega Pro in determining the content of the packages. The contribution suggests confirming the choice made by Lega Pro in previous cycles of commercialization of rights, including from the outset in each package the right for the Licensee to broadcast the highlights of each match of the competitions in addition to the ability to create a dedicated audiovisual product containing highlights of each matchday of the Regular Season of the Championship or each round of the Coppa Italia.</w:t>
      </w:r>
    </w:p>
    <w:p>
      <w:r>
        <w:t>28. It is also noted that the Guidelines place the risk of the impossibility of performance due to any force majeure entirely and exclusively on the Licensee, highlighting an excessive contractual imbalance to the detriment of the licensee in contrast to the provisions of the civil code. A similar contractual imbalance is also noted regarding the provision of the section dedicated to the negotiation procedure where advance payment by bank transfer of the entire amount offered as a deposit for the submitted offer is established, whereas in previous cycles of commercialization, the possibility of staggered payment was provided.</w:t>
      </w:r>
    </w:p>
    <w:p>
      <w:r>
        <w:rPr>
          <w:b/>
        </w:rPr>
        <w:t>[Pages 34–36]</w:t>
      </w:r>
    </w:p>
    <w:p>
      <w:r>
        <w:t>BULLETIN NO. 25 OF JULY 4, 2022 36</w:t>
      </w:r>
    </w:p>
    <w:p>
      <w:r>
        <w:t>29. Finally, the contribution received highlights that the Guidelines establish that the Licensee is responsible for the payment of the signal cost with a provision that is not found in previous editions of the Guidelines. In this regard, it is requested that the price list be published with the details of the individual items to allow interested parties to make complete assessments regarding the packages offered on the market.</w:t>
      </w:r>
    </w:p>
    <w:p>
      <w:r>
        <w:t>IV. EVALUATIONS</w:t>
        <w:br/>
        <w:t>a) Preliminary considerations</w:t>
        <w:br/>
        <w:t>30. The fundamental objective of Legislative Decree No. 9/2008 is to create a transparent and efficient market for audiovisual rights. To this end, Articles 6 and 7 of the Decree impose on the organizer of the competition the obligation to enable all operators from all platforms to compete for acquiring audiovisual rights, through appropriate competitive procedures capable of ensuring participants conditions of absolute fairness, transparency, and non-discrimination. In this context, the aforementioned Legislative Decree provides for an ex ante intervention by the Antitrust Authority, which evaluates and approves the Guidelines prepared by the organizer of the competition before proceeding to the tender.</w:t>
      </w:r>
    </w:p>
    <w:p>
      <w:r>
        <w:t>31. Pursuant to Article 6, paragraph 1, of the Decree, the Guidelines must provide rules regarding the offer and assignment of audiovisual rights, criteria regarding the formation of the related packages, and further rules to ensure that participants in the competitive procedures have conditions of absolute fairness, transparency, and non-discrimination.</w:t>
      </w:r>
    </w:p>
    <w:p>
      <w:r>
        <w:t>32. These rules concern the entirety of the audiovisual rights subject to the marketing procedure called by Lega Pro, considering the broad definition of audiovisual rights adopted by Article 2 of the Melandri Decree, letter o). It expressly includes "the use of images of the event [...] for the purpose of associating the images of the event with games and bets and for carrying out related activities," letter o) number 6, and is characterized by a broad formulation that also encompasses the exploitation of audiovisual content through innovative digital platforms, such as those accessible through the Metaverse, in addition to those related to a separate segment of demand, such as betting rights.</w:t>
      </w:r>
    </w:p>
    <w:p>
      <w:r>
        <w:t>33. That said, the Authority intends to make observations regarding the Guidelines transmitted by Lega Pro on April 28, 2022, deeming it appropriate to remind that, should the interested parties not adhere to its indications during the concrete preparation of the packages and final assignment, adopting behaviors that undermine competition in acquiring specific rights and in downstream markets, to the detriment of consumers, it is called to intervene, using the powers conferred by Articles 101 and 102 of the Treaty on the Functioning of the European Union ("TFEU") and Law No. 287/1990.</w:t>
      </w:r>
    </w:p>
    <w:p>
      <w:r>
        <w:t>34. In particular, in this context, the Authority is called to approve, for the aspects of competence, the Guidelines after verifying their compliance with the principles and provisions of the Decree (Article 6, paragraph 6).</w:t>
      </w:r>
    </w:p>
    <w:p>
      <w:r>
        <w:t>35. The evaluations carried out below will focus solely on the text of the Guidelines transmitted on April 28, 2022, by Lega Pro, taking into account the competitive dynamics that have manifested in the national territory regarding the marketing of audiovisual rights for the competitions organized by it.</w:t>
      </w:r>
    </w:p>
    <w:p>
      <w:r>
        <w:t>b) On the criteria for forming packages</w:t>
        <w:br/>
        <w:t>36. With reference to the level of detail of the criteria for forming packages, at the time of presenting the Guidelines, Lega Pro did not proceed with an analytical articulation of the packages, limiting itself to describing the types of groups of distinct packages depending on the national and/or local scope of the exclusivity granted for live and delayed broadcasts to be transmitted in different ways (TV, radio, and IP Protocol). It is noted that the description of the specific contents of the packages must be evaluated in light of the need to provide a minimum number of information suitable for allowing an assessment regarding compliance with the guiding principles of the Melandri Decree, as well as the limits imposed by it, with particular regard to the characteristics of the events – such as their appeal – from which the possibility of proposing to the public the most interesting events follows.</w:t>
      </w:r>
    </w:p>
    <w:p>
      <w:r>
        <w:t>37. That said, it is emphasized that after the publication of the invitations to offer, the potential evaluation of the compliance of the concrete declination of the packages, as well as the subsequent assignment of rights, remains unaffected, pursuant to national and EU legislation and Article 8 of the Melandri Decree. The Authority, in fact, believes that national and EU legislation on competition is sufficient to allow intervention where Lega Pro, in the concrete preparation of the packages and final assignment, does not adhere to the Authority's indications and such behavior undermines competition in acquiring specific rights and in downstream markets, to the detriment of consumers.</w:t>
      </w:r>
    </w:p>
    <w:p>
      <w:r>
        <w:t>38. Lega Pro intends to articulate its offer into different packages. Firstly, one or more packages of live broadcasts at the national level will be subject to invitation to offer, relating to matches that may have a certain appeal concerning a specific geographical area or the notoriety of a single Sports Club. At the same time, the Guidelines provide for the articulation of a series of packages, exclusive and non-exclusive, relating to broadcasts at the local level, in order to incentivize the specific demand coming from fans linked to the teams of the geographical area of belonging.</w:t>
      </w:r>
    </w:p>
    <w:p>
      <w:r>
        <w:t>c) On the assignment criteria</w:t>
        <w:br/>
        <w:t>39. In general, it is believed that the rules set out in the guidelines under examination regarding the offer and assignment of audiovisual rights and, in particular, the provision of a minimum offer price, the criteria for determining the same, and the use of selective competitive procedures, are currently suitable to allow full and impartial competition among participants, in accordance with Article 6, paragraph 1, of Legislative Decree No. 9/2008.</w:t>
      </w:r>
    </w:p>
    <w:p>
      <w:r>
        <w:t>40. In this regard, it should be emphasized the importance of defining a minimum price appropriate to the content of each package and such as to minimize the likelihood that the sale of one or more packages results in failure. This provision appears justifiable in the specific case of rights related to competitions organized by Lega Pro as it aims to maintain the overall appeal of the packages offered in a perspective of lesser appeal of such rights compared to competitions organized by other sports leagues.</w:t>
      </w:r>
    </w:p>
    <w:p>
      <w:r>
        <w:t>41. With reference to the marketing criteria, it is represented that Lega Pro reserves the right to modify the packages, compared to their configuration in the guidelines, at the time of publishing the invitations to offer, while maintaining the criteria for their formation.</w:t>
      </w:r>
    </w:p>
    <w:p>
      <w:r>
        <w:t>42. Given the low interest of operators highlighted by Lega Pro, the possibility for users to utilize an alternative and low-cost mode, represented by the "Serie C TV" channel, a margin of flexibility in modifying the packages can be considered acceptable. In any case, once this solution is adopted, it would be desirable that, also in light of what emerged during the consultation, the mechanisms for selecting the events that make up the individual packages are operated through mechanisms that guarantee their appeal and an effective competitive comparison among the interested operators assigned to them active on different technological platforms and modalities. The adopted criteria must lead to the preparation of packages compliant with the principles of fairness, transparency, and non-discrimination, with specific reference to the actual balance among them, especially in qualitative terms and the appeal of the events, as also observed in the contribution received during the public consultation, where it is hoped to avoid excessive indeterminacy in the configuration of the packages.</w:t>
      </w:r>
    </w:p>
    <w:p>
      <w:r>
        <w:t>43. The considerations made, related to the reference market context, also justify the possibility for Lega Pro to resort to private negotiation in the event of tenders that have been entirely or partially deserted. On this point, a mechanism suitable for preserving the competitive comparison underlying the tender procedures can be considered the provision by Lega Pro of a limit on the compensation that can be offered by interested operators in order to guarantee the rights the possibility of obtaining remuneration, while maintaining Lega Pro's assessment of its effectiveness in the application phase also in the perspective of adopting alternative mechanisms in the preparation of future tenders.</w:t>
      </w:r>
    </w:p>
    <w:p>
      <w:r>
        <w:t>44. As mentioned, in order to give greater visibility to sporting and institutional events, Lega Pro has created its thematic channel "Serie C TV" to which the user can access upon payment of a fee. The initiative, already implemented during previous sports seasons, provides an additional distribution platform in competition with others through which matches can be broadcast, increases the overall offer available to the end user, and guarantees</w:t>
      </w:r>
    </w:p>
    <w:p>
      <w:r>
        <w:rPr>
          <w:b/>
        </w:rPr>
        <w:t>[Pages 37–39]</w:t>
      </w:r>
    </w:p>
    <w:p>
      <w:r>
        <w:t>BULLETIN NO. 25 OF JULY 4, 2022 39</w:t>
        <w:br/>
        <w:t>the visibility of events that do not attract the interest of traditional television operators. On the other hand, the presence of multiple entities holding rights to the same events generates greater competition in the market with evident benefits for consumers.</w:t>
      </w:r>
    </w:p>
    <w:p>
      <w:r>
        <w:t>45. The identification of the Sports Companies for which to market the live television broadcasts of external matches, based on the expressions of interest from broadcasters, appears to be a mechanism suitable for ensuring the possibility of choice for communication operators, as well as the prerogatives of individual clubs.</w:t>
      </w:r>
    </w:p>
    <w:p>
      <w:r>
        <w:t>46. As for the transmission of events by Lega Pro through its thematic channel, it is believed that it does not create distortions in the television markets, harming the position of the operators assigned the rights, as the rights in question do not appear to integrate premium audiovisual rights and, therefore, the allocation in favor of one or more platforms does not seem likely to significantly affect the audiovisual supply chain markets. Furthermore, the broadcasts by the channel will result in the absence of an absolute exclusivity arising from the coexistence of multiple distribution platforms for the same product, with multiple entities holding rights to the same events, leading to an overall increase in supply, to the benefit of the end consumer. Finally, the transmission of unsold events by the channel will guarantee consumers access to all matches played within the competitions organized by Lega Pro.</w:t>
      </w:r>
    </w:p>
    <w:p>
      <w:r>
        <w:t>47. Regarding the duration of the licenses, it is recalled that, pursuant to paragraphs 1 and 2 of Article 10 of the Melandri Decree, license contracts must have a maximum duration of three years or, in any case, a maximum duration that ensures equal treatment for all communication operators. That said, the provision of licenses for a shorter duration, as proposed in the Guidelines presented by Lega Pro, is not in itself in conflict with the aforementioned provisions, without prejudice to the considerations made above regarding the preparation of balanced and genuinely valuable packages that ensure the enhancement of the rights marketed by Lega Pro.</w:t>
      </w:r>
    </w:p>
    <w:p>
      <w:r>
        <w:t>CONSIDERING that the Authority's power to assess the compliance of the invitations to offer and the procedure for the sale of the audiovisual rights subject to this provision with national and EU antitrust regulations and Legislative Decree No. 9/2008 remains unaffected, and to proceed with the verification of any violations of the aforementioned regulations in the event that Lega Pro, in the concrete preparation of the packages and final allocation, does not adhere to the Authority's indications and such behavior harms competition in the acquisition of specific rights and in the downstream markets, to the detriment of consumers;</w:t>
      </w:r>
    </w:p>
    <w:p>
      <w:r>
        <w:t>CONSIDERING, therefore, that it is possible to approve, for the reasons and within the limits stated in the motivation, the guidelines under examination pursuant to Article 6, paragraph 6, of Legislative Decree No. 9/2008;</w:t>
      </w:r>
    </w:p>
    <w:p>
      <w:r>
        <w:t>RESOLVES</w:t>
        <w:br/>
        <w:t>to approve, pursuant to Article 6, paragraph 6, of Legislative Decree No. 9/2008, for the reasons and within the limits stated in the motivation, the guidelines of the Italian Professional Football League submitted on April 28, 2022, concerning the marketing of sports audiovisual rights related to the sports seasons 2022/2023, 2023/2024, and 2024/2025.</w:t>
      </w:r>
    </w:p>
    <w:p>
      <w:r>
        <w:t>40 BULLETIN NO. 25 OF JULY 4, 2022</w:t>
        <w:br/>
        <w:t>This provision will be notified to the interested parties.</w:t>
        <w:br/>
        <w:t>THE SECRETARY GENERAL THE PRESIDENT</w:t>
        <w:br/>
        <w:t>Guido Stazi Roberto Rustichelli</w:t>
      </w:r>
    </w:p>
    <w:p>
      <w:r>
        <w:t>BULLETIN NO. 25 OF JULY 4, 2022 41</w:t>
        <w:br/>
        <w:t>UNFAIR COMMERCIAL PRACTICES</w:t>
        <w:br/>
        <w:t>IP359 - UNIEURO/MONCLICK ONLINE SALES - VARIOUS ISSUES</w:t>
        <w:br/>
        <w:t>Provision No. 30201</w:t>
        <w:br/>
        <w:t>THE ANTITRUST AUTHORITY</w:t>
        <w:br/>
        <w:t>IN ITS MEETING of June 14, 2022;</w:t>
        <w:br/>
        <w:t>HEARD the Rapporteur Professor Michele Ainis;</w:t>
        <w:br/>
        <w:t>VIEWED Part II, Title III of Legislative Decree No. 206 of September 6, 2005, containing the "Consumer Code" and subsequent amendments (hereinafter, Consumer Code);</w:t>
      </w:r>
    </w:p>
    <w:p>
      <w:r>
        <w:t>VIEWED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29937 of December 3, 2021, with which the Authority established the unfairness of the commercial practices carried out by Unieuro S.p.A. (hereinafter, also "Unieuro" or "Professional") and its subsidiary Monclick S.r.l. (hereinafter, also "Monclick" or "Professional") - jointly referred to as "Professionals" or "Companies" - consisting of: the dissemination of misleading information about the characteristics and delivery times of products sold through their respective websites, as well as the adoption of unfair methods in the online sales process (Practice A); the delayed/non-delivery of products sold online, the omission or inadequate provision of post-sale assistance services, and the obstruction of consumers' rights of withdrawal and refund (Practice B);</w:t>
      </w:r>
    </w:p>
    <w:p>
      <w:r>
        <w:t>VIEWED the reports submitted by Unieuro and Monclick on February 22, 2022, and the subsequent reports, integrated and updated, received on March 28, 2022;</w:t>
      </w:r>
    </w:p>
    <w:p>
      <w:r>
        <w:t>VIEWED the documents of the proceeding;</w:t>
      </w:r>
    </w:p>
    <w:p>
      <w:r>
        <w:t>CONSIDERED the following:</w:t>
        <w:br/>
        <w:t>1. With provision No. 29937 of December 3, 2021 (hereinafter also "Provision" or "Resolution"), closing the proceeding PS11770, the Authority established two unfair commercial practices carried out by the Professionals in the online sales activity through their respective websites unieuro.it and monclick.it, consisting of: the unfairness of the information regarding the characteristics of the offers as well as the online sales process, in violation of Articles 20, 21, 22, 24, and 25</w:t>
      </w:r>
    </w:p>
    <w:p>
      <w:r>
        <w:rPr>
          <w:b/>
        </w:rPr>
        <w:t>[Pages 40–42]</w:t>
      </w:r>
    </w:p>
    <w:p>
      <w:r>
        <w:t>42 BULLETIN NO. 25 OF JULY 4, 2022</w:t>
        <w:br/>
        <w:t>of the Consumer Code (Practice A); in the adoption of unlawful methods of managing the phase following the online purchase, in violation of Articles 20, 22, 24, and 25 of the Consumer Code (Practice B).</w:t>
      </w:r>
    </w:p>
    <w:p>
      <w:r>
        <w:t>2. In particular, with reference to Practice (A), the incorrectness of a set of behaviors carried out by the Professionals in the pre-contractual phase of promoting products online and at the moment of concluding the related purchase contract has been established. Specifically, the omission of information and/or the dissemination of misleading indications regarding the actual availability of the products has been criticized, as the goods presented as available were not physically present in the warehouses or stores of the Companies. Furthermore, specifically regarding Monclick, the failure to indicate that it operates in dropshipping and, therefore, does not have the physical availability of the goods offered for sale, as they must be ordered from third-party suppliers and shipped directly by them, was deemed incorrect; the misleading nature of this omission was amplified by the contradictory and inaccurate information disseminated in the "About Us" section of its Website, aimed at leading consumers to erroneously believe that Monclick had its own warehouses.</w:t>
      </w:r>
    </w:p>
    <w:p>
      <w:r>
        <w:t>3. Within the same practice, the methods of managing the online sales process have also been considered incorrect, specifically regarding the immediate charge of payment for products purchased online by consumers and/or the blocking of the spending limit on their credit cards at the time of the online order and, therefore, before the contract is finalized, frequently resorting to the unilateral cancellation of purchase orders. The further conduct subject to contestation concerns the misleading representation of delivery times for products purchased online, which in many cases turned out to be unreliable and inaccurate, if not entirely omitted during the delicate phase of the first contact with consumers, just before the conclusion of the contract.</w:t>
      </w:r>
    </w:p>
    <w:p>
      <w:r>
        <w:t>4. As for Practice (B), the Authority has established the incorrectness of a series of behaviors carried out by each Professional in the phase following the online purchase, which consist of the delayed/missed delivery of products sold on their respective websites and already paid for by consumers, as well as the omission of information related to tracking and the shipping status of orders.</w:t>
      </w:r>
    </w:p>
    <w:p>
      <w:r>
        <w:t>5. Within the same unfair commercial practice, further behaviors have also been criticized, consisting of hindering the exercise of consumers' rights of withdrawal and/or refund following the delayed/missed delivery of products and/or the unilateral cancellation of the order, attributable for Unieuro to the impossibility of processing returns at the customer's request due to the inadequate procedure for generating RMA (not automatic), the manual management of refunds according to a process characterized by extremely long times, and the failure to unblock the frozen funds of the customer for a large number of canceled orders; for Monclick, to the complex procedure for managing the entire refund process, characterized by the performance of multiple activities by the internal functions involved, including coordination with couriers and product suppliers, for the collection of the goods and the actual return of the merchandise "to the supplier's logistics point." The corporate policy that required waiting for the verification of the integrity status of the products returned by consumers before processing refunds was also deemed obstructive for both Professionals.</w:t>
      </w:r>
    </w:p>
    <w:p>
      <w:r>
        <w:t>6. The last conduct subject to contestation concerns the omitted or inadequate provision of post-sale assistance services, which consisted of the extreme difficulty in contacting the Professionals, the unjustified extension of waiting times, the failure to fulfill a high percentage of assistance requests, as well as the temporary suspension of the telephone assistance service by Unieuro.</w:t>
      </w:r>
    </w:p>
    <w:p>
      <w:r>
        <w:t>7. In light of the above, the Authority has sanctioned the Professionals and prohibited the further dissemination of unfair commercial practices, ordering the Companies to communicate, within sixty days from the notification of the Provision – which took place on December 23, 2021 – the initiatives taken in compliance with the injunction referred to in points a) and b) of the Provision.</w:t>
      </w:r>
    </w:p>
    <w:p>
      <w:r>
        <w:t>8. On February 22, 2022, the Professionals transmitted separate compliance reports with the same submission.</w:t>
      </w:r>
    </w:p>
    <w:p>
      <w:r>
        <w:t>9. On March 14, 2022, the hearing of the Professionals took place.</w:t>
      </w:r>
    </w:p>
    <w:p>
      <w:r>
        <w:t>The initiatives taken by Unieuro and Monclick in compliance with the injunction</w:t>
      </w:r>
    </w:p>
    <w:p>
      <w:r>
        <w:t>10. On March 28, 2022, the Professionals transmitted the integrated and updated versions of the compliance reports, in which they declared that they had implemented or initiated the initiatives outlined below in summary form.</w:t>
      </w:r>
    </w:p>
    <w:p>
      <w:r>
        <w:t>11. Regarding Practice A), in order to avoid the dissemination of misleading information about the availability and delivery times of products, the Professionals would have adopted a series of initiatives, including towards couriers (and suppliers in the case of Monclick), some of which are still being implemented, aimed at maintaining constant control over quantities and assortments dedicated to the web channel, minimizing cases of cancellation due to unavailability of products, monitoring the processing statuses of orders and their management times, reducing home delivery order times, and limiting delays.</w:t>
      </w:r>
    </w:p>
    <w:p>
      <w:r>
        <w:t>12. Regarding the methods of presenting products offered for sale online, Unieuro qualifies as a) "Available," only the products present in the Piacenza platform, for which the professional's IT systems would guarantee their presence in Unieuro's warehouses; b) "Orderable upon availability verification" the products not present at the Piacenza warehouse and for which it reserves the right to verify availability at the warehouses of the sales points. Monclick, on the other hand, qualifies all goods promoted and marketed in the product sheets published on its website as "available" and, since January 2022, alongside this wording, has inserted a "button" within a red circle, clicking which opens a pop-up containing the following information: "After you place your order, we will verify the actual availability of the product at our suppliers' warehouses and, if positive, we will send you a confirmation email of order acceptance" (see the image below).</w:t>
      </w:r>
    </w:p>
    <w:p>
      <w:r>
        <w:t>Before clicking the button/link i After clicking the button/link i</w:t>
      </w:r>
    </w:p>
    <w:p>
      <w:r>
        <w:t>13. With reference to the information published by Monclick regarding the methods of selling and sourcing products, the company has modified the "About Us" section of the website: i) removing the entry "Transparency," where statements were present that implied the possession of warehouses; ii) highlighting that Monclick operates in dropshipping, through the following wording: "Monclick is an e-commerce company specializing in the sale of products in IT, Electronics, Appliances, Games, and Telephony delivered throughout Italy. Founded in 2005, it is now one of the leading Italian e-tailers in the high-tech sector and operates in dropshipping."</w:t>
      </w:r>
    </w:p>
    <w:p>
      <w:r>
        <w:t>14. Regarding the online sales process, the Professionals confirmed that they continue to proceed with the immediate blocking of the spending limit at the time of ordering the product, "after verifying its actual availability on their systems," and then request the charge of the amount when the product is delivered to the courier. According to the Companies, the risk of cancellation after the blocking of the spending limit would be "entirely marginal," as, before proceeding with the authorization, the presence of the ordered product would be verified in at least one of the sales points (at Unieuro's warehouses in the case of Monclick) through the management system and the introduction of a [omissis]* that would allow showing products as available on the site "only if present in the warehouses of the sales points in at least [omissis] units." To date, cases of unilateral cancellation due to unavailability of products would be close to zero for Unieuro, which would also send a coupon of variable value depending on the circumstances of the specific case ("including primarily the value of the canceled order"), and slightly above 1% for Monclick, which emphasized that it "already informs consumers in advance that the actual availability of products visible on the site will be verified after the order is placed."</w:t>
      </w:r>
    </w:p>
    <w:p>
      <w:r>
        <w:t>15. As for the unlawful methods of managing the phase following the online purchase, criticized within Practice B), Unieuro highlighted how the measures implemented overall, in order to ensure the availability of products sold online and improve the service standard of couriers, would have resulted in a significant reduction in instances of non-delivery, which in the first two months of 2022 would be less than 1%. Monclick did not provide any data in this regard.</w:t>
      </w:r>
    </w:p>
    <w:p>
      <w:r>
        <w:t>* In this version, some data are omitted, as elements of confidentiality or secrecy of the information were deemed to exist.</w:t>
      </w:r>
    </w:p>
    <w:p>
      <w:r>
        <w:rPr>
          <w:b/>
        </w:rPr>
        <w:t>[Pages 43–45]</w:t>
      </w:r>
    </w:p>
    <w:p>
      <w:r>
        <w:t>BULLETIN NO. 25 OF JULY 4, 2022 45</w:t>
      </w:r>
    </w:p>
    <w:p>
      <w:r>
        <w:t>16. With regard to order tracking, the Professionals stated that they have introduced a series of modifications to their internal processes aimed at allowing all customers the ability to constantly monitor the status of shipments of products purchased online, receiving detailed and updated information through a simple and clear interface. They highlight in this regard the new automated labeling process for home delivery orders from Unieuro (the main supplier of Monclick), aimed at ensuring full traceability of all products shipped from the Unieuro platform; the new informational methods on order tracking available on the website, which are uniform for all couriers and contain a specific field dedicated to the expected delivery date; the possibility for the consumer to also access the tracking page of the express courier and the direct and immediate access of the customer care of both Professionals to all information related to tracking in order to update consumers on the status of their orders. As a result of these measures, Unieuro would have been able to correctly track approximately [90%-100%] of the orders shipped until delivery and Monclick approximately [90%-100%].</w:t>
      </w:r>
    </w:p>
    <w:p>
      <w:r>
        <w:t>17. Regarding consumers' rights of withdrawal and refund, Unieuro and Monclick represented that they have introduced a series of measures aimed at facilitating the exercise of the right of withdrawal and ensuring the refund of consumers within certain timeframes (14 days) using the same payment method used by the consumer, except for delays by the consumer in returning the goods or delivering them to the point of sale. In this regard, they highlight the automated procedures aimed at allowing consumers to independently obtain, by accessing their personal area on the Professionals' websites, the code certifying the authorization for return (so-called RMA - Return Merchandise Authorization), to be affixed to the label of the package to be returned, as well as the customer's option, alternatively, to contact customer care directly.</w:t>
      </w:r>
    </w:p>
    <w:p>
      <w:r>
        <w:t>18. As for the right to refund for consumers, the Professionals have modified the criticized company policy that made the refund conditional on prior verification of the integrity of the products, providing that the return of the entire amount (including shipping costs) be made within fourteen days from the date of communication of the intention to withdraw, reserving the right to withhold the refund until they have received the products or the consumer has demonstrated that they have returned the goods, depending on which situation occurs first.</w:t>
      </w:r>
    </w:p>
    <w:p>
      <w:r>
        <w:t>19. With reference to post-sale assistance services, Unieuro highlighted that it has implemented a series of measures that would have already resulted in a significant improvement in the level of customer service assistance, in terms of reducing the average times (i) for managing tickets and (ii) for waiting for a response from the call center, among which are: a) the integration of the customer care ticketing system with the telephone barrier, allowing for the automatic opening of a ticket through interaction with the interactive voice response (IVR), the immediate recognition of customers contacting customer care, and the prompt identification of orders subject to support requests; b) the increase in resources dedicated to customer care and the doubling of the hours worked by outsourced personnel; c) the introduction of multiple processes aimed at the constant monitoring of reports and possible inconveniences that could arise for consumers from the shipping and/or processing of orders; d) the establishment of a steering committee composed of representatives from various internal functions to identify and resolve any critical issues in order management.</w:t>
      </w:r>
    </w:p>
    <w:p>
      <w:r>
        <w:t>46 BULLETIN NO. 25 OF JULY 4, 2022</w:t>
      </w:r>
    </w:p>
    <w:p>
      <w:r>
        <w:t>20. Regarding Monclick's assistance services, the Company would have recorded a significant improvement in customer care performance in terms of a significant increase in the number of calls promptly managed by the call center, thanks to: i) the implementation of a daily monitoring process of negative opinions released by consumers on various customer assistance platforms and related monthly analyses; ii) the signing of a partnership with a platform for collecting certified reviews for companies; iii) the adoption of a process for identifying recurring issues and defining new procedures to resolve them; iv) the establishment of a steering committee composed of representatives from various internal functions to resolve critical issues; v) a detailed training plan for customer care staff. In addition to implementing these initiatives, Monclick planned to launch, by March 2022, a preliminary screening mechanism for the information provided by the customer to enable assistance to respond quickly to requests as well as a management tool for the requests sent to customer care, aimed at automatically categorizing requests, identifying priorities, and processing statistics on the most recurring issues.</w:t>
      </w:r>
    </w:p>
    <w:p>
      <w:r>
        <w:t>The elements acquired after the notification of the Provision and the persistent critical issues</w:t>
      </w:r>
    </w:p>
    <w:p>
      <w:r>
        <w:t>21. Following the closure of procedure PS11770, some reports were received from consumers indicating that the Professionals continue to engage in at least some of the unlawful conduct subject to the Provision, attributable to both unfair commercial practices identified, particularly with reference to the following behaviors: the impossibility of proceeding in February and March 2022 with the purchase on the Unieuro Site of products on offer presented as available, due to stock exhaustion or because "An error has occurred, one or more products in the cart are temporarily unavailable"; the unilateral cancellation of orders for products presented as available; the failure to indicate delivery times; the failure to comply with the originally indicated delivery times; the non-delivery of products purchased online by consumers on the Unieuro Site in November/December 2021; the delay in issuing refunds by Unieuro following customer withdrawals; the failure to provide information on withdrawal by Monclick.</w:t>
      </w:r>
    </w:p>
    <w:p>
      <w:r>
        <w:t>22. Firstly, regarding the conduct deemed unfair within the framework of commercial practice A) it is highlighted that the compliance measures communicated by Unieuro and Monclick do not appear adequate, as a whole, to constitute complete and full implementation of the warning contained in the Provision, as the initiatives undertaken by the Professionals concerning the methods of indicating product availability, delivery times, and Monclick's dropshipping sales model, as well as the management of the online sales process, specifically regarding the blocking of the ceiling before the conclusion of the contract and the right to unilaterally cancel the order, do not seem adequate to ensure the removal of the main profiles of unfairness criticized by the Authority.</w:t>
      </w:r>
    </w:p>
    <w:p>
      <w:r>
        <w:t>23. Specifically regarding the indications disseminated on product availability, the informational methods used by Monclick, which qualify all goods offered for sale online as "available," maintain the deceptive potential already contested, to the extent that they refer to products that are not physically available to the Professional, as it operates in dropshipping and therefore does not hold the physical availability of the marketed goods but must procure them from third-party suppliers who will fulfill the orders. The fact that in the product sheets, next to the wording "available," a small icon has been inserted that the consumer must "click" to receive, in a specific pop-up, the vague information that, after placing the order, Monclick will verify the actual availability of the product "at the warehouses of our suppliers," does not seem adequate to overcome the misleading nature of the aforementioned presentation methods, due to the generality of the information provided and the fact that their knowledge is nonetheless subject to activation by the consumer. In any case, the term "available" used by Monclick to qualify products that it must purchase from third-party suppliers proves to be inaccurate and misleading compared to the wording "orderable subject to availability verification" adopted by Unieuro for the same type of products (i.e.: not physically present in the central warehouse, for which it reserves the right to verify availability "at the warehouses of the Points of Sale or elsewhere"). Also, the modification of the "About Us" section only incidentally and with incomplete and inadequate informational methods reports the circumstance of operating in dropshipping, included in a part of the site that is not involved in the purchasing process and whose consultation is merely incidental.</w:t>
      </w:r>
    </w:p>
    <w:p>
      <w:r>
        <w:t>24. Likewise, the information provided by the Professionals on delivery times does not seem in line with the criticisms formulated in the Provision, relating both to the profile of deceptiveness and to the profile of omission, as Unieuro and Monclick fail to indicate - both on the homepage and in the product sheets - the delivery date of the order, limiting themselves to providing a standard term in the General Conditions of Sale and referring to the information that will be provided in the order acceptance emails. This conduct is likely to perpetuate the informational deficit already noted.</w:t>
      </w:r>
    </w:p>
    <w:p>
      <w:r>
        <w:rPr>
          <w:b/>
        </w:rPr>
        <w:t>[Pages 46–48]</w:t>
      </w:r>
    </w:p>
    <w:p>
      <w:r>
        <w:t>48 BULLETIN NO. 25 OF JULY 4, 2022</w:t>
        <w:br/>
        <w:t>sanctioned, as a relevant piece of information that the consumer needs from the very first contact has been omitted, in order to make an informed purchasing decision.</w:t>
      </w:r>
    </w:p>
    <w:p>
      <w:r>
        <w:t>25. Finally, the Professionals appear to have repeated the behaviors that were specifically criticized in the Provision, consisting of the immediate blocking of the credit limit, resulting in the freezing of the amount corresponding to the purchase price, at the time of the online order and therefore before the contract is finalized, reserving the right to exercise the option to cancel the orders still governed by their respective general sales conditions. In fact, under the current contractual regulations of the companies, the presentation of products available for purchase on their respective websites constitutes an invitation to offer, and the order sent online by the customer serves as a contractual purchase proposal; the contract is considered concluded only after acceptance by the company (which in the case of Monclick continues to be tacit). Additionally, Monclick has maintained the provision whereby it charges the credit card (no longer just blocking the credit limit) in the event that the order remains open beyond the 23rd day from the date of submission, even if in advance of the physical delivery of the goods, in order to avoid the expiration of the transaction authorization (24 days).</w:t>
      </w:r>
    </w:p>
    <w:p>
      <w:r>
        <w:t>26. As for the unlawful behaviors attributable to the unfair commercial practice B), it is noted that documentary evidence has been acquired that could configure the possible repetition by the two Professionals of behaviors characterized by the same profiles of unlawfulness already criticized in the Provision, with particular reference to the cases of non-delivery and obstruction to the exercise of consumers' rights of withdrawal and refund that are the subject of intervention requests received by the Authority after the closure of the procedure. In light of such elements, the limited information and partial data provided by the Professionals in the compliance reports are currently insufficient to demonstrate the actual effectiveness, in practice, of the compliance initiatives undertaken by Unieuro and Monclick and, therefore, to attest to the complete and full implementation of the Authority's warning.</w:t>
      </w:r>
    </w:p>
    <w:p>
      <w:r>
        <w:t>27. In light of the above, the behaviors of Unieuro and Monclick, based on the representation provided in the compliance reports and the reports received from consumers, appear to be in continuity with the unlawful behaviors established in the Provision, generally aimed at disseminating misleading information about the characteristics of commercial offers, improperly managing the online sales process, and obstructing the exercise of consumers' rights of withdrawal and refund.</w:t>
      </w:r>
    </w:p>
    <w:p>
      <w:r>
        <w:t>28. The documentary evidence on file thus shows that the unlawful behaviors carried out by the professionals after the notification of provision no. 29937, of December 3, 2021 (which occurred on December 23, 2021) and currently ongoing present the same profiles of unlawfulness as those already prohibited by the Authority.</w:t>
      </w:r>
    </w:p>
    <w:p>
      <w:r>
        <w:t>29. In conclusion, the prerequisites for initiating the procedure provided for by Article 27, paragraph 12, of the Consumer Code, aimed at imposing an administrative monetary sanction from €10,000 to €5,000,000, are met.</w:t>
      </w:r>
    </w:p>
    <w:p>
      <w:r>
        <w:t>16 See Articles 2.1 and 5.8 of Unieuro's General Sales Conditions and Sections C5-C6 and C7 of Monclick's contractual conditions.</w:t>
      </w:r>
    </w:p>
    <w:p>
      <w:r>
        <w:t>17 See for Unieuro Article 2.1 of the online GSC and for Monclick Sections B.1 and C.3 of the online GSC.</w:t>
      </w:r>
    </w:p>
    <w:p>
      <w:r>
        <w:t>18 See current Section D.2 of the GSC.</w:t>
      </w:r>
    </w:p>
    <w:p>
      <w:r>
        <w:t>BULLETIN NO. 25 OF JULY 4, 2022 49</w:t>
        <w:br/>
        <w:t>CONSIDERING, therefore, that the established facts constitute a case of non-compliance with the Authority's resolution no. 29937, of December 3, 2021, pursuant to Article 27, paragraph 12, of the Consumer Code;</w:t>
      </w:r>
    </w:p>
    <w:p>
      <w:r>
        <w:t>RESOLVES</w:t>
        <w:br/>
        <w:t>a) to contest to Unieuro S.p.A. and Monclick S.r.l. the violation referred to in Article 27, paragraph 12, of the Consumer Code, for failing to comply with the Authority's resolution no. 29937, of December 3, 2021;</w:t>
        <w:br/>
        <w:t>b) the initiation of the procedure for the possible imposition of the monetary sanction provided for by Article 27, paragraph 12, of the Consumer Code;</w:t>
        <w:br/>
        <w:t>c) that the person responsible for the procedure is Dr. Antonino D’Ambrosio;</w:t>
        <w:br/>
        <w:t>d) that the acts of the procedure can be viewed at the Direction A, of the General Directorate for Consumer Protection, of the Authority, by the legal representatives of the companies Unieuro S.p.A. and Monclick S.r.l., or by persons delegated by them;</w:t>
        <w:br/>
        <w:t>e) that, within thirty days from the communication of this provision, the interested parties may submit defensive writings and documents to the Authority, as well as request to be heard;</w:t>
        <w:br/>
        <w:t>f) that the procedure must be concluded within one hundred twenty days from the date of communication of this provision.</w:t>
      </w:r>
    </w:p>
    <w:p>
      <w:r>
        <w:t>For the purposes of quantifying the possible monetary sanction provided for by Article 27, paragraph 12, of the Consumer Code, Unieuro S.p.A. and Monclick S.r.l. are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the Guarantee of Competition and the Market.</w:t>
      </w:r>
    </w:p>
    <w:p>
      <w:r>
        <w:t>THE SECRETARY GENERAL THE PRESIDENT</w:t>
        <w:br/>
        <w:t>Guido Stazi Roberto Rustichelli</w:t>
      </w:r>
    </w:p>
    <w:p>
      <w:r>
        <w:t>50 BULLETIN NO. 25 OF JULY 4, 2022</w:t>
        <w:br/>
        <w:t>PS12152 - ASCENSORS TRINACRIA OF GAETANO DI PIETRO - ELEVATOR ASSISTANCE</w:t>
        <w:br/>
        <w:t>Provision no. 30203</w:t>
        <w:br/>
        <w:t>THE AUTHORITY FOR THE GUARANTEE OF COMPETITION AND THE MARKET</w:t>
        <w:br/>
        <w:t>IN ITS MEETING of June 14, 2022;</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April 8, 2022, by which Mr. Gaetano Di Pietro, owner of the sole proprietorship Ascensori Trinacria, submitted commitments pursuant to Article 27, paragraph 7, of the Consumer Code and Article 9 of the Regulation;</w:t>
        <w:br/>
        <w:t>VIEWED the acts of the procedure;</w:t>
      </w:r>
    </w:p>
    <w:p>
      <w:r>
        <w:t>I. THE PARTY</w:t>
        <w:br/>
        <w:t>1. Mr. Gaetano Di Pietro, owner of the sole proprietorship Ascensori Trinacria as a professional, pursuant to Article 18, letter b), of the Consumer Code (hereinafter also referred to as "the professional"). The business is active in the installation, repair, and maintenance of elevators and escalators.</w:t>
      </w:r>
    </w:p>
    <w:p>
      <w:r>
        <w:t>II. THE COMMERCIAL PRACTICE</w:t>
        <w:br/>
        <w:t>2. The procedure concerns the behavior carried out by the professional, consisting of imposing on consumers (including condominium residents) the automatic renewal of the maintenance contract with a notice period excessively early compared to the expiration and with the application of a penalty corresponding to all fees due until the end of the contract, not respecting the consumer's forum for related disputes.</w:t>
      </w:r>
    </w:p>
    <w:p>
      <w:r>
        <w:t>III. THE RESULTS OF THE PROCEDURE: THE PRESENTATION OF COMMITMENTS</w:t>
        <w:br/>
        <w:t>1) The procedure process</w:t>
        <w:br/>
        <w:t>3. In relation to the aforementioned behaviors, on February 23, 2022, the professional was notified of the initiation of investigative procedure PS12152. In this context, it was hypothesized that the professional's conduct could constitute a violation of Articles 20, 21, 22, 24, and 25 of the Consumer Code, as it could mislead the average consumer regarding the rights they hold, omitting relevant information essential for the average consumer to make an informed commercial decision and could unduly condition them, significantly limiting their freedom of choice or behavior.</w:t>
      </w:r>
    </w:p>
    <w:p>
      <w:r>
        <w:rPr>
          <w:b/>
        </w:rPr>
        <w:t>[Pages 49–51]</w:t>
      </w:r>
    </w:p>
    <w:p>
      <w:r>
        <w:t>BULLETIN NO. 25 OF JULY 4, 2022 51</w:t>
      </w:r>
    </w:p>
    <w:p>
      <w:r>
        <w:t>4. Concurrently with the initiation communication, in order to acquire useful knowledge elements for the evaluation of the commercial practice under examination, the professional was requested, pursuant to Article 27, paragraphs 3 and 4, of the Consumer Code and Article 12, paragraph 1, of the Regulation, to provide information and related documentation regarding the contested conduct.</w:t>
      </w:r>
    </w:p>
    <w:p>
      <w:r>
        <w:t>5. On April 8, 2022, the professional submitted a proposal for commitments.</w:t>
      </w:r>
    </w:p>
    <w:p>
      <w:r>
        <w:t>6. On April 15, 2022, the professional provided a response to the request for information made at the start of the procedure and presented defensive arguments.</w:t>
      </w:r>
    </w:p>
    <w:p>
      <w:r>
        <w:t>7. On May 19, 2022, the Party was informed of the conclusion date of the investigative phase pursuant to Article 16, paragraph 1, of the Regulation.</w:t>
      </w:r>
    </w:p>
    <w:p>
      <w:r>
        <w:t>2) The elements acquired and the commitments of the professional</w:t>
      </w:r>
    </w:p>
    <w:p>
      <w:r>
        <w:t>8. By note received on April 8, 2022, the professional submitted a proposal for commitments, pursuant to Article 27, paragraph 7, of the Consumer Code and Article 9 of the Regulation.</w:t>
      </w:r>
    </w:p>
    <w:p>
      <w:r>
        <w:t>9. In particular, these commitments – which in their final version are attached to this provision and constitute an integral part thereof – provide as follows.</w:t>
      </w:r>
    </w:p>
    <w:p>
      <w:r>
        <w:t>10. Firstly, the professional commits to removing the profiles of possible unfairness and violation of the norms of the Consumer Code with reference to existing contracts. To this end, he has already sent to the Condominiums with which he currently has a contractual relationship, a specific note informing them of the partial and improving modification for the same condominiums of the existing contracts by replacing the previous clauses of possible unlawful/abusive content with new provisions in accordance with the provisions of law and regulation. In particular, this concerns the tacit renewal of the contract unless terminated 30 days before expiration, the exclusive jurisdiction of the Court of residence or the elected domicile of the customer, as well as the provision of a penalty for early termination, without prejudice to compensation for any greater damage suffered, equal to:</w:t>
        <w:br/>
        <w:t>a) for contracts of annual duration: 40% of the remaining fees;</w:t>
        <w:br/>
        <w:t>b) for contracts of two-year duration: respectively 40% or 30% of the remaining fees, depending on whether the termination occurs in the first or second contractual year;</w:t>
        <w:br/>
        <w:t>c) for contracts of three-year duration: respectively 40%, 30%, 20% of the remaining fees, depending on whether the termination occurs in the first, second, or third contractual year;</w:t>
        <w:br/>
        <w:t>d) for contracts of four-year duration: respectively 40%, 30%, 20% of the remaining fees, depending on whether the termination occurs in the first, second, third, or fourth contractual year.</w:t>
      </w:r>
    </w:p>
    <w:p>
      <w:r>
        <w:t>11. Secondly, the professional has already prepared a new contractual model that he commits to using immediately and indefinitely for potential clients, in which the clauses as modified above are provided.</w:t>
      </w:r>
    </w:p>
    <w:p>
      <w:r>
        <w:t>12. Finally, with reference to the pending matters — all extrajudicial, resulting from requests sent by the professional following the clients' exercise of early termination — existing with consumers/clients regarding requests for payment of penalties, as determined in the previously used contractual forms, potentially subject to illegitimacy (sub specie of violation of Articles 20-25 of the Consumer Code), the professional commits to sending, within 30 days from the communication of acceptance of his commitments by the Authority, a specific note rectifying the previous warnings, specifying that the amount requested, as a penalty for the early termination of the contract by them, will be considered equal to 40% of the remaining fees.</w:t>
      </w:r>
    </w:p>
    <w:p>
      <w:r>
        <w:t>IV. EVALUATION OF THE COMMITMENTS</w:t>
      </w:r>
    </w:p>
    <w:p>
      <w:r>
        <w:t>13. The Authority believes that the commitments proposed by the professional are suitable to remedy the possible profiles of illegitimacy of the commercial practice contested in the initiation communication of February 23, 2022.</w:t>
      </w:r>
    </w:p>
    <w:p>
      <w:r>
        <w:t>14. In particular, it is believed that the proposed measures are suitable to remove the possible profiles of unfairness outlined at the start of the procedure regarding the contested imposition on consumers (including the condominiums) of the automatic renewal of the maintenance contract with a termination notice period excessively early compared to the expiration and with the application of a penalty corresponding to all the fees due until the end of the contract, not respecting the consumer's court for the related disputes.</w:t>
      </w:r>
    </w:p>
    <w:p>
      <w:r>
        <w:t>15. The overcoming of the provision and application of the clause relating to the automatic renewal of the contract with a termination notice significantly early compared to its expiration prevents the consumer from having to activate well before the contractual expiration to assess the convenience of continuing the contractual relationship and, if necessary, to find another company to entrust the maintenance service of the system, evaluating the offers available on the market.</w:t>
      </w:r>
    </w:p>
    <w:p>
      <w:r>
        <w:t>16. Similarly, the modification of the contractual provision relating to the payment of a penalty equal to the entire fee agreed in the contract resolves the issues highlighted at the start, thus overcoming the charge of a penalty, quantified in a disproportionate amount, which could have hindered the possibility of changing suppliers even in the case of unsatisfactory service; this, moreover, in a context where the termination of the relationship results in the failure to provide a very significant part of the maintenance services.</w:t>
      </w:r>
    </w:p>
    <w:p>
      <w:r>
        <w:t>17. Finally, the respect for the mandatory jurisdiction of the consumers' residence has been provided, to allow them to exercise legal action in the natural court.</w:t>
      </w:r>
    </w:p>
    <w:p>
      <w:r>
        <w:t>18. The proposal for commitments is also likely to be accepted in light of the adoption of measures capable of eliminating the current effects of the conduct towards consumer clients, as the professional has committed to reducing the requests for penalties already formulated to previous clients for the early termination of the service supply relationship to only 40% of the remaining fees.</w:t>
      </w:r>
    </w:p>
    <w:p>
      <w:r>
        <w:t>19. Finally, account must be taken of the size of the professional, who is a small business, and the limited extent of the contested practice, given that, although the professional has requested penalties for the early termination of the commercial relationship in the excessive amount provided in his contractual model, in the last five years he has actually collected the penalty requested from only one of his consumer clients for an amount equal to only 50% of the remaining fees.</w:t>
      </w:r>
    </w:p>
    <w:p>
      <w:r>
        <w:t>20. In light of the above considerations, it is believed that the commitments presented meet the requirements set forth in Article 27, paragraph 7, of the Consumer Code.</w:t>
      </w:r>
    </w:p>
    <w:p>
      <w:r>
        <w:t>CONSIDERING, therefore, that the commitments presented by Mr. Gaetano Di Pietro, owner of the individual enterprise Ascensori Trinacria, in the terms outlined above, are suitable to eliminate the possible profiles of unfairness of the commercial practice subject to investigation;</w:t>
      </w:r>
    </w:p>
    <w:p>
      <w:r>
        <w:t>CONSIDERING, to order the mandatory nature of the aforementioned commitments towards Mr. Gaetano Di Pietro, owner of the individual enterprise Ascensori Trinacria;</w:t>
      </w:r>
    </w:p>
    <w:p>
      <w:r>
        <w:t>CONSIDERING, therefore, that it is possible to close the procedure without ascertaining the infringement;</w:t>
      </w:r>
    </w:p>
    <w:p>
      <w:r>
        <w:t>RESOLVES</w:t>
      </w:r>
    </w:p>
    <w:p>
      <w:r>
        <w:t>a) to make mandatory, towards Mr. Gaetano Di Pietro, owner of the individual enterprise Ascensori Trinacria, pursuant to Article 27, paragraph 7, of the Consumer Code and Article 9, paragraph 2, letter a), of the Regulation, the commitments proposed by the same company on April 8, 2022, as described in the declaration attached to this provision, which constitutes an integral part thereof;</w:t>
      </w:r>
    </w:p>
    <w:p>
      <w:r>
        <w:t>b) to close the procedure without ascertaining the infringement, pursuant to Article 27, paragraph 7, of the Consumer Code and Article 9, paragraph 2, letter a), of the Regulation;</w:t>
      </w:r>
    </w:p>
    <w:p>
      <w:r>
        <w:t>c) that Mr. Gaetano Di Pietro, owner of the individual enterprise Ascensori Trinacria,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w:t>
      </w:r>
    </w:p>
    <w:p>
      <w:r>
        <w:t>THE SECRETARY GENERAL THE PRESIDENT</w:t>
      </w:r>
    </w:p>
    <w:p>
      <w:r>
        <w:t>Guido Stazi Roberto Rustichelli</w:t>
      </w:r>
    </w:p>
    <w:p>
      <w:r>
        <w:rPr>
          <w:b/>
        </w:rPr>
        <w:t>[Pages 52–54]</w:t>
      </w:r>
    </w:p>
    <w:p>
      <w:r>
        <w:t xml:space="preserve">54 BULLETIN NO. 25 OF JULY 4, 2022  </w:t>
        <w:br/>
        <w:t xml:space="preserve">PS12152 - ELEVATORS TRINACRIA OF GAETANO DI PIETRO - ELEVATOR ASSISTANCE  </w:t>
        <w:br/>
        <w:t xml:space="preserve">Annex to provision no. 30203  </w:t>
        <w:br/>
        <w:t xml:space="preserve">STATEMENT OF COMMITMENTS  </w:t>
        <w:br/>
        <w:t xml:space="preserve">In the context of proceeding no. PS12152, initiated by the Italian Competition Authority on February 23, 2022, concerning the commercial practices of the professional regarding unfair commercial practices, Mr. Gaetano Di Pietro, owner of the sole proprietorship Elevators Trinacria, pursuant to and for the effects of Article 27, paragraph 7, of the "Consumer Code" (Legislative Decree No. 206 of September 6, 2005 and subsequent amendments) commits, starting from the date of communication of the Authority's provision, to implement the following measures in the manner and within the timeframes indicated below.  </w:t>
        <w:br/>
        <w:t xml:space="preserve">A. FIRST COMMITMENT: PARTIAL MODIFICATION OF PENDING CONTRACTS  </w:t>
        <w:br/>
        <w:t xml:space="preserve">Firstly, the professional commits to removing any profiles of possible unfairness and violation of the provisions of the Consumer Code concerning existing contracts.  </w:t>
        <w:br/>
        <w:t xml:space="preserve">To this end, a specific notice has already been sent to the Condominiums with which a contractual relationship is currently pending, informing them of the partial and beneficial modification for the same condominiums of the existing contracts (a copy is attached, Annex 1), by replacing the previous clauses of possible unlawful/abusive content with new provisions in accordance with the legal and regulatory provisions (See Annex 2).  </w:t>
        <w:br/>
        <w:t xml:space="preserve">Duration: indefinite.  </w:t>
        <w:br/>
        <w:t xml:space="preserve">Implementation timeframes: implemented prior to the submission of the present commitments.  </w:t>
        <w:br/>
        <w:t xml:space="preserve">B. SECOND COMMITMENT: MODIFICATION OF THE CONTRACTUAL FORMS TO BE PROPOSED TO FUTURE AND POTENTIAL CLIENTS  </w:t>
        <w:br/>
        <w:t xml:space="preserve">Secondly, the professional has already prepared a new contractual model that he commits to using, with immediate effect, in his professional and commercial activity, proposing the same form to potential clients (Annex 3).  </w:t>
        <w:br/>
        <w:t xml:space="preserve">Duration: indefinite.  </w:t>
        <w:br/>
        <w:t xml:space="preserve">Implementation timeframes: implemented prior to the submission of the present commitments.  </w:t>
        <w:br/>
        <w:t xml:space="preserve">C. THIRD COMMITMENT: MODIFICATION OF THE AMOUNT REQUESTED IN EXTRAJUDICIAL TERMS AS A PENALTY  </w:t>
        <w:br/>
        <w:t xml:space="preserve">Finally, with reference to the pending matters — it is specified all extrajudicial, namely resulting from requests sent by the professional following the clients' exercise of early termination — existing with consumers/clients regarding requests for payment of penalties, as determined in the previously used contractual forms, which may be subject to possible illegitimacy (in the form of violation of Articles 20-25 of the Consumer Code), the professional commits to sending to third parties a specific note rectifying the previous warnings, specifying that the amount requested, as a penalty for the early termination of the contract by them, will be considered equal to 40% of the remaining fees.  </w:t>
        <w:br/>
        <w:t xml:space="preserve">Duration: indefinite.  </w:t>
        <w:br/>
        <w:t>Implementation timeframes: within 30 days from the communication of acceptance of the present commitments by the Authority.</w:t>
      </w:r>
    </w:p>
    <w:p>
      <w:r>
        <w:t xml:space="preserve">Italian Competition Authority Weekly Bulletin  </w:t>
        <w:br/>
        <w:t xml:space="preserve">of Competition and Market Year XXXII - No. 25 - 2022  </w:t>
        <w:br/>
        <w:t xml:space="preserve">Editorial Coordination Giulia Antenucci  </w:t>
        <w:br/>
        <w:t xml:space="preserve">Editorial Staff Valerio Ruocco, Simonetta Schettini, Manuela Villani  </w:t>
        <w:br/>
        <w:t xml:space="preserve">Italian Competition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