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https://www.agcm.it/dotcmsdoc/bollettini/2023/26-23.pdf</w:t>
      </w:r>
    </w:p>
    <w:p>
      <w:r>
        <w:t>Pages translated : 60</w:t>
      </w:r>
    </w:p>
    <w:p/>
    <w:p>
      <w:r>
        <w:rPr>
          <w:b/>
        </w:rPr>
        <w:t>[Pages 1–3]</w:t>
      </w:r>
    </w:p>
    <w:p>
      <w:r>
        <w:t>Bulletin</w:t>
        <w:br/>
        <w:t>Weekly</w:t>
        <w:br/>
        <w:t>Year XXXIII - No. 26</w:t>
        <w:br/>
        <w:t>Published on the website www.agcm.it</w:t>
        <w:br/>
        <w:t>July 10, 2023</w:t>
      </w:r>
    </w:p>
    <w:p>
      <w:r>
        <w:t>SUMMARY</w:t>
        <w:br/>
        <w:t>AGREEMENTS AND ABUSE OF DOMINANT POSITION 5</w:t>
        <w:br/>
        <w:t>I861 - ITALIAN VOLLEYBALL FEDERATION/SPORTS BOND</w:t>
        <w:br/>
        <w:t>Decision No. 30676 5</w:t>
        <w:br/>
        <w:t>REPORTING AND CONSULTATIVE ACTIVITIES 18</w:t>
        <w:br/>
        <w:t>AS1893 - COMPETITION REFORM PROPOSALS FOR THE ANNUAL LAW ON THE MARKET AND COMPETITION YEAR 2023 18</w:t>
        <w:br/>
        <w:t>AS1894 - MUNICIPALITY OF CASTIGLIONE DELLA PESCAIA (GR) - ASSIGNMENT OF MARITIME STATE CONCESSIONS 47</w:t>
        <w:br/>
        <w:t>AS1895 - VARIOUS MUNICIPALITIES OF THE PROVINCE OF NAPLES - ADHERENCE OF THE INTEGRATED WATER SERVICE MANAGEMENT COMPANY APNN SPA PUBLIC WATER NAPLES NORD SPA 54</w:t>
        <w:br/>
        <w:t>UNFAIR TRADE PRACTICES 60</w:t>
        <w:br/>
        <w:t>PS12093 - SALT-GROUP ASTM/ISSUES ON THE HIGHWAY NETWORK</w:t>
        <w:br/>
        <w:t>Decision No. 30677 60</w:t>
      </w:r>
    </w:p>
    <w:p>
      <w:r>
        <w:t>BULLETIN NO. 26 OF JULY 10, 2023 5</w:t>
        <w:br/>
        <w:t>AGREEMENTS AND ABUSE OF DOMINANT POSITION</w:t>
        <w:br/>
        <w:t>I861 - ITALIAN VOLLEYBALL FEDERATION/SPORTS BOND</w:t>
        <w:br/>
        <w:t>Decision No. 30676</w:t>
        <w:br/>
        <w:t>THE ANTITRUST AUTHORITY</w:t>
        <w:br/>
        <w:t>IN ITS MEETING of June 19, 2023;</w:t>
        <w:br/>
        <w:t>HEARD the Rapporteur, Professor Elisabetta Iossa;</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101 and 102 TFEU);</w:t>
        <w:br/>
        <w:t>HAVING REGARD to Law No. 287 of October 10, 1990, and in particular, Article 14-ter, introduced by Law No. 248 of August 4, 2006, which amended and converted Decree-Law No. 223 of July 4, 2006;</w:t>
        <w:br/>
        <w:t>HAVING REGARD to the Decree of the President of the Republic No. 217 of April 30, 1998;</w:t>
        <w:br/>
        <w:t>HAVING REGARD to the "Communication on the procedures for the application of Article 14-ter of Law No. 287 of October 10, 1990," adopted in the meeting of September 6, 2012 and published in the Bulletin of September 17, 2012, No. 35;</w:t>
        <w:br/>
        <w:t>HAVING REGARD to its resolution of September 27, 2022, No. 30314, which initiated an investigation, pursuant to Article 14 of Law No. 287/1990, against FIPAV - Italian Volleyball Federation to ascertain the existence of violations of Article 101 TFEU, considering that the Statute adopted by FIPAV in October 2021 raises competitive concerns consisting of a possible market division and a consequent crystallization of clientele by sports clubs, thereby disincentivizing competition among them;</w:t>
        <w:br/>
        <w:t>HAVING REGARD to the communication of February 2, 2023, whereby FIPAV, pursuant to Article 14-ter of Law No. 287/1990, according to the methods indicated in the specific "Form for the submission of commitments pursuant to Article 14-ter of Law No. 287/90," presented commitments consisting, in summary, in the amendment of Articles 10-bis, 10-ter, and 69 of the federal statute, aimed at abolishing the multi-year "sports bond" and replacing it with "registration," lasting for the duration of the sports year, with the entry into force set simultaneously with the entry into force of Legislative Decree No. 36/2021 and subsequent amendments or, in any case, at the end of the 2023-2024 sports season, for all federal athletes, including those still subject to such a sports bond at that date;</w:t>
        <w:br/>
        <w:t>HAVING REGARD to its resolution of February 28, 2023, No. 30492, which ordered the publication on the Authority's website, starting from March 2, 2023, of the commitments presented by FIPAV, in order to allow interested parties to express their observations;</w:t>
        <w:br/>
        <w:t>HAVING REGARD to its communication to the European Commission, pursuant to Article 11, paragraph 4, of Regulation (EC) No. 1/2003;</w:t>
      </w:r>
    </w:p>
    <w:p>
      <w:r>
        <w:rPr>
          <w:b/>
        </w:rPr>
        <w:t>[Pages 4–6]</w:t>
      </w:r>
    </w:p>
    <w:p>
      <w:r>
        <w:t>6 BULLETIN NO. 26 OF JULY 10, 2023</w:t>
        <w:br/>
        <w:t>HAVING REGARD to the acts of the proceedings and the documentation acquired during the investigation;</w:t>
        <w:br/>
        <w:t>CONSIDERED the following:</w:t>
        <w:br/>
        <w:t>I. THE PARTY</w:t>
        <w:br/>
        <w:t>1. The Italian Volleyball Federation (hereinafter FIPAV) is the sports federation that groups together the clubs and sports associations based in Italy that practice the sport of volleyball, beach volleyball, and sitting volleyball as regulated by the FIVB (Fédération Internationale de Volleyball) and the CEV (Confédération Européen de Volleyball). FIPAV is the only entity recognized by CONI, by CIP (Italian Paralympic Committee), by CEV, and by FIVB, responsible for the organization and regulation of these disciplines in Italy, as well as for representing Italian volleyball activities internationally.</w:t>
        <w:br/>
        <w:t>II. THE INVESTIGATIVE PROCEDURE</w:t>
        <w:br/>
        <w:t>2. This procedure concerns the regulation of the sports bond by FIPAV. The issue of the sports bond in the discipline of volleyball has been the subject of reports and addressed by the Authority following a complaint in 2017, concerning the bond of permanence in the clubs or sports associations affiliated with FIPAV, imposed on registered athletes who, according to the then-current Statute of the Federation, if over 14 years of age and up to the age of 24, due to the validity of the ten-year sports bond, could not transfer to a different sports association. Subsequently, from the 24th year of age up to 34 years, the bond was instead five years.</w:t>
        <w:br/>
        <w:t>3. On that occasion, following discussions with the Authority, FIPAV communicated its intention to redefine the entire bond system, adopting new regulations that provided for shorter duration bonds, in particular, an annual bond up to 12 years, a bond of 6 years from 12 to 24 years of age, and 5 years between 24 and 34 years. The Federation emphasized that this change would allow, on the one hand, to reduce the maximum duration of the bond from 10 to 6 years and, on the other hand, to enable the athlete to sign the sports bond themselves, at the age of 18, for the duration of the subsequent 6 years.</w:t>
        <w:br/>
        <w:t>4. Since this change required an intervention on the Statute, with a redefinition of the categories of belonging of the athletes and the age brackets for participation in the championships, in adherence to the different duration brackets of the bond, FIPAV planned to adopt this change at the conclusion of the then ongoing Olympic quadrennium (2017-2020). Furthermore, FIPAV, in a letter signed by the President, dated June 25, 2019, committed not to foresee any transitional phase for the adoption of the statutory changes once the text of the Statute had been approved by CONI1. Based on the proposed regulatory changes and this last clarification regarding the immediate entry into force of the new rules, once the approval of CONI was obtained, the Authority, in July 2019, deemed it unnecessary to continue the preliminary investigations, considering the regulatory framework proposed by FIPAV suitable to resolve potential competitive issues, benefiting the competitive dynamics in the volleyball sector. In the meeting of July 10, 2019, the Authority therefore decided to archive the case, requesting the Federation to communicate, as soon as it was prepared, the text of the Statute containing the new conditions of duration of the bond following the approval in the assembly, also indicating the methods by which the Federation intended to implement the provisions expressed therein.</w:t>
        <w:br/>
        <w:t>5. Subsequently, in the absence of feedback, close to the end of the Olympic quadrennium (2017-2020), a letter dated October 30, 2020, was sent to the Federation, inviting it to communicate the text of the new Statute containing the changes proposed to the Authority in July 2019. In a letter dated November 6, 2020, FIPAV communicated that "in compliance with the deadlines established by its statute and by the sports regulations, in its National Elective Assembly, which would be held on February 27, 2021, an extraordinary part was also scheduled with the statutory modification concerning, among other things, the issue of the duration of the sports bond of the athletes."</w:t>
        <w:br/>
        <w:t>6. However, close to the date on which the elective Assembly was scheduled, in a letter dated February 25, 2021, FIPAV communicated that, due to the continuation of the pandemic situation, the Federation was unable to hold the extraordinary part of the Assembly during which the Statute modification was scheduled and that, in order to proceed with the changes agreed with the Authority, it would apply to CONI for the appointment of a Commissioner ad acta, pursuant to Article 22, paragraph 6 of the CONI Statute.</w:t>
        <w:br/>
        <w:t>7. On August 4, 2021, the Federation communicated that, with resolution of the National Board No. 73 of April 9, 2021, CONI had appointed the Commissioner ad acta for the adoption of the changes prepared by FIPAV in view of the Extraordinary Assembly.</w:t>
        <w:br/>
        <w:t>8. Finally, on October 29, 2021, FIPAV transmitted the text of the new federal Statute, approved by the National Board of CONI, with resolution No. 320 of October 22, 2021, which included the changes to Articles 10-ter and 69 made by the Commissioner ad acta, concerning respectively the section relating to the duration of the sports bond of the athletes and the transitional provisions.</w:t>
        <w:br/>
        <w:t>9. The text of the new Statute indeed provided, as proposed by FIPAV in July 2019, for an annual bond up to 12 years and the reduction of the duration of the bond from 10 to 6 years, for athletes from 12 to 18 years and from 18 to 24 years, and a five-year bond for athletes from 24 to 29 years and from 29 to 34 years.</w:t>
        <w:br/>
        <w:t>10. However, contrary to what was previously proposed to the Authority in the aforementioned letter of June 25, 2019, signed by the President of FIPAV, the text of the new Statute transmitted to the Authority provided for a transitional period, with a staggered entry into force of the new rules depending on the age of the athlete2. In detail, in light of the transitional provision of Article 69 of the new Statute, the immediate application of the new timing of the sports bond was foreseen only for new registrants, while for all others, the entry into force would occur at the end of the sports year in which the athlete would turn 24 years of age. In particular, for those who at the time of the entry into force of the new Statute were 17 years old, it was provided that the new regulations would come into force only in the sports year 2027/2028.</w:t>
        <w:br/>
        <w:t>11. Such statutory provisions were significantly detrimental compared to the changes proposed by FIPAV in 2019, based on which the Authority had archived the reports received. Therefore, after several discussions with the Parties, the Authority, on September 27, 2022, decided to initiate an investigative procedure against FIPAV for the alleged violation of Article 101 TFEU, believing that the Statute adopted by FIPAV in October 2021 raised competitive issues. In particular, it was highlighted at the outset how the excessive and unjustified duration of the sports bond, applied also to minor athletes, could lead, in addition to a direct worsening of the situation of the athletes (and their families), to a general reduction of the incentive to compete for sports clubs, with further negative effects on the athletes. This is because the excessive extension of the sports bond produces the effect of partitioning the market, crystallizing for each sports club operating in the market its own "clientele." In this way, competition among sports clubs, which can be expressed, for example, through lower registration fees and dues or through the provision of better services such as, for example, the sports facilities made available for training and matches, technical sports personnel employed (coaches) by the different clubs, is strongly discouraged.</w:t>
        <w:br/>
        <w:t>12. On October 21, 2022, a first hearing was held with representatives of FIPAV on November 4, 2022, following which the Federation communicated its intention to present commitments pursuant to Article 14-ter of Law No. 287/1990. FIPAV also requested an extension of the related deadline in order to hold the extraordinary Assembly and thus formulate a definitive commitment act as approved by the Assembly itself. In fact, since the procedure for convening the FIPAV national Assembly, whether ordinary or extraordinary, provides, pursuant to Article 24 of the Statute, for a notice of at least sixty days before the established date, it would not have been possible to meet the three-month deadline referred to in Article 14-ter of Law No. 287/1990, expiring on January 5, 2023.</w:t>
        <w:br/>
        <w:t>13. The Authority, in the meeting of November 30, 2022, evaluated the request for an extension and granted it, setting the deadline for the submission of commitments to February 4, 2023. During a second hearing with the offices, held on November 10, 2022, FIPAV illustrated the proposal for commitments as outlined by the Federal Council. Subsequently, there were further discussions between FIPAV representatives and the Offices, and the Federation exercised its right of access to the documents in the file.</w:t>
        <w:br/>
        <w:t>14. On December 15, 2022, the Italian Volleyball Players Association was also heard.</w:t>
        <w:br/>
        <w:t xml:space="preserve">15. In a communication dated February 2, 2023, FIPAV presented the commitments pursuant to Article 14-ter of Law No. 287/1990, consisting of the modification of the federal Statute following the approval by the extraordinary National Assembly of the federation, held on January 22, 2022, which particularly concerned Articles 10-bis, 10-ter, and 69. </w:t>
        <w:br/>
        <w:t>• from the year 2027/28 for athletes born in the 1st half of 2004 and the 2nd half of 2003.</w:t>
      </w:r>
    </w:p>
    <w:p>
      <w:r>
        <w:rPr>
          <w:b/>
        </w:rPr>
        <w:t>[Pages 7–9]</w:t>
      </w:r>
    </w:p>
    <w:p>
      <w:r>
        <w:t>BULLETIN NO. 26 OF JULY 10, 2023 9</w:t>
        <w:br/>
        <w:t>III. THE REFERENCE REGULATORY FRAMEWORK</w:t>
        <w:br/>
        <w:t>a) The regulation of the sports sector</w:t>
        <w:br/>
        <w:t>16. The regulation of the sports sector in Italy is based on a pyramidal system that is formed, at the international and apex level, by the International Olympic Committee (IOC) and the Fédération Internationale de Volleyball (FIVB), at the national level by the Italian National Olympic Committee (CONI) with its tasks of coordination with international bodies and national guidance and control, and, therefore, by the Italian Volleyball Federation (FIPAV), which regulates the sport of volleyball, beach volleyball, and sitting volleyball in Italy.</w:t>
        <w:br/>
        <w:t>17. The Italian National Olympic Committee (CONI) was established in 1914 by delegates from various National Sports Federations, in order to organize the participation of Italian athletes in the Olympics, in coordination with the International Olympic Committee (IOC). With Law No. 426 of February 16, 1942, CONI is qualified as a public non-economic entity subject to ministerial supervision. The reorganization of CONI took place with Legislative Decree No. 242 of July 23, 1999 (so-called Melandri Law) and, subsequently, with Law No. 86 of August 8, 2019, titled “Delegations to the Government and other provisions regarding sports organization, sports professions, and simplification.” CONI, defined as the “confederation of National Sports Federations” (FSN) and Associated Sports Disciplines (DSA), has statutory powers that, as provided by Article 2, concern the discipline of the central and peripheral organization of CONI, as well as its functioning. The current statute was last amended by the National Council on March 9, 2022, with resolution No. 1707 and approved by DPCM of July 19, 2022.</w:t>
        <w:br/>
        <w:t>18. National Sports Federations “carry out sports activities in harmony with the resolutions and guidelines of the IOC, international federations, and CONI, also considering the public nature of specific types of activities identified in the CONI statute” (Article 15, Legislative Decree No. 242/1999). They are associations with legal personality under private law, do not pursue profit-making purposes (paragraph 2), and their budgets are approved by CONI (paragraphs 2 and 3). Pursuant to Article 16 of Legislative Decree No. 242/1999, Federations have statutory and regulatory powers in accordance with the fundamental principles established by CONI; however, their Statutes must be approved by a resolution of the National Board of CONI to be adopted.</w:t>
        <w:br/>
        <w:t>19. The CONI Statute provides that Federations “are recognized technical, organizational, and management autonomy, under the supervision of CONI” (Article 20, paragraphs 3 and 4), recognizing only one Federation for each sport. Furthermore, the Statute, pursuant to Article 15, paragraph 1, Legislative Decree No. 242/1999, identifies the activities of “public nature” of the Federations, “related to the admission and affiliation of clubs, sports associations, and individual members, to the revocation […] of admission or affiliation measures; to the control regarding the regular conduct of competitions and professional sports championships; to the use of public contributions; […], as well as activities related to Olympic preparation and high-level training, training of technicians, use and management of public sports facilities” (Article 23 of the Statute); “the public nature of the activity does not modify the ordinary regime of private law of individual acts and the subjective legal situations connected” (Article 23, paragraph 1-bis, of the CONI Statute).</w:t>
      </w:r>
    </w:p>
    <w:p>
      <w:r>
        <w:t>10 BULLETIN NO. 26 OF JULY 10, 2023</w:t>
        <w:br/>
        <w:t>20. Currently, CONI recognizes 45 National Sports Federations and eighteen Associated Sports Disciplines. In this framework, FIPAV, the Italian Volleyball Federation, is the federation recognized by CONI whose purposes are “the promotion, enhancement, organization, and regulation of the sport of volleyball, beach volleyball, and sitting volleyball” as well as the “development of competitive activity, preparation of athletes, and provision of the necessary means for participation in the Olympic Games and international competitions, in harmony with the resolutions and guidelines of the IOC, FIVB, CONI, and CIP” (Article 2, paragraph 1, FIPAV Statute).</w:t>
        <w:br/>
        <w:t>b) The nature of FIPAV</w:t>
        <w:br/>
        <w:t>21. FIPAV has the legal nature of an association with legal personality under private law and is governed by Legislative Decree No. 242 of July 23, 1999, as amended by Legislative Decree No. 15 of January 8, 2004, as well as, for matters not expressly provided therein, by the civil code and its implementing provisions (Article 1, paragraph 2).</w:t>
        <w:br/>
        <w:t>22. FIPAV does not pursue profit-making purposes and is governed, in addition to the statutory provisions, “by regulatory provisions based on the principle of internal democracy, the principle of participation in sports activities by anyone on equal terms and in harmony with the national and international sports system as well as with the resolutions and guidelines of the IOC, FIVB, CONI, and CIP” (Article 1, paragraph 3). Within the sports system, FIPAV enjoys “full technical, organizational, and managerial autonomy, under the supervision of CONI and CIP regarding sitting volleyball activities” (Article 1, paragraph 5).</w:t>
        <w:br/>
        <w:t>23. Based on national and EU jurisprudence on the matter, the regulation by a Sports Federation of economic activities related to the world of sports is fully subject to antitrust scrutiny. According to the European Court of Justice, “the fact that an economic activity is related to sport does not preclude the application of the Treaty rules, including those governing competition law.” Any restrictions resulting from sports regulation must, therefore, be assessed in light of the context in which they were introduced and the objectives pursued and, in any case, cannot exceed what is strictly necessary and proportionate to ensure coordination with the sports activities to which they are connected, solely to preserve the proper conduct of these activities.</w:t>
        <w:br/>
        <w:t>3 Furthermore, as a member of FIVB, “The Statute, regulations, rules, and decisions of FIVB are considered an integral part of the Federal Statute, unless in conflict with the regulations of the IOC and CONI, and must be mandatorily respected by the Federation, its members, and affiliates, as well as by anyone interested in the sport of volleyball, unless otherwise authorized by FIVB” (Article 1, paragraph 4).</w:t>
        <w:br/>
        <w:t>4 It should be noted that, according to established jurisprudence (para 22 of the judgment of the Court of Justice of July 18, 2006, case C-519/04 P, in the Meca-Medina case), “considering the objectives of the Community, sports activity is governed by Community law only insofar as it can be configured as an economic activity under Article 2 EC (see judgments of December 12, 1974, case 36/74, Walrave and Koch, Rec. p. 1405, point 4; July 14, 1976, case 13/76, Donà, Rec. p. 1333, point 12; December 15, 1995, case C-415/93, Bosman et al., Rec. p. I-4921, point 73; April 11, 2000, joined cases C-51/96 and C-191/97, Deliège, Rec. p. I-2549, point 41, and April 13, 2000, case C-176/96, Lehtonen and Castors Braine, Rec. p. I-2681, point 32).”</w:t>
        <w:br/>
        <w:t>5 See the judgment MOTOE/Hellenic State, case C-49/07.</w:t>
        <w:br/>
        <w:t>6 Court of Justice of the European Union Meca Medina and Majcen on “purely sporting” rules Judgment of July 18, 2006, case C-519/04 P, recently reiterated by the Commission's decision of December 8, 2017, case IV.40208 – International Skating Union’s Eligibility Rules.</w:t>
      </w:r>
    </w:p>
    <w:p>
      <w:r>
        <w:t>BULLETIN NO. 26 OF JULY 10, 2023 11</w:t>
        <w:br/>
        <w:t>24. Within the legal framework illustrated, which is based on the pyramidal system of the IOC/FIVB - CONI – CIP - FIPAV circuit, the (also) public role of sports federations and the related existence of a single federation for each sport do not exclude, therefore, the review, from an antitrust perspective, of the ways in which federations carry out economic activities in the training of non-professional athletes and the organization of sporting events in which they operate.</w:t>
        <w:br/>
        <w:t>25. In line with Italian and EU precedents, therefore, sports federations, even as representatives of members engaged in economic activities, are entities that carry out economic activities, qualifying as associations of enterprises, and their decisions and conduct, therefore, are subject to competition rules.</w:t>
        <w:br/>
        <w:t>26. In particular, FIPAV, within the sports system, carries out representative, regulatory, and/or organizational activities of enterprises active in the sport of volleyball, beach volleyball, and sitting volleyball; moreover, it represents the associations, entities, and companies, including capital companies, adhering to it, which in turn carry out economic activities in the world of volleyball, beach volleyball, and sitting volleyball. Finally, FIPAV, as the organizer of events and manager of athlete registration, directly carries out economic activities.</w:t>
        <w:br/>
        <w:t>27. As is known, the notion of enterprise, relevant for competition law, includes any entity that engages in economic activity, regardless of its legal form and financing methods. Therefore, the decisions of FIPAV, which represents and brings together the entities active in the volleyball sector, are qualified, in light of competition law, as resolutions of associations of enterprises, pursuant to Article 101 TFEU. In fact, according to established jurisprudential orientation, the notion of association of enterprises is broad and disregards the commercial nature or not of the activity pursued, as well as the legal qualification held by an entity within a national legal system.</w:t>
        <w:br/>
        <w:t>28. Furthermore, FIPAV, by virtue of its institutional role as the sole federation for the volleyball sector, exercises regulatory and coordination powers over volleyball activities throughout the national territory, and makes decisions to which all associations and sports clubs active in the sector must conform.</w:t>
      </w:r>
    </w:p>
    <w:p>
      <w:r>
        <w:rPr>
          <w:b/>
        </w:rPr>
        <w:t>[Pages 10–12]</w:t>
      </w:r>
    </w:p>
    <w:p>
      <w:r>
        <w:t xml:space="preserve">12 BULLETIN NO. 26 OF JULY 10, 2023  </w:t>
        <w:br/>
        <w:t xml:space="preserve">c) The sports bond  </w:t>
        <w:br/>
        <w:t xml:space="preserve">29. The sports bond, which ties the non-professional athlete9 to a Federation, is implemented through the registration of the former with a sports club or sports association affiliated with the Federation. This bond, provided by the national sports federations (hereinafter NSFs) for athletes who intend to engage in sports activities, whether amateur or competitive, in the field of a specific federal sport (while it is no longer provided for professionals). In practice, the conditions vary depending on the discipline.  </w:t>
        <w:br/>
        <w:t xml:space="preserve">30. The registration relationship entails, for the athlete, a positive obligation to provide their sports activity in favor of the affiliated association or club with which they are registered. Corresponding to this, there is also a negative obligation not to engage in the same sports activity in favor of or on behalf of associations or clubs affiliated with others than the one with which they are registered. In other words, the sports bond is a relationship whereby the athlete commits, for a specified period of time, to provide their sports activity solely and exclusively in favor of the club with which they have voluntarily registered, without the possibility of changing clubs before the end of the period established by the bond.  </w:t>
        <w:br/>
        <w:t xml:space="preserve">31. Recently, the legislator intervened in the matter of the sports bond with Legislative Decree No. 36 of February 28, 2021, in implementation of Article 5 of Delegated Law No. 86 of August 8, 2019, which is part of the so-called legislative decrees for the reorganization and reform of the sports system in implementation. Legislative Decree No. 36 of February 28, 2021, in Article 31 (Abolition of the sports bond and training compensation), provides, on the one hand, for the abolition of the sports bond and, on the other hand, for the recognition of a compensation - according to methods and parameters that take into account the duration and educational content of the relationship - in favor of amateur clubs that have trained the athlete at the moment when the latter moves from one club to another. The deadline for the abolition of this bond, initially set for July 1, 2022, has been recently extended in the terms as modified by Decree Law No. 198 of December 29, 2022 (so-called Milleproroghe), to July 1, 2023 for new registrants and to December 31, 2023 for those who are already registered and for whom the renewal of registration is therefore provided.  </w:t>
        <w:br/>
        <w:t xml:space="preserve">32. In this sense, while recognizing in principle the existence of a possible investment, the legislator, at the time of the aforementioned sports reform, did not therefore renounce the abolition of the bond, thus recognizing that it constitutes a limitation on the freedom of athletes to choose the club with which to train. On the other hand, it has provided for compensation for any investment made by the clubs that have trained the athlete, establishing that, at the moment of the transfer of the athlete to the professional club, it is the latter that must recognize a compensation to the amateur clubs that have trained the athlete, so that this burden does not remain on the athlete who moves from one club to another.  </w:t>
        <w:br/>
        <w:t xml:space="preserve">33. Ultimately, the application of a sports bond, especially if particularly long, to a very large number of athletes, which also includes very young athletes (who often pay monthly or annual fees for engaging in sports activities), appears entirely disproportionate to the intended purpose, significantly limiting the freedom of athletes to move from one sports club to another and, consequently, the competition among sports clubs. In fact, the excessive extension of the sports bond has the effect of partitioning the market, disincentivizing sports clubs from competing with each other by offering better services to their clientele (in terms, for example, of lower registration costs and fees, sports facilities made available for training and matches, employed sports technical personnel, etc.).  </w:t>
        <w:br/>
        <w:t xml:space="preserve">IV. THE RELEVANT MARKET  </w:t>
        <w:br/>
        <w:t xml:space="preserve">34. For the purposes of this proceeding, the activity carried out by sports clubs and associations based in Italy that practice, in compliance with current legal provisions, the sports of volleyball, beach volleyball, and sitting volleyball is relevant. Therefore, the sector concerned by this proceeding relates to the preparation activities of non-professional athletes, the promotion and organization of competitions in which registered athletes participate, and, more generally, all those activities carried out by sports clubs and associations operating in the field of volleyball, beach volleyball, and sitting volleyball and listed in Article 2, paragraph 1, letters a), b), and c) of the FIPAV Statute, as they allow their "registered" members to learn and develop the sport of volleyball.  </w:t>
        <w:br/>
        <w:t xml:space="preserve">V. THE COMMITMENTS PROPOSED BY THE PARTY  </w:t>
        <w:br/>
        <w:t xml:space="preserve">35. In response to the competitive concerns raised by the Authority in the initiation order, with communication dated February 2, 2022, FIPAV submitted commitments, in their final version, pursuant to Article 14-ter of Law No. 287/1990, according to the methods specifically indicated in the appropriate "Form for the submission of commitments pursuant to Article 14-ter of Law No. 287/90."  </w:t>
        <w:br/>
        <w:t xml:space="preserve">36. In particular, FIPAV submitted a copy of the amendments made to the federal statute following the approval by the extraordinary National Assembly of the Federation, held on January 22, 2022, and subsequently approved by the National Board of CONI with Resolution No. 34 of February 23, 2023, which made them definitive. In particular, the amendment concerned Articles 10-bis and 10-ter and 69 of the Statute, which were replaced with the following:  </w:t>
        <w:br/>
        <w:t xml:space="preserve">“Art. 10 bis Effects of registration  </w:t>
        <w:br/>
        <w:t xml:space="preserve">1. For the duration of the current registration, the athlete is obliged to practice the sport of volleyball exclusively in the interest of the associated holder of the registration and is prohibited from practicing the same sport with another associate, except with the consent of the associated holder of the registration.  </w:t>
        <w:br/>
        <w:t xml:space="preserve">Art. 10 ter Duration and renewal of registration  </w:t>
        <w:br/>
        <w:t xml:space="preserve">1. The registration lasts for the duration of the sports year.  </w:t>
        <w:br/>
        <w:t xml:space="preserve">2. The sports year is understood to be that which begins on July 1 of each year and ends on June 30 of the following year.  </w:t>
        <w:br/>
        <w:t xml:space="preserve">3. The registration is automatically renewed for the following sports season, except for the right of withdrawal of the registered member, to be communicated in the manner and within the terms established by the federal regulations.  </w:t>
        <w:br/>
        <w:t xml:space="preserve">4. Upon expiration of the registration, the athlete is free to renew it with the same associate or to request registration with another associate: the indemnities or bonuses, however named, provided for in such cases by the federal regulations are reserved.  </w:t>
        <w:br/>
        <w:t xml:space="preserve">5. The registration can, however, be terminated at any time, according to what is provided by the federal regulations:  </w:t>
        <w:br/>
        <w:t xml:space="preserve">a) For extinction or cessation of the activity of the associate;  </w:t>
        <w:br/>
        <w:t xml:space="preserve">b) For the athlete's failure to adhere to the absorption or merger of the binding associate;  </w:t>
        <w:br/>
        <w:t xml:space="preserve">c) By consent of the associated holder;  </w:t>
        <w:br/>
        <w:t xml:space="preserve">d) For the failure to renew the athlete's registration by the associate within the annual deadline;  </w:t>
        <w:br/>
        <w:t xml:space="preserve">e) For the failure of the associated holder to participate in the federal sector activity and for an age group that allows the athlete to participate;  </w:t>
        <w:br/>
        <w:t xml:space="preserve">f) For just cause;  </w:t>
        <w:br/>
        <w:t xml:space="preserve">g) For the transfer of the sports right or for the renunciation of registration in a championship by the associated holder;  </w:t>
        <w:br/>
        <w:t xml:space="preserve">h) For the withdrawal of the associated holder from a championship carried out within the deadline of the first round.  </w:t>
        <w:br/>
        <w:t xml:space="preserve">6. In the case of the stipulation of a sports contract, in the forms and manners provided by law and in accordance with the provisions of the federal regulations, the registration will be renewed year by year for the duration established by the sports employment contract and will follow its developments.  </w:t>
        <w:br/>
        <w:t xml:space="preserve">Art. 69 – Entry into force  </w:t>
        <w:br/>
        <w:t xml:space="preserve">1. Articles 10-bis and 10-ter of this Statute will enter into force simultaneously with the entry into force of the regulation of amateur sports employment pursuant to Legislative Decree No. 36/2021 and subsequent amendments or, in any case, at the end of the 2023-2024 sports season.  </w:t>
        <w:br/>
        <w:t xml:space="preserve">2. The Federal Council is mandated to establish by its own regulation the criteria, parameters, and methods for determining the indemnities and bonuses referred to in Article 10-ter.  </w:t>
        <w:br/>
        <w:t>37. In the meeting of February 28, 2023, the Authority, considering the commitments presented not manifestly unsuitable to resolve the competitive concerns expressed at the outset, ordered their publication on its website, for the purpose of subjecting them to the market test provided for by the procedure relating to the application of Article 14-ter of Law No. 287/1990. The deadline for the submission of observations by third parties expired on April 1, 2023, and no observations were received.</w:t>
      </w:r>
    </w:p>
    <w:p>
      <w:r>
        <w:rPr>
          <w:b/>
        </w:rPr>
        <w:t>[Pages 13–15]</w:t>
      </w:r>
    </w:p>
    <w:p>
      <w:r>
        <w:t>BULLETIN NO. 26 OF JULY 10, 2023 15</w:t>
        <w:br/>
        <w:t>VI. EVALUATIONS</w:t>
        <w:br/>
        <w:t>38. This proceeding concerns the verification of possible competitive criticalities arising from the sports bond in the discipline of volleyball. The commitments that FIPAV presented in their final version, pursuant to Article 14-ter of Law No. 287/1990, on February 2, 2023, consisting of the amendment of the federal statute decided by the Extraordinary National Assembly of the Federation held on January 22, 2023, and approved by CONI with resolution No. 34 of February 23, 2023, appear suitable to resolve the specific competitive criticalities highlighted by the Authority in the initiation of the investigation, as specified below.</w:t>
        <w:br/>
        <w:t>39. In particular, with the proposed commitments, which amend Articles 10-bis and 10-ter of the Statute, on one hand, the term "sports bond" has been eliminated and replaced with "registration," while on the other hand, it is specified that "the registration lasts for the duration of the sports year" (Article 10-ter, paragraph 1) and that "the sports year is understood to begin on July 1 of each year and end on June 30 of the following year" (Article 10-ter, paragraph 2).</w:t>
        <w:br/>
        <w:t>40. Therefore, at the end of each sports year, the registered athlete may exercise the right of withdrawal, without any condition other than that of exercising this right within the timeframes established by the technical regulations of the federation (Article 10-ter, paragraph 3). In fact, the text of the new Statute explicitly states that "Upon expiration of the registration, the athlete is free to renew it with the same associate or to request registration with another associate" (Article 10-ter, paragraph 4), while paragraph 5 lists the circumstances under which, even during the current sports year, the registration may, in any case, be terminated, which are the same as those previously provided for the termination of the sports bond.</w:t>
        <w:br/>
        <w:t>41. Regarding the newly introduced sports employment contracts, paragraph 6 of the same article provides that the duration of the registration will follow the developments of the contract, thus leaving to the contractual autonomy of the parties the determination of its duration.</w:t>
        <w:br/>
        <w:t>42. Furthermore, in the final version of the commitments, the transitional phase that, for certain age groups, would have ended only at the conclusion of the sports year 2027/2028 has been eliminated. In fact, the current Article 69 of the Statute establishes that the entry into force of the new statutory regulations, concerning Articles 10-bis and 10-ter, is simultaneous with the entry into force of the regulations on amateur sports employment referred to in Legislative Decree No. 36/2021, currently scheduled, as modified by Decree Law No. 198 of December 29, 2022 (so-called Milleproroghe), for July 1, 2023, for new registrants and December 31, 2023, for those who are already registered, and therefore have the renewal of registration.</w:t>
        <w:br/>
        <w:t>43. It should be noted that the new Statute of FIPAV provides in any case for a final deadline for the entry into force of Articles 10-bis and 10-ter, corresponding to the end of the sports season 2023/2024, in order to bind the application of the statutory amendments approved by the FIPAV Assembly to a certain and predefined date. Therefore, even if the entry into force of the statutory provision on the reform of sports were to be further postponed, the amendments to the FIPAV Statute will still be implemented within the timeframes provided for by Article 69, paragraph 1. In this regard, with a declaration received on February 22, 2023, FIPAV specified that the annual duration of registration, as of June 30, 2024 (end of the 2023-2024 season), will be in force for both new registrants and ongoing registrations, regardless of the entry into force of Legislative Decree No. 36/2021.</w:t>
        <w:br/>
        <w:t>VII. PREJUDICE TO TRADE BETWEEN MEMBER STATES OF THE EUROPEAN UNION</w:t>
        <w:br/>
        <w:t>44. According to the Communication from the European Commission 2004/C 101/07 Guidelines on the notion of prejudice to trade between Member States referred to in Articles 81 and 82 of the Treaty, published in the Official Journal of the European Union C 101/81 on April 27, 2004, the concept of prejudice to intra-community trade must be interpreted taking into account the direct or indirect, real or potential influence on trade flows between Member States. In light of the aforementioned principles, it is noted that the conduct subject to this proceeding concerns a market that has a geographical dimension equal, at least, to the entire Italian territory. Therefore, in the absence of the commitments presented, the conduct of FIPAV would appear capable of causing prejudice to trade between Member States.</w:t>
        <w:br/>
        <w:t>VIII. CONCLUSIONS</w:t>
        <w:br/>
        <w:t>45. In conclusion, the commitments proposed by FIPAV and subject to the publication decided on February 28, 2023, appear suitable to eliminate the anti-competitive profiles subject to initiation concerning the Statute adopted by FIPAV in October 2021, as they eliminate the multi-year sports bond, which could lead to a market division and a consequent crystallization of clientele by sports clubs, and the transitional phase, which, for certain age groups of already registered athletes, would have led to the termination of the sports bond only at the end of the sports year 2027/2028.</w:t>
        <w:br/>
        <w:t>46. The Authority will monitor the execution of the commitments presented and reserves the right to reopen the proceeding ex officio for the purposes and effects of what is provided for by Article 14-ter, paragraphs 2 and 3, of Law No. 287/1990; CONSIDERING, therefore, that the commitments presented by FIPAV are suitable to eliminate the anti-competitive profiles subject to the investigation; CONSIDERING to impose the obligations of the commitments on FIPAV, pursuant to Article 14-ter, paragraph 1, of Law No. 287/1990; CONSIDERING, finally, that it is possible to close the proceeding against FIPAV, without establishing the infringement pursuant to Article 14-ter of the aforementioned law; All of the above having been stated and considered:</w:t>
        <w:br/>
        <w:t>RESOLVES</w:t>
        <w:br/>
        <w:t>a) to make the commitments presented by FIPAV-Italian Volleyball Federation mandatory pursuant to Article 14-ter, paragraph 1, of Law No. 287/1990, in the terms described above and attached to this provision, which form an integral part thereof;</w:t>
      </w:r>
    </w:p>
    <w:p>
      <w:r>
        <w:t>BULLETIN NO. 26 OF JULY 10, 2023 17</w:t>
        <w:br/>
        <w:t xml:space="preserve">b) to close the proceeding without establishing the infringement against FIPAV-Italian Volleyball Federation, pursuant to Article 14-ter, paragraph 1, of Law No. 287/1990; </w:t>
        <w:br/>
        <w:t xml:space="preserve">c) that FIPAV-Italian Volleyball Federation shall submit within three months from the notification of this provision, a detailed report on the implementation of the commitments undertaken, accompanied by all necessary documentation. </w:t>
        <w:br/>
        <w:t xml:space="preserve">This provision will be notified to the interested parties and published in the Bulletin of the Antitrust Authority. </w:t>
        <w:br/>
        <w:t xml:space="preserve">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 </w:t>
        <w:br/>
        <w:t xml:space="preserve">THE SECRETARY GENERAL THE PRESIDENT </w:t>
        <w:br/>
        <w:t>Guido Stazi Roberto Rustichelli</w:t>
      </w:r>
    </w:p>
    <w:p>
      <w:r>
        <w:rPr>
          <w:b/>
        </w:rPr>
        <w:t>[Pages 16–18]</w:t>
      </w:r>
    </w:p>
    <w:p>
      <w:r>
        <w:t>18 BULLETIN NO. 26 OF JULY 10, 2023</w:t>
        <w:br/>
        <w:t>REPORTING AND CONSULTATIVE ACTIVITIES</w:t>
        <w:br/>
        <w:t>AS1893 - COMPETITION REFORM PROPOSALS FOR THE ANNUAL LAW ON THE MARKET AND COMPETITION YEAR 2023</w:t>
        <w:br/>
        <w:t>Rome, June 22, 2023</w:t>
        <w:br/>
        <w:t>President of the Senate of the Republic</w:t>
        <w:br/>
        <w:t>President of the Chamber of Deputies</w:t>
        <w:br/>
        <w:t>President of the Council of Ministers</w:t>
        <w:br/>
        <w:t>The Competition and Market Authority, in compliance with the provisions of Article 47, paragraph 2, of Law No. 99 of July 23, 2009, sends this report to the Government for the preparation of the annual bill for the market and competition. The approval of this law represents - as is known - an important moment in the implementation of the National Recovery and Resilience Plan (PNRR), which considers the protection and promotion of competition as an essential factor to foster efficiency and economic growth of the system and to ensure recovery after the pandemic, as well as greater social justice. Among the objectives of the Plan is, in particular, the commitment to respect the annual cadence of the competition law, as this is "essential to continuously review the state of legislation in order to verify whether regulatory constraints on competitive play and the efficient functioning of markets remain, taking into account the socioeconomic framework." With the intent to provide the political guidance bodies with the necessary technical support regarding the measures to be adopted to promote the pro-competitive evolution of the regulatory framework, the Authority hereby submits to the Government and Parliament some suggestions that derive from the daily observation of the markets in order to facilitate the elimination of those restrictions that are not essential for the protection of significant general interests. The ultimate goal is to promote the rationalization of the existing regulatory framework with the introduction of simpler, clearer, and more transparent regulation, which can ensure greater competition among operators, both in the market access phase and in the exercise of business activity, with benefits in terms of better allocation of resources, consequent economic growth, as well as increased well-being of the community. Below is a summary of the proposed interventions.</w:t>
      </w:r>
    </w:p>
    <w:p>
      <w:r>
        <w:t>BULLETIN NO. 26 OF JULY 10, 2023 19</w:t>
        <w:br/>
        <w:t>Summary</w:t>
        <w:br/>
        <w:t>1. Highway sector</w:t>
        <w:br/>
        <w:t>2. Pharmaceutical sector</w:t>
        <w:br/>
        <w:t>3. Universal postal service</w:t>
        <w:br/>
        <w:t>4. Chambers of Commerce</w:t>
        <w:br/>
        <w:t>5. Electronic communication services</w:t>
        <w:br/>
        <w:t>6. Limits on electromagnetic emissions</w:t>
        <w:br/>
        <w:t>7. Motor vehicle liability insurance</w:t>
        <w:br/>
        <w:t>8. Amendments to the Waste Consolidation Act</w:t>
        <w:br/>
        <w:t>9. Limitations on self-production activities in port operations</w:t>
        <w:br/>
        <w:t>10. Mineral water sector</w:t>
        <w:br/>
        <w:t>11. Retail trade</w:t>
        <w:br/>
        <w:t>12. Sanctioning powers of the Authority in the context of investigative inquiries</w:t>
        <w:br/>
        <w:t>1. Highway sector</w:t>
        <w:br/>
        <w:t>a) Introduction: the National Recovery and Resilience Plan (PNRR) and the traditional orientation of the Competition and Market Authority on awarding through tender</w:t>
        <w:br/>
        <w:t xml:space="preserve">1. Among the PNRR objectives to be achieved by December 31, 2024, is the adoption of the annual competition law for 2023, which must include certain measures related to the highway sector, including the provision of a regulatory framework for highway concessions, within which the conduct of tenders for highway concession contracts must be made mandatory, preventing automatic renewal1. Additional measures are added regarding in-house assignments and contract termination2. </w:t>
        <w:br/>
        <w:t xml:space="preserve">2. The Authority, in previous advocacy interventions, has repeatedly expressed the need to proceed with the awarding of concessions - not only highway concessions but also those concerning public maritime property and having tourism-recreational purposes - through public evidence procedures. In particular, it has been observed that in markets where, due to the specific objective characteristics of technical, economic, and financial activities, there is exclusivity or a limited number of subjects are allowed to operate, the awarding of concessions must, in any case, occur through transparent and competitive tender procedures, in order to mitigate the distorting effects of competition associated with the privileged position attributed to the concessionaire3. Regarding the procedures and measures for extending existing concessions, the Authority has repeatedly emphasized that it is in the market's interest to carefully balance the short-term benefits and the possible costs that may manifest over a longer time horizon. The granting of extensions in favor of previous concessionaires, in fact, further postpones competitive confrontation for the market, thus preventing the benefits that would derive from periodic competition for the awarding through public evidence procedures. Therefore, any extensions of assignments should not exceed the actual needs of the administrations, to allow for the efficient allocation of public resources through competitive procedures4. </w:t>
        <w:br/>
        <w:t xml:space="preserve">3. The principles of awarding through tender procedures and the prohibition of extensions have recently been reaffirmed by the administrative judge, both in terms of beach concessions5 and in relation to the corporate restructuring resulting from the settlement agreement concluded between the Ministry of Infrastructure and Sustainable Mobility and Autostrade per l’Italia S.p.A. (ASPI), in this latter case raising a preliminary question of interpretation regarding Article 43 of Directive 2014/23/EU6. In line with these considerations, in implementing the specific milestones mentioned above (which require "making the conduct of tenders for highway concession contracts mandatory" and "preventing the automatic renewal of concession contracts"7), it is proposed to provide at the regulatory level greater and stricter guarantees aimed at preventing the continuation of the expired concession relationship from extending beyond the time necessary for the conduct of tender procedures, thus determining a de facto extension of the concession, also considering the recourse to economic disincentives or substitute mechanisms in case of inertia of the granting authority. </w:t>
        <w:br/>
        <w:t xml:space="preserve">3 Cfr. AS1684 – Observations regarding the provisions contained in the relaunch decree, of July 1, 2020. See also, the reports AS135 – Extensions of highway concessions, of April 23, 1998; AS491 – Provisions on the granting of public property concessions and on the direct exercise of administrative functions in the field of maritime property, of December 3, 2008; AS1114 – Concession regime present in the port of Livorno, of January 29, 2014; AS1137 – Proposals for competition reform for the annual law on the market and competition year 2014, of July 2, 2014. </w:t>
        <w:br/>
        <w:t xml:space="preserve">4 Cfr. cited reports in note 3. </w:t>
        <w:br/>
        <w:t xml:space="preserve">5 The reference is to the decisions with which the Plenary Assembly of the Council of State - with judgments No. 17 and 18 of October 20, 2021 - stated, in particular, that the rules for automatic extension of concessions are in contrast with European law establishing their expiration once the term set by the judge itself has expired. Cfr. lastly Council of State, Section VI, judgment No. 2192 of February 16, 2023. </w:t>
        <w:br/>
        <w:t xml:space="preserve">6 Cfr. TAR Lazio, Section IV, No. 13434 of October 19, 2022, paragraph 2.5): "In light of the total transformation of the concessionaire company, it is therefore necessary to ascertain preliminarily whether the application of Article 43 of Directive 2014/23 imposed, or not, the obligation to call a public evidence procedure within the procedure conducted pursuant to Article 43 of DL 201/2011. The College is of the opinion that this obligation should certainly be fulfilled; which is relevant, for the purposes of deciding, both in the perspective of a possible excess of power for lack of investigation and motivation, and in terms of serious and manifest violation of community law." Consequently, the judge refers to the Court, among others, the following question: "3.1.) whether or not the interpretation of national legislation that allows the granting administration to instruct a procedure for subjective and objective modification of an ongoing highway concession, or its renegotiation, without assessing and expressing itself on the obligation to call a public evidence procedure, is contrary to community law." </w:t>
        <w:br/>
        <w:t>7 Cfr. supra note 1.</w:t>
      </w:r>
    </w:p>
    <w:p>
      <w:r>
        <w:rPr>
          <w:b/>
        </w:rPr>
        <w:t>[Pages 19–21]</w:t>
      </w:r>
    </w:p>
    <w:p>
      <w:r>
        <w:t>BULLETIN NO. 26 OF JULY 10, 2023 21</w:t>
        <w:br/>
        <w:t>4. In this direction, the provision contained in Article 178 of Legislative Decree No. 36 of March 31, 2023, which introduces the new Public Contracts Code, is welcomed, in implementation of the delegation granted to the Government by Article 1 of Law No. 788 of June 21, 2022. Specifically, the cited provision explicitly prohibits the extension of expired concessions (except for the possibility of revising their terms pursuant to the subsequent Article 1929), also establishing that “[c]ontracts awarded without a tender pursuant to Article 186, paragraph 2, are in no case extendable”10.</w:t>
      </w:r>
    </w:p>
    <w:p>
      <w:r>
        <w:t>Furthermore, with regard to highway concessions, it is provided that, at the end of their duration, management shall be entrusted to the Ministry of Infrastructure and Transport, for the time strictly necessary to carry out the tender procedures, thus “avoiding that the outgoing concessionaire is entrusted with the management of the section on a transitional basis (effectively producing the effects of an extension)”11.</w:t>
      </w:r>
    </w:p>
    <w:p>
      <w:r>
        <w:t>These provisions appear to converge towards the dual purpose of clearly affirming the prohibition of extending concessions, on the one hand, and of preventing possible inertia or delaying attitudes of the granting entities from allowing the outgoing concessionaire to continue to manage the concession, thereby undermining the effectiveness of the aforementioned prohibition.</w:t>
      </w:r>
    </w:p>
    <w:p>
      <w:r>
        <w:t>5. In this context, paragraph 7 of Article 186 provides that highway concessions relating to highways that affect one or more regions may be entrusted by the Ministry of Infrastructure and Transport to in-house companies of other public administrations, even if specifically established for this purpose. For this purpose, similar control over the aforementioned in-house company may be exercised by the Ministry itself through a committee governed by a specific agreement pursuant to Article 15, Law No. 241/1990, which exercises the relevant powers over the in-house company.</w:t>
      </w:r>
    </w:p>
    <w:p>
      <w:r>
        <w:t>The provision - which thus appears to outline a possible model for the awarding of highway concessions based on internalization through the use of specially established in-house companies - must in any case be interpreted in light of the general principle of self-organization referred to in Article 7 of the new Public Contracts Code and the motivation obligations provided therein for in-house awarding forms, also with reference to the benefits for the community, the related externalities, and the economic adequacy of the performance.</w:t>
      </w:r>
    </w:p>
    <w:p>
      <w:r>
        <w:t>8 Decree published in G.U. No. 77 of March 31, 2023 - S.O. No. 12. The provisions of the new Code will apply starting from July 1, 2023.</w:t>
      </w:r>
    </w:p>
    <w:p>
      <w:r>
        <w:t>9 See Article 192 (Revision of the concession contract): “1. Upon the occurrence of extraordinary and unpredictable events, including changes in the applicable legislation or regulation, provided that they are not attributable to the concessionaire, which significantly affect the economic-financial balance of the operation, the concessionaire may request the revision of the contract to the extent strictly necessary to restore it to the levels of balance and risk transfer agreed upon at the time of the conclusion of the contract. The alteration of the economic and financial balance due to events other than those referred to in the first sentence and falling within the risks allocated to the private party shall be borne by the latter. 2. In the context of the revision pursuant to paragraph 1, it is not permitted to agree on changes that alter the nature of the concession, or substantial changes that, if they had been included in the initial awarding procedure of the concession, would have allowed the admission of candidates different from those initially selected or the acceptance of an offer different from that initially accepted, or would have attracted additional participants to the awarding procedure of the concession. […]”.</w:t>
      </w:r>
    </w:p>
    <w:p>
      <w:r>
        <w:t>10 See Article 178, paragraph 5, second sentence, of the aforementioned Legislative Decree No. 36/2023.</w:t>
      </w:r>
    </w:p>
    <w:p>
      <w:r>
        <w:t>11 See Explanatory Report on the draft legislative decree containing the Public Contracts Code, p. 213 (available at the internet page: https://www.camera.it/leg19/682?atto=019&amp;tipoAtto=Atto&amp;idLegislatura=19&amp;tab=1#inizio).</w:t>
      </w:r>
    </w:p>
    <w:p>
      <w:r>
        <w:t>22 BULLETIN NO. 26 OF JULY 10, 2023</w:t>
        <w:br/>
        <w:t xml:space="preserve">b) Obligations for concessionaires to outsource part of the contracts awarded without a tender </w:t>
        <w:br/>
        <w:t>6. The Authority has previously emphasized the pro-competitive value of the outsourcing obligation introduced in Article 177, paragraph 1, of Legislative Decree No. 50 of April 18, 2016, criticizing the provisions by which the entry into force of such obligation had been subject to extension12. The National Anti-Corruption Authority (ANAC) had also highlighted how this provision was necessary to introduce competitive comparison and dismantle the consolidated positions of concessionaires who benefited from a concession awarded without a tender and for a long period of time13.</w:t>
      </w:r>
    </w:p>
    <w:p>
      <w:r>
        <w:t>In this regard, the ruling of the Constitutional Court of November 23, 2021, No. 218, which declared the unconstitutionality of the aforementioned Article 177, paragraph 1, of Legislative Decree No. 50 of 201614, intervened - as is known. The consequent repeal of the obligation referred to in the aforementioned article has resulted in a substantial alteration of the framework for the awarding of concessionaires, including highway concessionaires, no longer subject to any obligation to outsource activities and has eliminated an important source of competitive comparison in a market that is tendentially closed.</w:t>
      </w:r>
    </w:p>
    <w:p>
      <w:r>
        <w:t>7. In this regard, as early as 2006, in a joint report with the then Authority for the Supervision of Public Works, the Authority had valued the provision of an outsourcing obligation in order to allow small and medium-sized enterprises to participate in the construction process, as well as, more generally, to ensure that there was a minimum level of work awarded following a competitive comparison among companies15. The scope of application of the provision indeed concerns cases where there has been a lack of competitive comparison upstream, and therefore, the possibility of awarding contracts to companies owned or controlled by the concessionaire raises a serious issue in terms of compliance with the principles of free competition in the sector. In conclusion, the structure that has now been created allows for the execution of the work concession in the absence of any public tender procedure, both upstream and downstream.</w:t>
      </w:r>
    </w:p>
    <w:p>
      <w:r>
        <w:t>8. In light of these considerations, the Authority is in favor of the new introduction of an outsourcing obligation, modulated according to the indications arising from the aforementioned ruling of the Constitutional Court, which makes it compatible with the purpose - deemed legitimate by the judge of laws - of “promoting openness to competition, by returning to the market segments of activity that have been removed from it, as they are the subject of concessions previously awarded without a tender to the concessionaire companies”16. This measure could, for example, be limited and graduated based on the importance - both qualitative and quantitative - of the concessions, as well as concerning differentiated percentages, also based on the aforementioned dimensional logic.</w:t>
      </w:r>
    </w:p>
    <w:p>
      <w:r>
        <w:t>The intervention in question assumes particular relevance considering that the absence of an outsourcing regime inevitably leads to greater recourse by the concessionaire to in-house management of the construction activities of the contract, with a corresponding increase in the pressure (including political) that the concessionaire holds, by virtue of its dominant position in the specific market, acquired based on the previous award without a tender. In the face of the strengthening of the rents of concessionaires and in-house service and construction companies, there would be a loss of market positions and opportunities for small and medium-sized enterprises to which the activities could, instead, be outsourced, with greater benefits in terms of efficiency.</w:t>
      </w:r>
    </w:p>
    <w:p>
      <w:r>
        <w:t>9. In this perspective, the provision contained in Article 186 of the aforementioned Legislative Decree No. 36/2023 is appreciated, which identifies a share between 50% and 60% of the contracts for works, services, and supplies - which will be established conventionally by the grantor and the concessionaire - to be awarded through a public tender procedure to third parties (the report specifies, in this regard, that “in this sense, the obligation in question could not be considered satisfied in the case of awarding to a subsidiary or an affiliate of the concessionaire”17). In order to set the aforementioned percentage, the granting entity takes into account the economic dimensions and characteristics of the company, the time of assignment of the concession, its remaining duration, its object, its economic value, and the amount of investments made. With reference to highway concessions, the shares and determination criteria are identified based on the amounts resulting from the economic-financial plans and mechanisms for recovery are provided in case of non-compliance with the awarding shares. Furthermore, ANAC is entrusted with defining the methods for calculating the shares, as well as monitoring the application of the new provisions.</w:t>
      </w:r>
    </w:p>
    <w:p>
      <w:r>
        <w:t>10. The provision thus appears to introduce a flexible system for identifying the shares of works, services, and supplies to be awarded to third parties, to be established within a determined range and according to legislatively provided parameters, accompanied by monitoring and corrective mechanisms. It is noted that a prompt implementation of the same becomes a priority for its effectiveness, involving not only ANAC - for the aspects of identifying the criteria - but also the granting entities, which are responsible for the concrete identification of the percentages.</w:t>
      </w:r>
    </w:p>
    <w:p>
      <w:r>
        <w:t>16 See paragraph 8.3 of the ruling of the Constitutional Court No. 218/2021, cited.</w:t>
      </w:r>
    </w:p>
    <w:p>
      <w:r>
        <w:t>17 See Explanatory Report, cited, p. 223.</w:t>
      </w:r>
    </w:p>
    <w:p>
      <w:r>
        <w:rPr>
          <w:b/>
        </w:rPr>
        <w:t>[Pages 22–24]</w:t>
      </w:r>
    </w:p>
    <w:p>
      <w:r>
        <w:t>24 BULLETIN NO. 26 OF JULY 10, 2023</w:t>
        <w:br/>
        <w:t>c) Further regulatory profiles: optimal management areas and tenders for charging stations</w:t>
        <w:br/>
        <w:t xml:space="preserve">11. Another relevant aspect, for the development of the sector in a more competitive perspective, concerns the limitation of the assignment from an objective standpoint, particularly regarding the scope of extension18. In this perspective, the proposal made by the Transport Regulatory Authority (ART) to identify, as an optimal management area, a kilometer extension between 180 and 315 km19, is "functional to the purpose of promoting plural management across different routes and stimulating competition through comparison"20. This regulatory measure, in fact, aims to correct an inefficiency of the current system of route assignments, also noted by the Court of Auditors, as the identification of an optimal management area allows for the prevention of high substitution values that affect the economic conditions of tenders and improves the bankability of the investment plans underlying the concessions, that is, their financial sustainability21. </w:t>
        <w:br/>
        <w:t xml:space="preserve">12. However, following the initial definition of the optimal area made by the ART in 201622, there do not appear to be any specific initiatives aimed at delineating the subject of future tenders based on the optimal areas thus identified. In this regard, after consultation with the ART, existing critical issues could be identified in order to define any regulatory measures aimed at making the adoption of tender procedures effective according to an optimal configuration. </w:t>
        <w:br/>
        <w:t xml:space="preserve">13. A similar consultation can be undertaken to identify suitable measures to ensure the actual initiation of tenders that highway concessionaires are required to conduct for the assignment of electric vehicle charging services23, pursuant to Article 1, paragraph 697, of Law No. 178 of December 30, 2020, as amended by Article 12 of Law No. 118 of August 5, 2022 (annual law for the market and competition 2021)24. In implementation of what has already been provided by ART Resolution 130/2022, the tender notices must also be designed to ensure the containment of costs for end users of electric charging services on the highway network, avoiding giving excessive importance to the price component in defining the award criteria. </w:t>
        <w:br/>
        <w:t xml:space="preserve">18 Profile already highlighted, among others, since the AS659 report - Proposals for competitive reform for the purposes of the annual law for the market and competition, of February 4, 2010 and, more recently, in the report to Parliament and the Government AS1550 - Concessions and competitive criticalities, of December 12, 2018. </w:t>
        <w:br/>
        <w:t xml:space="preserve">19 See ART Resolution No. 70/2016 of June 23, 2016. </w:t>
        <w:br/>
        <w:t xml:space="preserve">20 See Article 37, paragraph 2, letter g), Decree-Law No. 201/2011, converted, with amendments, by Law No. 214/2011. </w:t>
        <w:br/>
        <w:t xml:space="preserve">21 See Inquiry by the Court of Auditors, resolution of December 18, 2019, No. 18/2019/G. </w:t>
        <w:br/>
        <w:t xml:space="preserve">22 See ART Resolution No. 70/2016, of June 23, 2016 and, lastly, ART Resolution No. 1/2023, of January 11, 2023. </w:t>
        <w:br/>
        <w:t xml:space="preserve">23 See ART Resolution No. 130/2022, of August 4, 2022. </w:t>
        <w:br/>
        <w:t>24 The regulation introduced the provision that the installation of charging infrastructure occurs "through competitive, transparent, and non-discriminatory procedures, in compliance with the principle of rotation."</w:t>
      </w:r>
    </w:p>
    <w:p>
      <w:r>
        <w:t>BULLETIN NO. 26 OF JULY 10, 2023 25</w:t>
        <w:br/>
        <w:t>2. Pharmaceutical sector</w:t>
        <w:br/>
        <w:t>a) Measures aimed at increasing the competitiveness of public tenders for the purchase of drugs</w:t>
        <w:br/>
        <w:t xml:space="preserve">14. The fundamental objective of reducing the cost of treatments for the most expensive drugs, especially those biologics used in hospitals, with a consequent increase in accessibility for patients, could be more easily achieved in the presence of a regulatory context that facilitates interchangeability between drugs and their comparability for therapeutic purposes, thus contributing to the expansion of competitive comparison among different medicines in public tenders. Article 15, paragraph 11-quater, of Decree-Law No. 95/201225 relates to the issue of the relationship between biological drugs and biosimilar drugs. The provision establishes that "[the] existence of a biosimilarity relationship between a biosimilar drug and its reference biological drug exists only if verified by the European Medicines Agency (EMA) or the Italian Medicines Agency, taking into account their respective competencies. Automatic substitution between the reference biological drug and its biosimilar or between biosimilars is not permitted. In public procurement procedures for biosimilar drugs, different active ingredients, even if having the same therapeutic indications, cannot be put to tender in the same lot." </w:t>
        <w:br/>
        <w:t xml:space="preserve">15. The Authority has always deemed it necessary to promote competitive dynamics in the market for biological drugs, as these significantly impact public health expenditure26, particularly through the encouragement of the use of so-called biosimilars, as a tool capable of expanding the pool of patients who can access this type of drug and contributing to the sustainability of European health systems27. The Authority reiterates the opportunity for the adoption of a regulation that leverages, even in the case of biosimilars with different active ingredients, the criterion of therapeutic equivalence, which, however, must be articulated taking into account the specificities that characterize this type of medicine. Regarding the assimilation of biological compounds, it must be kept in mind that since biological drugs are complex compounds produced from a living organism or derived from it, one cannot speak of true "equivalence" in a therapeutic sense, which is more correctly applicable only to chemically synthesized drugs, but rather of "interchangeability." That said, however, clinical experience shows that there are concrete hypotheses of therapeutic interchangeability among certain types of biosimilars. Therefore, the third sentence of paragraph 25 of the converted decree law of July 6, 2012, No. 9528. In the perspective of increasing competitiveness in public tenders, it is therefore believed that the aforementioned provision in Article 15, paragraph 11-quater should be repealed in order to incorporate the issue of therapeutic equivalence of biological drugs into the general regulation of Article 15, paragraph 11-ter, of Decree-Law No. 6 July 2012, No. 9529. The Authority, therefore, reiterates what has already been hoped for in this regard in the past30. It is proposed to amend paragraph 11-quater of Article 15 of Decree-Law No. 6 July 2012, No. 95, converted with amendments by Law No. 135 of August 7, 2012, by eliminating the absolute prohibition, in public procurement procedures for biosimilar drugs, of putting different active ingredients to tender in the same lot, but having the same therapeutic indications and for which the AIFA has verified therapeutic interchangeability. </w:t>
        <w:br/>
        <w:t>b) Health advertising</w:t>
        <w:br/>
        <w:t xml:space="preserve">16. Paragraph 525 of Article 1 of Law No. 145/2018 provides that: "Informative communications from private healthcare facilities and from members of the registers of the Orders of health professions [...] may only contain the information referred to in Article 2, paragraph 1, of Decree-Law No. 223 of July 4, 2006, converted, with amendments, by Law No. 248 of August 4, 2006, functional to ensuring the safety of health treatments, excluding any promotional or suggestive elements [...]" (emphasis added)31. </w:t>
        <w:br/>
        <w:t xml:space="preserve">28 See TAR Pescara ruling of April 1, 2016, No. 113, TAR Puglia, ruling of February 1, 2019, No. 154. </w:t>
        <w:br/>
        <w:t xml:space="preserve">29 The cited article states: "In making any decisions based on therapeutic equivalence between medicines containing different active ingredients, the Regions adhere to the motivated and documented evaluations expressed by the Italian Medicines Agency." </w:t>
        <w:br/>
        <w:t xml:space="preserve">30 See AS1730 - Proposals for competitive reform for the purposes of the annual law for the market and competition year 2021, cited. </w:t>
        <w:br/>
        <w:t>31 Paragraph 525 of Law No. 145/2018 provides, in particular, that: "Informative communications from private healthcare facilities and from members of the registers of the Orders of health professions referred to in Chapter II of Law No. 3 of January 11, 2018, in any legal form they carry out their activity, including the companies referred to in Article 1, paragraph 153, of Law No. 124 of August 4, 2017, may only contain the information referred to in Article 2, paragraph 1, of Decree-Law No. 223 of July 4, 2006, converted, with amendments, by Law No. 248 of August 4, 2006, functional to ensuring the safety of health treatments, excluding any promotional or suggestive elements, in respect of the free and informed determination of the patient, to protect public health, the dignity of the person, and their right to accurate health information."</w:t>
      </w:r>
    </w:p>
    <w:p>
      <w:r>
        <w:rPr>
          <w:b/>
        </w:rPr>
        <w:t>[Pages 25–27]</w:t>
      </w:r>
    </w:p>
    <w:p>
      <w:r>
        <w:t>BULLETIN NO. 26 OF JULY 10, 2023 27</w:t>
        <w:br/>
        <w:t>As already noted by the Authority32, the aforementioned provision has reintroduced unjustified limitations on the use of advertising in the healthcare professions sector, contrary to the trend of liberalization that has characterized the evolution of the sector, which is not motivated or proportionate to the general interest of protecting the consumer.</w:t>
      </w:r>
    </w:p>
    <w:p>
      <w:r>
        <w:t>In particular, the cited provision refers to Article 2 of Decree-Law No. 223/200633 to exclude “any promotional or suggestive element,” while the liberalization norm intended to legitimize the use of advertising in the sector, to the extent that it required the modification of ethical codes in this sense34. Among other things, limiting the legitimate content of an “informative communication” solely to the purpose of “ensuring the safety of healthcare treatments” renders the advertising tool ineffective.</w:t>
      </w:r>
    </w:p>
    <w:p>
      <w:r>
        <w:t>17. It is reiterated35, in fact, that it is not advertising that guarantees the safety of healthcare treatments, but rather the measures concretely adopted by professionals in the exercise of their activity, measures that are imposed by the sector regulations and the required professional diligence. Furthermore, the aforementioned reference (“to ensure the safety of healthcare treatments”), as a binding parameter for evaluating informative communications, is so vague in its actual application that it generates uncertainty among professionals regarding the legitimacy of using the promotional tool.</w:t>
      </w:r>
    </w:p>
    <w:p>
      <w:r>
        <w:t>It is proposed to eliminate from paragraph 525 of Law No. 145/2018 the phrase “functional to ensuring the safety of healthcare treatments, excluding any promotional or suggestive element” related to informative communications in the sector.</w:t>
      </w:r>
    </w:p>
    <w:p>
      <w:r>
        <w:t xml:space="preserve">c) Measures aimed at harmonizing and improving access to sales channels for gluten-free therapeutic products </w:t>
        <w:br/>
        <w:t>18. The provision of gluten-free products to individuals affected by celiac disease, including the clinical variant of dermatitis herpetiformis, falls within the Essential Levels of Care (LEA) – pursuant to the Ministerial Decree of June 8, 2001, concerning “Supplementary healthcare assistance related to products intended for special diets” (so-called Veronesi Decree)36, which also provided for the introduction of maximum expenditure ceilings at the national level based on age group and gender. In particular, according to Article 3 of the Decree: “[…] The local health authority (ASL) of belonging annually authorizes individuals who have been certified with celiac disease, including the clinical variant of dermatitis herpetiformis, to access the products, within the monthly expenditure limits indicated in Table 1 of Article 1, paragraph 1, of Ministerial Decree of May 4, 2006 and subsequent updates.</w:t>
      </w:r>
    </w:p>
    <w:p>
      <w:r>
        <w:t>At the same time, the ASL issues to the same individuals vouchers or other “credit documents” – including magnetic types – with which the aforementioned products can be purchased from the authorized suppliers referred to in Article 6. The aforementioned vouchers, or other credit documents, including magnetic types, may be used in a single solution or at different times and at different suppliers, provided that they are used within the validity month of the same”; […]”; in turn, Article 6 of the decree established that “[t]he products referred to in this decree are provided directly by the reference centers where the individuals are being treated, by the facilities of the local health authorities, by authorized pharmacies, and by all other suppliers authorized to sell according to the directives issued by the regions.” Law No. 123/2005 “Rules for the protection of individuals suffering from celiac disease” confirmed the right to free provision of gluten-free therapeutic products and established that the maximum expenditure limits are set by decree of the Ministry of Health.</w:t>
      </w:r>
    </w:p>
    <w:p>
      <w:r>
        <w:t>Lastly, these maximum expenditure limits were established by the decree of August 10, 2018, which provides for a ceiling of 56 euros for patients (of either sex) between 6 months and 5 years of age, 70 euros for patients (of either sex) between 6 and 9 years, 100 and 90 euros (for patients, respectively, of male or female sex) between 10 and 13 years of age, 124 and 99 euros (for patients, respectively, of male or female sex) between 14 and 17 years of age, 110 and 90 euros (for patients, respectively, of male or female sex) between 18 and 59 years, and 89 and 75 euros (for patients, respectively, of male or female sex) over 60 years of age.</w:t>
      </w:r>
    </w:p>
    <w:p>
      <w:r>
        <w:t>19. In the described regulatory context, significant differences exist between the various regions regarding the concrete modalities of accreditation and the enjoyment of public contributions by individuals diagnosed and certified with celiac disease. In particular, in some regions, the use of monthly paper vouchers is provided, which are issued by the local health authority (ASL) upon presentation of the medical certificate attesting to celiac disease, while in others, dematerialized vouchers are used, credited directly to the card, in others, the use of a red prescription is required, while in others, a rechargeable magnetic card is provided to all celiac individuals. The differences between the regions in the modalities of accreditation and enjoyment of contributions also concern, in some cases, the channels through which these contributions can be spent: in particular, in some regions, the vouchers – whether paper or digital – can only be spent at pharmacies (and/or parapharmacies and/or specialized commercial establishments), but not at other sales points where the same products could also be found. Among these, in particular, are the sales points of large-scale retail trade (GDO), where the same GDO operators with their private labels and food industries are present with their respective lines of gluten-free products.</w:t>
      </w:r>
    </w:p>
    <w:p>
      <w:r>
        <w:t>As previously emphasized37, the Authority believes that the restriction of distribution channels where contributions intended for the purchase of gluten-free products can be used is likely to cause an unjustified restriction of competition. In fact, the possibility of purchasing such therapeutic foods at various commercial establishments – such as, in addition to the pharmaceutical channel, parapharmacies, specialized stores, and GDO – not only guarantees greater choice for celiac consumers but also constitutes an important competitive tool capable of stimulating a reduction in prices to the benefit of those suffering from this condition: indeed, in the face of a decrease in the cost of products, individuals affected by celiac disease would benefit, with the same contribution provided by the National Health Service (SSN), from a higher level of assistance.</w:t>
      </w:r>
    </w:p>
    <w:p>
      <w:r>
        <w:t>20. Furthermore, it is of fundamental importance, also for better accessibility of products by patients affected by celiac disease, that a full rationalization and computerization of the modalities of accreditation of public contributions is achieved in all regions, ensuring both transparent and automatic reporting and easy and timely reimbursement methods for any type of commercial establishment.</w:t>
      </w:r>
    </w:p>
    <w:p>
      <w:r>
        <w:t>In conclusion, the Authority believes that in all regions of Italy there should be uniformly realized both the maximum possible expansion of the number and type of stores in agreement with the ASLs where the use of public contributions is allowed, and an adequate rationalization, simplification, and dematerialization of accreditation procedures. This is to ensure a correct competitive dynamic between different products and different sales channels and, thereby, a real expansion of consumer choice and their purchasing power.</w:t>
      </w:r>
    </w:p>
    <w:p>
      <w:r>
        <w:t>To this end, it is proposed to amend the Ministerial Decree of June 8, 2001, specifically Article 6, so as to delegate not to the individual regions, but to the Ministry of Health the task of issuing directives to authorize suppliers to sell products for celiacs that can be purchased with the contribution of the SSN.</w:t>
      </w:r>
    </w:p>
    <w:p>
      <w:r>
        <w:t>In particular, it is proposed to modify: i. Article 6 of the Ministerial Decree of June 8, 2001 as follows: “[t]he products referred to in this decree are provided directly by the reference centers where the individuals are being treated, by the facilities of the local health authorities, by authorized pharmacies, and by all other suppliers authorized to sell according to the directives issued by the Ministry of Health [emphasis added]”; ii. the Ministerial Decree of August 10, 2018 (or its subsequent updates), adding Article 5-bis which explicitly provides for the obligation to recognize all distribution channels (pharmacies, parapharmacies, and commercial structures, specialized or not, of small, medium, and large-scale retail trade) as supply structures referred to in Article 6 of the Ministerial Decree of June 8, 2001, conditional upon compliance with only the minimum requirements necessary to ensure the safety and hygiene standards of food.</w:t>
      </w:r>
    </w:p>
    <w:p>
      <w:r>
        <w:t>In the same Decree, it could also be specified the obligation to proceed with the provision of contributions through a dematerialized system, allowing for more streamlined and automated accreditation procedures for users and telematic reimbursement and reporting systems for suppliers.</w:t>
      </w:r>
    </w:p>
    <w:p>
      <w:r>
        <w:t xml:space="preserve">3. Universal postal service </w:t>
        <w:br/>
        <w:t xml:space="preserve">a) Methods of entrusting the Universal Service </w:t>
        <w:br/>
        <w:t>21. In the postal sector, critical issues related to the methods of entrusting the Universal Service currently set out in Article 1 of Legislative Decree No. 58 of March 31, 2011, as well as those related to the structure of the service itself and the financing methods set out in the same regulatory text, have been highlighted, as already evidenced in the recent opinions AS1627 - Draft Program Contract Mise - Poste Italiane for the five-year period 2020-2024 and AS1550 - Concessions and critical issues.</w:t>
      </w:r>
    </w:p>
    <w:p>
      <w:r>
        <w:rPr>
          <w:b/>
        </w:rPr>
        <w:t>[Pages 28–30]</w:t>
      </w:r>
    </w:p>
    <w:p>
      <w:r>
        <w:t>30 BULLETIN NO. 26 OF JULY 10, 2023</w:t>
        <w:br/>
        <w:t>competitive. In particular, it is noted: i) that the selection of the Universal Service Provider occurred directly and not through a public tender and ii) that the duration of the direct assignment is extremely long and, therefore, incompatible with a real opening of the market. Therefore, in view of the upcoming expiration of the existing concession, there is a need to utilize public tender procedures for the assignment of the Universal Service in question, duly taking into account, when defining the scope of the concession, the specific characteristics of market demand and supply.</w:t>
        <w:br/>
        <w:t>b) Scope of the Universal Service</w:t>
        <w:br/>
        <w:t>22. In particular, with reference to the last aspect indicated, it is noted that it is appropriate to intervene on the scope of the Universal Service, currently provided in favor of Poste Italiane S.p.A., in its capacity as the Universal Service Provider. This need remains in light of the amendment made to Article 3 of Legislative Decree No. 261 of July 22, 1999, by Article 25 of Law No. 118 of August 5, 2022, "Annual Law for the Market and Competition 2021," as it has only been provided by the Legislator that the Ministry of Economic Development (now the Ministry of Enterprises and Made in Italy), after consulting the Authority for Communications Guarantees (AGCom), will periodically review the scope of the Universal Service obligations based on the guidelines of the European Commission, the needs of users, and the various offers available in the national market in terms of availability, quality, and affordable price, periodically reporting to Parliament the regulatory changes deemed necessary due to the evolution of markets and technologies.</w:t>
        <w:br/>
        <w:t>23. As already highlighted in the aforementioned opinion AS1627, bringing activities within the scope of the Universal Service for which the market has widely demonstrated its ability to provide the necessary services to the community efficiently and at affordable prices (consider, for example, parcel delivery), introduces unnecessary competitive distortions. Indeed, it should be noted that in light of the assignment of Universal Service obligations, Poste Italiane S.p.A. receives a public contribution of over 260 million euros per year and that the same company, when offering a service brought within this scope, is exempt from value-added tax (VAT), unlike its competitors. It therefore seems necessary to intervene by amending Article 1, paragraph 3, of Legislative Decree No. 58/2011 or by directly amending Article 3 of Legislative Decree No. 261/1999, in order to exclude from the scope of the Universal Service services aimed at commercial customers that involve large quantity shipments (so-called non-retail services), such as bulk mail or non-retail registered mail, and to limit it exclusively to services primarily aimed at individuals (so-called retail services). More generally, the Universal Service should be confined to the sending of correspondence in the strict sense between private individuals, excluding other shipments (for example, that of parcels), for which there seem to be no reasons for state funding of activities that have ample opportunity to be offered on the market under reasonable conditions.</w:t>
        <w:br/>
        <w:t>c) Financing systems and VAT exemption of the Universal Service</w:t>
        <w:br/>
        <w:t>24. From a competitive perspective, it would also be appropriate: i) to make the financing systems of the Universal Service more transparent, allowing, in particular, the prior definition of the parameters on the basis of which compensation is made to ensure that it does not confer an economic advantage to the beneficiary company compared to competing companies and ii) to also amend Article 10, paragraph 1, point n. 16, of the Presidential Decree of October 26, 1972, No. 633, regarding VAT, in order to eliminate the existing legal discriminations in favor of the incumbent operator concerning VAT exemption. In this regard, the Authority has long highlighted in numerous reports, particularly those for the Annual Law for the Market and Competition of 2012 (AS901) and 2014 (AS1137) as well as in the aforementioned opinion AS1627, that since there are some universal multiple shipment services (VAT exempt) that compete with non-universal ones (subject to VAT), VAT introduces a distorting element of competition, as the price of a particular service with which companies and customers compare no longer reflects only the production conditions (marginal costs) and consumption conditions (marginal utility), but also the tax level. In fact, with equal efficiency in production and service quality, a VAT-exempt service may have a final price for the customer lower than the service subject to VAT. The VAT exemption can, therefore, constitute an advantage for the Universal Service Provider, at least in the offer of services aimed at customers sensitive to VAT and for services that are not subject to individual negotiation.</w:t>
        <w:br/>
        <w:t>25. In this regard, it should be noted that recently AGCom, with resolution No. 171/22/CONS of May 30, 2022, highlighted the distorting effects of VAT exemption concerning the Universal Postal Service; this within the framework of new wholesale access offers for alternative operators to the Universal Postal Service Provider, Poste Italiane S.p.A. (see Article 3).</w:t>
        <w:br/>
        <w:t>d) Exemption from Article 8, 2-quater, Law No. 287/1990</w:t>
        <w:br/>
        <w:t>26. Finally, it seems appropriate to provide for the amendment of Article 1, paragraph 6, of Decree Law No. 59 of May 6, 2021, containing "Urgent measures relating to the Complementary Fund to the National Recovery and Resilience Plan (PNRR) and other urgent measures for investments," subsequently amended by Article 12, paragraph 4-bis, of Decree Law No. 198 of December 29, 2022, which currently establishes that: "The interventions included in the national plan for complementary investments are subject, as far as compatible, to the simplification and acceleration procedures, the transparency measures, and the knowledge of the state of progress established for the national recovery and resilience plan. In order to facilitate the implementation of the interventions provided for in paragraph 2, letter f), point 1, from the date of entry into force of the conversion law of this decree and until December 31, 2026, the provisions of paragraph 2-quater of Article 8 of Law No. 287 of October 10, 1990, do not apply to the subjects identified for the implementation of the aforementioned interventions." (emphasis added). In fact, the provision in question, in its current version, allows Poste Italiane S.p.A. - the subject identified for the implementation of the Polis Project - Digital Citizenship Services to extend for another three years (until December 31, 2026), compared to the initially provided deadline in the previous version of the norm (December 31, 2023), the facilitation regime it already enjoys, extending it even beyond the time frame related to the period covered by the investments for the realization of the Project itself. This provision seems to confer an undue competitive advantage to Poste Italiane S.p.A. to the detriment of operators active in offering services in competition with those offered by companies participated or controlled by Poste Italiane S.p.A., such as Postepay S.p.A., which provides mobile and fixed telephony services under the "PosteMobile" brand.</w:t>
        <w:br/>
        <w:t>With reference to:</w:t>
        <w:br/>
        <w:t>- Universal Postal Service, it is proposed to amend Article 3, paragraphs 2, 3, 11, and 12, Article 10, and Article 23, paragraph 2, of Legislative Decree No. 261 of July 22, 1999 - as amended by Article 1, paragraphs 3, 8, and 18, of Legislative Decree No. 58 of March 31, 2011 - providing for: i) the sole inclusion in the scope of the Universal Postal Service of shipments related to correspondence between individuals; ii) the prior definition of the parameters on the basis of which the financing of the Universal Postal Service in question occurs and iii) the recourse to competitive public tender procedures for the assignment of the Universal Postal Service (no ex lege assignments);</w:t>
        <w:br/>
        <w:t>- VAT exemption regime, it is proposed to repeal Article 10, paragraph 1, point n. 16, of the Presidential Decree of October 26, 1972, No. 633, so-called VAT Presidential Decree;</w:t>
        <w:br/>
        <w:t>- exemption from Article 8, paragraph 2-quater, of Law No. 287 of October 10, 1990, it is proposed that Article 1, paragraph 6, of Decree Law No. 59 of May 6, 2021, converted, with amendments, by Law No. 101 of July 1, 2021, return to providing for this exemption until December 31, 2023, as in the version prior to the amendment made by Article 12, paragraph 4-bis, of Decree Law No. 198 of December 29, 2022, converted, with amendments, by Law No. 14 of February 24, 2023.</w:t>
        <w:br/>
        <w:t>4. Chambers of Commerce</w:t>
        <w:br/>
        <w:t>a) The activity and methods of price and tariff detection</w:t>
        <w:br/>
        <w:t>27. Despite the regulatory recognition of the price and tariff detection activity by the Chambers of Commerce (hereinafter also "CCIAA"), the Authority has stated that this function should be radically rethought or at most, be restricted exclusively to those commodities for which it is strictly necessary, without ever being carried out in such a way that</w:t>
      </w:r>
    </w:p>
    <w:p>
      <w:r>
        <w:rPr>
          <w:b/>
        </w:rPr>
        <w:t>[Pages 31–33]</w:t>
      </w:r>
    </w:p>
    <w:p>
      <w:r>
        <w:t>BULLETIN NO. 26 OF JULY 10, 2023 33</w:t>
        <w:br/>
        <w:t xml:space="preserve">result in a restrictive coordination of the pricing policies of operators active in the markets subject to monitoring44. </w:t>
        <w:br/>
        <w:t xml:space="preserve">In particular, as already highlighted in the report AS1682 - Price and tariff monitoring by the chambers of commerce -, the task of monitoring prices and tariffs by the CCIAA should be limited to certain products identified based on criteria of necessity and proportionality in relation to the pursuit of general interest objectives. This activity should, therefore, be confined to the monitoring of wholesale prices of goods or products expressly identified by regulatory provisions, for which it remains strictly necessary due to their particular characteristics (such as extreme price volatility) or the presence of any gaps in transactions, and without leaving the possibility for the Chambers of Commerce to extend the scope of intervention based on assessments of opportunity or in light of any requests from the interested economic operators (a power that is, instead, contemplated in the Unioncamere Regulation). The monitoring of prices of additional products could at most be allowed upon specific ministerial authorization, following a specific request made by the Chamber of Commerce, which clearly highlights the necessity and proportionality of the monitoring for each product, in function of the protection of specifically identified general interests. The activity of monitoring prices and tariffs, in the limited cases where it is deemed necessary, should be adequately regulated according to predetermined criteria, so as to avoid that it becomes a collusive instrument among the participating subjects or, in any case, among stakeholders with direct interests in the sector subject to monitoring. </w:t>
        <w:br/>
        <w:t xml:space="preserve">In light of the above, the Authority hopes that the legislator will at least restrict the scope of application of the legislation referred to in Article 2, paragraph 2, letter c), of Law No. 580/1993, concerning the monitoring of prices and tariffs, to products expressly identified for which such activity is still effectively necessary and proportionate with respect to the objectives of general interest. With reference to the methods of monitoring prices and tariffs, the regulatory and statutory powers of the Chambers of Commerce should be limited in the sense of providing that: (i) the frequency of monitoring is specifically justified taking into account the peculiarities of individual products and never such as to provide an indication of future prices; for this purpose, it is necessary that a historical-statistical methodology is adopted; (ii) the activity is based on certain and reliable historical information and data, easily verifiable by a third party, unrelated to the interested supply chain; (iii) the service of depositing price lists and tariffs is no longer available or, in any case, does not allow access to price lists and tariffs by third parties; (iv) it is carried out by third and independent parties (such as industry experts and/or magistrates, along with internal members of the Chambers of Commerce) and not by operators active in local markets, mostly appointed by trade associations, with interests far removed from those of public monitoring of the market. </w:t>
        <w:br/>
        <w:t xml:space="preserve">b) Collection and publication of local customs </w:t>
        <w:br/>
        <w:t xml:space="preserve">28. Of particular importance, among the functions attributed to the Chambers of Commerce, is also the activity of collecting, reviewing, and publishing local customs. As is known, customs arise from the general, uniform, and constant repetition of behaviors adopted in the belief of complying with a mandatory legal norm. To facilitate the proof of customs, the law provides for the compilation of official collections by authorized entities and bodies: the publication of a custom in one of these collections presumes its existence, unless proven otherwise (Article 9 disp. prel. cod. civ.). </w:t>
        <w:br/>
        <w:t xml:space="preserve">The matter is still governed today by Royal Decree No. 2011 of September 20, 1934, whose provisions define the essential articulation of the verification procedure and by Legislative Decree C.P.S. No. 15246 of January 27, 1947. This legislation was supplemented in 1964 by the circular of the Ministry of Industry and Commerce No. 1695/C, which, with the aim of standardizing the methods of monitoring customs nationwide, provided the chambers of commerce with detailed indications regarding the modus procedendi. With Decree-Law No. 22348 of July 4, 2006 (so-called Bersani decree), the legislator intervened excluding representatives of categories with a direct interest in the specific matter subject to monitoring from participating in the Technical Committees of the Chambers of Commerce and, therefore, from directly carrying out the monitoring activity (Article 11, paragraph 5). Despite the intervention of the Bersani decree, in the Authority's experience, it has emerged that the monitoring activity of customs by the Chambers of Commerce is frequently carried out in ways that contravene the regulations protecting competition, particularly when it concerns the measurement of commissions applied by market operators and in which trade associations of the sector also participate, which are allowed to intervene, even incisively, in defining essential aspects for business activity. </w:t>
        <w:br/>
        <w:t xml:space="preserve">It is therefore deemed necessary to introduce specific punitive measures against the Chambers of Commerce, industry, crafts, and agriculture in case of violation of the provision of Article 11, paragraph 5, of Decree-Law No. 223 of July 4, 2006, which provides that representatives of categories with a direct interest in the specific matter subject to monitoring cannot be part of the technical committees established for the monitoring of customs. </w:t>
        <w:br/>
        <w:t xml:space="preserve">5. Electronic communication services – obligation of non-discrimination based on the originating provider </w:t>
        <w:br/>
        <w:t xml:space="preserve">29. In recent years, some particularly aggressive offers - so-called operator attacks - practiced by incumbent mobile phone operators to customers coming from smaller competitors have been brought to the Authority's attention. These consist of very low price offers and/or additional gigabytes specifically "targeted" at customers of so-called MVNOs (Mobile Virtual Network Operators – mobile phone operators that rely on the networks of major operators) or, in any case, customers of mobile phone operators that have recently entered the market, and not intended for the generality of customers of competing operators. The analyses conducted by the Authority have confirmed the existence of numerous offers, from network managing operators, differentiated based on the originating operator, generally proposing lower prices to customers who port their number from new entrants and, conversely, higher prices and/or a lower number of gigabytes for reciprocal portability flows. Furthermore, it has been found that to formulate these selective offers specifically aimed at customers of virtual mobile operators, incumbent operators are able to know the user's network affiliation through querying their own database fed by the network database, used to manage routing following MNP – Mobile Number Portability (a database system suitable for ensuring the correct routing of calls made by operators whose number has been subject to portability). This is a critical issue that AGCom itself has recognized in a general guidance document and that the European Commission, in evaluating the concentration between Wind and H3G, has deemed potentially capable of sustaining a collusive equilibrium. The online subscription procedure for the offers requires the user to indicate, on the one hand, their phone number and the ICCID (Integrated Circuit Card-Identity) code identifying the SIM (Subscriber Identity Module) and, on the other hand, the originating operator and is blocked in case of a mismatch between such information, thus ensuring that each offer is subscribed only by users coming from the competitor(s) to which it is addressed. This procedure can lend itself to an improper use of the information on portability collected in the database for operational needs (in particular, the association between the user's phone number and the telecommunications operator providing the service), putting major operators in a position to market selectively defined offers based on the competitor from which the customer comes. These are informational elements not available to virtual mobile operators. Such conduct can have an extremely negative effect on the development of competition in mobile telephony, contributing to stifling the development of new entrants and potentially causing some of them to exit the market, undermining the competitive stimulus towards traditional operators that has so far brought numerous benefits to end consumers. </w:t>
        <w:br/>
        <w:t>30. In order to prevent such commercial conduct, made possible only by virtue of the knowledge of information available to some operators, from determining the progressive deterioration of the level of competition in mobile telephony services, the introduction of a specific norm that prohibits such conduct appears to be the most effective and rapid tool to achieve this goal. To this end, the existing prohibition of discrimination provided for in Article 98-duodecies of Legislative Decree No. 207/2021 implementing Directive (EU) 2018/1972 of the European Parliament and of the Council of December 11, 2018, establishing the European Electronic Communications Code (recast), can be supplemented by adding a paragraph relating to discrimination, including in technical-economic conditions, based on the originating network or electronic communication service provider.</w:t>
      </w:r>
    </w:p>
    <w:p>
      <w:r>
        <w:rPr>
          <w:b/>
        </w:rPr>
        <w:t>[Pages 34–36]</w:t>
      </w:r>
    </w:p>
    <w:p>
      <w:r>
        <w:t>36 BULLETIN NO. 26 OF JULY 10, 2023</w:t>
        <w:br/>
        <w:t>It is therefore proposed to make the following addition to Article 98-duodecies - Non-discrimination (ex Article 99 et seq.) - of Legislative Decree No. 207 of November 8, 2021:</w:t>
        <w:br/>
        <w:t>- “1. Providers of electronic communication networks or services shall not apply to end users requirements or general conditions of access or use of networks or services that are different for reasons related to citizenship, place of residence, or place of establishment of the end user, unless such difference in treatment is objectively justified.</w:t>
        <w:br/>
        <w:t>2. Providers of electronic communication networks or services shall not apply to end users requirements or general conditions of access or use of networks or services, including technical-economic conditions, that are different based on the provider of the originating electronic communication network or service.”</w:t>
        <w:br/>
        <w:t>6. Limits on electromagnetic emissions</w:t>
        <w:br/>
        <w:t>31. The issue of exposure limits to electromagnetic fields has been the subject of debate in the electronic communications sector over the past twenty years. At the center of the debate is the need to align Italian regulations with international and European Union standards adopted by all Member States, with the exception of Italy.</w:t>
        <w:br/>
        <w:t>The electromagnetic exposure limits necessary to ensure the protection of public health are defined at the international level by the International Commission on Non-Ionizing Radiation Protection (ICNIRP)49, which issued the "Guidelines for the protection of humans from electromagnetic fields in the frequency range 0 Hz – 300 GHz" in 1999. These Guidelines were incorporated into a Recommendation of the European Council of July 12, 199950, which was approved by all EU countries with the sole dissenting vote from Italy. Since then, Italy has based its regulations on the precautionary principle contained in the Treaty on the Functioning of the European Union and is, in fact, the European country with the lowest emission limits.</w:t>
        <w:br/>
        <w:t>More recently, in 2020, the ICNIRP published a new version of the aforementioned international guidelines that report the results of an analysis conducted over the previous twenty years of all scientific literature related to the impact of electromagnetic emissions. These results confirm the validity of the principles and exposure limits indicated in the 1999 guidelines.</w:t>
        <w:br/>
        <w:t>Furthermore, the analysis of the few studies that raised suspicions of harmful effects at exposure values close to the limits led to a judgment of non-relevance concerning the guidelines and low statistical reliability51. Law No. 36 of February 22, 200152 and the subsequent Decree of the President of the Council of Ministers of July 8, 2003, defined the criteria and limits for electromagnetic emissions in Italy. As mentioned, these limits are significantly more stringent than those recommended by European Institutions and in force in other Member States. A recent study by the 49 The ICNIRP is an independent group of experts whose task is to assess the state of knowledge regarding the effects of non-ionizing radiation (including electromagnetic fields - EMF) on health and well-being and to provide scientifically based opinions to protect the population and workers from this physical agent. The Commission is formally recognized by the World Health Organization (WHO) and the International Labour Organization (ILO); it also actively collaborates with various international organizations, including the European Union Commission.</w:t>
        <w:br/>
        <w:t>50 See “Recommendation of the Council on limiting exposure of the population to electromagnetic fields from 0 Hz to 300 GHz - (1999/519/EC)”, published in the Official Journal of the European Communities on July 30, 1999.</w:t>
        <w:br/>
        <w:t>51 See https://www.icnirp.org/en/activities/news/news-article/rf-guidelines-2020-published.html.</w:t>
        <w:br/>
        <w:t>52 Framework law on the protection from exposure to electric, magnetic, and electromagnetic fields.</w:t>
      </w:r>
    </w:p>
    <w:p>
      <w:r>
        <w:t>BULLETIN NO. 26 OF JULY 10, 2023 37</w:t>
        <w:br/>
        <w:t>Polytechnic University of Milan, which takes into account the initial installations of 5G radio networks carried out in various urban and extra-urban contexts, concluded that, in the absence of an increase in limits in compliance with the values set by the ICNIRP and long adopted in other EU countries, there would be a significant environmental impact due to the need to install 21,000 new sites, resulting in an additional CO2 production of approximately 166,000 tons per year and about 601 GWh/year of increased energy consumption53. Considering the sector analyses, the Authority has repeatedly54 expressed the need to verify the validity of the current limits on electromagnetic emissions provided by national regulations (in particular the aforementioned DPCM of July 8, 2003) in order to avoid that the greater restrictiveness of such limits may discourage new investments and the entry of new operators.</w:t>
        <w:br/>
        <w:t>It is therefore proposed to make the following amendments to Law No. 36 of February 22, 2001:</w:t>
        <w:br/>
        <w:t>- to Article 4, paragraph 1, the following letter “i” is added: “i) to the dissemination of scientific information recognized by the international community regarding electronic communication technologies, also providing for possible forms of collaboration with industry associations”;</w:t>
        <w:br/>
        <w:t>- to Article 4, after paragraph 2, letter a), the following sentences are inserted at the end: “To ensure the protection of the population from exposure to electromagnetic fields generated by stations and systems or radioelectric plants, mobile telephony plants, fixed plants for broadcasting, the reference levels indicated in the recommendation of the Council of the European Union of July 12, 1999, regarding the limitation of exposure of the population to electromagnetic fields from 0Hz to 300GHz and subsequent amendments and integrations shall apply. Monitoring shall be carried out using the measurement and detection techniques indicated in the specific national and international standards and in the guidelines of the Italian Electrotechnical Committee and their subsequent issuances”;</w:t>
        <w:br/>
        <w:t>- to Article 6, after paragraph 2, the following is inserted: “2-bis. The Committee meetings are attended by the president of the Conference of Regions and Autonomous Provinces or a regional or autonomous provincial president delegated by him and, for their respective areas of competence, the president of the National Association of Italian Municipalities (ANCI) and the president of the Union of Provinces of Italy (UPI), a representative of ISPRA and of the Regional Environmental Protection Agencies and a representative of the Higher Institute of Health”;</w:t>
        <w:br/>
        <w:t>- to Article 6, after paragraph 5, the following is inserted: “5-bis. By July 31 of each year, the Committee proposes to the Department for Information and Publishing of the Presidency of the Council the guidelines for an information campaign regarding the correct use of devices whose operation depends on electromagnetic fields, the risks of electromagnetism, and the protection from electromagnetism ensured by the regulations in force.”.</w:t>
        <w:br/>
        <w:t>7. Motor Liability Insurance</w:t>
        <w:br/>
        <w:t>32. The Authority constantly monitors the evolution of the motor vehicle liability insurance (RC Auto) market, as it is a legal obligation for consumers, as well as an area of great importance for the insurance sector and the entire economic system, given that the premium collection for the year 2021 amounted to nearly 12 billion euros. After a long period of constant and sustained growth in RC Auto insurance premiums, a significant drop in prices has been recorded in recent years (-30% from 2014 to 2022). According to the report by the Institute for the Supervision of Insurance (IVASS) in its Annual Report, this decline is also attributable to the increase in the penetration rate of black boxes. This device, which monitors kilometers traveled and driving styles of the traveler and helps to prevent fraud, is now installed on 21.5% of the vehicle fleet.</w:t>
        <w:br/>
        <w:t>33. The spread of black boxes has occurred despite the absence of a definition of a common technological standard, which had been provided for by Law No. 124/2017 (Annual Law for the Market and Competition)55. However, the fact that the portability of telematics data acquired from black boxes has not been regulated undermines the pro-competitive effects of this innovative tool. In fact, in the face of significant "welcome" discounts for new customers, the reduction in premium applied from the second year of installation of the black box occurs only if the insured does not change companies, leading to lock-in phenomena, or "forced" customer loyalty, resulting in a reduction in demand mobility. Conversely, the possibility for insured individuals to transfer the data acquired from the black box from one company to another would allow them to choose the most convenient offer on the market each year, without giving up the advantages of a historical "tracking" that can contribute, in the long term, to a significant containment of the insurance premium.</w:t>
        <w:br/>
        <w:t>It is therefore hoped that the legislator will intervene to allow the portability between different insurance companies of the telematics data recorded by black boxes installed on vehicles.</w:t>
        <w:br/>
        <w:t>8. Amendments to TUA waste</w:t>
        <w:br/>
        <w:t xml:space="preserve">34. The current regulations (Article 223, paragraph 1, of Legislative Decree No. 152 of April 3, 2006, known as the Environmental Consolidated Act or TUA) prescribe that producers must establish national supply consortia for each packaging material for which recycling targets are set under the TUA (i.e. glass, paper and cardboard, metals, plastics, and wood), which converge into the National Packaging Council (CONAI). Alternatively, producers may establish autonomous systems under Articles 221 and 221-bis of the TUA, following the recognition procedure by the Ministry of Ecological Transition (MITE) provided therein. In the case of the establishment of autonomous systems, there is no provision that refers to the necessity for each system to deal exclusively with one packaging material. In the absence of a prohibition, therefore, the establishment of a multi-supply autonomous system must be considered possible. The legislator could be asked to clarify this in Article 221-bis, third paragraph: “The project, which may concern packaging related to one or more supply chains, is drafted according to criteria of efficiency, effectiveness, and cost-effectiveness and contains: a) a collection plan that provides for a network articulated throughout the national territory, b) an industrial plan aimed at ensuring effective operation capable of achieving recovery targets.” </w:t>
        <w:br/>
        <w:t>55 The ministerial implementing regulations provided therein have not been adopted by MIT (Ministry of Infrastructure and Transport) and MISE (Ministry of Economic Development, now Ministry of Enterprises and Made in Italy).</w:t>
      </w:r>
    </w:p>
    <w:p>
      <w:r>
        <w:rPr>
          <w:b/>
        </w:rPr>
        <w:t>[Pages 37–39]</w:t>
      </w:r>
    </w:p>
    <w:p>
      <w:r>
        <w:t>BULLETIN NO. 26 OF JULY 10, 2023 39</w:t>
        <w:br/>
        <w:t>and recycling set by European regulations or national sector regulations. The statute must be</w:t>
        <w:br/>
        <w:t>compliant with the principles set forth in the provisions of this title. The proponents determine the</w:t>
        <w:br/>
        <w:t>environmental contribution according to the methods referred to in Article 237. The project also</w:t>
        <w:br/>
        <w:t>identifies management methods suitable to ensure that traders, distributors, end users,</w:t>
        <w:br/>
        <w:t>and consumers are informed about the functioning of the adopted system and the collection methods, as well as the applied contribution and any other relevant aspects for them” (emphasis added).</w:t>
        <w:br/>
        <w:t>35. The Authority also believes that the possibility of establishing autonomous management systems for</w:t>
        <w:br/>
        <w:t>packaging when it becomes waste must be ensured, pursuant to the so-called Waste Directive (of</w:t>
        <w:br/>
        <w:t>November 19, 2008, no. 2008/98/EC), to the “producer of the product,” the subject on whom the</w:t>
        <w:br/>
        <w:t>extended producer responsibility (EPR) rests, the definition of which has been incorporated at the national level</w:t>
        <w:br/>
        <w:t>in Article 183, paragraph 1, letter g), TUA. This figure is distinctly different from the narrower</w:t>
        <w:br/>
        <w:t>definition of “packaging producer,” as defined in Article 218, paragraph 1, letter r), TUA,</w:t>
        <w:br/>
        <w:t>also encompassing the general category of “importers” of filled packaging (i.e., packaging imported that contains the product inside) which, in our legal system, are defined as “users of packaging,” pursuant to Article 218, paragraph 1, letter s), TUA.</w:t>
        <w:br/>
        <w:t>Moreover, the importer of filled packaging is subject to the same obligations as the importer of</w:t>
        <w:br/>
        <w:t>empty packaging; both are responsible for the correct and effective environmental management of the end-of-life of packaging and packaging waste generated from the consumption of their products, in terms</w:t>
        <w:br/>
        <w:t>of the quantity of packaging placed on the national market56.</w:t>
        <w:br/>
        <w:t>36. In this regard, the national legislator is therefore asked to amend Article 221, paragraph 3</w:t>
        <w:br/>
        <w:t>and Article 221-bis, paragraph 1, replacing the term “producers” in the first paragraph with</w:t>
        <w:br/>
        <w:t>“producers of the product pursuant to Dir. November 19, 2008, no. 2008/98/EC.”</w:t>
        <w:br/>
        <w:t>It is recalled that Legislative Decree no. 116/2020 amended the definition of urban waste by introducing,</w:t>
        <w:br/>
        <w:t>in Article 183, paragraph 1, letter b-ter), TUA, the category of waste produced by non-domestic users (UND) (qualifiable based on origin as “special” waste, pursuant to Article 184</w:t>
        <w:br/>
        <w:t>of the TUA) similar to urban waste (identified in Annex L-quater of the TUA and which replaces the</w:t>
        <w:br/>
        <w:t>previous category of waste assimilated to urban waste, which has been eliminated, the identification of which was,</w:t>
        <w:br/>
        <w:t>instead, left to individual municipalities). The new Article 238, paragraph 10, TUA, has excluded the UND that</w:t>
        <w:br/>
        <w:t>have chosen to dispose of waste similar to urban waste outside the public service - and that have</w:t>
        <w:br/>
        <w:t>demonstrated “that they have sent it for recovery through certification issued by the entity that carries out</w:t>
        <w:br/>
        <w:t>the waste recovery activity itself” - from the payment of the tariff component related to the quantity of waste disposed of to private entities.</w:t>
        <w:br/>
        <w:t>37. In an opinion issued in 2022 (AS1858), the Authority contested the position of a municipality</w:t>
        <w:br/>
        <w:t>that believed it could apply the aforementioned amendment, in the sense that the UND can exercise the option</w:t>
        <w:br/>
        <w:t>to dispose of waste similar to urban waste they produce outside the public service with respect to</w:t>
        <w:br/>
        <w:t>the entirety of the similar waste produced and not also with regard to their individual fractions. The Authority</w:t>
        <w:br/>
        <w:t>did not find the position expressed by the municipality to be shareable as it was likely to deprive of effectiveness</w:t>
        <w:br/>
        <w:t>56 According to EU regulations, the first entity that places the waste (both the product and the packaging) on the market of the relevant member state where it will end its life cycle is responsible for the waste (cf. Article 8-bis, paragraph 4,</w:t>
        <w:br/>
        <w:t>Waste Directive).</w:t>
      </w:r>
    </w:p>
    <w:p>
      <w:r>
        <w:t>BULLETIN NO. 26 OF JULY 10, 2023 41</w:t>
        <w:br/>
        <w:t>the faculty, recognized to the UND, to dispose of their “urban” waste outside the public service.</w:t>
        <w:br/>
        <w:t>In fact, whenever there are no industrial entities active in the territory where the UND operate to which they can dispose of all fractions of waste similar to urban waste produced, they would be, in fact,</w:t>
        <w:br/>
        <w:t>forced to adhere to the public service, even in the presence of potentially more efficient private operators for the treatment of specific types of waste, thereby unjustifiably extending the exclusive rights of the urban hygiene service manager.</w:t>
        <w:br/>
        <w:t>The Regulatory Authority for Energy, Networks and Environment (ARERA) has also expressly provided,</w:t>
        <w:br/>
        <w:t>in the “Consolidated text for the regulation of the quality of the urban waste management service,” the</w:t>
        <w:br/>
        <w:t>possibility for the UND to dispose of “in whole or in part” their urban waste outside the public service, in order to obtain a reduction or exemption of the tariff (cf. ARERA Resolution of January 18, 2022, containing “Consolidated text for the regulation of the quality of the urban waste management service”).</w:t>
        <w:br/>
        <w:t>In this regard, it is therefore proposed to the national legislator:</w:t>
        <w:br/>
        <w:t>- to insert in Article 221-bis, paragraph 3, of the TUA the phrase: “The project - which may concern</w:t>
        <w:br/>
        <w:t>packaging related to one or more supply chains [emphasis added] - is drafted according to criteria of</w:t>
        <w:br/>
        <w:t>efficiency, effectiveness, and cost-effectiveness,” in order to make it clear that each autonomous system can deal with one or more packaging materials (multisupply chain);</w:t>
        <w:br/>
        <w:t>- to amend Article 221, paragraph 3, and Article 221-bis, paragraph 1, replacing the term</w:t>
        <w:br/>
        <w:t>“producers” in the first paragraph with “producers of the product pursuant to Dir. November 19,</w:t>
        <w:br/>
        <w:t>2008, no. 2008/98/EC”;</w:t>
        <w:br/>
        <w:t>- to insert in Article 238, paragraph 10, of the TUA the following clarifications: “Non-domestic users that produce urban waste referred to in Article 183, paragraph 1, letter b-ter),</w:t>
        <w:br/>
        <w:t>number 2, that dispose of it, in whole or in part [emphasis added], outside the public service and demonstrate that they have sent it for recycling or [emphasis added] recovery through certification issued by the entity that carries out the recycling or [emphasis added] recovery of the waste itself are excluded from the payment of the tariff component related to the quantity of waste disposed of; the same users make the choice to use the public service manager or to resort to the market for a period of not less than two years.”</w:t>
        <w:br/>
        <w:t>9. Limitations on self-production activities in port operations</w:t>
        <w:br/>
        <w:t>38. As already highlighted in the past57, the Authority intends to emphasize the anti-competitive nature of</w:t>
        <w:br/>
        <w:t>the provision introduced by Article 199-bis of Decree Law no. 34/202058. This provision, in fact, introducing</w:t>
        <w:br/>
        <w:t>paragraphs 4-bis and ter to Article 16 of Law no. 84/1994, has severely limited the right</w:t>
        <w:br/>
        <w:t>to self-production of port operations and services, making it a merely residual option for maritime carriers, possible only where the necessary</w:t>
        <w:br/>
        <w:t>equipment or personnel are not available at the docking port. The provision also subordinates the recourse to self-production to a series of burdensome requirements, including the requirement for the maritime carrier to have “additional” suitable personnel beyond the crew listed in the safety and operational table of the ship, which must also be</w:t>
        <w:br/>
        <w:t>57 Cf. AS1708 - Relaunch Decree - amendments to Article 16 paragraph 4-bis of Law 84/1994 on port matters, of October 27,</w:t>
        <w:br/>
        <w:t>2020, and AS1730 - Proposals for competitive reform for the purposes of the annual law for the market and competition</w:t>
        <w:br/>
        <w:t>for the year 2021, cited.</w:t>
        <w:br/>
        <w:t>58 Decree converted, with amendments, by Law no. 77/2020.</w:t>
      </w:r>
    </w:p>
    <w:p>
      <w:r>
        <w:rPr>
          <w:b/>
        </w:rPr>
        <w:t>[Pages 40–42]</w:t>
      </w:r>
    </w:p>
    <w:p>
      <w:r>
        <w:t>42 BULLETIN NO. 26 OF JULY 10, 2023</w:t>
        <w:br/>
        <w:t>At the state level, provisions regarding mineral waters are contained in: R.D. July 29, 1927, No. 1443 "Legislative norms for regulating the exploration and cultivation of mines [in the Kingdom]"59, Legislative Decree No. 152/2006 containing "Environmental regulations"60 as well as Legislative Decree No. 176/2011 "Implementation of Directive 2009/54/EC on the use and marketing of natural mineral waters"61.</w:t>
      </w:r>
    </w:p>
    <w:p>
      <w:r>
        <w:t>Moreover, regarding the concession for the extraction and exploitation of mineral waters, there is no community or national norm that expressly provides for the obligation to resort to public evidence procedures for the identification of the concessionaire by the Administration. Despite this regulatory "gap," the Authority, in exercising its advocacy activity, in light of community principles on the common market, with reference to water concessions for the bottling of mineral waters, has already previously highlighted how the choice of the concessionaire must occur through public evidence procedures that guarantee transparency, impartiality, equal treatment, non-discrimination, publicity, proportionality, cost-effectiveness, and efficiency62.</w:t>
      </w:r>
    </w:p>
    <w:p>
      <w:r>
        <w:t>42. Also according to a consolidated jurisprudential orientation, the assignment of administrative concessions concerning the use of public goods (whether they belong to the public domain or the unavailable assets of the State, regions, or municipalities) is subject to the general obligation of the Administrations to carry out public evidence procedures for the identification of the contracting party, which must be transparent, non-discriminatory, and ensure equal treatment for participants63.</w:t>
      </w:r>
    </w:p>
    <w:p>
      <w:r>
        <w:t>The Constitutional Court has also expressed itself on the matter several times, stating that "the activity of exploiting mineral waters [...] falls within the application scope of Directive 2006/123/EC, implemented by Legislative Decree March 26, 2010, No. 59 [...]. In order to ensure the free movement of services and the opening of the market to as broad and undistorted competition as possible in the Member States, Article 12 of the aforementioned directive provides for the obligation for them to adopt 'a selection procedure among potential candidates that presents guarantees of impartiality and transparency and provides, in particular, adequate publicity for the initiation of the procedure and its conduct and completion'"64.</w:t>
      </w:r>
    </w:p>
    <w:p>
      <w:r>
        <w:t>43. From investigations conducted by the Authority regarding regional regulatory provisions and the practices actually used by individual local administrations concerning the methods of awarding concessions, an extremely heterogeneous landscape has emerged both regarding the use or not of public evidence procedures and the criteria for awarding or selection used, as well as in relation to the duration of assignments.</w:t>
      </w:r>
    </w:p>
    <w:p>
      <w:r>
        <w:t>44. In the described context, the Authority believes that the total absence of common criteria guiding regional choices regarding the methods of awarding concessions may create an efficiency gap in the system, which could impact the competitive dynamics among different producers/bottlers. In particular, the persistent opacity of the mechanisms for awarding concessions, both in the initial awarding phase and in their renewal, weakens - if not completely eliminates - the competitive dynamics that should characterize the upstream phase of the competition "for the market," reducing the contestability of access to supply sources by different producers.</w:t>
      </w:r>
    </w:p>
    <w:p>
      <w:r>
        <w:t>45. A correct use of public evidence procedures would allow, among other things, for competitive comparison to be based also on the amount of the fee that participants are willing to pay, automatically parameterizing the amount to the actual "economic value" of the concessions, represented by their potential to generate income65.</w:t>
      </w:r>
    </w:p>
    <w:p>
      <w:r>
        <w:t>46. In light of the above, the Authority therefore considers it appropriate for the national legislator to intervene, in exercising its exclusive legislative power in the field of competition and environmental protection, pursuant to Article 117, second paragraph, letters e) and s) of the Constitution, to: i) overcome R.D. 1443/1927 and the analogy it implies between the mining sector and the mineral water sector66; ii) provide the Italian regions, while respecting their autonomy in the matter, with coherent and uniform criteria regarding the methods of awarding and/or renewing concessions, providing for the use of competitive public evidence procedures based on the principles of transparency, non-discrimination, and equal treatment.</w:t>
      </w:r>
    </w:p>
    <w:p>
      <w:r>
        <w:t>64 See Constitutional Court ruling No. 233 of October 21, 2020, which follows the rulings No. 1/2010, 235/2011, 114/2012, 28/2013, and 117/2015, in which the Court declared the constitutional illegitimacy, with reference to the parameters of Article 117, first and second paragraphs, letter e) of the Constitution, of regional regulations that provided for an automatic extension of existing mineral water exploitation concessions as "in contrast with Directive December 12, 2006, No. 2006/123/EC, known as the 'Bolkestein Directive,' implemented by Legislative Decree March 26, 2010, No. 59, aimed at facilitating the entry into the market of other economic operators, eliminating barriers that distort competition among entrepreneurs, and whose effectiveness cannot be paralyzed even temporarily, except for the strictly necessary period for the definition of the public tender."</w:t>
      </w:r>
    </w:p>
    <w:p>
      <w:r>
        <w:t>65 This would also allow for a more adequate valuation of the unavailable public assets, likely resulting in an increase in the overall incidence of fees on total production costs and on the revenues of bottling companies, in line with the objectives that the granting Administrations have set and shared by signing their own guidance document, approved in 2006 ("Guidance Document of the Italian Regions on Natural and Spring Mineral Waters," available at the site: http://www.regioni.it/conferenze/2005/11/17/doc-approvato-acque-minerali-documento-di-indirizzo-105332/).</w:t>
      </w:r>
    </w:p>
    <w:p>
      <w:r>
        <w:t>66 It is completely unjustified: the differences between the two areas are, in fact, particularly evident, first and foremost the circumstance that mines, by their nature, are destined to exhaustion, while sources of mineral waters (i.e., deposits) are continuously renewed by rainfall and the melting of glaciers and snowfields.</w:t>
      </w:r>
    </w:p>
    <w:p>
      <w:r>
        <w:t>44 BULLETIN NO. 26 OF JULY 10, 2023</w:t>
        <w:br/>
        <w:t>It is therefore proposed that the national legislator intervene to overcome R.D. 1443/1927, introducing a provision - also within Legislative Decree No. 152/2006 - that expressly provides for the necessity, for the awarding and/or renewal of mineral water concessions, to resort to competitive public evidence procedures capable of ensuring transparency and equal treatment for all potentially interested operators.</w:t>
      </w:r>
    </w:p>
    <w:p>
      <w:r>
        <w:t xml:space="preserve">11. Retail Trade </w:t>
        <w:br/>
        <w:t>47. In the retail trade sector, widespread restrictions on access and activity of economic activities persist, which have been the subject of repeated observations not only by the Antitrust Authority but also by euro-unitary and international institutions (Council of the European Union, European Commission, Organisation for Economic Co-operation and Development - OECD). Although most of these restrictions originate from regional legislation and have been repeatedly censured by the Constitutional Court for being contrary to Article 117, paragraph 2, letters e), of the Constitution, some ambiguities still present in the national regulatory framework fuel the adoption of restrictive measures at the local level. In this context, it would be appropriate to intervene at least to remove the constraints regarding opening hours and weekly closures of stores and those related to extraordinary sales67.</w:t>
      </w:r>
    </w:p>
    <w:p>
      <w:r>
        <w:t>On the first point, Article 3, paragraph 1, letter d-bis of Decree Law July 4, 2006, No. 22368, introduced by Article 31 of Decree Law December 6, 2011, No. 20169, known as Salva Italia, provides that "commercial activities, as identified by Legislative Decree March 31, 1998, No. 114 and the provision of food and beverages, are carried out without the following limits and prescriptions: d-bis) compliance with opening and closing hours, the obligation of Sunday and holiday closure, as well as that of a half-day closure during the week of the establishment."</w:t>
      </w:r>
    </w:p>
    <w:p>
      <w:r>
        <w:t>This provision has tacitly repealed paragraphs 4 and 5 of Article 11 of Legislative Decree March 31, 1998, No. 114, according to which: "4. Retail establishments observe the Sunday and holiday closure of the establishment and, in cases established by municipalities, after consulting the organizations referred to in paragraph 1, the half-day closure during the week. 5. The municipality, after consulting the organizations referred to in paragraph 1, identifies the days and areas of the territory in which operators may derogate from the obligation of Sunday and holiday closure. These days include those in December, as well as an additional eight Sundays or holidays during the other months of the year."</w:t>
      </w:r>
    </w:p>
    <w:p>
      <w:r>
        <w:t>However, an express repeal of the aforementioned paragraphs would be appropriate to prevent the continued introduction, at the local level, of constraints and limitations contrary to what is provided for by Article 3, paragraph 1, letter d-bis of Decree Law No. 223/2006.</w:t>
      </w:r>
    </w:p>
    <w:p>
      <w:r>
        <w:t>48. With reference to extraordinary sales, instead, for the complete liberalization of promotional sales, it would be appropriate to amend Article 3, paragraph 1, letter f), of Decree Law No. 223/2006, which states: "[...] commercial activities, as identified by Legislative Decree 31.</w:t>
      </w:r>
    </w:p>
    <w:p>
      <w:r>
        <w:rPr>
          <w:b/>
        </w:rPr>
        <w:t>[Pages 43–45]</w:t>
      </w:r>
    </w:p>
    <w:p>
      <w:r>
        <w:t>BULLETIN NO. 26 OF JULY 10, 2023 45</w:t>
        <w:br/>
        <w:t>March 31, 1998, No. 114, and the provision of food and beverages are carried out without the following limits and prescriptions: […]</w:t>
        <w:br/>
        <w:t>f) the obtaining of prior authorizations and the temporal or quantitative limitations on the conduct of promotional sales of products, carried out within commercial establishments, except in the periods immediately preceding the end-of-season sales for the same products” (emphasis added).</w:t>
        <w:br/>
        <w:t>In particular, the Authority deems it necessary to eliminate the words “except in the periods immediately preceding the end-of-season sales for the same products.”</w:t>
        <w:br/>
        <w:t>As for end-of-season sales, Article 15, paragraph 6, of Legislative Decree No. 114 of March 31, 1998 provides that: “Regions, after consulting representatives of local authorities, consumer organizations, and trade enterprises, regulate the modalities of conduct, advertising also for the purpose of correct consumer information, the periods and duration of liquidation sales and end-of-season sales” (emphasis added).</w:t>
        <w:br/>
        <w:t>In this regard, the Authority finds it appropriate to eliminate the words “the periods and duration.”</w:t>
        <w:br/>
        <w:t>It is therefore proposed to:</w:t>
        <w:br/>
        <w:t>- expressly repeal the constraints on opening hours and weekly closures of shops referred to in paragraphs 4 and 5 of Article 11 of Legislative Decree No. 114 of March 31, 1998;</w:t>
        <w:br/>
        <w:t>- eliminate the constraints on promotional sales, removing from Article 3, paragraph 1, letter f), of Decree-Law No. 223 of July 4, 2006, converted by Law No. 248 of August 4, 2006, the words “except in the periods immediately preceding the end-of-season sales for the same products”;</w:t>
        <w:br/>
        <w:t>- eliminate the constraints on end-of-season sales, removing from Article 15, paragraph 6, of Legislative Decree No. 114 of March 31, 1998 the words “the periods and duration.”</w:t>
        <w:br/>
        <w:t>12. Sanctioning powers of the Authority in the context of investigative inquiries</w:t>
        <w:br/>
        <w:t>49. Pursuant to Article 12, paragraph 2, of Law No. 287/1990, the Authority may proceed, ex officio or at the request of the Minister of Enterprises and Made in Italy, to general investigative inquiries in economic sectors where the evolution of exchanges, price behavior, or other circumstances suggest that competition is impeded, restricted, or distorted.</w:t>
        <w:br/>
        <w:t>In order to allow for a more effective conduct of the investigative inquiries provided for by the aforementioned Article 12, the Authority considers it appropriate to strengthen its powers to acquire information and documents, providing for the possibility of imposing administrative sanctions in case of refusal or delay in providing the requested information or documents or in the presence of misleading or omitted information.</w:t>
        <w:br/>
        <w:t>The Authority already has the power to sanction subjects who do not cooperate with its requests, even outside of investigative proceedings, following the amendments introduced by Law No. 118/2022, Annual Law for the Market and Competition 2021, which added paragraphs 2-bis and 2-ter to Article 12 of Law No. 287/1990. These powers should therefore be extended to cases of non-cooperation with the Authority's investigative inquiries.</w:t>
        <w:br/>
        <w:t>50. Furthermore, in order to homogenize the framework of sanctioning powers, it seems necessary to recall, in the case of requests for information referred to in paragraph 2-bis of Article 12, the possibility for the Authority to impose late penalties as provided for by Article 14, paragraph 6, of Law No. 287/1990.</w:t>
      </w:r>
    </w:p>
    <w:p>
      <w:r>
        <w:t>46 BULLETIN NO. 26 OF JULY 10, 2023</w:t>
        <w:br/>
        <w:t>It is therefore proposed to insert in paragraph 2-bis of Article 12 of Law No. 287/1990, titled “Investigative Powers,” the following clause: “[…] 2-bis. For the purposes of applying Articles 2 and 3 of this law, as well as for the application of Articles 101 and 102 of the Treaty on the Functioning of the European Union, and within the framework of the investigative inquiries referred to in paragraph 2 [emphasis added], the Authority may at any time request businesses and entities in possession of information to provide information and to exhibit useful documents. Such requests for information indicate the legal bases on which they are founded, are proportionate, and do not obligate the recipients to admit an infringement of Articles 101 or 102 of the Treaty on the Functioning of the European Union or of Articles 2 or 3 of this law. [...]”.</w:t>
        <w:br/>
        <w:t>It is also proposed to insert in Article 12, paragraph 2-ter, the following reference: “[…] 2-ter. By provision of the Authority, subjects requested to provide or exhibit the elements referred to in paragraph 2-bis are subject to the administrative monetary sanctions referred to in Article 14, paragraphs 5 and 6 [emphasis added], if they refuse or omit to provide the requested information or to exhibit the requested documents or if they provide information or exhibit documents that are not truthful, without justified reason. The Authority grants the subjects referred to in paragraph 2-bis a reasonable period of time, also considering the complexity of the information in question, however not exceeding sixty days, renewable upon motivated request, to respond to the requests for information made by the Authority itself. The different sanctions provided for by the current legal framework remain unaffected.”</w:t>
        <w:br/>
        <w:t>THE PRESIDENT</w:t>
        <w:br/>
        <w:t>Roberto Rustichelli</w:t>
      </w:r>
    </w:p>
    <w:p>
      <w:r>
        <w:t>BULLETIN NO. 26 OF JULY 10, 2023 47</w:t>
        <w:br/>
        <w:t>AS1894 - MUNICIPALITY OF CASTIGLIONE DELLA PESCAIA (GR) - ASSIGNMENT OF MARITIME STATE CONCESSIONS</w:t>
        <w:br/>
        <w:t>Rome, June 21, 2023</w:t>
        <w:br/>
        <w:t>Municipality of Castiglione della Pescaia</w:t>
        <w:br/>
        <w:t>The Antitrust Authority, in its meeting of June 19, 2023, has ordered the exercise of the powers referred to in Article 21 of Law No. 287 of October 10, 1990, noting some competitive criticalities, not justified by general interest needs, arising from the managerial determination of March 20, 2023, No. 373, with which the Municipality of Castiglione della Pescaia (GR) initiated a possible comparative phase, pursuant to Article 37 of Royal Decree No. 327/1942 (navigation code), concerning the assignment of maritime state concessions granted to the companies Bagno Sirena s.a.s. di Sara Shuster &amp; C. and Bagno Somalia s.r.l., as well as from previous acts with which this Municipality has extended the maritime state concessions until December 31, 2033.</w:t>
        <w:br/>
        <w:t>In order to better understand the existing competitive criticalities, it is necessary to provide a preamble on maritime state concessions in the Municipality of Castiglione della Pescaia and on the previous intervention of the Authority in this regard.</w:t>
        <w:br/>
        <w:t>The managerial determination of March 20, 2023, No. 373, in fact, originates from the managerial determination of January 22, 2020, No. 97, with which the Municipality of Castiglione della Pescaia ordered the publication on its institutional website – for a period of twenty days – of the fifty-six requests for extension of the term of the maritime state concessions submitted by their holders, inviting those who had an interest to submit written observations and/or objections against such requests within the publication period.</w:t>
        <w:br/>
        <w:t>As emerges from the subsequent managerial determination of February 28, 2020, No. 297, only one company submitted its observations on the requests for extension specifically regarding three of the fifty-six establishments for which the requests had been filed (namely, Bagno Sirena s.a.s. di Sara Shuster &amp; C.; Bagno Somalia s.r.l.; and Guimar Italia s.r.l. – Camping Baia Verde). The Municipality of Castiglione della Pescaia, therefore, with the aforementioned determination No. 297/2020, ordered the extension of the existing concessions until December 31, 2033, considering Article 1, paragraphs 682 and following, of Law No. 145/2018, deferring to a later phase the definition of the proceedings consequent to the submission of observations with simultaneous expression of interest for the three aforementioned establishments.</w:t>
        <w:br/>
        <w:t>The aforementioned managerial determinations No. 97 and No. 297 of 2020 were the subject, in December 2020, of a report by the Authority, which was part of the well-known series of interventions conducted in the</w:t>
      </w:r>
    </w:p>
    <w:p>
      <w:r>
        <w:rPr>
          <w:b/>
        </w:rPr>
        <w:t>[Pages 46–48]</w:t>
      </w:r>
    </w:p>
    <w:p>
      <w:r>
        <w:t>48 BULLETIN NO. 26 OF JULY 10, 2023</w:t>
        <w:br/>
        <w:t xml:space="preserve">the two-year period 2020-2021 regarding the extensions of maritime state concessions for tourism and recreational purposes1. </w:t>
        <w:br/>
        <w:t xml:space="preserve">In particular, the Authority noted the illegitimacy of the extensions granted and invited the Municipality to disapply the national legislation indicated as the basis for the aforementioned determinations, due to its conflict with the regulations and with EU principles. The Authority then urged the Municipality to amend its determinations by eliminating the aforementioned competitive distortions. </w:t>
        <w:br/>
        <w:t xml:space="preserve">On December 30, 2020, in response to the Authority's report, the Municipality of Castiglione della Pescaia communicated its intention not to adopt any amendments to the determinations made, as they were deemed compliant with EU principles and the national regulations set forth by the navigation code and Article 1, paragraphs 682 and following, of Law No. 145/2018. </w:t>
        <w:br/>
        <w:t xml:space="preserve">With the managerial determination of March 20, 2023, No. 373, the Municipality decided to open the phase of defining the proceedings following the submission of observations and opposition with a simultaneous expression of interest regarding the maritime state concessions granted to the companies Bagno Sirena and Bagno Somalia "in order to identify the contractor who offers the greatest guarantees of profitable use of the concession until December 31, 2033"2. </w:t>
        <w:br/>
        <w:t xml:space="preserve">According to what is stated in the aforementioned determination, the selection phase should be divided into three "sub-procedures," consisting of: a) the verification of the possession of the requirements set forth in Articles 30 and 80 of Legislative Decree No. 50/2016 to contract with the public administration; b) the indication by the competitors of the maritime state concession for which they intend to participate in the comparative phase; and c) the "possible comparative phase" that will be conducted according to the criteria (of investments, management, standards of services offered, and highest rent offered) specified in the tender specifications attached to the determination. </w:t>
        <w:br/>
        <w:t xml:space="preserve">The tender specifications regulate the "possible comparative phase" related to the granting of the aforementioned two maritime state concessions, specifying: the criteria for evaluating the applications of the competitors (Article 2), the obligations and commitments of the competitors (Article 3), the deadlines for the submission of applications by interested parties (Article 4), the indication of the maritime state concession for which they intend to participate in the comparative procedure (Article 5), and the methods of submitting the participation application by the subjects admitted to the procedure (Article 6). </w:t>
        <w:br/>
        <w:t xml:space="preserve">All this premised, the Authority believes it must make the following considerations regarding the regulation of maritime state concessions in the Municipality of Castiglione della Pescaia. </w:t>
        <w:br/>
        <w:t xml:space="preserve">As is well known, the issue of maritime state concessions has been the subject of numerous interventions by the Authority aimed at censuring both the unjustified extensions of existing concessions3 and the provisions contained in the notices for the assignment of new concessions that could jeopardize fair competitive comparison4. </w:t>
        <w:br/>
        <w:t xml:space="preserve">In particular, in the cited report AS1712, the Authority reminded this Municipality that "in matters concerning the use of public assets (falling within the state or local authorities' public domain or unavailable assets), the identification of the private contractor must always occur through the conduct, by the Public Administration, of public evidence procedures." In particular, the granting of concessions, including those concerning maritime state assets for tourism/recreational purposes "must occur through transparent and competitive competitive procedures, in order to mitigate the distorting effects of competition connected to the privileged position attributed to the concessionaire or concessionaires." </w:t>
        <w:br/>
        <w:t xml:space="preserve">These principles have been widely confirmed by the recent rulings of the Plenary Assembly of the Council of State, November 9, 2021, No. 17 and No. 18, and by the recent jurisprudence of the Court of Justice5. </w:t>
        <w:br/>
        <w:t xml:space="preserve">In particular, with the aforementioned judgments No. 17/2021 and No. 18/2021, the Council of State established the incompatibility with European law of the national law that provided for the ex lege extension of state concessions (specifically, Article 1, paragraphs 682 and following of Law No. 145/2018), with the consequent loss of the effects of the concession even in cases where formal acts of extension have been adopted or a favorable judgment has intervened. </w:t>
        <w:br/>
        <w:t xml:space="preserve">In order to mitigate the impact arising from its decisions and avoid the situation of legal uncertainty that would have arisen from the sudden cessation of existing concession relationships as a consequence of the immediate non-application of national legislation in conflict with Union law, the Council of State deemed it necessary to modulate the temporal effects of its decision, derogating from the principle of retroactivity and indicating a necessary time frame for the conduct of competitive procedures, within which the relationships will continue to be governed by the concession granted. This time frame has been appropriately identified as December 31, 2023, after which "all existing state concessions must be considered ineffective, regardless of whether there is – or not – a successor in the concession." </w:t>
        <w:br/>
        <w:t xml:space="preserve">That said, with regard to the principles that should inspire the conduct of the tenders, the Council of State specified that "[i]f the criteria set forth in Article 12 of Directive 2006/123 do not impose compliance with the principle of rotation (set forth in relation to the different sector of public contracts governed by the 2014 directives, Nos. 23, 24, and 25), nonetheless, in the granting or renewal of concessions, cases of "automatic" preference for outgoing managers should be avoided." </w:t>
        <w:br/>
        <w:t xml:space="preserve">With specific regard to the criteria to be used in the tender notice, the supreme administrative judge concludes by stating that, in order to ensure selection criteria that are proportionate, non-discriminatory, and fair, such as to guarantee all economic operators effective access to the economic opportunities offered by the concessions, these criteria "should therefore concern the technical, professional, financial, and economic capacity of the operators, be linked to the object of the contract and appear in the tender documents. In the context of evaluating technical and professional capacity, however, criteria may be identified that, while respecting the par condicio, also allow for the valorization of professional experience and know-how acquired by those who have already carried out management activities of similar assets (and, therefore, also of the outgoing concessionaire, but on equal terms with others)." According to the Council of State, the provision of such criteria, in any case, cannot translate "into a sort of substantial exclusion from access to the sector for new operators." </w:t>
        <w:br/>
        <w:t xml:space="preserve">As for the duration, the Council of State believes that it should be "limited and justified based on technical, economic, and financial evaluations, in order to avoid the exclusion of access to the market." In particular, it would be appropriate for the duration to be "commensurate with the value of the concession and its organizational complexity" and not exceed the time reasonably necessary for the recovery of investments and a return on the invested capital. </w:t>
        <w:br/>
        <w:t xml:space="preserve">Lastly, regarding maritime state concessions, the Court of Justice of the European Union has recently stated, with the aforementioned ruling of April 20, 2023, the direct applicability of Article 12, paragraphs 1 and 2, of Directive 2006/123/EC (the so-called Services Directive); this is because both the obligation for Member States to apply an impartial and transparent selection procedure among potential candidates6 and the prohibition of automatically renewing an authorization granted for a specific activity7 are stated in an unconditional and sufficiently precise manner. </w:t>
        <w:br/>
        <w:t xml:space="preserve">On this point, the Court of Justice also refers to its judgment of July 14, 2016 (rendered in the Promoimpresa case, C-458/14 and C-67/15), which clarifies and specifies that the aforementioned Article 12 of Directive 2006/123 should have been applied from its entry into force, that is, from December 28, 20098. </w:t>
        <w:br/>
        <w:t xml:space="preserve">Finally, with regard to the assessment of the direct effect related to the obligation and prohibition set forth in Article 12, paragraphs 1 and 2, of Directive 2006/123, the Court of Justice rules that the obligation to disapply national provisions that are not compliant with the aforementioned community norms falls on national judges and administrative authorities, including municipal ones9. </w:t>
        <w:br/>
        <w:t xml:space="preserve">6 The Court of Justice, in particular, states in paragraphs 66 and 67 that: "it follows from the very wording of Article 12, paragraph 1, of Directive 2006/123 that, where the number of authorizations available for a specific activity is limited due to the scarcity of natural resources, Member States must apply a selection procedure among potential candidates that presents guarantees of impartiality and transparency and provides, in particular, adequate publicity for the initiation of the procedure and its conduct and completion. </w:t>
        <w:br/>
        <w:t xml:space="preserve">It is true that Member States retain a certain margin of discretion when deciding to adopt provisions aimed at concretely ensuring the impartiality and transparency of a selection procedure. Nevertheless, the fact remains that, by imposing the application of an impartial and transparent selection procedure, Article 12, paragraph 1, of Directive 2006/123 prescribes, in an unconditional and sufficiently precise manner, a minimum level of protection in favor of potential candidates (see, by analogy, judgments of April 15, 2008, Impact, C-268/06, EU:C:2008:223, paragraph 74, as well as October 5, 2004, Pfeiffer and others, from C-397/01 to C-403/01, EU:C:2004:584, paragraph 105)." </w:t>
        <w:br/>
        <w:t xml:space="preserve">7 According to the Court of Justice (paragraphs 68 and 69): "Article 12, paragraph 2, of that directive, [...] provides in particular that an authorization, such as a concession for the occupation of the maritime domain, shall be granted for a limited duration and shall not provide for an automatic renewal procedure. </w:t>
        <w:br/>
        <w:t xml:space="preserve">This provision has direct effect as it unequivocally prohibits Member States, without any margin of discretion or the possibility of subordinating this prohibition to any condition and without the need for the adoption of an act of the Union or of the Member States, from providing for automatic and generalized extensions of such concessions. Furthermore, it follows from the Court's case law that an automatic renewal of these concessions is excluded by the very terms of Article 12, paragraph 2, of Directive 2006/123 (see, in this sense, judgment of July 14, 2016, Promoimpresa and others, C-458/14 and C-67/15, EU:C:2016:558, paragraph 50)." </w:t>
        <w:br/>
        <w:t xml:space="preserve">8 Court of Justice EU, April 20, 2023, C-348/2022, paragraph 73. </w:t>
        <w:br/>
        <w:t>9 Court of Justice EU, April 20, 2023, C-348/2022, paragraphs 76-79.</w:t>
      </w:r>
    </w:p>
    <w:p>
      <w:r>
        <w:rPr>
          <w:b/>
        </w:rPr>
        <w:t>[Pages 49–51]</w:t>
      </w:r>
    </w:p>
    <w:p>
      <w:r>
        <w:t>BULLETIN NO. 26 OF JULY 10, 2023 51</w:t>
        <w:br/>
        <w:t>In light of all that has been represented so far, the critical issues that characterize, on one hand, the supposed "public evidence procedure" called with the managerial determination no. 373/2023 related to the only two concessions granted to the companies Bagno Sirena and Bagno Somalia; on the other hand, the position taken by the Municipality regarding the alleged legitimacy of the duration until December 31, 2033 of the maritime state concessions existing in the Municipality of Castiglione della Pescaia (including the fifty-four concessions whose duration has been extended in favor of the previous concessionaires with determination no. 297 of 2020, already subject to reporting by the Authority) are evident.</w:t>
      </w:r>
    </w:p>
    <w:p>
      <w:r>
        <w:t>These decisions, in fact, not only originate and are based on a regulation whose conflict with European competition principles has already been established, but with them the Municipality of Castiglione della Pescaia persists in preventing a real competitive comparison that should be guaranteed in the awarding of services affecting resources – such as state-owned resources – of a scarce nature, in a market context in which, as has been repeatedly pointed out, competitive dynamics are already particularly weakened due to the long duration of the currently existing concessions.</w:t>
      </w:r>
    </w:p>
    <w:p>
      <w:r>
        <w:t>Firstly, it should be noted that resolution no. 373/2023 originates from managerial determinations no. 97 and no. 297 of 2020, already subject to reporting by the Authority in case AS1712. In particular, with the second managerial determination, the Municipality of Castiglione della Pescaia, in providing for the extension until December 31, 2033 of fifty-three concessions pursuant to Article 1, paragraphs 682 and following of law no. 145/2018, postponed to a later phase the definition of the proceedings following the submission of observations with a simultaneous expression of interest for three concessions, later reduced to two.</w:t>
      </w:r>
    </w:p>
    <w:p>
      <w:r>
        <w:t>Well, with managerial determination no. 373/2023, despite the long time elapsed and the changed regulatory framework, the Municipality initiated a selective procedure, pursuant to Article 37 of the navigation code, only apparently responding to the criteria of transparency, impartiality, publicity, and equal treatment required by Article 12 of the Services Directive. As indeed noted in the very premises of the determination in question, the Municipality limited the selective procedure only to two private operators, the current concessionaire and another company that had expressed interest following the publication of the notice in 2020.</w:t>
      </w:r>
    </w:p>
    <w:p>
      <w:r>
        <w:t>Nor can the provisions of the Tender Regulations regarding the opening of a possible comparative phase be invoked in support of a different interpretation, since this is a phase reserved only for two operators.</w:t>
      </w:r>
    </w:p>
    <w:p>
      <w:r>
        <w:t>It follows that, through the Tender Regulations, the Municipality rather than initiating a real competition for the market has in fact advantaged the existing concessionaires, precluding access to the sector for new operators. It is evident, therefore, that this is not an impartial and transparent selection procedure, nor one that allows a broader range of operators to participate in a competitive manner.</w:t>
      </w:r>
    </w:p>
    <w:p>
      <w:r>
        <w:t>Moreover, Article 3, paragraph 2, of law no. 118/2022, while preserving the effectiveness of existing concessions until the end of the transitional period, refers exclusively to concessions awarded and renewed "through a selective procedure with adequate guarantees of impartiality and transparency and, in particular, with adequate publicity of the start of the procedure and its conduct and completion"; a circumstance that, as stated above, cannot be considered to exist in this case.</w:t>
      </w:r>
    </w:p>
    <w:p>
      <w:r>
        <w:t>52 BULLETIN NO. 26 OF JULY 10, 2023</w:t>
        <w:br/>
        <w:t>Finally, it should be noted the non-compliance with competition principles of the duration of the concessions, indicated until December 31, 2033, without the Municipality having conducted any technical, economic, and financial assessment regarding the value of the concession and its organizational complexity or the time necessary for the remuneration of the invested capital. In fact, the Municipality has merely indicated the same date provided by the extension established by law no. 145/2018, which is now repealed.</w:t>
      </w:r>
    </w:p>
    <w:p>
      <w:r>
        <w:t>It follows that there are significant competitive issues not justified by general interest needs, in blatant contrast with European regulations, the decision-making practice of the Authority, and the most recent decisions regarding maritime state concessions adopted by the Council of State and the Court of Justice.</w:t>
      </w:r>
    </w:p>
    <w:p>
      <w:r>
        <w:t>Secondly, with specific reference to the extensions of the maritime concessions already granted in 2020, it is recalled that they constitute specific violations of competition principles to the extent that they prevent competitive comparison until December 31, 2033.</w:t>
      </w:r>
    </w:p>
    <w:p>
      <w:r>
        <w:t>It is indeed undisputed that the extensions granted in 2020 by the Municipality of Castiglione della Pescaia, already subject to reporting by the Authority, lose effectiveness due to the incompatibility of law no. 145/2018 with European regulations.</w:t>
      </w:r>
    </w:p>
    <w:p>
      <w:r>
        <w:t>In this regard, it is recalled that with the aforementioned twin judgments of 2021, the Plenary Assembly of the Council of State stated that the community incompatibility of the national law that provided for the extension of maritime state concessions results in "the cessation of the effects of the concession, due to the non-application of the internal regulation"; this "even in cases where formal acts of extension have been adopted and in cases where a favorable judgment has intervened."</w:t>
      </w:r>
    </w:p>
    <w:p>
      <w:r>
        <w:t>For these reasons, it is believed that the Municipality, following the aforementioned reporting by the Authority AS1712 and the relevant jurisprudence, should have disapplied the national legislation underlying the aforementioned managerial determinations and proceeded for all maritime state concessions with tourist-recreational purposes in the territory of Castiglione della Pescaia to the announcement of a new public evidence procedure that respects community principles and is capable of effectively ensuring competitive comparison among multiple operators.</w:t>
      </w:r>
    </w:p>
    <w:p>
      <w:r>
        <w:t>In conclusion, the Authority believes that, for the reasons stated above, the Municipality of Castiglione della Pescaia has violated Articles 49 and 56 of the TFEU – as they are likely to unjustifiably limit the freedom of establishment and the free movement of services in the internal market – as well as the EU regulatory provisions, with particular reference to Article 12 of the aforementioned Services Directive, which is a directly applicable norm, according to the interpretation of the national administrative judge and the Court of Justice.</w:t>
      </w:r>
    </w:p>
    <w:p>
      <w:r>
        <w:t>The Authority therefore hopes that this Municipality will amend the indicated resolutions by eliminating the competitive distortions highlighted above and proceed as soon as possible to the announcement of public evidence procedures concerning all existing concessions in the Municipality.</w:t>
      </w:r>
    </w:p>
    <w:p>
      <w:r>
        <w:t>The Authority therefore invites this Municipality to communicate, within thirty days from the receipt of this report, the determinations taken in this regard.</w:t>
      </w:r>
    </w:p>
    <w:p>
      <w:r>
        <w:t>BULLETIN NO. 26 OF JULY 10, 2023 53</w:t>
        <w:br/>
        <w:t>This report will be published in the Bulletin of the Competition and Market Authority.</w:t>
        <w:br/>
        <w:t>THE PRESIDENT</w:t>
        <w:br/>
        <w:t>Roberto Rustichelli</w:t>
      </w:r>
    </w:p>
    <w:p>
      <w:r>
        <w:rPr>
          <w:b/>
        </w:rPr>
        <w:t>[Pages 52–54]</w:t>
      </w:r>
    </w:p>
    <w:p>
      <w:r>
        <w:t>54 BULLETIN NO. 26 OF JULY 10, 2023</w:t>
        <w:br/>
        <w:t>AS1895 – VARIOUS MUNICIPALITIES OF THE PROVINCE OF NAPLES - ADHERENCE OF THE COMPANY FOR THE MANAGEMENT OF THE INTEGRATED WATER SERVICE APNN SPA PUBLIC WATER NAPLES NORTH SPA</w:t>
        <w:br/>
        <w:t>Rome, April 7, 2023</w:t>
        <w:br/>
        <w:t>Campania Water Authority</w:t>
        <w:br/>
        <w:t>The Italian Competition Authority, in its meeting on April 4, 2023, resolved to express an opinion pursuant to Article 21-bis of Law No. 287 of October 10, 1990, regarding the Resolution of the Campania Water Authority No. 67 of November 8, 2022, concerning the "Approval of the proposed management form of the Naples North District," of which the Authority became aware through communications sent between February 8 and February 24, 2023, by the municipalities of Caivano, Crispano, Bacoli, Giugliano in Campania, Quarto, Mugnano di Napoli, Monte di Procida, and Cardito pursuant to Article 5, Legislative Decree No. 175/2016 (the consolidated text on public participation companies or "TUSPP")1.</w:t>
        <w:br/>
        <w:t>The decisions in question are part of the process undertaken by the Campania Water Authority ("EIC") to achieve the integrated and unified management of water services within the Naples North district, as mandated by the relevant state and regional regulations2. In particular, Resolution No. 67/2022 of the EIC approves the choice of a public management form expressed by the Naples North District Council with Resolution No. 4 of August 5, 20223. From this latter Resolution, as well as from the district plan4, it is learned that in the Naples North District there are many municipalities with economic management of the water service not in line with sector regulation.</w:t>
        <w:br/>
        <w:t>In order to overcome the critical issues related to non-compliance with the technical and contractual quality standards prescribed by sector regulation, these municipalities have expressed the intention to proceed with the establishment of a company with entirely public capital, to which the management of the integrated water service (SII) will be entrusted, on a temporary basis. As indicated in the district plan, the newly established company is intended to assume the role of sole manager of the Naples North district, which is in any case oriented towards a fully public management model5.</w:t>
        <w:br/>
        <w:t>The process of conforming the management of the SII to the principle of management uniqueness6 in the Naples North District has been accelerated by the letter in which the President of the Campania Region7 warned all municipalities in the District to issue, by January 20, 2023, the relevant determinations regarding the sharing of the management model of the service through the in-house company decided by the District Council on August 5, 2022. As established by Article 14 of Legislative Decree No. 115/20228, it is provided that, in the event of failure to entrust the SII in implementation of what is provided for by Article 149-bis of Legislative Decree No. 152/20069 (containing environmental regulations or "TUA") by the indicated deadline, the substitute intervention of the President of the Region will occur.</w:t>
        <w:br/>
        <w:t>Eight of the thirty-one municipalities in the Naples North District, including those currently managing the water service economically, have therefore transmitted to the Authority pursuant to Article 5, TUSPP, the resolution approving participation in a newly established company for the management of the SII according to the in-house providing model, of which they also approve the statute, named "APNN S.p.a. - Public Water Naples North S.p.a." (“APNN” or the “Company”).</w:t>
        <w:br/>
        <w:t>In particular, the municipalities believe that to avoid the exercise of the aforementioned regional substitute powers, it is necessary to proceed as soon as possible with the establishment of the in-house company which, according to the expressed will of the District Council, should be identified as the sole manager of the SII for the entire Naples North District. Subsequently, through the report pursuant to Article 34, paragraph 20, of Legislative Decree No. 179/201210, under the competence of the EIC, it will be acknowledged that the requirements and conditions for proceeding with the legitimate entrustment of the service according to the in-house providing form exist. The municipalities therefore consider it "necessary and mandatory" to adhere to the newly established APPN company, in accordance with Article 142, TUA, and Law No. 15/2015, and the administrative provisions of the EIC.</w:t>
        <w:br/>
        <w:t>5 The district plan adopts the approach taken by the District Council towards public management models: "...the management structure of the initial entrustment does not coincide with the entire reference territory but the expected objective is that the newly established company, with progressive increases in the management perimeter, can manage, by the end of 2027, the entire S.I.I. throughout the territory of the relevant district" (cf. p. 550/605 of the Plan; emphasis added).</w:t>
        <w:br/>
        <w:t>6 Established, it is recalled, by Article 147, paragraph 2, letter b), of Legislative Decree No. 152/2006.</w:t>
        <w:br/>
        <w:t>7 Cf. letter prot. 2023/207/UDCP/GAB/GAB of January 4, 2023.</w:t>
        <w:br/>
        <w:t>8 Converted with modifications by Law No. 142/2022.</w:t>
        <w:br/>
        <w:t>9 Pursuant to Article 149-bis of the TUA, “[t]he governing body of the area, in compliance with the district plan referred to in Article 149 and the principle of management uniqueness for each optimal territorial area, decides on the management form among those provided for by European legislation, consequently providing for the entrustment of the service in compliance with national regulations on the organization of local public services of economic relevance. Direct entrustment may occur in favor of wholly public companies, possessing the requirements prescribed by European legislation for in-house management, however participated by the local authorities falling within the optimal territorial area.”</w:t>
        <w:br/>
        <w:t>10 Converted with modifications by Law No. 221/2012.</w:t>
      </w:r>
    </w:p>
    <w:p>
      <w:r>
        <w:t>56 BULLETIN NO. 26 OF JULY 10, 2023</w:t>
        <w:br/>
        <w:t>The Authority intends to make some considerations regarding the obligations of analytical motivation that accompany the choice of the management model of a local public service, such as the SII, and, in particular, the choice to internalize the management of the service through direct entrustment to a company that meets the requirements established by the legislation for in-house providing.</w:t>
        <w:br/>
        <w:t>It is recalled that, with specific reference to the direct entrustment measures of services to in-house providing companies, Article 192, paragraph 2, Legislative Decree No. 50/2016 (the public contracts code or "CCP", applicable pro tempore11), provides that contracting authorities must account for the reasons for not resorting to the market, as well as the benefits for the community of the chosen management form12. As noted by administrative jurisprudence in a recent ruling concerning the entrustment of the SII to an in-house company, the aggravated regime provided for by this article requires, "...as a condition for being able to legitimately arrive at an in-house direct entrustment, a situation of demonstrated market failure"13. This obligation responds to the constitutionally protected interests of administrative transparency and competition protection.</w:t>
        <w:br/>
        <w:t>Furthermore, the entrustments to in-house companies of local public services of economic relevance until December 31, 2022, had to occur based on a specific report from the entrusting entity pursuant to Article 34, paragraph 20, of Legislative Decree No. 179/2012, which accounted for the reasons and the existence of the requirements provided by European legislation for the chosen form of entrustment14.</w:t>
        <w:br/>
        <w:t>These are obligations functional to stimulate competitive market opening and to promote the effective application of the principles of free provision of services and equality among economic operators, with direct reflections on the efficiency and cost-effectiveness of management15.</w:t>
        <w:br/>
        <w:t>The resolutions of the Naples North District Council and the EIC did not comply with any of the aforementioned motivational obligations related to in-house entrustments to public participation companies imposed by primary legislation to protect competition16.</w:t>
        <w:br/>
        <w:t>11 Legislative Decree No. 50 of 2016 was repealed, effective July 1, 2023, by Legislative Decree No. 36 of March 31, 2023 (containing "Public contracts code in implementation of Article 1 of Law No. 78 of June 21, 2022, delegating the Government on public contracts"). The provisions of Legislative Decree No. 50 of 2016 continue to apply to ongoing proceedings.</w:t>
        <w:br/>
        <w:t>12 Also with reference to the objectives of universality and sociality, efficiency, cost-effectiveness, and quality of service, as well as optimal use of public resources.</w:t>
        <w:br/>
        <w:t>13 Cf. the ruling of the Administrative Justice Council for the Sicilian Region (“CGARS”) No. 1258/2022, which annulled the acts of the territorial water assembly of Catania concerning the entrustment of the integrated water service to an in-house company. Moreover, these acts had been the subject of the Authority's opinion pursuant to Article 21-bis, Law No. 287/1990, “AS1755 – ATO CATANIA 2 – MANAGEMENT OF THE INTEGRATED WATER SERVICE,” ref. No. S4137, adopted by the Authority on March 3, 2021, in Bulletin No. 23/2021. The Council of State has also reiterated, on another occasion, how the failure to resort to the market must be justified based on an evaluation not only of a legal-formal nature but also by demonstrating the economic reasonableness of the choice made (cf. ruling No. 6460/2020).</w:t>
        <w:br/>
        <w:t>14 This provision was repealed by Legislative Decree No. 201/2022 (containing the reorganization of the regulations on local public services of economic relevance or "TU SPL"), which provides that, before the entrustment procedure, the entity must account in a specific report for the outcomes of the evaluation on the choice of management method (cf. Article 14). In the case of in-house entrustments exceeding the thresholds of European relevance identified by the CCP, moreover, local authorities adopt the resolution for the entrustment of the service based on a qualified motivation that expressly accounts for the reasons for not resorting to the market for the efficient management of the service (cf. Article 17).</w:t>
        <w:br/>
        <w:t>15 Cf. CGARS, ruling No. 1258 of 2022, cited, as well as the Constitutional Court, ruling No. 201 of 2022.</w:t>
        <w:br/>
        <w:t>16 As noted by the Authority in the opinion pursuant to Article 21-bis, Law No. 287/1990, “AS1809 - METROPOLITAN CITY OF REGGIO CALABRIA – ACQUISITION OF PARTICIPATION IN THE COMPANY CASTORE SPL S.R.L.,” of October 12, 2021, in Bulletin No. 1/2022: "...the obligations of enhanced motivation required by the legislator regarding the failure to resort to the market and the decision to acquire shares in existing companies have a strictly</w:t>
      </w:r>
    </w:p>
    <w:p>
      <w:r>
        <w:rPr>
          <w:b/>
        </w:rPr>
        <w:t>[Pages 55–57]</w:t>
      </w:r>
    </w:p>
    <w:p>
      <w:r>
        <w:t>BULLETIN NO. 26 OF JULY 10, 2023 57</w:t>
        <w:br/>
        <w:t>Indeed, the choice of the model for the management of local public services among those permitted by the current legislation17 constitutes an exercise of administrative discretion by local authorities, which they implement within the SII through the area authority (in this case, the EIC). The exercise of such discretion must be precisely reflected in the reasoning of the administrative acts leading to the choice of the management model of the service: for the area authority, this preventive assessment must emerge both in the reasoning of the act of entrusting the service and in the report pursuant to Article 34, paragraph 20, of Decree Law No. 179/2012 (now Articles 14 and 17, TU SPL). As previously specified, such reasoning cannot be based on principle petitions regarding the preferability of the chosen model, or on apodictic and generic considerations, but must account for an actual comparison with the market18.</w:t>
      </w:r>
    </w:p>
    <w:p>
      <w:r>
        <w:t>In this case, neither national nor regional legislation imposes the choice of the in-house providing model for the management of the SII in the Naples North District. The choice of internalizing the service for individual municipalities was adopted, upstream, by the resolution of the District Council, approved by the EIC and subsequently ratified by the individual municipalities, in the face of a primary law that expressly leaves the freedom to local authorities to deliberate, through the area authority, one of the forms of management permitted by the legal system19. The choice to internalize the management of the SII – which occurred, as highlighted, in the absence of the reasoning required by law – is in fact capable of producing the effect of excluding other external economic operators from the possibility of competing to offer such service (in the alternative forms of a mixed company or outsourcing of the service), thereby realizing a violation of norms aimed at the direct protection of competition and the market and the free provision of services.</w:t>
      </w:r>
    </w:p>
    <w:p>
      <w:r>
        <w:t>In conclusion, the EIC Resolution No. 67 of November 8, 2022, which adopted the orientations expressed by Resolution No. 4 of August 5, 2022, of the Naples North District Council, is in contrast with the provisions of Article 192, paragraph 2, CCP, and Article 34, paragraph 20, of Decree Law No. 179/2012 (then in force), as it has deliberated a management model of the SII that is entirely public, without conducting any assessment on the convenience and appropriateness of the choice, in anticipation of the realization of competitive principles, in order to avoid that the special prerogative granted by the legislator extends beyond the purpose and objectives set by the norm, to include within it multiple public services offered in competition in the market, without the prior assessment of objective economic data regarding the greater convenience of in-house management of services of general economic interest or public compared to the involvement of specialized economic operators present in the free market and identified following competitive procedures” (emphasis added).</w:t>
      </w:r>
    </w:p>
    <w:p>
      <w:r>
        <w:t xml:space="preserve">17 In particular, for local public services with networks, entrustment to third parties through a public evidence procedure, entrustment to a mixed company or entrustment to an in-house company (Article 14, TUSPL). </w:t>
        <w:br/>
        <w:t xml:space="preserve">18 See the aforementioned opinion of the Authority No. AS1809 of October 12, 2021. </w:t>
        <w:br/>
        <w:t>19 In particular, pursuant to the cited Article 149-bis of the TUA, the area authority deliberates the form of management of the SII “…among those provided for by European legislation” and provides for the entrustment of the service “…in compliance with national legislation regarding the organization of local public services with economic relevance.” Among the forms of management, the possibility of direct entrustment to companies meeting the requirements prescribed by European legislation for in-house management is expressly contemplated, provided that the company is entirely public and in any case participated by the local authorities falling within the ATO. Pursuant to Article 14, Decree Law No. 115/2022, the area government bodies must provide for the entrustment of the SII according to the provisions of Article 149-bis, TUA. Similarly, regional legislation provides that the Campania local authorities exercise the functions of organizing the SII through the EIC, which entrusts the service for each district area based on the indications provided by each District Council “…in accordance with what is provided for by national and community legislation in this regard” (see Article 8, paragraph 1, letter b), L.R. No. 15/2015).</w:t>
      </w:r>
    </w:p>
    <w:p>
      <w:r>
        <w:t>58 BULLETIN NO. 26 OF JULY 10, 2023</w:t>
        <w:br/>
        <w:t>specifically regarding possible alternative models recognized by the legal system for the management of local public services20.</w:t>
      </w:r>
    </w:p>
    <w:p>
      <w:r>
        <w:t>Pursuant to Article 21-bis, paragraph 2, of Law No. 287/1990, the Campania Water Authority must communicate to the Authority, within sixty days from the receipt of this opinion, the initiatives adopted to remove the competition violations outlined above. If within the aforementioned term such initiatives do not prove to be compliant with the competitive principles underlying the violated regulations, the Authority may file an appeal within the following thirty days.</w:t>
      </w:r>
    </w:p>
    <w:p>
      <w:r>
        <w:t xml:space="preserve">THE PRESIDENT </w:t>
        <w:br/>
        <w:t xml:space="preserve">Roberto Rustichelli </w:t>
        <w:br/>
        <w:t xml:space="preserve">_____________________________________________________________________________ </w:t>
        <w:br/>
        <w:t>Statement regarding the failure of the Campania Water Authority to comply with the reasoned opinion expressed by the Authority pursuant to Article 21-bis of Law No. 287/1990, regarding Resolution No. 67/2022 of the Campania Water Authority approving the in-house management form of the integrated water service in the Naples North District</w:t>
      </w:r>
    </w:p>
    <w:p>
      <w:r>
        <w:t>The Authority, on April 4, 2023, resolved to issue a reasoned opinion, pursuant to Article 21-bis, Law No. 287/1990, on Resolution No. 67/2022 with which the Executive Committee of the Campania Water Authority (“EIC”) approved the choice to entrust the integrated water service (“SII”) in-house in the territory of the District itself. The Authority indeed deemed that this decision does not satisfy the motivational obligations provided for by Article 192, paragraph 2, of Legislative Decree No. 50/2016 and by Article 34, paragraph 20, of Decree Law No. 179/2012, in force ratione temporis.</w:t>
      </w:r>
    </w:p>
    <w:p>
      <w:r>
        <w:t>The EIC, with communication received on June 5, 2023, responded to the contestation, arguing that the Resolution in question is a mere directive act that fits into a procedural sequence still ongoing and that, at present, has continued with the adoption of the District Plan of Naples North, which confirmed the choice for the direct entrustment of the SII, and the economic-financial plan of the in-house company to which the service itself would be entrusted and from which it would be possible to derive the reasons justifying the preference for direct entrustment over the alternative of its outsourcing.</w:t>
      </w:r>
    </w:p>
    <w:p>
      <w:r>
        <w:t>The Authority, in this regard, deemed that the analysis carried out in the documents indicated by the EIC is limited to justifying the choice of in-house entrustment based on mere principle petitions, without conducting any actual comparison with the market. The Authority, therefore, noted the failure of the EIC to comply with the reasoned opinion of April 4, 2023 and resolved, in the meeting of June 13, 2023, to file an appeal with the TAR Campania against Resolution No. 67/2022.</w:t>
      </w:r>
    </w:p>
    <w:p>
      <w:r>
        <w:rPr>
          <w:b/>
        </w:rPr>
        <w:t>[Pages 58–60]</w:t>
      </w:r>
    </w:p>
    <w:p>
      <w:r>
        <w:t>60 BULLETIN NO. 26 OF JULY 10, 2023</w:t>
        <w:br/>
        <w:t>UNFAIR TRADE PRACTICES</w:t>
        <w:br/>
        <w:t>PS12093 - SALT-GRUPPO ASTM/ISSUES ON THE HIGHWAY NETWORK</w:t>
        <w:br/>
        <w:t>Provision No. 30677</w:t>
        <w:br/>
        <w:t>THE ANTITRUST AUTHORITY</w:t>
        <w:br/>
        <w:t>IN ITS MEETING of June 19, 2023;</w:t>
        <w:br/>
        <w:t>HEARD the Rapporteur, President Roberto Rustichelli;</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provision of May 2, 2023, No. 30628, adopted at the conclusion of the investigative procedure concerning case PS12093, with which it was determined that the company SALT Società Autostrade Ligure Toscana p.a. had engaged in an unfair commercial practice, pursuant to Articles 20, 24, and 25 of the Consumer Code, and prohibited its dissemination or continuation;</w:t>
        <w:br/>
        <w:t>HAVING REGARD to the request of June 5, 2023, by which SALT Società Autostrade Ligure Toscana p.a. requested the correction of the aforementioned provision with a recalculation of the sanction in the part where, in estimating the economic damage caused to consumers, net toll revenues related to the entire Ligurian-Tuscan Section were considered, relating them not to its overall length in kilometers but to that of the only A/12 highway section - from Sestri Levante to Livorno;</w:t>
        <w:br/>
        <w:t>CONSIDERING that the text of the provision concluding the PS12093 procedure, at points 111, 114, and in note No. 85 contains mere material errors consisting of having used 125.6 km instead of 154.9 km for the estimation of toll revenues;</w:t>
        <w:br/>
        <w:t>CONSIDERING the appropriateness of taking this element into account for the purpose of quantifying the sanction;</w:t>
        <w:br/>
        <w:t>THEREFORE DETERMINED to redetermine the sanction imposed by provision No. 30628 of May 2, 2023, amounting to €700,000 (seven hundred thousand euros), to €600,000 (six hundred thousand euros);</w:t>
        <w:br/>
        <w:t>RESOLVES</w:t>
        <w:br/>
        <w:t>to correct the provision of May 2, 2023, No. 30628, as follows:</w:t>
        <w:br/>
        <w:t>- at point 111, replacing the words "greater than €1.9 million" with the words "greater than €1.55 million";</w:t>
      </w:r>
    </w:p>
    <w:p>
      <w:r>
        <w:t>61 BULLETIN NO. 26 OF JULY 10, 2023</w:t>
        <w:br/>
        <w:t>- in note No. 85 replacing the words "amounting to over €63 million" with the words "amounting to over €51 million" and the phrase in parentheses "(corresponding to 125.6 km)" with the phrase in parentheses "(corresponding to 154.9 km)";</w:t>
        <w:br/>
        <w:t>- to redetermine the administrative pecuniary sanction to be imposed on the company SALT Società Autostrade Ligure Toscana p.a., in the amount of €600,000 (six hundred thousand euros).</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br/>
        <w:t>Notification of the payment must be immediately communicated to the Authority by sending the documentation certifying the payment made.</w:t>
        <w:br/>
        <w:t>This provision will be notified to the interested parties and published in the Bulletin of the Antitrust Authority.</w:t>
        <w:br/>
        <w:t>THE SECRETARY GENERAL THE PRESIDENT</w:t>
        <w:br/>
        <w:t>Guido Stazi Roberto Rustichelli</w:t>
      </w:r>
    </w:p>
    <w:p>
      <w:r>
        <w:t>Antitrust Authority Weekly Bulletin</w:t>
        <w:br/>
        <w:t>of Competition and the Market Year XXXIII - No. 26 - 2023</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