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https://www.agcm.it/dotcmsdoc/bollettini/2020/27-20.pdf</w:t>
      </w:r>
    </w:p>
    <w:p>
      <w:r>
        <w:t>Pages translated : 22</w:t>
      </w:r>
    </w:p>
    <w:p/>
    <w:p>
      <w:r>
        <w:rPr>
          <w:b/>
        </w:rPr>
        <w:t>[Pages 1–3]</w:t>
      </w:r>
    </w:p>
    <w:p>
      <w:r>
        <w:t>Bulletin</w:t>
        <w:br/>
        <w:t>Weekly</w:t>
        <w:br/>
        <w:t>Year XXX - No. 27</w:t>
        <w:br/>
        <w:t>Published on the website www.agcm.it</w:t>
        <w:br/>
        <w:t>July 6, 2020</w:t>
      </w:r>
    </w:p>
    <w:p>
      <w:r>
        <w:t>SUMMARY</w:t>
        <w:br/>
        <w:t>CONCENTRATION OPERATIONS 5</w:t>
        <w:br/>
        <w:t>C12299 - IREN/BUSINESS UNIT SIDIGAS.COM</w:t>
        <w:br/>
        <w:t>Decision No. 28272 5</w:t>
        <w:br/>
        <w:t>C12300 - EUROCAR ITALIA/ERRE ESSE</w:t>
        <w:br/>
        <w:t>Decision No. 28273 9</w:t>
        <w:br/>
        <w:t>REPORTING AND CONSULTATIVE ACTIVITIES 15</w:t>
        <w:br/>
        <w:t>AS1679 - COMPETITION DISTORTIONS ARISING FROM SOME PROVISIONS CONTAINED IN THE</w:t>
        <w:br/>
        <w:t>MILLEPROROGHE DECREE 15</w:t>
        <w:br/>
        <w:t>AS1680 – PUGLIA REGION - WORKING LIMITS FOR A HEALTH DIRECTOR OF PUBLIC AND PRIVATE HEALTH AND SOCIAL-HEALTH STRUCTURES 21</w:t>
      </w:r>
    </w:p>
    <w:p>
      <w:r>
        <w:t>BULLETIN NO. 27 OF JULY 6, 2020 5</w:t>
        <w:br/>
        <w:t>CONCENTRATION OPERATIONS</w:t>
        <w:br/>
        <w:t>C12299 - IREN/BUSINESS UNIT SIDIGAS.COM</w:t>
        <w:br/>
        <w:t>Decision No. 28272</w:t>
        <w:br/>
        <w:t>THE ANTITRUST AUTHORITY</w:t>
        <w:br/>
        <w:t>IN ITS MEETING of June 17, 2020;</w:t>
        <w:br/>
        <w:t>HEARD the Rapporteur Professor Michele AINIS;</w:t>
        <w:br/>
        <w:t>HAVING REGARD to Law No. 287 of October 10, 1990;</w:t>
        <w:br/>
        <w:t>HAVING REGARD to Presidential Decree No. 217 of April 30, 1998;</w:t>
        <w:br/>
        <w:t>HAVING REGARD to the communication from Iren S.p.A., received on May 22, 2020;</w:t>
        <w:br/>
        <w:t>HAVING REGARD to the documentation on file;</w:t>
        <w:br/>
        <w:t>CONSIDERED the following:</w:t>
        <w:br/>
        <w:t>I. THE PARTIES</w:t>
        <w:br/>
        <w:t>1. Iren S.p.A. (hereinafter, “Iren”) is the company - listed on the Milan Stock Exchange - holding the namesake group, active at the national level in the sectors of electricity and natural gas, water resources, district heating, heat management services, environmental services, public lighting, and funeral and cemetery services, particularly in Piedmont, Liguria, and Emilia Romagna. 18.85% of Iren's capital is held by Finanziaria Sviluppo Utilities S.r.l. - 100% controlled by the Municipality of Genoa - 13.8% by Finanziaria Città di Torino Holding S.p.A. - 100% controlled by the Municipality of Turin - 6.42% by the Municipality of Reggio Emilia, 3.16% by the Municipality of Parma, 1.37% by the Municipality of Piacenza, and the remainder by other Municipalities and institutional, financial, and retail investors. Iren is jointly controlled by the Municipalities of Turin, Genoa, and Reggio Emilia by virtue of a shareholders' agreement. In 2019, the consolidated revenue of the Iren group amounted to 4.2 billion euros, entirely generated in Italy.</w:t>
        <w:br/>
        <w:t>2. The subject of acquisition is a business unit related to the sale of natural gas currently belonging to Sidigas.com S.r.l. (hereinafter Sidigas.com), a company of the Sidigas group, active in the energy sector in the design, construction, and management of natural gas distribution plants as well as, through Sidigas.com, in the sale of natural gas. In 2019, the business unit of Sidigas.com, subject to acquisition by Iren, generated, entirely in Italy, revenue of [31-100]* million euros.</w:t>
        <w:br/>
        <w:t>* In this version, some data are omitted, as it was deemed that there were elements of confidentiality or secrecy of the information.</w:t>
      </w:r>
    </w:p>
    <w:p>
      <w:r>
        <w:rPr>
          <w:b/>
        </w:rPr>
        <w:t>[Pages 4–6]</w:t>
      </w:r>
    </w:p>
    <w:p>
      <w:r>
        <w:t>6 BULLETIN NO. 27 OF JULY 6, 2020</w:t>
      </w:r>
    </w:p>
    <w:p>
      <w:r>
        <w:t>II. DESCRIPTION OF THE TRANSACTION</w:t>
      </w:r>
    </w:p>
    <w:p>
      <w:r>
        <w:t>3. The communication under examination concerns the acquisition by Iren of the business unit of Sidigas.com. In particular, the activities that make up the business unit subject to acquisition consist of: contracts for the sale of natural gas to end customers, predominantly small-sized; licenses for the sale of natural gas; twenty employees of the business unit; as well as all other tangible and intangible assets (including the Sidigas.com trademark) and the active and passive contracts strictly related and functional to its operation. The structure of the transaction provides that Sidigas.com establishes a Newco, wholly owned by it, to which the business unit is transferred, and that Iren, directly or through its subsidiary Iren Mercato S.p.A., acquires 100% of the share capital of the Newco.</w:t>
      </w:r>
    </w:p>
    <w:p>
      <w:r>
        <w:t>4. The Operation is accompanied by a supply obligation, under which a company of the Sidigas group will continue to provide administrative and IT services for the acquired business unit (such as metering, billing, and customer service, sending meter readings and other information related to the customers of the business unit), for a limited period of six months from the date of closing.</w:t>
      </w:r>
    </w:p>
    <w:p>
      <w:r>
        <w:t>III. QUALIFICATION OF THE OPERATION</w:t>
      </w:r>
    </w:p>
    <w:p>
      <w:r>
        <w:t>5. The communicated operation, as it involves the acquisition of control over part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at the national level, by the group of companies involved exceeded 504 million euros and as the total turnover achieved, in the last financial year at the national level, by at least two of the companies involved exceeded 31 million euros.</w:t>
      </w:r>
    </w:p>
    <w:p>
      <w:r>
        <w:t>6. The temporary commitment to supply services related to the business unit subject to acquisition can be configured as an ancillary restriction to the concentration operation as it aims to ensure the transfer of the full value of the asset sold to the buyer.</w:t>
      </w:r>
    </w:p>
    <w:p>
      <w:r>
        <w:t>IV. ASSESSMENT OF THE CONCENTRATION</w:t>
      </w:r>
    </w:p>
    <w:p>
      <w:r>
        <w:t>The relevant markets</w:t>
      </w:r>
    </w:p>
    <w:p>
      <w:r>
        <w:t>7. The operation concerns the retail sale of natural gas, which consists of the supply and delivery of gas to end customers connected to distribution networks or the gas transport network. According to the Authority's orientation, within this activity, distinct relevant product markets can be identified based on the specific characteristics of demand and supply, depending on the categories of customers served. In particular, the company subject to acquisition is active in the market for the sale of natural gas to end customers of medium or large size, with consumption exceeding 200,000 cubic meters/year and in the market for the sale of natural gas to small-sized end customers, with consumption below 200,000 cubic meters/year.</w:t>
      </w:r>
    </w:p>
    <w:p>
      <w:r>
        <w:t>8. With regard to the market for the retail sale of natural gas to end customers with consumption exceeding 200,000 cubic meters per year, of national geographical size, it is noted that the Iren group holds a market share of [10-15%] of the total, while the acquired company holds a market share significantly below 1%. Therefore, as a result of the operation, there will be an absolutely marginal increase in the market share already held by the acquiring company, which is not capable of constituting or strengthening a dominant position for it.</w:t>
      </w:r>
    </w:p>
    <w:p>
      <w:r>
        <w:t>9. With regard to the market for the retail sale of natural gas to end customers with consumption below 200,000 cubic meters, also based on previous measures of the Authority, it is to be considered of sub-national size, tending to be regional. In any case, in this specific case, the geographical definition of the market can be left open as it would not change the outcome of the assessment. The parties are indeed rooted in distinct territorial areas, and therefore the increase brought by the presence of the buyer is everywhere marginal, in a context where there are also significant competing operators, such as the sales companies of the Enel group and the Eni group. Even in the regions where the acquired business unit is active (Campania, Basilicata, and Calabria), the overlap produced by the operation leads to aggregate shares of modest size, equal to [5-10%] in Campania, [1-5%] in Basilicata, or below 1% in Calabria.</w:t>
      </w:r>
    </w:p>
    <w:p>
      <w:r>
        <w:t>10. In light of the above considerations, the concentration under examination does not appear to be suitable to establish a dominant position or to significantly alter the conditions of competition in the relevant markets mentioned.</w:t>
      </w:r>
    </w:p>
    <w:p>
      <w:r>
        <w:t>CONSIDERING that the temporary commitment to supply services related to the business unit subject to acquisition constitutes an ancillary restriction to the concentration operation, as it aims to ensure the transfer of the full value of the asset sold to the buyer;</w:t>
      </w:r>
    </w:p>
    <w:p>
      <w:r>
        <w:t>CONSIDERING, therefore, that the operation under examination does not entail, pursuant to Article 6, paragraph 1, of Law No. 287/90,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 The conclusions above will be communicated, pursuant to Article 16, paragraph 4, of Law No. 287/90, to the companies involved and to the Minister of Economic Development.</w:t>
      </w:r>
    </w:p>
    <w:p>
      <w:r>
        <w:t>This provision will be published in the Bulletin of the Antitrust Authority.</w:t>
      </w:r>
    </w:p>
    <w:p>
      <w:r>
        <w:t>THE SECRETARY GENERAL THE PRESIDENT</w:t>
      </w:r>
    </w:p>
    <w:p>
      <w:r>
        <w:t>Filippo Arena Roberto Rustichelli</w:t>
      </w:r>
    </w:p>
    <w:p>
      <w:r>
        <w:rPr>
          <w:b/>
        </w:rPr>
        <w:t>[Pages 7–9]</w:t>
      </w:r>
    </w:p>
    <w:p>
      <w:r>
        <w:t>BULLETIN NO. 27 OF JULY 6, 2020</w:t>
      </w:r>
    </w:p>
    <w:p>
      <w:r>
        <w:t>C12300 - EUROCAR ITALIA/ERRE ESSE</w:t>
      </w:r>
    </w:p>
    <w:p>
      <w:r>
        <w:t>Provision No. 28273</w:t>
      </w:r>
    </w:p>
    <w:p>
      <w:r>
        <w:t>THE ANTITRUST AUTHORITY</w:t>
      </w:r>
    </w:p>
    <w:p>
      <w:r>
        <w:t>IN ITS MEETING of June 17, 2020;</w:t>
      </w:r>
    </w:p>
    <w:p>
      <w:r>
        <w:t>HEARD the Rapporteur Professor Michele Ainis;</w:t>
      </w:r>
    </w:p>
    <w:p>
      <w:r>
        <w:t>HAVING REGARD to Law No. 287 of October 10, 1990;</w:t>
      </w:r>
    </w:p>
    <w:p>
      <w:r>
        <w:t>HAVING REGARD to Presidential Decree No. 217 of April 30, 1998;</w:t>
      </w:r>
    </w:p>
    <w:p>
      <w:r>
        <w:t>HAVING REGARD to the act of the company Eurocar Italia S.r.l., received on May 22, 2020;</w:t>
      </w:r>
    </w:p>
    <w:p>
      <w:r>
        <w:t>CONSIDERED the following:</w:t>
      </w:r>
    </w:p>
    <w:p>
      <w:r>
        <w:t>I. THE PARTIES</w:t>
      </w:r>
    </w:p>
    <w:p>
      <w:r>
        <w:t>1. Eurocar Italia S.r.l. (hereinafter, Eurocar) is a company active in the retail distribution of passenger cars (new and used) and light commercial vehicles (new and used) of the Volkswagen group brands, as well as original spare parts of the Volkswagen group brands in Italy, and in the related repair and maintenance activities.</w:t>
      </w:r>
    </w:p>
    <w:p>
      <w:r>
        <w:t>2. Eurocar is controlled by Porsche Holding Gesellschaft m.b.H., which is in turn controlled by Volkswagen AG, a company at the top of the Volkswagen group. Volkswagen AG is a company established under German law whose shares are listed on the Frankfurt Stock Exchange.</w:t>
      </w:r>
    </w:p>
    <w:p>
      <w:r>
        <w:t>3. In 2019, the Volkswagen group1 achieved a consolidated worldwide turnover of approximately 252.6 billion euros, of which approximately [100-200]* billion euros from sales in the European Union and approximately [9-10] billion euros from sales in Italy.</w:t>
      </w:r>
    </w:p>
    <w:p>
      <w:r>
        <w:t>4. Erre Esse S.p.A. (hereinafter, Erre Esse or the Target) is a company active in the retail distribution of new Porsche-branded passenger cars, used cars mainly of the Volkswagen group brands, OEM spare parts, and other spare parts purchased through the Volkswagen group in Italy, as well as in repair and maintenance activities.</w:t>
      </w:r>
    </w:p>
    <w:p>
      <w:r>
        <w:t>5. The share capital of Erre Esse is held by a natural person and by the companies Redsim Società Semplice and Ekipo S.p.A. (hereinafter, jointly, the Sellers).</w:t>
      </w:r>
    </w:p>
    <w:p>
      <w:r>
        <w:t>6. In 2018, Erre Esse achieved a worldwide turnover of approximately 77.3 million euros, of which approximately [31-100] million euros from sales in the European Union and approximately [31-100] million euros from sales in Italy.</w:t>
      </w:r>
    </w:p>
    <w:p>
      <w:r>
        <w:t>1 For the purposes of this Transaction, as provided for in paragraph 172 of the Consolidated Communication, the turnover of the Volkswagen group includes the turnovers of Bonaldi, Vicentini, Dorigoni, and Saottini.</w:t>
        <w:br/>
        <w:t>* In this version, some data are omitted, as elements of confidentiality or secrecy of the information were deemed to exist.</w:t>
      </w:r>
    </w:p>
    <w:p>
      <w:r>
        <w:t>II. DESCRIPTION OF THE TRANSACTION</w:t>
      </w:r>
    </w:p>
    <w:p>
      <w:r>
        <w:t>7. The Parties have signed a preliminary sale and purchase agreement (hereinafter, the Contract) under which Eurocar undertakes to purchase the entire share capital currently held by the Sellers.</w:t>
      </w:r>
    </w:p>
    <w:p>
      <w:r>
        <w:t>8. The acquisition by Eurocar of certain real estate units owned by Ekipo S.p.A. and currently leased to Erre Esse for the purpose of carrying out the activity is also provided for.</w:t>
      </w:r>
    </w:p>
    <w:p>
      <w:r>
        <w:t>9. Under the Contract, the Sellers undertake, for a period of two years from the completion of the Transaction, not to: (i) hire or solicit the hiring, directly or indirectly, of persons who are from time to time employees of Erre Esse; (ii) engage, directly or indirectly, or hold any direct or indirect participation in any business that carries out activities competing with those carried out by Erre Esse at the date of signing or in any case in the last five years in Piedmont, Liguria, and Aosta Valley; (iii) assume the position of director, or act as a consultant or exercise any similar role in favor of a subject that is involved in, or carries out, activities, businesses, or initiatives of the type referred to in point (ii) above.</w:t>
      </w:r>
    </w:p>
    <w:p>
      <w:r>
        <w:t>III. QUALIFICATION OF THE TRANSACTION</w:t>
      </w:r>
    </w:p>
    <w:p>
      <w:r>
        <w:t>10. The notified transaction constitutes a concentration, pursuant to Article 5, paragraph 1, letter b), of Law No. 287/90, as it involves the acquisition of exclusive control of a company.</w:t>
      </w:r>
    </w:p>
    <w:p>
      <w:r>
        <w:t>11. It falls within the scope of application of Law No. 287/90, as the conditions of Article 1 of EC Regulation No. 139/04 are not met, and is subject to the obligation of prior notification provided for by Article 16, paragraph 1, of the same law, as the total turnover achieved in the last financial year at the national level by the group of companies involved was over 504 million euros and the turnover achieved individually at the national level by at least two of the companies involved was over 31 million euros.</w:t>
      </w:r>
    </w:p>
    <w:p>
      <w:r>
        <w:t>12. The non-compete agreement signed by the parties and described in the previous paragraph can be considered directly connected and necessary for the realization of the concentration transaction in question, as it is functional to safeguarding the value of the acquired company, provided that it is geographically limited to the area of activity of the acquired company and does not prevent the sellers from acquiring or holding shares solely for financial investment purposes2.</w:t>
      </w:r>
    </w:p>
    <w:p>
      <w:r>
        <w:t>13. The non-solicitation agreement signed by the parties and described in the previous paragraph can be considered directly connected and necessary for the realization of the concentration transaction in question, as it is functional to safeguarding the value of the acquired company3.</w:t>
      </w:r>
    </w:p>
    <w:p>
      <w:r>
        <w:t>2 Communication from the European Commission on restrictions directly related and necessary to concentration operations (2005/C 56/03) published in the Official Journal of the European Communities on March 5, 2005.</w:t>
        <w:br/>
        <w:t>3 Communication from the European Commission on restrictions directly related and necessary to concentration operations (2005/C 56/03) published in the Official Journal of the European Communities on March 5, 2005.</w:t>
      </w:r>
    </w:p>
    <w:p>
      <w:r>
        <w:t>IV. ASSESSMENT OF THE CONCENTRATION</w:t>
      </w:r>
    </w:p>
    <w:p>
      <w:r>
        <w:t>The product market</w:t>
      </w:r>
    </w:p>
    <w:p>
      <w:r>
        <w:t>14. From a product perspective, the sectors involved in the transaction under examination are those in which the company subject to acquisition operates, namely: i) the retail distribution of passenger vehicles and new and used commercial vehicles, ii) the retail distribution of spare parts for passenger vehicles and commercial vehicles, and iii) post-sale services of assistance, maintenance, and repair of vehicles4.</w:t>
      </w:r>
    </w:p>
    <w:p>
      <w:r>
        <w:t>15. i) The market in question concerns the activity of distributing new and used vehicles and commercial vehicles by dealers to final consumers. Manufacturers indeed market their cars through distribution companies (controlled companies or third-party operators) which, in turn, rely on a network of dealers that carry out sales to customers.</w:t>
      </w:r>
    </w:p>
    <w:p>
      <w:r>
        <w:t>16. Within this market, different segments can be identified, distinguishing between passenger vehicles and commercial vehicles, new and used vehicles, based on performance, size, and price of the marketed cars. However, dealers frequently distribute different types of products (utility vehicles, mid-range, premium category, etc.) and the differences have been decreasing over the years due to manufacturers' trends to offer more accessories even for medium and small displacement cars. For the purposes of this transaction, however, it does not appear necessary to arrive at an exact product market delineation.</w:t>
      </w:r>
    </w:p>
    <w:p>
      <w:r>
        <w:t>17. ii) Within the sector of marketing parts and accessories, which includes spare parts for passenger vehicles and commercial vehicles, two types of products can be identified: original and equivalent (of corresponding quality). Original spare parts are marketed under the manufacturer's brand; equivalent spare parts are instead supplied by independent operators in the component sector, who may also supply the same manufacturers.</w:t>
      </w:r>
    </w:p>
    <w:p>
      <w:r>
        <w:t>18. The prices of equivalent spare parts present a significantly lower level, which also varies depending on the type of spare part considered. Furthermore, the different types of spare parts for vehicles (gaskets, pads, shock absorbers, belts, spark plugs, filters, lighting, etc.) are not substitutable from the final demand side, which evidently depends on the maintenance or repair intervention to be carried out5.</w:t>
      </w:r>
    </w:p>
    <w:p>
      <w:r>
        <w:t>19. However, there is, also from the demand side, a significant substitutability between original and equivalent spare parts (provided they are of corresponding quality), varying according to the age and economic class of the vehicle, as well as the type of spare part. From the supply side, moreover, the assistance centers of manufacturers (generally dealerships and workshops)</w:t>
      </w:r>
    </w:p>
    <w:p>
      <w:r>
        <w:t>4 See, among others, provision No. 27594 of March 12, 2019, C12219 – Eurocar Italia/Saottini Auto, provision No. 27458 of December 12, 2018, C12203 – Eurocar/Dorigoni, provision No. 26906 of December 13, 2017, C12137 – PAG ITALY/BRANCH OF STAREMILIA, provision No. 22264 of March 30, 2011, C10979 – TT HOLDING/AUTOSTELLA and provision No. 20359 of October 1, 2009, C10265 – TT HOLDING/CAMAR; see also European Commission Decision of August 1, 2018, COMP/M.8963 – Eurocar/Bonaldi and European Commission Decision of September 10, 2018, COMP/M.9070 – Eurocar/Vicentini.</w:t>
        <w:br/>
        <w:t>5 It is also noted that there is a varied range of models (depth of range) within the same type of spare part, each of which is indicated for a specific vehicle or series of vehicles.</w:t>
      </w:r>
    </w:p>
    <w:p>
      <w:r>
        <w:rPr>
          <w:b/>
        </w:rPr>
        <w:t>[Pages 10–12]</w:t>
      </w:r>
    </w:p>
    <w:p>
      <w:r>
        <w:t>12 BULLETIN NO. 27 OF JULY 6, 2020</w:t>
      </w:r>
    </w:p>
    <w:p>
      <w:r>
        <w:t>authorized) can retail both original and equivalent spare parts. Also from the supply side, operators generally distribute a wide range of spare parts.</w:t>
      </w:r>
    </w:p>
    <w:p>
      <w:r>
        <w:t>20. iii) The market for post-sale assistance services for vehicles is characterized by an extreme fragmentation of supply. The repair and maintenance activity is indeed carried out by a wide range of operators such as: authorized dealerships and repair shops; independent workshops; service stations; specialized auto centers; quick assistance services (the warranty assistance is instead provided by the same dealers of the car manufacturers or by other entities authorized by them).</w:t>
      </w:r>
    </w:p>
    <w:p>
      <w:r>
        <w:t>The geographic market</w:t>
      </w:r>
    </w:p>
    <w:p>
      <w:r>
        <w:t>21. As for the geographical relevance, the size of the markets under i), ii), and iii) can be considered local. This hypothesis is based on consumer purchasing behaviors and, in particular, on the importance they attribute to the proximity of sales and assistance points. In various precedents related to the markets in question, the Authority has defined local markets based on administrative boundaries, identifying markets with a tendency towards provincial size. In this case, following this approach, considering the operational scope of the company subject to acquisition, the relevant geographic market could be deemed confined to the provinces of Alessandria, Cuneo, Torino, Novara, and Genova.</w:t>
      </w:r>
    </w:p>
    <w:p>
      <w:r>
        <w:t>22. Alternatively, it is possible to define local areas taking into account the size of the catchment areas of the individual sales points of the companies involved and the mobility propensity from the demand side. In this regard, the notifying party, based on the sales data of the dealerships subject to acquisition and its own experience, believes that it is possible to hypothesize the existence of a catchment area identified by the areas located around the Erre Esse dealerships subject to acquisition, reachable within 40 or 60 minutes by car for the market under i) and within 20 minutes by car for the markets under ii) and iii) (hereinafter, the isochrones).</w:t>
      </w:r>
    </w:p>
    <w:p>
      <w:r>
        <w:t>Effects of the transaction</w:t>
      </w:r>
    </w:p>
    <w:p>
      <w:r>
        <w:t>23. The company Erre Esse subject to acquisition operates through three dealerships located, respectively, in the provinces of Alessandria, Cuneo, and Torino, and two repair centers located, respectively, in the provinces of Novara and Genova, while the acquirer Eurocar holds various dealerships located in some provinces of Friuli Venezia Giulia (Gorizia, Udine, and Trieste), Tuscany (Florence), Lombardy (Milan, Sondrio, Bergamo, Lecco, and Brescia), Veneto (Verona), and Trentino Alto Adige (Trento), to which two Porsche dealerships controlled by Volkswagen AG located in a province of Lombardy (Milan) and in a province of Veneto (Padua) should also be added. At the provincial level, there are therefore no overlaps between the activities of the Parties.</w:t>
      </w:r>
    </w:p>
    <w:p>
      <w:r>
        <w:t>24. In the markets for the retail distribution of new and used passenger vehicles and commercial vehicles, in the provinces of Alessandria, Cuneo, Torino, Novara, and Genova, where there are no overlaps between the activities of the Parties, the shares of Erre Esse are below 1%; considering the isochrones, for each of the three dealerships and the two repair centers of Erre Esse subject to acquisition, both in the 40-minute isochrone and in the 60-minute isochrone, the joint shares of the Parties are below [1-5%].</w:t>
      </w:r>
    </w:p>
    <w:p>
      <w:r>
        <w:t>25. In the markets for the retail distribution of original VW spare parts for passenger vehicles and commercial vehicles, for the retail distribution of non-original spare parts for passenger vehicles and commercial vehicles, as well as for post-sale assistance, maintenance, and repair services for vehicles, in each of the provinces of Alessandria, Cuneo, Torino, Novara, and Genova, where there are no overlaps between the activities of the Parties, the share of Erre Esse is, respectively, below 5%, below 1%, and below 1%, while, considering the isochrones, for each of the three dealerships and the two repair centers of Erre Esse subject to acquisition, in the 20-minute isochrones there are no overlaps between the activities of the Parties and the shares of Erre Esse are respectively:</w:t>
      </w:r>
    </w:p>
    <w:p>
      <w:r>
        <w:t>- in the market for the retail distribution of original VW spare parts for passenger vehicles and commercial vehicles, less than 5%;</w:t>
        <w:br/>
        <w:t>- in the market for the retail distribution of non-original spare parts for passenger vehicles and commercial vehicles, less than 1%;</w:t>
        <w:br/>
        <w:t>- in the market for post-sale assistance, maintenance, and repair services for vehicles, less than 1%.</w:t>
      </w:r>
    </w:p>
    <w:p>
      <w:r>
        <w:t>26. From a vertical perspective, it is noted that:</w:t>
        <w:br/>
        <w:t>a) the Volkswagen group is also active in the upstream markets of wholesale distribution of new and used passenger vehicles and commercial vehicles, where it holds nationally shares below 16%; as seen, in the downstream markets of retail distribution of new and used passenger vehicles and commercial vehicles, both considering the provinces of Alessandria, Cuneo, Torino, Novara, and Genova, and considering the isochrones, the joint shares of the Parties will be less than 1%;</w:t>
        <w:br/>
        <w:t>b) the Volkswagen group is also active in the upstream market of wholesale distribution of original VW spare parts for passenger vehicles and commercial vehicles, where it holds a monopolistic position nationally; as seen, in the downstream market of retail distribution of original VW spare parts for passenger vehicles and commercial vehicles, both considering the provinces of Alessandria, Cuneo, Torino, Novara, and Genova, and considering the isochrones, the shares of Erre Esse are below 5%.</w:t>
      </w:r>
    </w:p>
    <w:p>
      <w:r>
        <w:t>27. It is observed that, even from a vertical perspective, the transaction does not raise competitive concerns, as it is not suitable to configure a case of input foreclosure due to the same distribution strategy of the Volkswagen group that makes original spare parts accessible to independent repairers both through Volkswagen Group Italia S.p.A., active throughout the Italian territory, and through a network of service partners (authorized retailers of vehicles and original Volkswagen spare parts) present throughout the national territory.</w:t>
      </w:r>
    </w:p>
    <w:p>
      <w:r>
        <w:t>28. In conclusion, in light of the above, it is believed that in the relevant markets the transaction will not have adverse effects on competition, not resulting in substantial changes in the competitive structure of the same.</w:t>
      </w:r>
    </w:p>
    <w:p>
      <w:r>
        <w:t>CONSIDERING, therefore, that the transaction under examination does not result, pursuant to Article 6, paragraph 1, of Law No. 287/90, in the establishment or strengthening of a dominant position in the relevant markets, such as to eliminate or substantially and durably reduce competition;</w:t>
      </w:r>
    </w:p>
    <w:p>
      <w:r>
        <w:t>CONSIDERING, furthermore, that the non-competition obligations between the parties are accessory to this transaction only to the limits described above and that the Authority reserves the right to evaluate the aforementioned agreements that occur beyond the limits indicated therein;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Antitrust Authority.</w:t>
      </w:r>
    </w:p>
    <w:p>
      <w:r>
        <w:t>THE SECRETARY GENERAL THE PRESIDENT</w:t>
      </w:r>
    </w:p>
    <w:p>
      <w:r>
        <w:t>Filippo Arena Roberto Rustichelli</w:t>
      </w:r>
    </w:p>
    <w:p>
      <w:r>
        <w:rPr>
          <w:b/>
        </w:rPr>
        <w:t>[Pages 13–15]</w:t>
      </w:r>
    </w:p>
    <w:p>
      <w:r>
        <w:t>BULLETIN NO. 27 OF JULY 6, 2020</w:t>
      </w:r>
    </w:p>
    <w:p>
      <w:r>
        <w:t>15</w:t>
      </w:r>
    </w:p>
    <w:p>
      <w:r>
        <w:t>REPORTING AND CONSULTATIVE ACTIVITY</w:t>
      </w:r>
    </w:p>
    <w:p>
      <w:r>
        <w:t>AS1679 - COMPETITION DISTORTIONS ARISING FROM SOME PROVISIONS CONTAINED IN THE MILLEPROROGHE DECREE</w:t>
      </w:r>
    </w:p>
    <w:p>
      <w:r>
        <w:t>Rome, June 22, 2020</w:t>
      </w:r>
    </w:p>
    <w:p>
      <w:r>
        <w:t>Senate of the Italian Republic</w:t>
      </w:r>
    </w:p>
    <w:p>
      <w:r>
        <w:t>Chamber of Deputies</w:t>
      </w:r>
    </w:p>
    <w:p>
      <w:r>
        <w:t>Presidency of the Council of Ministers</w:t>
      </w:r>
    </w:p>
    <w:p>
      <w:r>
        <w:t>The Italian Competition Authority, in its meeting of June 17, 2020, intended to make some considerations, pursuant to Article 21 of Law No. 287 of October 10, 1990, regarding the competition distortions arising from some provisions contained in Decree-Law No. 162 of December 30, 2019, converted with amendments by Law No. 8 of February 28, 2020, containing "Urgent provisions regarding the extension of legislative deadlines, the organization of public administrations, as well as technological innovation" (the so-called Milleproroghe decree).</w:t>
      </w:r>
    </w:p>
    <w:p>
      <w:r>
        <w:t>In particular, these provisions relate to: (i) the extension of the cessation of the greater protection regime for the price of gas and electricity (Article 12, paragraph 3); (ii) the register of appointees for management and control under the Code of Crisis and Insolvency (Article 8, paragraph 4); (iii) the extension of the reimbursement to Poste Italiane of the amounts corresponding to the postal concessions provided for the shipment of editorial products (Article 1, paragraph 9); (iv) the extension of the deadline for concessionaires to outsource their contracts and the maintenance of the 60% quota for motorway concessionaires (Article 1, paragraph 9-bis).</w:t>
      </w:r>
    </w:p>
    <w:p>
      <w:r>
        <w:t>(i) On the extension of the cessation of the greater protection regime for the price of gas and electricity (Article 12, paragraph 3)</w:t>
      </w:r>
    </w:p>
    <w:p>
      <w:r>
        <w:t>Article 12, paragraph 3, of the Milleproroghe decree, amending Law No. 124 of August 4, 2017 (annual law for the market and competition of 2017), provides for yet another extension of the cessation of the greater protection regime for prices: in the gas market, for small final customers, from July 1, 2020, to January 1, 2022; in the electricity market, for small businesses, from July 1, 2020, to January 1, 2021, and for micro enterprises and domestic customers, from July 1, 2020, to January 1, 2022.</w:t>
      </w:r>
    </w:p>
    <w:p>
      <w:r>
        <w:t>As is known, the Authority recently intervened on the matter during the conversion process of Decree-Law No. 162 of December 30, 2019, highlighting, with its opinion of February 4, 20201, the serious risks to competition arising from the further postponement of the deadline for the abolition of tariff regulation in the retail markets for electricity and gas services.</w:t>
      </w:r>
    </w:p>
    <w:p>
      <w:r>
        <w:t>In particular, on that occasion, the Authority recalled how the provisions of Law No. 124 of August 4, 2017, related to these markets had outlined a process that, if correctly implemented, would have led after two years to the completion of the energy sector liberalization reform in Italy (introduced already in 1999, with the so-called Bersani decree), concluding the more than decade-long transitional period of regulation of the economic conditions of sale of electricity and gas, thus allowing for the re-evaluation of the benefits derived from the competitive functioning of the upstream phases of the two supply chains in the final sales markets.</w:t>
      </w:r>
    </w:p>
    <w:p>
      <w:r>
        <w:t>Subsequently, the continuous legislative postponements of the deadline for the cessation of greater protection have hindered the acquisition of these benefits and are therefore to be considered likely to jeopardize the full success of the entire reform process.</w:t>
      </w:r>
    </w:p>
    <w:p>
      <w:r>
        <w:t>As the Authority recalled, indeed, the ways in which price protections have been ensured in Italy, attributing - at least for the electricity sector - to integrated sellers in distribution the possibility of offering the regulated service, have contributed to preserving over time a market structure characterized by dominant positions on a local basis and a high level of concentration of supply.</w:t>
      </w:r>
    </w:p>
    <w:p>
      <w:r>
        <w:t>In addition to preventing effective competition on a national basis, compartmentalizing local markets, this has also led to phenomena of abusive exploitation of dominant positions for exclusionary purposes, to the detriment of full competition among companies and, ultimately, to the detriment of final customers.</w:t>
      </w:r>
    </w:p>
    <w:p>
      <w:r>
        <w:t>Indeed, the latter can be contracted at free market conditions by their protection service providers under worse conditions than those available on the market, also as they are unjustifiably influenced by the reputational advantages enjoyed by such subjects due to being entrusted with the sale in greater protection.</w:t>
      </w:r>
    </w:p>
    <w:p>
      <w:r>
        <w:t>The uncertainty of the legislative framework and the consequent low propensity for change induced in consumers have contributed to favoring further concentrations of supply, which make the definition of the transition modalities to the free market even more complex for those who, at the legal deadline, have not independently chosen a market supplier.</w:t>
      </w:r>
    </w:p>
    <w:p>
      <w:r>
        <w:t>In order to avoid further anti-competitive effects, particularly negative for users and aggravated, lastly, by the increasing difficulties arising from the current health emergency situation, the Authority deems it necessary to reiterate that the new deadline set by Article 12 of the Milleproroghe decree, which extends the cessation of the price regulation system in the gas market for small final customers to January 1, 2022, and in the electricity market for micro enterprises and domestic customers to January 1, 2022, and to January 1, 2021, in the electricity market for small businesses, must be definitive and cannot be subject to further postponements.</w:t>
      </w:r>
    </w:p>
    <w:p>
      <w:r>
        <w:t>In this sense, the Authority also considers it necessary that, to guarantee the completion of the reform within the scheduled and no longer postponable timeframe, all the relevant administrations promptly carry out the obligations already expressly provided and detailed by the annual law for the market and competition of 2017. In particular, the further deferral of the deadline for the cessation of the greater protection regime should be best utilized to define the necessary measures to manage the transition and to provide the widest and most widespread information to consumers, as well as certainty to market operators, ensuring them equal access in competition to final customers, for example through the introduction of transparent competitive auction mechanisms.</w:t>
      </w:r>
    </w:p>
    <w:p>
      <w:r>
        <w:t>(ii) On the register of appointees for management and control under the Code of Crisis and Insolvency (Article 8, paragraph 4)</w:t>
      </w:r>
    </w:p>
    <w:p>
      <w:r>
        <w:t>Article 8, paragraph 4, of the Milleproroghe decree extends to June 30, 2020, the deadline for the adoption, by the Minister of Justice, of the decree containing the implementing modalities of the Register of subjects appointed by the judiciary to perform the functions of curator, judicial commissioner, or liquidator within the procedures referred to in the Code of Crisis and Insolvency (Article 357 of Legislative Decree No. 14 of January 12, 2019, hereinafter "Code").</w:t>
      </w:r>
    </w:p>
    <w:p>
      <w:r>
        <w:t>Based on the combined provisions of Articles 356 and 358 of the Code, different categories of subjects can obtain registration in the Register and be called to perform the functions of curator, judicial commissioner, and liquidator in the procedures referred to in the aforementioned Code. In particular, letter b) of Article 358, paragraph 1, includes professional associations or companies among professionals "provided that the partners of the same possess the professional requirements referred to in letter a) [registration in professional registers], and, in that case, at the time of acceptance of the appointment, the individual responsible for the procedure must be designated."2 Article 356, paragraph 2, clarifies that the requirements referred to in the aforementioned letter b) "must be possessed by the individual responsible for the procedure, as well as by the legal representative of the professional company or by all members of the associated professional studio."3</w:t>
      </w:r>
    </w:p>
    <w:p>
      <w:r>
        <w:t>In this regard, it is noted that, conversely, Article 10, paragraph 4, of Law No. 183 of November 12, 2011, in providing a general discipline for professional companies, has stipulated that non-professional subjects can also assume the status of partners "only for technical services, or for investment purposes" (letter b) and that "the execution of the professional assignment conferred to the company must be carried out only by partners possessing the requirements for the exercise of the requested professional service" (letter c).</w:t>
      </w:r>
    </w:p>
    <w:p>
      <w:r>
        <w:t>In the Code of Crisis and Insolvency, for registration in the aforementioned Register - to which different categories of professionals (lawyers, accountants, accounting experts, and labor consultants) can be admitted -</w:t>
      </w:r>
    </w:p>
    <w:p>
      <w:r>
        <w:t>2 Article 358, paragraph 1, provides that: "Those who can be called to perform the functions of curator, judicial commissioner, and liquidator in the procedures referred to in the Code of Crisis and Insolvency are: a) those registered in the registers of lawyers, accountants, accounting experts, and labor consultants; b) professional associations or companies among professionals, provided that the partners of the same possess the professional requirements referred to in letter a), and, in that case, at the time of acceptance of the appointment, the individual responsible for the procedure must be designated; c) those who have performed administrative, management, and control functions in capital companies or cooperatives, proving adequate entrepreneurial skills and provided that no declaration of the opening of the judicial liquidation procedure has intervened against them."</w:t>
      </w:r>
    </w:p>
    <w:p>
      <w:r>
        <w:t>3 In particular, Article 356, paragraph 2, provides that: "Those who can obtain registration are subjects who, in possession of the requirements referred to in Article 358, paragraph 1, letters a), b), and c), demonstrate that they have fulfilled the training obligations referred to in Article 4, paragraph 5, letters b), c), and d) of the decree of the Minister of Justice of September 24, 2014, No. 202 and subsequent amendments. (...) The requirements referred to in Article 358, paragraph 1, letter b), must be possessed by the individual responsible for the procedure, as well as by the legal representative of the professional company or by all members of the associated professional studio."</w:t>
      </w:r>
    </w:p>
    <w:p>
      <w:r>
        <w:rPr>
          <w:b/>
        </w:rPr>
        <w:t>[Pages 16–18]</w:t>
      </w:r>
    </w:p>
    <w:p>
      <w:r>
        <w:t>18 BULLETIN NO. 27 OF JULY 6, 2020</w:t>
      </w:r>
    </w:p>
    <w:p>
      <w:r>
        <w:t>consultants) – therefore, additional conditions are provided for professional companies compared to those introduced by the general regulations, consisting, in particular, of the mandatory registration in the registers of lawyers, chartered accountants, accounting experts, and labor consultants, not only of the individual responsible for the procedure but also of the legal representative of the professional partnership or of all members of the associated professional studio.</w:t>
      </w:r>
    </w:p>
    <w:p>
      <w:r>
        <w:t>The provisions of the Code mentioned above appear suitable to limit professionals in their choice of the corporate organization deemed most appropriate, given that in our legal system, professional companies do not constitute an autonomous type of company but can take on the various forms provided for by the civil code, thus being subject to the legal discipline of the chosen model.</w:t>
      </w:r>
    </w:p>
    <w:p>
      <w:r>
        <w:t>On this subject, the Authority has repeatedly expressed its orientation, highlighting, in general, how the possibility for professionals to organize themselves in corporate form can entail a series of advantages, allowing them to attract investments, become more competitive, and face the challenges posed by international competition.</w:t>
      </w:r>
    </w:p>
    <w:p>
      <w:r>
        <w:t>In particular, most recently, in the report AS/1589B - Distortions of competition in the regulated professions sector - Article 10, paragraph 4, letter b) of Law 183/2011 (stability law 2012), dated June 12, 2019, the Authority, while welcoming the introduced reform of professional companies, nonetheless highlighted the need to remove all obstacles that hinder the "possibility for professionals to choose the organization and corporate structure deemed most suitable for their needs."</w:t>
      </w:r>
    </w:p>
    <w:p>
      <w:r>
        <w:t>Therefore, in line with previous interventions on the matter, the Authority takes this opportunity to suggest a reconsideration of the requirements set forth in Articles 356 and 358 of the Code of Crisis and Insolvency, as they are restrictive and likely to discriminate among professional companies based on the adopted organizational model.</w:t>
      </w:r>
    </w:p>
    <w:p>
      <w:r>
        <w:t>(iii) On the extension of the reimbursement to Poste Italiane of the amounts corresponding to the postal discounts provided for the shipment of editorial products (art. 1, paragraph 9)</w:t>
      </w:r>
    </w:p>
    <w:p>
      <w:r>
        <w:t>Article 1, paragraph 9, of the Milleproroghe decree extends from the originally provided three years to "a duration equal to that of the assignment of the universal postal service" (i.e., until 2026) the provision for the reimbursement to Poste Italiane S.p.A. of the amounts corresponding to the postal discounts established by current legislation for the shipment of editorial products (art. 1, paragraph 9).</w:t>
      </w:r>
    </w:p>
    <w:p>
      <w:r>
        <w:t>The application of the norm is subject to the authorization of the European Commission, pursuant to art. 108, paragraph 3, TFEU.</w:t>
      </w:r>
    </w:p>
    <w:p>
      <w:r>
        <w:t>In this regard, it is recalled that the Authority has already intervened with its own report, pursuant to art. 21 of Law No. 287/90, regarding the provisions of Decree-Law No. 244 of December 30, 2016, which reintroduced the discounted rates for the shipment of editorial products in favor of publishing companies, designating Poste Italiane as the only operator entitled to receive state reimbursements.</w:t>
      </w:r>
    </w:p>
    <w:p>
      <w:r>
        <w:t>In particular, the Authority pointed out that the differentiated treatment between Poste Italiane and other postal operators was unjustified and hindered the full liberalization of the postal services market. The postal services in question can indeed also be provided by operators other than Poste Italiane, who, however, not being able to benefit from state contributions, are unable to sustain the discounted rates that the incumbent can offer instead, benefiting from the provided reimbursements.</w:t>
      </w:r>
    </w:p>
    <w:p>
      <w:r>
        <w:t>The Authority therefore hoped for a reform that, while respecting the application of state aid regulations, would expand access to state contributions to all postal operators, in order to allow for a full competitive confrontation.</w:t>
      </w:r>
    </w:p>
    <w:p>
      <w:r>
        <w:t>That said, the provision of art. 1, paragraph 9, of the Milleproroghe decree, in extending - for the entire duration of the assignment of the universal postal service - the reimbursement to Poste Italiane of the discounts in question, reiterates and amplifies the competitive issues already highlighted by the Authority.</w:t>
      </w:r>
    </w:p>
    <w:p>
      <w:r>
        <w:t>(iv) On the extension of the deadline for concessionaires to outsource their contracts and on the maintenance of the 60% quota for motorway concessionaires (art. 1, paragraph 9-bis)</w:t>
      </w:r>
    </w:p>
    <w:p>
      <w:r>
        <w:t>Finally, art. 1, paragraph 9-bis, of the Milleproroghe decree modifies the text of art. 177, paragraph 2, of the Public Contracts Code (Legislative Decree of April 18, 2016, No. 50, also "CPC") providing: (i) the extension to December 31, 2021, of the deadline from which holders of concessions already in place at the date of entry into force of the CPC - not awarded under the project finance formula, or through public procurement procedures - must award through public procurement procedures a quota equal to 80% of the contracts for works, services, and supplies related to concessions of an amount equal to or greater than 150,000 euros; (ii) the confirmation of the obligation for holders of existing motorway concessions to award by December 31, 2020, through public procurement procedures, a quota equal to 60% of their contracts.</w:t>
      </w:r>
    </w:p>
    <w:p>
      <w:r>
        <w:t>In this regard, it must be highlighted that the further extension to December 31, 2021, of the deadline for the obligation on concessionaires to outsource their contracts awarded without a tender represents a renewed obstacle placed by the legislator to the development of a competitive market. The Authority reiterates what has already been repeatedly expressed, particularly regarding motorway concessions, highlighting the need to respect competition principles in the awarding of concessions and to resort to competitive procedures, in order to select the best and timely managers in terms of quality and safety of services, investment propensity, and lower management costs. In this perspective, automatic renewals and extensions of concessions, which block the development of the economy and prevent the competitive market from producing its effects in terms of efficiency and innovation, should not be arranged.</w:t>
      </w:r>
    </w:p>
    <w:p>
      <w:r>
        <w:t>As for the second regulatory amendment that confirms, for holders of motorway concessions, the different percentage of 60% of the contracts for works, services, and supplies to be outsourced through public procurement procedures, it is reiterated what has already been previously pointed out by the Authority regarding the need to increase this quota to the percentage provided for the majority of other concessionaires (equal to 80%), also considering that almost all motorway concessions have been awarded without public procurement procedures and for particularly long durations.</w:t>
      </w:r>
    </w:p>
    <w:p>
      <w:r>
        <w:t>It is hoped that the legislator will take due account of the observations expressed above, in relation to art. 1, paragraphs 9 and 9-bis, to art. 8, paragraph 4, and to art. 12, paragraph 3, of Decree-Law No. 162 of December 30, 2019, converted with amendments by Law No. 8 of February 28, 2020, containing "Urgent provisions regarding the extension of legislative deadlines, the organization of public administrations, as well as technological innovation."</w:t>
      </w:r>
    </w:p>
    <w:p>
      <w:r>
        <w:t>This report will be published in the Bulletin referred to in Article 26 of Law No. 287/90.</w:t>
      </w:r>
    </w:p>
    <w:p>
      <w:r>
        <w:t>THE PRESIDENT</w:t>
      </w:r>
    </w:p>
    <w:p>
      <w:r>
        <w:t>Roberto Rustichelli</w:t>
      </w:r>
    </w:p>
    <w:p>
      <w:r>
        <w:rPr>
          <w:b/>
        </w:rPr>
        <w:t>[Pages 19–21]</w:t>
      </w:r>
    </w:p>
    <w:p>
      <w:r>
        <w:t>BULLETIN NO. 27 OF JULY 6, 2020</w:t>
      </w:r>
    </w:p>
    <w:p>
      <w:r>
        <w:t>AS1680 – APULIA REGION - WORKING LIMITS FOR A MEDICAL DIRECTOR OF PUBLIC AND PRIVATE HEALTH AND SOCIAL-HEALTH STRUCTURES</w:t>
      </w:r>
    </w:p>
    <w:p>
      <w:r>
        <w:t>Rome, June 24, 2020</w:t>
      </w:r>
    </w:p>
    <w:p>
      <w:r>
        <w:t>Apulia Region</w:t>
      </w:r>
    </w:p>
    <w:p>
      <w:r>
        <w:t>The Italian Competition Authority, in its meeting on June 17, 2020, intended to make some considerations, pursuant to Article 21 of Law No. 287 of October 10, 1990, regarding Article 12, paragraph 8, of the regional law of Apulia, No. 9 of May 2, 2017 (“New regulations on the authorization for the establishment and operation, institutional accreditation, and contractual agreements of public and private health and social-health structures”), concerning the maximum age limit for performing the function of health director of a private health and social-health structure, including outpatient facilities.</w:t>
      </w:r>
    </w:p>
    <w:p>
      <w:r>
        <w:t>In particular, this provision states that “the maximum age limit for performing the function of health director is that provided for in paragraph 1 of Article 15-nonies of Legislative Decree No. 502/92.”</w:t>
      </w:r>
    </w:p>
    <w:p>
      <w:r>
        <w:t>Article 15-nonies of Legislative Decree No. 502/1992, in turn, provides that “the maximum age limit for the retirement of medical directors and the health role of the National Health Service, including the heads of complex structures, is established upon reaching the sixty-fifth year of age, or, at the request of the interested party, upon reaching the fortieth year of actual service. In any case, the maximum length of service cannot exceed the seventieth year of age, and remaining in service cannot lead to an increase in the number of directors.”</w:t>
      </w:r>
    </w:p>
    <w:p>
      <w:r>
        <w:t>This last provision has been the subject of recent amendments, starting from the position expressed on December 18 during the State-Regions Conference, which, adopting the Health Pact 2019-2021, proposed a derogation to paragraph 1 of Article 15-nonies of Legislative Decree No. 502/92, so that, “until 2022, in order to address the temporary shortage of specialist doctors, particularly in certain disciplines, while ensuring the effective coverage of the training needs defined also with the MIUR, the possibility of allowing specialist doctors, on a voluntary basis and for the needs of the company or entity to which they belong, to remain in service even beyond the limit of 40 years of actual service referred to in Article 15-nonies of Legislative Decree No. 502 of 1992 and subsequent amendments, and in any case not beyond the seventieth year of age. The administration may grant the continuation of the relationship where it is not possible to proceed promptly with the recruitment of new specialists.” This proposal from the State-Regions Conference has been incorporated into Article 5-bis, paragraph 2, of Decree-Law No. 162 of December 30, 2019 (the so-called “Milleproroghe” decree), as converted by Law No. 8 of February 28, 2020.</w:t>
      </w:r>
    </w:p>
    <w:p>
      <w:r>
        <w:t>That said, it is noted that the maximum age limit provided for in Article 12, paragraph 8, of the aforementioned regional law, established for health directors of private health and social-health structures, creates an unjustified limitation on the provision of professional services by doctors, thus restricting the supply of such services.</w:t>
      </w:r>
    </w:p>
    <w:p>
      <w:r>
        <w:t>Furthermore, this measure unjustifiably compresses the freedom of economic initiative and the managerial autonomy of private health and social-health structures, preventing them from employing a doctor who has exceeded the age limit set for holding the position of health director.</w:t>
      </w:r>
    </w:p>
    <w:p>
      <w:r>
        <w:t>In this regard, it is observed that the circumstance that such structures enjoy a complementary regime to the public one, from which they receive a budget for the exercise of their activity, is not suitable to justify such restrictions. In fact, while the provision of an age limit for medical directors employed by the NHS may be justified by the need to protect the public interest in generational turnover, similar considerations cannot be extended to private activities, especially when it comes to top management positions of the structures, for which previous experience may be relevant for the efficiency of the management activity performed.</w:t>
      </w:r>
    </w:p>
    <w:p>
      <w:r>
        <w:t>Moreover, it should be added that, precisely in relation to the public sector, the age limit for medical directors set by the aforementioned Article 15-nonies has been subject to a derogation that allows retention in service even beyond the limit of the fortieth year of actual service and in any case not beyond the seventieth year of age, with the incorporation by the aforementioned Article 5-bis, paragraph 2, of the “Milleproroghe” decree of the proposal developed in the State-Region Conference.</w:t>
      </w:r>
    </w:p>
    <w:p>
      <w:r>
        <w:t>Finally, it should be noted that in other Regions, the regulations regarding the requirements for the health director do not impose any age limit for performing this function (for example, Article 11 of the Tuscany Regional Law No. 51 of August 5, 2009, “Regulations on the quality and safety of health structures: procedures and authorization requirements for operation and accreditation systems”).</w:t>
      </w:r>
    </w:p>
    <w:p>
      <w:r>
        <w:t>In conclusion, there are no imperative reasons of general interest (i.e., public order, public safety, and public health) that justify the maximum age limit for health directors of private health and social-health structures, as provided for in Article 12, paragraph 8, of the Apulia regional law No. 9 of May 2, 2017. Therefore, this maximum limit constitutes a restriction on the freedom to provide professional services by doctors and compresses the freedom of economic initiative of private health and social-health structures in choosing the health director.</w:t>
      </w:r>
    </w:p>
    <w:p>
      <w:r>
        <w:t>The Authority invites the Apulia Region to communicate, within a period of sixty days from the receipt of this document, the determinations made regarding the above.</w:t>
      </w:r>
    </w:p>
    <w:p>
      <w:r>
        <w:t>This notification is also sent for information to the State-Regions Conference, so that it may invite the Regions to adopt regulations that comply with the competitive principles mentioned above.</w:t>
      </w:r>
    </w:p>
    <w:p>
      <w:r>
        <w:t>This notification will be published in the Authority's Bulletin pursuant to Article 26 of Law No. 287/90.</w:t>
      </w:r>
    </w:p>
    <w:p>
      <w:r>
        <w:t>THE PRESIDENT</w:t>
      </w:r>
    </w:p>
    <w:p>
      <w:r>
        <w:t>Roberto Rustichelli</w:t>
      </w:r>
    </w:p>
    <w:p>
      <w:r>
        <w:rPr>
          <w:b/>
        </w:rPr>
        <w:t>[Pages 22–22]</w:t>
      </w:r>
    </w:p>
    <w:p>
      <w:r>
        <w:t xml:space="preserve">Antitrust Authority Weekly Bulletin  </w:t>
        <w:br/>
        <w:t xml:space="preserve">of Competition and Market Year XXX - No. 27 - 2020  </w:t>
        <w:br/>
        <w:t xml:space="preserve">Editorial Coordination Giulia Antenucci  </w:t>
        <w:br/>
        <w:t xml:space="preserve">Editorial Staff Sandro Cini, Valerio Ruocco, Simonetta Schettini,  </w:t>
        <w:br/>
        <w:t xml:space="preserve">Manuela Villani  </w:t>
        <w:br/>
        <w:t xml:space="preserve">Antitrust Authority  </w:t>
        <w:br/>
        <w:t xml:space="preserve">Office of Statistics and IT Applications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