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https://www.agcm.it/dotcmsdoc/bollettini/2023/27-23.pdf</w:t>
      </w:r>
    </w:p>
    <w:p>
      <w:r>
        <w:t>Pages translated : 195</w:t>
      </w:r>
    </w:p>
    <w:p/>
    <w:p>
      <w:r>
        <w:rPr>
          <w:b/>
        </w:rPr>
        <w:t>[Pages 1–3]</w:t>
      </w:r>
    </w:p>
    <w:p>
      <w:r>
        <w:t xml:space="preserve">Bulletin  </w:t>
        <w:br/>
        <w:t xml:space="preserve">Weekly  </w:t>
        <w:br/>
        <w:t xml:space="preserve">Year XXXIII - No. 27  </w:t>
        <w:br/>
        <w:t xml:space="preserve">Published on the website www.agcm.it  </w:t>
        <w:br/>
        <w:t>17 July 2023</w:t>
      </w:r>
    </w:p>
    <w:p>
      <w:r>
        <w:t xml:space="preserve">SUMMARY(*)  </w:t>
        <w:br/>
        <w:t xml:space="preserve">AGREEMENTS AND ABUSE OF DOMINANT POSITION 5  </w:t>
        <w:br/>
        <w:t xml:space="preserve">A507C - AVIATION FUEL SUPPLY SERVICE AT BERGAMO AIRPORT  </w:t>
        <w:br/>
        <w:t xml:space="preserve">Measure No. 30678 5  </w:t>
        <w:br/>
        <w:t xml:space="preserve">A564 - HERA/PRICE OF DISTRICT HEATING  </w:t>
        <w:br/>
        <w:t xml:space="preserve">Measure No. 30679 15  </w:t>
        <w:br/>
        <w:t xml:space="preserve">I805B - CORRUGATED CARDBOARD PRICES/REDETERMINATION OF PENALTY SMURFIT KAPPA ITALIA  </w:t>
        <w:br/>
        <w:t xml:space="preserve">Measure No. 30681 24  </w:t>
        <w:br/>
        <w:t xml:space="preserve">I805C - CORRUGATED CARDBOARD PRICES/REDETERMINATION OF PENALTY ICOM  </w:t>
        <w:br/>
        <w:t xml:space="preserve">Measure No. 30682 25  </w:t>
        <w:br/>
        <w:t xml:space="preserve">I805D - CORRUGATED CARDBOARD PRICES/REDETERMINATION OF PENALTY ONDULATI NORDEST  </w:t>
        <w:br/>
        <w:t xml:space="preserve">Measure No. 30683 26  </w:t>
        <w:br/>
        <w:t xml:space="preserve">I805E - CORRUGATED CARDBOARD PRICES/REDETERMINATION OF PENALTY ONDULATI AND PACKAGING OF FRIULI  </w:t>
        <w:br/>
        <w:t xml:space="preserve">Measure No. 30684 27  </w:t>
        <w:br/>
        <w:t xml:space="preserve">I805F - CORRUGATED CARDBOARD PRICES/REDETERMINATION OF PENALTY ONDULATO PICENO  </w:t>
        <w:br/>
        <w:t xml:space="preserve">Measure No. 30685 28  </w:t>
        <w:br/>
        <w:t xml:space="preserve">I805G - CORRUGATED CARDBOARD PRICES/REDETERMINATION OF PENALTY IDEALKART  </w:t>
        <w:br/>
        <w:t xml:space="preserve">Measure No. 30686 29  </w:t>
        <w:br/>
        <w:t xml:space="preserve">I805H - CORRUGATED CARDBOARD PRICES/REDETERMINATION OF PENALTY PIEMONTESI PACKAGING  </w:t>
        <w:br/>
        <w:t xml:space="preserve">Measure No. 30687 30  </w:t>
        <w:br/>
        <w:t xml:space="preserve">I805I - CORRUGATED CARDBOARD PRICES/REDETERMINATION OF PENALTY ADDA ONDULATI  </w:t>
        <w:br/>
        <w:t xml:space="preserve">Measure No. 30688 31  </w:t>
        <w:br/>
        <w:t xml:space="preserve">I805L - CORRUGATED CARDBOARD PRICES/REDETERMINATION OF PENALTY ICO  </w:t>
        <w:br/>
        <w:t xml:space="preserve">Measure No. 30689 32  </w:t>
        <w:br/>
        <w:t xml:space="preserve">I805M - CORRUGATED CARDBOARD PRICES/REDETERMINATION OF PENALTY SANDRA  </w:t>
        <w:br/>
        <w:t xml:space="preserve">Measure No. 30690 33  </w:t>
        <w:br/>
        <w:t xml:space="preserve">I805N - CORRUGATED CARDBOARD PRICES/REDETERMINATION OF PENALTY ONDULATI DEL SAVIO  </w:t>
        <w:br/>
        <w:t xml:space="preserve">Measure No. 30691 34  </w:t>
        <w:br/>
        <w:t xml:space="preserve">I805O - CORRUGATED CARDBOARD PRICES/REDETERMINATION OF PENALTY GRIMALDI  </w:t>
        <w:br/>
        <w:t xml:space="preserve">Measure No. 30692 35  </w:t>
        <w:br/>
        <w:t xml:space="preserve">I805P - CORRUGATED CARDBOARD PRICES/REDETERMINATION OF PENALTY SAICA PACK ITALIA  </w:t>
        <w:br/>
        <w:t xml:space="preserve">Measure No. 30693 36  </w:t>
        <w:br/>
        <w:t xml:space="preserve">I805Q - CORRUGATED CARDBOARD PRICES/REDETERMINATION OF PENALTY TOPAZZINI  </w:t>
        <w:br/>
        <w:t xml:space="preserve">Measure No. 30694 37  </w:t>
        <w:br/>
        <w:t xml:space="preserve">I805R - CORRUGATED CARDBOARD PRICES/REDETERMINATION OF PENALTY MAURO BENEDETTI  </w:t>
        <w:br/>
        <w:t xml:space="preserve">Measure No. 30695 38  </w:t>
        <w:br/>
        <w:t>(*) In this Bulletin, measure No. 30675 of 19 June 2023 is published in the corrected version following resolution No. 30704 of 11 July 2023 published in this same bulletin.</w:t>
      </w:r>
    </w:p>
    <w:p>
      <w:r>
        <w:t xml:space="preserve">I805S - CORRUGATED CARDBOARD PRICES/REDETERMINATION OF PENALTY INTERNATIONAL PAPER ITALIA  </w:t>
        <w:br/>
        <w:t xml:space="preserve">Measure No. 30696 39  </w:t>
        <w:br/>
        <w:t xml:space="preserve">I805T - CORRUGATED CARDBOARD PRICES/REDETERMINATION OF PENALTY PRO-GEST GROUP (PRO-GEST, CARTONSTRONG ITALIA, ONDULATI MARANELLO, ONDULATO TREVIGIANO, PLURIONDA, TRAVILKART)  </w:t>
        <w:br/>
        <w:t xml:space="preserve">Measure No. 30697 40  </w:t>
        <w:br/>
        <w:t xml:space="preserve">I805U - CORRUGATED CARDBOARD PRICES/REDETERMINATION OF PENALTY INNOVA GROUP AND INNOVA GROUP CAINO PLANT  </w:t>
        <w:br/>
        <w:t xml:space="preserve">Measure No. 30698 41  </w:t>
        <w:br/>
        <w:t xml:space="preserve">I857 - TIM-DAZN SERIES A AGREEMENT 2021/2024  </w:t>
        <w:br/>
        <w:t xml:space="preserve">Measure No. 30699 42  </w:t>
        <w:br/>
        <w:t xml:space="preserve">I858 - MUNICIPALITY OF LIVIGNO/PRICE OF FUELS FOR ROAD TRANSPORT  </w:t>
        <w:br/>
        <w:t xml:space="preserve">Measure No. 30675 123  </w:t>
        <w:br/>
        <w:t xml:space="preserve">I858 - MUNICIPALITY OF LIVIGNO/PRICE OF FUELS FOR ROAD TRANSPORT  </w:t>
        <w:br/>
        <w:t xml:space="preserve">Measure No. 30704 153  </w:t>
        <w:br/>
        <w:t xml:space="preserve">CONCENTRATION OPERATIONS 155  </w:t>
        <w:br/>
        <w:t xml:space="preserve">C12547 – ACCIAIERIE BERTOLI SAFAU/ROTT-FERR  </w:t>
        <w:br/>
        <w:t xml:space="preserve">Measure No. 30680 155  </w:t>
        <w:br/>
        <w:t xml:space="preserve">UNFAIR COMMERCIAL PRACTICES 159  </w:t>
        <w:br/>
        <w:t xml:space="preserve">IP363 - E-COMMERCE SPECIALIST-HWONLINE/ONLINE SALES  </w:t>
        <w:br/>
        <w:t xml:space="preserve">Measure No. 30700 159  </w:t>
        <w:br/>
        <w:t xml:space="preserve">PS12313 - ETORO/ADVERTISING WITHOUT COMMISSIONS  </w:t>
        <w:br/>
        <w:t xml:space="preserve">Measure No. 30701 167  </w:t>
        <w:br/>
        <w:t xml:space="preserve">PS12440 - CLEAN FORTE  </w:t>
        <w:br/>
        <w:t>Measure No. 30703 188</w:t>
      </w:r>
    </w:p>
    <w:p>
      <w:r>
        <w:rPr>
          <w:b/>
        </w:rPr>
        <w:t>[Pages 4–6]</w:t>
      </w:r>
    </w:p>
    <w:p>
      <w:r>
        <w:t xml:space="preserve">BULLETIN NO. 27 OF 17 JULY 2023 5  </w:t>
        <w:br/>
        <w:t xml:space="preserve">AGREEMENTS AND ABUSE OF DOMINANT POSITION  </w:t>
        <w:br/>
        <w:t xml:space="preserve">A507C - AVIATION FUEL SUPPLY SERVICE AT BERGAMO AIRPORT  </w:t>
        <w:br/>
        <w:t xml:space="preserve">Measure No. 30678  </w:t>
        <w:br/>
        <w:t xml:space="preserve">THE COMPETITION AND MARKET AUTHORITY  </w:t>
        <w:br/>
        <w:t xml:space="preserve">IN ITS MEETING of 28 June 2023;  </w:t>
        <w:br/>
        <w:t xml:space="preserve">HEARD the Rapporteur, President Roberto Rustichelli;  </w:t>
        <w:br/>
        <w:t xml:space="preserve">HAVING REGARD to Law No. 287 of 10 October 1990;  </w:t>
        <w:br/>
        <w:t xml:space="preserve">HAVING REGARD, in particular, to Article 14-ter, paragraph 2, of Law No. 287 of 10 October 1990, pursuant to which the Authority, in the event of non-compliance with the commitments made mandatory pursuant to Article 14-ter, paragraph 1, may impose an administrative pecuniary sanction of up to 10 percent of turnover;  </w:t>
        <w:br/>
        <w:t xml:space="preserve">HAVING REGARD to Law No. 689 of 24 November 1981;  </w:t>
        <w:br/>
        <w:t xml:space="preserve">HAVING REGARD to Presidential Decree No. 217 of 30 April 1998;  </w:t>
        <w:br/>
        <w:t xml:space="preserve">HAVING REGARD to its own resolution No. 27089 of 14 March 2018, with which the commitments presented by Società per l’Aeroporto civile di Bergamo Orio al Serio S.p.A. - SACBO S.p.A. and Levorato Marcevaggi S.r.l. were made mandatory and, at the same time, the procedure against the same companies was closed without establishing the infringement, pursuant to Article 14-ter, paragraph 1, of Law No. 287/1990;  </w:t>
        <w:br/>
        <w:t xml:space="preserve">HAVING REGARD to its own resolution No. 30433 of 20 December 2022, with which the Authority initiated a procedure to contest to Società per l’Aeroporto civile di Bergamo Orio al Serio S.p.A. - SACBO S.p.A. the violation referred to in Article 14-ter, paragraph 2, of Law No. 287/1990 for the alleged non-compliance with its resolution No. 27089 of 14 March 2018;  </w:t>
        <w:br/>
        <w:t xml:space="preserve">HAVING REGARD to the Communication of Investigative Findings sent to the Parties on 20 April 2023;  </w:t>
        <w:br/>
        <w:t xml:space="preserve">HAVING REGARD to the final memorandum of Società per l’Aeroporto civile di Bergamo Orio al Serio S.p.A. - SACBO S.p.A., received on 18 May 2023;  </w:t>
        <w:br/>
        <w:t xml:space="preserve">HEARD in the final hearing, on 23 May 2023, the representatives of Società per l’Aeroporto civile di Bergamo Orio al Serio S.p.A. - SACBO S.p.A.;  </w:t>
        <w:br/>
        <w:t xml:space="preserve">HAVING REGARD to the documents of the procedure;  </w:t>
        <w:br/>
        <w:t xml:space="preserve">CONSIDERING the following:  </w:t>
        <w:br/>
        <w:t xml:space="preserve">I. PREMISE  </w:t>
        <w:br/>
        <w:t>1. By measure No. 27089 of 14 March 2018, the Authority decided to close the A507 procedure, initiated against Società per l’Aeroporto Civile di Bergamo Orio al Serio S.p.A. - SACBO S.p.A. (hereinafter, SACBO, the total manager of Bergamo Orio al Serio Airport) and Levorato Marcevaggi S.r.l. (hereinafter, Levorato, a company active in the storage and boarding of aviation fuel and holder of the only fuel depot present at the aforementioned airport) without establishing the infringement, making mandatory the commitments proposed by them pursuant to Article 14-ter, paragraph 1, of Law No. 287/1990.</w:t>
      </w:r>
    </w:p>
    <w:p>
      <w:r>
        <w:t xml:space="preserve">6 BULLETIN NO. 27 OF 17 JULY 2023  </w:t>
        <w:br/>
        <w:t xml:space="preserve">2. The articulated set of commitments included, in particular, the following measures:  </w:t>
        <w:br/>
        <w:t xml:space="preserve">a) the consensual termination of the sub-concession between SACBO and Levorato, with the purchase of the depot by the airport manager;  </w:t>
        <w:br/>
        <w:t xml:space="preserve">b) the construction (by Levorato) of an external loading bay for the refueling of third parties other than the manager;  </w:t>
        <w:br/>
        <w:t xml:space="preserve">c) the construction by SACBO of additional parking spaces for tankers, assigned to the various operators active in the boarding of fuel (into plane activity) by virtue of the contracts they signed downstream with the oil companies;  </w:t>
        <w:br/>
        <w:t xml:space="preserve">d) the issuance of a tender, by SACBO, for the assignment of the management of the depot (and the loading bay) and for the offer of the storage service, providing, among other things, in the tender that the management of the depot and the loading bay “be assigned until 31 December 2020, when the new depot will be operational, in order to avoid extensions of the assignment”;  </w:t>
        <w:br/>
        <w:t xml:space="preserve">e) the construction of a new centralized depot of greater capacity “within 16 months of the approval of the new Airport Development Plan scheduled for spring 2019”, thus, by the summer of 2020.  </w:t>
        <w:br/>
        <w:t xml:space="preserve">II. THE PARTY  </w:t>
        <w:br/>
        <w:t xml:space="preserve">3. SACBO is the total manager of Bergamo Orio al Serio Airport by virtue of a concession signed with the National Civil Aviation Authority (hereinafter, ENAC) on 1 March 2002, expiring on 7 January 2042. The share capital of SACBO is currently distributed among the following shareholders: S.E.A. S.p.A. (30.98%), Intesa San Paolo S.p.A. (17.9%), Municipality of Bergamo (13.84%), C.C.I.A.A. of Bergamo (13.25%), Province of Bergamo (10.2%), Banco BPM S.p.A. (6.96%), Italcementi S.p.A. (3.27%), SACBO (3%), Confindustria Bergamo (0.59%) and Aeroclub Taramelli (0.01%).  </w:t>
        <w:br/>
        <w:t xml:space="preserve">III. THE INVESTIGATIVE PROCEDURE  </w:t>
        <w:br/>
        <w:t xml:space="preserve">4. On 20 December 2022, the Authority initiated a procedure against SACBO, pursuant to Article 14-ter, paragraph 2, of Law No. 287/1990, for non-compliance with measure No. 27089 of 14 March 2018.  </w:t>
        <w:br/>
        <w:t xml:space="preserve">5. The initiation of non-compliance followed communications of 9 November 20221 and 6 December 20222 in which SACBO communicated, among other things, the recourse to the extension of the assignment to Levorato for the management of the existing fuel depot at Orio al Serio Airport.  </w:t>
        <w:br/>
        <w:t xml:space="preserve">6. In particular, in the aforementioned initiation measure No. 30433 of 20 December 2022, the Authority considered that “the conduct engaged in by SACBO in relation to the recourse to the extension for the assignment of the management of the existing fuel depot at Orio al Serio Airport starting from 1 January 2023 was not consistent with the content of the commitments made mandatory by the Authority pursuant to Article 14-ter, paragraph 1, of Law No. 287/1990 and with the purposes underlying them. The aforementioned conduct, therefore, is likely to constitute a violation of Article 14-ter, paragraph 2, of Law No. 287/1990”3.  </w:t>
        <w:br/>
        <w:t xml:space="preserve">7. On 1 February 2023, SACBO was heard in a hearing4.  </w:t>
        <w:br/>
        <w:t xml:space="preserve">1 See doc. 1 and doc. 19, annex 1.  </w:t>
        <w:br/>
        <w:t xml:space="preserve">2 See doc. 2 and doc. 19, annex 2.  </w:t>
        <w:br/>
        <w:t xml:space="preserve">3 See doc. 3.  </w:t>
        <w:br/>
        <w:t>4 See doc. 10.</w:t>
      </w:r>
    </w:p>
    <w:p>
      <w:r>
        <w:t xml:space="preserve">BULLETIN NO. 27 OF 17 JULY 2023 7  </w:t>
        <w:br/>
        <w:t xml:space="preserve">8. By communication of 7 February 2023, SACBO transmitted a defensive note as well as a draft tender specification for the assignment of the existing depot, simultaneously requesting feedback to “promptly initiate the new award procedure for the management of the existing depot”5.  </w:t>
        <w:br/>
        <w:t xml:space="preserve">9. By letter of 2 March 2023, the Authority “acknowledged the draft tender specification for publication purposes, reiterating, however, the need to proceed with the issuance of the tender for the assignment of the management of the depot.” In the same letter, the Authority also stated that: “all evaluations regarding the possible ascertainment of the behaviors engaged in by SACBO S.p.A. as likely to configure a violation of the commitments made mandatory by the Authority with the measure of 14 March 2018, No. 27089, remain unaffected”6.  </w:t>
        <w:br/>
        <w:t xml:space="preserve">10. On 8 March 2023, SACBO communicated that, on 6 March 2023, the extract of the tender along with its attachments was published on its official website (https://www.milanbergamoairport.it/it/gare-in-corso/) and that the tender notice would be published in the newspapers Corriere della Sera, national edition, and Sole 24 ore by the same day7.  </w:t>
        <w:br/>
        <w:t xml:space="preserve">11. On 20 April 2023, the Authority transmitted to the Party the Communication of Investigative Findings (hereinafter, also CRI)8. In the CRI, it was communicated that the recourse to the extension of the assignment of the management of the existing depot constituted non-compliance with measure No. 27089/2018, in violation of Article 14-ter, paragraph 2, of Law No. 287/1990, and that this violation ceased only after the initiation of the present procedure, with the preparation of the tender specification filed in draft on 7 February 2023, which was followed by its publication and, therefore, the issuance of the tender for the selection of the manager on 6 March 2023.  </w:t>
        <w:br/>
        <w:t xml:space="preserve">12. On 24 April 2023, SACBO submitted a request for access to documents9, which was accepted on the following 26 April 202310.  </w:t>
        <w:br/>
        <w:t xml:space="preserve">13. SACBO submitted a final memorandum on 18 May 202311. The company was heard in a final hearing before the Board on 23 May 202312.  </w:t>
        <w:br/>
        <w:t xml:space="preserve">IV. THE INVESTIGATIVE FINDINGS  </w:t>
        <w:br/>
        <w:t xml:space="preserve">14. The findings of the investigation are illustrated below, particularly the defenses of the Party, as well as the measures adopted by it during the present procedure.  </w:t>
        <w:br/>
        <w:t xml:space="preserve">15. In the hearing of 1 February 2023, as well as in the subsequent communication of 7 February 2023, SACBO clarified, first of all, its intention to provide maximum cooperation in order to remedy the ongoing situation, preparing and publishing, following positive feedback from the Authority, the tender specification. At the same time, the company presented its defense, arguing that no non-compliance can, in any case, be attributed to it. This defense was  </w:t>
        <w:br/>
        <w:t xml:space="preserve">5 See doc. 11. The Party also transmitted the text of the letter revising the extension of the sub-concession in favor of the current manager of the depot, Levorato, which, in the perspective of greater containment of the duration of the existing assignment, establishes the deadline upon the occurrence of the first date between: (i) the day of delivery of the facility to the manager who will be awarded the selection for the management of the current depot and (ii) 30 June 2023.  </w:t>
        <w:br/>
        <w:t xml:space="preserve">6 See doc. 12.  </w:t>
        <w:br/>
        <w:t xml:space="preserve">7 See doc. 13.  </w:t>
        <w:br/>
        <w:t xml:space="preserve">8 See doc. 14.  </w:t>
        <w:br/>
        <w:t xml:space="preserve">9 See doc. 15.  </w:t>
        <w:br/>
        <w:t xml:space="preserve">10 See doc. 16.  </w:t>
        <w:br/>
        <w:t xml:space="preserve">11 See doc. 19.  </w:t>
        <w:br/>
        <w:t>12 See doc. 21.</w:t>
      </w:r>
    </w:p>
    <w:p>
      <w:r>
        <w:rPr>
          <w:b/>
        </w:rPr>
        <w:t>[Pages 7–9]</w:t>
      </w:r>
    </w:p>
    <w:p>
      <w:r>
        <w:t xml:space="preserve">8 BULLETIN NO. 27 OF 17 JULY 2023  </w:t>
        <w:br/>
        <w:t xml:space="preserve">reiterated and specified in the final memorandum of 18 May 2023 and in the hearing before the Board on 23 May 2023, during which SACBO also presented its arguments regarding the non-applicability of the penalty.  </w:t>
        <w:br/>
        <w:t xml:space="preserve">On the non-existence of non-compliance  </w:t>
        <w:br/>
        <w:t xml:space="preserve">16. SACBO believes that non-compliance does not exist as the management of the existing depot was entrusted to Levorato through a tender on 31 May 2018, and the extension of this entrustment recently prepared by SACBO would fall within the scope of the commitment13. According to SACBO, the final term of the entrustment to Levorato was indeed set at 31 December 2020, but on the assumption that on that date the new depot would become operational. Therefore, this event - which has been delayed to date for reasons not attributable to SACBO14 - should be understood as a condicio sine qua non to consider the term of that sub-concession to Levorato definitively expired and, therefore, to call for a new tender.  </w:t>
        <w:br/>
        <w:t xml:space="preserve">The date of 31 December 2020 must therefore be considered surpassed, and the management entrusted to Levorato could have been extended until the operation of the new depot actually began, without the need for further interventions by the Authority, so that no non-compliance can be established.  </w:t>
        <w:br/>
        <w:t xml:space="preserve">17. Moreover, according to the Party, the assumption that the extension should be considered already authorized until that moment would also find a basis in the letter of 18 March 2020, in which the Authority acknowledged the third compliance report of 30 December 2019 and also communicated that “any consequent possible extension of the management of the existing depot at Bergamo airport, even if awarded through a tender, cannot exceed the minimum duration strictly necessary for the realization of the new centralized infrastructure”15.  </w:t>
        <w:br/>
        <w:t xml:space="preserve">18. Furthermore, the tender for a “bridge” award for the management of the existing depot, concerning the entrustment of a technically demanding and economically burdensome service for an uncertain and provisional period (i.e., linked to the construction and commissioning times of the new depot), would not be profitable and would disincentivize, as has indeed happened, the participation of competitors of Levorato. In this regard, in fact, in the tender announced last 6 March, in addition to Levorato, only one other operator (Carboil S.r.l.) submitted an offer, making itself available to carry out only part of the investments required by the specifications16.  </w:t>
        <w:br/>
        <w:t xml:space="preserve">19. With reference to the construction and commissioning of the new depot, SACBO reiterated that this has not occurred due to circumstances independent of the company and due to the (unforeseeable) delays of the competent administrations in approving the Airport Development Plan (hereinafter, PSA), a necessary condition for constructing the depot. In this regard, SACBO clarified that the procedure for the approval of the PSA, although it is at an advanced stage, is still ongoing.  </w:t>
        <w:br/>
        <w:t xml:space="preserve">Moreover, the time for the realization and commissioning of the new depot, originally set at sixteen months from the approval of the PSA, can no longer be considered a reasonable term, as SACBO will have to entrust the construction and management of the new depot to a third party that must, in any case, be a company under the control of SACBO17, even if participated by an industrial partner. According to SACBO, however, it would not be possible today to establish the new company and call for the tender for the selection of the industrial partner, as the ENAC Regulation (of which the Authority announced publication in January 2022) that will regulate the governance, organization, and endowments of the depot managers to which the new company must conform has not yet come into force. In light of this, as long as the aforementioned Regulation is not issued, SACBO will not be able to prepare the documents for the establishment of the new company and the identification of the industrial partner18.  </w:t>
        <w:br/>
        <w:t xml:space="preserve">20. In conclusion, according to SACBO, any finding of non-compliance:  </w:t>
        <w:br/>
        <w:t xml:space="preserve">a) would be illegitimate, as the extension is an act already contemplated by the commitment until the moment of the commissioning of the new depot, without the need for further interventions by the Authority.  </w:t>
        <w:br/>
        <w:t xml:space="preserve">b) would not be supported by the need for effective protection of competition in the market.  </w:t>
        <w:br/>
        <w:t xml:space="preserve">On the non-applicability of the penalty  </w:t>
        <w:br/>
        <w:t xml:space="preserve">21. SACBO, in any case, believes that, in this specific case, no penalty can be applied, considering that the company has always shown maximum cooperation and willingness to initiate a shared path with the Authority, both in the pre-investigation phase, proposing a possible revision of the commitments in addition to communicating the extension, in response to which the company received no indication to call for the tender, and especially during the procedure, with the timely announcement of the tender, thus putting an end to the alleged non-compliance, as admitted in the same CRI.  </w:t>
        <w:br/>
        <w:t xml:space="preserve">22. In particular, the announcement of the tender by SACBO based on a specification shared with the Authority and approved by it would be suitable to eliminate the competitive concerns raised at the outset, thus negating the premises of the alleged non-compliance and imposing the closure of the Procedure without the finding of any violation of Article 14-ter, paragraph 2, of Law No. 287/1990, or at least without the application of a penalty.  </w:t>
        <w:br/>
        <w:t xml:space="preserve">23. This would, moreover, be in line with the Authority's decision-making practice regarding similar situations where the alleged non-compliance has had a very limited duration as the Party has adopted measures deemed suitable to comply during the procedure and has therefore not been sanctioned (A357C-Telecom/TIM–Vodafone–Wind; A521C- Intermediation activities of taxi service demand in the municipality of Turin-Non-compliance; A428C- Wind-Fastweb/Conducts Telecom Italia).  </w:t>
        <w:br/>
        <w:t xml:space="preserve">The tender specifications  </w:t>
        <w:br/>
        <w:t xml:space="preserve">24. On 7 February 2023, the Party submitted a draft tender specification for the entrustment of the management of the existing depot. The specification has content almost identical to that submitted on 6 April 2018 in compliance with the commitments made mandatory by measure No. 27089/2018.  </w:t>
        <w:br/>
        <w:t xml:space="preserve">25. Also in the new specification, the tender concerns the entrustment in sub-concession, based on objective and non-discriminatory assignment criteria, to a specialized company in the sector and possessing the requirements and suitable technical and organizational capabilities (hereinafter specified), for the operation and management of the fuel depot and the external loading bay and the related storage activity, exclusively serving the Orio al Serio Airport.  </w:t>
        <w:br/>
        <w:t xml:space="preserve">The specification specifies that the infrastructure must be operated and managed according to transparent, objective, and non-discriminatory criteria: therefore, the contractor must guarantee access to all operators certified by ENAC, as well as to the oil companies contracting with them that intend to use the infrastructure itself to store fuel intended to refuel aircraft.  </w:t>
        <w:br/>
        <w:t xml:space="preserve">26. As for the duration of the entrustment, it will commence from the date of entry into the depot with a deadline of 30 June 2025.  </w:t>
        <w:br/>
        <w:t xml:space="preserve">27. As far as is relevant here, it is stated that the specification requires the following minimum participation requirements:  </w:t>
        <w:br/>
        <w:t xml:space="preserve">a) having a positive final profit in at least two of the five financial years relating to the years 2018-2019-2020-2021-2022;  </w:t>
        <w:br/>
        <w:t xml:space="preserve">b) possession of ISO 9001 certification;  </w:t>
        <w:br/>
        <w:t xml:space="preserve">c) competence in managing airport fuel depots to be demonstrated by self-declaration in which it must be stated that the operator has managed in the last five years (2018-2019-2020-2021-2022) at least one fuel depot, for a continuous period of at least three years, at an airport in the European Union. In that depot, at least one hundred thousand cubic meters of JET A1 fuel for commercial aviation aircraft must have been dispensed in a calendar year19;  </w:t>
        <w:br/>
        <w:t xml:space="preserve">d) certification issued by the Airport Management Company where the depot is located stating the type of contract under which the management occurred and the correct fulfillment of contractual obligations regarding the management of the fuel depot;  </w:t>
        <w:br/>
        <w:t xml:space="preserve">e) possession of the authorizations for the provision of the service referred to in category 7.1, of Annex A and according to the provisions of Article 13 of Legislative Decree 18/1999 for the provision of the service (organization and execution of refueling and fuel recovery, including storage, quality and quantity control of supplies) or equivalent authorizations for operators from other EU States.  </w:t>
        <w:br/>
        <w:t xml:space="preserve">These requirements were also required by the tender specifications of 201820.  </w:t>
        <w:br/>
        <w:t xml:space="preserve">28. Furthermore, regarding the award criterion, the specification provides that the best offer will be the one that has totaled the highest number of points as a sum of the technical-qualitative offer and the economic offer, according to the following criteria:  </w:t>
        <w:br/>
        <w:t xml:space="preserve">a) Technical-Qualitative Offer: maximum [omitted]* points;  </w:t>
        <w:br/>
        <w:t xml:space="preserve">b) Economic Offer: maximum [omitted] points.  </w:t>
        <w:br/>
        <w:t xml:space="preserve">These criteria have also remained unchanged compared to 2018.  </w:t>
        <w:br/>
        <w:t xml:space="preserve">29. Regarding the fees, as in 2018, it is established that the awarded party will pay an annual fee as a regulated consideration for the area occupied and an annual regulated fee (divided into 12 monthly payments) for the use of the facility.  </w:t>
        <w:br/>
        <w:t xml:space="preserve">30. Also in this specification, as in the previous one, it is provided that the awarded party has the obligation of accounting separation between the storage service and the into-plane service.  </w:t>
        <w:br/>
        <w:t xml:space="preserve">19 In the self-declaration, it must be indicated: 1) the airport where the depot is located, 2) the name of the owner of the depot, if different from the operator.  </w:t>
        <w:br/>
        <w:t xml:space="preserve">20 The only difference lies in the fact that in the previous specification it was required to have a positive final profit in two of the last three financial years (years 2014-2015-2016).  </w:t>
        <w:br/>
        <w:t>* In this version, some data are omitted, as elements of confidentiality or secrecy of the information were deemed to exist.</w:t>
      </w:r>
    </w:p>
    <w:p>
      <w:r>
        <w:rPr>
          <w:b/>
        </w:rPr>
        <w:t>[Pages 10–12]</w:t>
      </w:r>
    </w:p>
    <w:p>
      <w:r>
        <w:t xml:space="preserve">BULLETIN NO. 27 OF 17 JULY 2023 11  </w:t>
        <w:br/>
        <w:t xml:space="preserve">31. Finally, regarding the timing, this tender must also be awarded within sixty days following the publication of the announcement, with the successful bidder being required to deposit within forty-five days from the award.  </w:t>
        <w:br/>
        <w:t xml:space="preserve">V. EVALUATIONS  </w:t>
        <w:br/>
        <w:t xml:space="preserve">On non-compliance  </w:t>
        <w:br/>
        <w:t xml:space="preserve">32. This procedure was initiated pursuant to Article 14-ter, paragraph 2, of Law No. 287/1990, to contest SACBO's non-compliance with measure No. 27089 of 14 March 2018, whereby the Authority decided to make the commitments presented by SACBO and Levorato mandatory, closing the procedure without establishing the infringement, pursuant to Article 14-ter, paragraph 1, of Law No. 287/1990.  </w:t>
        <w:br/>
        <w:t xml:space="preserve">33. With the resolution of 20 December 2022 initiating this procedure, the Authority deemed that SACBO's request for an extension for the management of the existing fuel depot at Orio al Serio airport starting from 1 January 2023 was not consistent with the content of the commitments made mandatory by the Authority with the aforementioned measure of 2018 and, in particular, with the commitment to award said management through a tender.  </w:t>
        <w:br/>
        <w:t xml:space="preserve">34. The Party defended itself on the merits of the allegation, arguing that the extension of the sub-concession to Levorato for the management of the existing depot, which expired on 31 December 2022, would not constitute a non-compliance with the commitment to award said management through a tender, as the extension was an act already contemplated by the commitment until the new depot became operational, without the need for further interventions by the Authority.  </w:t>
        <w:br/>
        <w:t xml:space="preserve">35. The Party's argument is not shareable, as it is unfounded. The commitment undertaken and made mandatory, the violation of which is contested, provides for the awarding of the management of the existing depot through a tender, and the award in favor of Levorato expired on 31 December 2022. The circumstance that, at the time of announcing the tender, it was believed that the new depot would become operational before the expiration of the related award does not imply that the Party, upon expiration of the award, is exempt from calling a new tender and, therefore, automatically authorized to extend the expired award. Otherwise, there would be a contradiction with the letter and the underlying purposes of the commitment - which, together with others, led to the closure of the procedure without establishing the infringement - to open, that is, competition for the storage market by announcing a new tender for the management of the depot and to also establish the necessary structural conditions for opening the market downstream of the fueling activity (into plane activity).  </w:t>
        <w:br/>
        <w:t xml:space="preserve">36. Moreover, SACBO itself did not believe that the tender was unnecessary and that the extension was an act already contemplated by the commitment and that, therefore, the company was automatically authorized to extend the award to Levorato expiring on 31 December 2022, but, on the contrary, was aware that it was obliged to submit a formal request for extension to the Authority to allow for its evaluation.  </w:t>
        <w:br/>
        <w:t xml:space="preserve">37. In this regard, it is noted that, being the company aware, at least since August 2022, that upon the expiration of the sub-concession contract a new award for the management of the existing depot would be necessary (as the works for the construction of the new depot had not even begun), in the letter of 3 August 2022, in requesting ENAC's approval for the extension of the sub-concession, SACBO explicitly stated that any extension would require formal consent from the Authority. In the aforementioned letter, in fact, the company, after clarifying to the Regulator that it could not define certain timelines for the construction of the new depot and that its commissioning would require [omitted] from the current date, represented that “for the above-mentioned commitments, SACBO S.p.A. is obliged to submit a formal request to the AGCM for the acceptance of the extension of the management contract of the fuel depot […] as a necessary condition prior to any contractual formalization between SACBO and the current Manager.”  </w:t>
        <w:br/>
        <w:t xml:space="preserve">38. In the communication of 9 November 2022, with which the company also notified its intention to extend Levorato's concession, “it is requested, to allow for contractual formalization, that this Authority expresses its favorable position, on the assumption that this extension is not incompatible with the commitments made during the Procedure and, more generally, with antitrust regulations.”  </w:t>
        <w:br/>
        <w:t xml:space="preserve">39. Furthermore, in the aforementioned documents, SACBO clarifies that the formalization of the two-year extension of the sub-concession contract at its first expiration (i.e., on 31 December 2020) was allowed because, “as a result of the crisis in the sector triggered by the COVID-19 pandemic, regulatory and legislative updates were introduced (ref. DL Rilancio and ENAC Note prot. DG-15/06/2020 […]”, and not, therefore, because the new depot had not been built and put into operation.  </w:t>
        <w:br/>
        <w:t xml:space="preserve">40. In conclusion, from the formal documents it emerges unequivocally and clearly that:  </w:t>
        <w:br/>
        <w:t xml:space="preserve">(i) no legitimate reliance could exist on the part of SACBO regarding the non-necessity of conducting the tender;  </w:t>
        <w:br/>
        <w:t xml:space="preserve">(ii) rather, the documentation shows the Party's full awareness of the need to obtain authorization for any further extensions;  </w:t>
        <w:br/>
        <w:t xml:space="preserve">(iii) moreover, the only extension granted by SACBO occurred with prior authorization from the Authority in an exceptional context related to the Covid-19 emergency and based on the related emergency legislation, both European and national.  </w:t>
        <w:br/>
        <w:t xml:space="preserve">That said, although SACBO had already formed the conviction in August 2022 that it would need to resort again to an extension of the concession, it only notified the Authority of this on 9 November 2022, effectively making the extension inevitable concerning the set deadline (31 December 2022) to allow for the maintenance of the airport's operations.  </w:t>
        <w:br/>
        <w:t xml:space="preserve">41. Finally, regarding the so-called competition protection for the market, the announcement of the tender on 6 March 2023 nonetheless allowed the participation of another operator, demonstrating the existence of interest from competitors.  </w:t>
        <w:br/>
        <w:t xml:space="preserve">22 See doc. 1, attachment 3.  </w:t>
        <w:br/>
        <w:t xml:space="preserve">23 See doc. 1 and doc. 19, attachment 1. In this communication, it is confirmed that “the request submitted to ENAC, as emerges from the attached letter, expressly provided, as a necessary condition for the contractual formalization of the extension between SACBO and Levorato, ‘the obligation to submit a formal request to the AGCM for the acceptance of the extension […]’.”  </w:t>
        <w:br/>
        <w:t xml:space="preserve">24 See doc. 1, attachment 3, cited. See also doc. 1 and doc. 19, attachment 1, where it is stated that: “It is also known to this Authority that, due to the drastic reduction in air traffic as a consequence of the Covid-19 pandemic […] SACBO and Levorato formalized a two-year extension of the sub-concession which will therefore expire on 31 December 2022.”  </w:t>
        <w:br/>
        <w:t>Regarding the regulatory and legislative references contained in SACBO's letter, it is recalled that, on 15 June 2020, ENAC invited all airport managers to consider a three-year extension of ongoing sub-concessions to counteract the depressive effects that had developed during that period, explicitly citing Community Regulation (EU) No. 696/2020 of 25 May 2020, which introduced the possibility of extending contracts expiring between 25 May 2020 and 31 December 2021 until 31 December 2022. Furthermore, Article 202, paragraph 1-bis of Decree-Law No. 34 of 19 May 2020 (so-called Rilancio Decree), as converted by Law No. 77 of 17 July 2020, stated: “In consideration of the decline in traffic at Italian airports resulting from the COVID-19 epidemiological emergency and the containment measures adopted by the State and the regions, in order to contain the consequent economic effects, the duration of the concessions for the management and development of airport activities, in force at the date of entry into force of the conversion law of this decree, is extended by two years.”</w:t>
      </w:r>
    </w:p>
    <w:p>
      <w:r>
        <w:t xml:space="preserve">BULLETIN NO. 27 OF 17 JULY 2023 13  </w:t>
        <w:br/>
        <w:t xml:space="preserve">On the measure adopted by the Party  </w:t>
        <w:br/>
        <w:t xml:space="preserve">42. Only during this investigation, immediately after the initiation of this procedure, on 7 February 2023, SACBO adopted a measure consistent with the commitment undertaken and made mandatory by the Authority. On that date, SACBO indeed submitted a draft tender specification for the selection of the manager of the only existing depot, which was published on 6 March 2023, following the Authority's communication of 2 March 2023 to the Party, thereby concretely initiating the tender for the selection of the manager.  </w:t>
        <w:br/>
        <w:t xml:space="preserve">43. On the merits, SACBO's initiative to announce the tender for the selection of the depot manager must be positively evaluated, as it is suitable for restoring the necessary competitive dynamics for the storage market. Furthermore, the conditions of the tender, which are almost identical to those contained in the 2018 specification, appear, like those, in line with the principles and rules for the protection of competition. The specification indeed provides that the tender be awarded based on objective and non-discriminatory assignment criteria that guarantee broad participation, on equal terms for all interested operators, and anchored, among other things, to parameters that prioritize the technical capacity of the awardee, as well as the quality and safety of the entrusted service.  </w:t>
        <w:br/>
        <w:t xml:space="preserve">44. With regard to the case at hand, the following specific situations are relevant: (i) the collaborative conduct concretely manifested by the Party that resulted in the announcement of the tender on 6 March 2023; (ii) the state of uncertainty regarding not only the approval of the PSA but also, lastly, the entry into force of the new ENAC Regulation, the publication of which was announced in January 2022 by the Regulator, which, having to define the governance, organization, and equipment of the depot managers, prevents SACBO (until its entry into force) from preparing the acts for the establishment of the new controlled company and for the selection of the industrial partner who will manage the new depot; as well as (iii) the necessity to maintain the airport's operations.  </w:t>
        <w:br/>
        <w:t xml:space="preserve">All of the above being stated and considered;  </w:t>
        <w:br/>
        <w:t xml:space="preserve">IT IS DEEMED, in light of the investigative findings, that SACBO's recourse to the extension for the management of the existing fuel depot at Orio al Serio airport starting from 1 January 2023 constitutes non-compliance with the content of the commitments made mandatory by the Authority with measure No. 27089 of 14 March 2018 and, in particular, with the commitment to award said management through a tender;  </w:t>
        <w:br/>
        <w:t xml:space="preserve">IT IS DEEMED, however, that the initiatives undertaken and implemented by SACBO immediately after the initiation of this procedure, that is, starting from 7 February 2023, are suitable to comply, albeit belatedly, with the aforementioned commitments;  </w:t>
        <w:br/>
        <w:t xml:space="preserve">RESOLVES  </w:t>
        <w:br/>
        <w:t xml:space="preserve">that, for the reasons stated in the motivation, the prerequisites for the imposition of a penalty pursuant to Article 14-ter, paragraph 2, of Law No. 287/1990 do not exist.  </w:t>
        <w:br/>
        <w:t>This measure will be notified to the interested parties and published in the Bulletin of the Competition and Market Authority.</w:t>
      </w:r>
    </w:p>
    <w:p>
      <w:r>
        <w:rPr>
          <w:b/>
        </w:rPr>
        <w:t>[Pages 13–15]</w:t>
      </w:r>
    </w:p>
    <w:p>
      <w:r>
        <w:t xml:space="preserve">14 BULLETIN NO. 27 OF 17 JULY 2023  </w:t>
        <w:br/>
        <w:t xml:space="preserve">Against this measure, an appeal may be filed with the TAR of Lazio, pursuant to Article 135, paragraph 1, letter b), of the Code of Administrative Procedure (Legislative Decree No. 104 of 2 July 2010),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24 November 1971, within one hundred and twenty days from the date of notification of the measure itself.  </w:t>
        <w:br/>
        <w:t xml:space="preserve">THE SECRETARY GENERAL THE PRESIDENT  </w:t>
        <w:br/>
        <w:t>Guido Stazi Roberto Rustichelli</w:t>
      </w:r>
    </w:p>
    <w:p>
      <w:r>
        <w:t xml:space="preserve">BULLETIN NO. 27 OF 17 JULY 2023 15  </w:t>
        <w:br/>
        <w:t xml:space="preserve">A564 - HERA/HEATING PRICE  </w:t>
        <w:br/>
        <w:t xml:space="preserve">Measure No. 30679  </w:t>
        <w:br/>
        <w:t xml:space="preserve">THE COMPETITION AND MARKET AUTHORITY  </w:t>
        <w:br/>
        <w:t xml:space="preserve">IN ITS MEETING of 28 June 2023;  </w:t>
        <w:br/>
        <w:t xml:space="preserve">HEARD the Rapporteur, Lawyer Saverio Valentino;  </w:t>
        <w:br/>
        <w:t xml:space="preserve">HAVING REGARD to Law No. 287 of 10 October 1990, and subsequent amendments;  </w:t>
        <w:br/>
        <w:t xml:space="preserve">HAVING REGARD to Presidential Decree No. 217 of 30 April 1998;  </w:t>
        <w:br/>
        <w:t xml:space="preserve">HAVING REGARD to the documentation on file;  </w:t>
        <w:br/>
        <w:t xml:space="preserve">CONSIDERING as follows:  </w:t>
        <w:br/>
        <w:t xml:space="preserve">I. PREMISE  </w:t>
        <w:br/>
        <w:t xml:space="preserve">1. Since September 2022, several reports have been received complaining about the high costs of the district heating service (“TLR”) and the difficulties in disconnecting from the TLR network and adopting a different heating system.  </w:t>
        <w:br/>
        <w:t xml:space="preserve">One such report, coming from a civic network of condominiums and citizens, highlighted issues in the management of the district heating service in Ferrara by the Hera group. In particular, the reporter denounced significant increases in TLR tariffs applied by the Hera group since October 2021 that did not seem justifiable by the increase in raw material costs, given that the heat supplied by the Ferrara district heating network would primarily derive from the energy recovery of waste and geothermal energy. The reporter also complained that the fixed tariff applied to the geothermal component – following the agreement signed between Hera and the Municipality of Ferrara in October 2022 that detached the geothermal tariff component from the gas price – was still unfair, as it was higher than the transformed gas price itself.  </w:t>
        <w:br/>
        <w:t xml:space="preserve">2. The Offices sent a request for information to the Hera group on 2 December 2022. The request concerned the district heating networks operated by the group, the related energy sources used (and their weight, in terms of energy produced and expenditure for the service provider), the methods of price determination and the trend of raw material costs, the methods and costs of withdrawal, and, if applicable, the reimbursement of the initial investment, as well as the presence or absence of any subsidies. The response to this request was received in January 2023 and was last supplemented on 31 March 2023.  </w:t>
        <w:br/>
        <w:t xml:space="preserve">II. THE PARTIES  </w:t>
        <w:br/>
        <w:t xml:space="preserve">3. Hera S.p.A. is a company at the top of the eponymous multi-utility corporate group, operating in the environmental (waste management and treatment), water (aqueduct, sewage, and purification), and energy (distribution and sale of electricity, gas, and energy services) sectors, but also in the public lighting and telecommunications services sector. In 2022, Hera achieved a consolidated group revenue of approximately 20 billion euros.  </w:t>
        <w:br/>
        <w:t>4. Herambiente S.p.A. is the company leading the activities of the HERA group in the environmental sector. Its capital is held 75% by Hera S.p.A. and 25% by EWHL European Waste Holdings Limited, a company under English law. In 2021, the consolidated revenue of Herambiente was 432.7 million euros.</w:t>
      </w:r>
    </w:p>
    <w:p>
      <w:r>
        <w:t xml:space="preserve">16 BULLETIN NO. 27 OF 17 JULY 2023  </w:t>
        <w:br/>
        <w:t xml:space="preserve">III. HERA'S PRICES FOR DISTRICT HEATING  </w:t>
        <w:br/>
        <w:t xml:space="preserve">III.1. The district heating sector  </w:t>
        <w:br/>
        <w:t xml:space="preserve">5. District heating is a system for supplying heat (delivered through hot water/steam) and hot sanitary water to domestic and non-domestic users, as an alternative to the traditional heating system using gas boilers. The heat supplied through a TLR network can come from various types of plants and derive from different energy sources.  </w:t>
        <w:br/>
        <w:t xml:space="preserve">6. A wide variety of fuels can be used to generate heat: natural gas, biomass, municipal solid waste, coal, fuel oil. Of the total thermal energy supplied, about 26% comes from sources considered renewable (bioenergy, geothermal, waste, etc.), while the remaining 74% comes from natural gas and, to a lesser extent, other fossil fuels (of which, 50% from cogeneration, 24% from simple production). About 2/3 of the heat fed into TLR networks is produced in "cogeneration" plants, i.e., in plants that allow for the simultaneous production of electricity and heat.  </w:t>
        <w:br/>
        <w:t xml:space="preserve">7. The diffusion of the service remains concentrated mainly in Northern and Central Italy, where the higher demand for heat for building heating and the high population density justify the significant infrastructural investments necessary to ensure service availability to users1. For historical reasons as well, the main operators are the main former municipal companies in the North of the country (including the Hera group), generally active in the adjacent sectors of natural gas and electricity and integrated into the distribution and sales activity.  </w:t>
        <w:br/>
        <w:t xml:space="preserve">8. The generation of heat thus generally assumes, in the Italian TLR networks (as well as, as will be seen, in the specific case of Hera), a configuration of vertically integrated monopoly, with the same entity generating the heat, transporting it, distributing it locally, and selling it to the end user. This arises, in turn, from the natural monopoly character of the heat transport and distribution network – analogous to other transport and distribution networks (for example, those of gas and electricity, often managed by the same monopolist that manages the TLR network). Unlike the latter, however, TLR could in theory be replaced by alternative heating systems, particularly by traditional heating systems using gas boilers, and this possibility could, at least in theory, ensure the existence of a form of ex ante competition between alternative heating systems that could mitigate the market power of TLR operators over their users. Probably, also for this reason, as well as for the fact that TLR represented, in recent years, an emerging heating method, no regulation of the price of heat transfer to users has been foreseen so far, which is therefore left to the free determination of operators.  </w:t>
        <w:br/>
        <w:t xml:space="preserve">9. In November 2022, the Regulatory Authority for Energy Networks and Environment (“ARERA”) published the results of its own inquiry into the TLR sector and, in particular, on the relationship between prices and related costs, to investigate the phenomenon of significant price increases for the service observed, on average, since the last quarter of 2021, concurrently with the sudden increase in natural gas prices2. ARERA noted that among the operators in the sector, it was common practice to set the prices of the district heating service in such a way as to reflect the expenditure that the user would incur if they used an alternative air conditioning system (the so-called “avoided cost” method). In any case, as illustrated by Figure 1 (extracted from the document published by the regulator), ARERA also noted that the prices charged by the operators were  </w:t>
        <w:br/>
        <w:t xml:space="preserve">1 The five regions in the North – Lombardy, Piedmont, Trentino-Alto Adige, Emilia-Romagna, and Veneto – account for 97% of the thermal energy supplied by district heating systems in Italy.  </w:t>
        <w:br/>
        <w:t>2 See https://www.arera.it/it/docs/22/547-22.htm.</w:t>
      </w:r>
    </w:p>
    <w:p>
      <w:r>
        <w:rPr>
          <w:b/>
        </w:rPr>
        <w:t>[Pages 16–18]</w:t>
      </w:r>
    </w:p>
    <w:p>
      <w:r>
        <w:t xml:space="preserve">BULLETIN NO. 27 OF 17 JULY 2023 17  </w:t>
        <w:br/>
        <w:t xml:space="preserve">generally higher than the estimate of the actual "avoided cost" made by that Authority, suggesting therefore that the possibility of switching to the traditional heating system was not entirely determinative for the prices charged by the TLR operators, probably due to the imperfect ability of consumers to compare the convenience of different heating systems and due to the costs incurred by them to switch from one system to another (so-called switching costs). Finally, ARERA observed that, in any case, there were operators who, while adjusting their rates based on the price of gas, produced the heat supplied through other energy sources, not necessarily subject to the same trend, noting that such operators would have realized significant excess profits.  </w:t>
        <w:br/>
        <w:t xml:space="preserve">Figure 1: Comparison between the prices recorded and the estimate of the avoided cost developed by ARERA  </w:t>
        <w:br/>
        <w:t xml:space="preserve">Source: ARERA inquiry on the evolution of prices and costs of TLR. The solid line (blue) represents the level of the avoided cost calculated by the Authority, while the boxplots show the distribution of the list prices published by the operators.  </w:t>
        <w:br/>
        <w:t xml:space="preserve">III.2. The TLR networks of Hera and the trend of prices  </w:t>
        <w:br/>
        <w:t xml:space="preserve">10. The Hera group operates twenty-five district heating networks registered with ARERA, which cover twelve municipalities and can be grouped into the following seven local areas: metropolitan area of Bologna, Imola, Modena, Ferrara, Forlì, Cesena, and Ravenna. Table 1 summarizes some salient characteristics of the networks in these areas.  </w:t>
        <w:br/>
        <w:t xml:space="preserve">Table 1 – District heating networks of the Hera group*  </w:t>
        <w:br/>
        <w:t xml:space="preserve">Company Networks Energy sources Tariff method  </w:t>
        <w:br/>
        <w:t xml:space="preserve">Avoided cost + Variations  </w:t>
        <w:br/>
        <w:t xml:space="preserve">geothermal [40-50%], waste [30-40%], gas [10-20%] until 30/9/2022; from 1/10/22: weighted average  </w:t>
        <w:br/>
        <w:t>* In this version, some data are omitted, as elements of confidentiality or secrecy of the information were deemed to exist.</w:t>
      </w:r>
    </w:p>
    <w:p>
      <w:r>
        <w:t xml:space="preserve">18 BULLETIN NO. 27 OF 17 JULY 2023  </w:t>
        <w:br/>
        <w:t xml:space="preserve">geothermal at fixed cost and other sources at avoided cost  </w:t>
        <w:br/>
        <w:t xml:space="preserve">gas [70-80%], waste [20-30%], other [0-5%] Avoided cost + Variations  </w:t>
        <w:br/>
        <w:t xml:space="preserve">Hera S.p.A. Bologna  </w:t>
        <w:br/>
        <w:t xml:space="preserve">gas [60-70%], waste [30-40%], solar [0-5%] Avoided cost + Variations  </w:t>
        <w:br/>
        <w:t xml:space="preserve">Hera S.p.A. Forlì  </w:t>
        <w:br/>
        <w:t xml:space="preserve">natural gas Avoided cost + Variations  </w:t>
        <w:br/>
        <w:t xml:space="preserve">Hera S.p.A. Imola  </w:t>
        <w:br/>
        <w:t xml:space="preserve">natural gas  </w:t>
        <w:br/>
        <w:t xml:space="preserve">Avoided cost + Variations  </w:t>
        <w:br/>
        <w:t xml:space="preserve">Hera S.p.A. Modena  </w:t>
        <w:br/>
        <w:t xml:space="preserve">natural gas  </w:t>
        <w:br/>
        <w:t xml:space="preserve">Avoided cost + Variations  </w:t>
        <w:br/>
        <w:t xml:space="preserve">Hera S.p.A. Cesena  </w:t>
        <w:br/>
        <w:t xml:space="preserve">natural gas  </w:t>
        <w:br/>
        <w:t xml:space="preserve">Avoided cost + Variations  </w:t>
        <w:br/>
        <w:t xml:space="preserve">Hera S.p.A. Ravenna  </w:t>
        <w:br/>
        <w:t xml:space="preserve">natural gas  </w:t>
        <w:br/>
        <w:t xml:space="preserve">11. The Ferrara network, one of the largest Italian networks, covers about 10% of civil thermal consumption and is primarily powered by the combustion of waste and geothermal energy, with a residual contribution from natural gas integration boilers. The Bologna networks are partially served by natural gas plants and partially by the FEA waste-to-energy plant. The Forlì networks, of limited extent, are predominantly powered by fossil energy, with a significant contribution from the waste-to-energy plant and a more limited one. The Imola network, of significant extent, and those of Modena, Cesena, and Ravenna (very small) are powered by heat produced from the combustion of natural gas.  </w:t>
        <w:br/>
        <w:t xml:space="preserve">12. The group's networks are directly managed by Hera S.p.A., which is therefore the holder of both the heat sale contracts and those for the purchase of heat upstream or the raw materials necessary for its production. This company is also the owner of the heat production plants, with the exception of the waste-to-energy plants in Ferrara and Forlì (owned by Herambiente S.p.A.), the geothermal wells in Ferrara (under concession to a RTI in which Hera and Enel Green Power Italia S.p.A. each participate with a 50% share), the waste-to-energy plant in Bologna (of the company FEA S.r.l., held by the group at 51%), the combined cycle gas plant in Imola (owned by Hera S.p.A. but managed by Hera Trading S.r.l.) and the solar thermal plant in Forlì (owned by the company FMI S.r.l., a company subject to joint indirect control by the Entities of the Union of Municipalities of Romagna Forlivese).  </w:t>
        <w:br/>
        <w:t xml:space="preserve">13. The tariffs charged for the TLR service have different structures, based on the size of the user (in terms of consumption and power) and the type of use of the heat (domestic, non-domestic, and industrial). These tariffs, however, do not differ (except for slight differences in the quantification of some technical parameters) between the different networks and locations (although it is likely that, based on the characteristics of the network and the type of connected users, they may be used to varying degrees in the different networks).  </w:t>
        <w:br/>
        <w:t xml:space="preserve">14. The single-component tariff formulas (i.e., consisting of a single component) used by Hera depend linearly (based on a fixed parameter related to the energy transformation costs of district heating services) on the overall average unit price of gas for a protected service user with consumption equal to 1,500 mc/year. Similarly, the two-component tariffs (in which an additional tariff component, called "power quota," is added to the heat price component) also follow the price trend of natural gas for protected service customers, both in the price of consumed heat and in the power quota3. The group then uses a tariff called "Hera condominium district heating" which is updated, regarding the heat price component, by synchronously evolving a base price (0.0745 euro/kWht) based on half of the percentage variation of the PFOR index (also related to the price of natural gas) compared to the value assumed by this indicator in the base period4.  </w:t>
        <w:br/>
        <w:t xml:space="preserve">15. Finally, the group has announced that (as also reported in the press), in application of the Agreement between Hera and the Municipality of Ferrara of October 2022, starting from 1 October 2022, the tariffing methods related to the Ferrara network have been modified to separate the geothermal tariff component from the non-geothermal one. In particular, for the portion produced from geothermal energy, a fixed tariff of 155 euro/MWht is applied; for the remaining portion of heat, the previously described tariff methods continue to apply and depend on the evolution of the price of gas.  </w:t>
        <w:br/>
        <w:t xml:space="preserve">16. Figure 2 provides a concise illustration of the trend of the fees charged in the Hera group networks5, taking as a reference the tariff that is used for the largest number of users, the domestic single-component tariff.  </w:t>
        <w:br/>
        <w:t xml:space="preserve">Figure 2 – Hera Networks - Trend of single-component tariff 2021-23  </w:t>
        <w:br/>
        <w:t xml:space="preserve">From the figure, it emerges that the fees followed the evolution of the expenditure for the gas raw material of the protected natural gas market until the second quarter of 2022. In the third quarter of 2022, Hera appears to have maintained a stable tariff. Starting from October 2022, the trend of the tariff in the networks of Bologna, Forlì, Cesena, Modena, and Imola resumes following that of the expenditure for the gas raw material (the methods of determination of which have been innovated by ARERA).  </w:t>
        <w:br/>
        <w:t xml:space="preserve">3 The gas price indicators adopted between the single-component and two-component tariffs and between components of the two-component tariffs are slightly different (using, for example, in some cases average consumption levels and in others the consumption bracket of belonging), but in all these cases the price evolves based on the trend of the price of this raw material.  </w:t>
        <w:br/>
        <w:t xml:space="preserve">4 The formula, in this case, is equal to .  </w:t>
        <w:br/>
        <w:t>5 Given the negligible size of the network, Ravenna is excluded from the analysis.</w:t>
      </w:r>
    </w:p>
    <w:p>
      <w:r>
        <w:rPr>
          <w:b/>
        </w:rPr>
        <w:t>[Pages 19–21]</w:t>
      </w:r>
    </w:p>
    <w:p>
      <w:r>
        <w:t xml:space="preserve">20 BULLETIN NO. 27 OF 17 JULY 2023  </w:t>
        <w:br/>
        <w:t xml:space="preserve">In the case of Ferrara, it is observed that the tariff, while following the aforementioned trend, has greater reductions and smaller increases than those of other networks until the first quarter of 2023, thanks to the revision of its determination methods. However, in April 2023, the advantages of the new tariff in Ferrara seem to have been exhausted: the progressive reduction in the price of gas has brought the tariff based on the avoided cost below the fixed price of the geothermal component, and therefore users of the Ferrara network benefit from the reduction in reference gas prices only for the portion of heat from non-geothermal sources.  </w:t>
        <w:br/>
        <w:t xml:space="preserve">17. The purchase of heat or energy sources by Hera S.p.A. from the group companies occurs, according to what Hera has stated, in the following ways. Natural gas (and electricity) is purchased from Hera Comm S.p.A. [omitted]6. The heat produced by the group’s waste-to-energy plants is purchased from the respective companies (Herambiente and FEA) [omitted]. The heat produced by the combined cycle plant of Hera Trading S.r.l. is sold at prices updated monthly, [omitted]. Finally, the thermal energy from geothermal sources purchased from ATI Hera-Enel Green Power Italia S.p.A. is purchased [omitted].  </w:t>
        <w:br/>
        <w:t xml:space="preserve">18. Hera has stated that its networks benefit from certain incentives and, in particular, from the incentives for White Certificates from High-Efficiency Cogeneration (CAR) according to DM 05/09/2011 and subsequent amendments. This incentive for the year 2022 amounts to € 890,711.57 for the Energy Efficiency Certificates accrued during 2021 and has concerned the networks of Bologna, Cesena, and Modena.  </w:t>
        <w:br/>
        <w:t xml:space="preserve">IV. EVALUATIONS  </w:t>
        <w:br/>
        <w:t xml:space="preserve">IV.1. The relevant markets and Hera's dominant position  </w:t>
        <w:br/>
        <w:t xml:space="preserve">19. As previously mentioned, the district heating service exhibits evident characteristics of natural monopoly, due to the non-replicability of the network used for the provision of the service itself in each local area, considering the size of the demand that can be expressed by that area, analogous to the gas and electricity distribution services.  </w:t>
        <w:br/>
        <w:t xml:space="preserve">20. Regarding the hypothetical substitutability of district heating services with alternative heating methods, particularly with traditional systems that use gas boilers, it is observed that, as recently noted by ARERA in its inquiry, it appears to be quite limited. This Authority, in its analysis, has indeed observed that the prices charged by district heating operators, although based on a formula that aims to quantify the "avoided cost" by the consumer in forgoing a traditional heating system, exceed the estimate that this Authority has made of the actual cost, for a consumer, of a heating system using a gas boiler. The evidence of this one-sided price difference thus leads to the conclusion that consumers' ability to accurately quantify ex ante the costs associated with different heating systems and to compare them still appears insufficient (also due to the limited understanding of available technologies, related offers, and the categories and levels of associated costs). In this regard, it is noted that a conscious decision would also require the consumer's ability to anticipate and correctly factor in the significant future switching costs (for example, the cost of disconnecting a district heating connection to install a traditional heating system) that they will face once opting for the district heating system.  </w:t>
        <w:br/>
        <w:t xml:space="preserve">21. In addition to this – and especially – as noted by ARERA itself, district heating systems, unlike traditional heating systems, can use energy sources – such as, for example, waste-to-energy – different from natural gas. This technological difference represents an additional element that, in turn, makes these heating methods inherently different. In particular, in the event that natural gas prices were to reach – as has occurred since the end of 2021 – high levels, the cost difference between a system that necessarily uses gas and a system that instead predominantly uses alternative energy sources could reach significant levels, thus resulting in a "drastic" vertical differentiation between these technologies that could leave the district heating network operator without any effective competitive discipline.  </w:t>
        <w:br/>
        <w:t xml:space="preserve">22. In light of these elements, it must be considered that district heating is a distinct relevant market, in commodity terms, from other heating technologies.  </w:t>
        <w:br/>
        <w:t xml:space="preserve">23. As for the geographical extent of the district heating market, it clearly has a local dimension, defined by the extent of the individual district heating network.  </w:t>
        <w:br/>
        <w:t xml:space="preserve">24. Each district heating network thus constitutes a relevant market, in which the network operator holds a dominant – monopolistic – position in the supply of heat to users connected to the network itself and the related services.  </w:t>
        <w:br/>
        <w:t xml:space="preserve">IV.2. The contested conduct  </w:t>
        <w:br/>
        <w:t xml:space="preserve">25. This proceeding concerns the district heating sector, subject to regulation by ARERA in certain respects. This regulation does not concern the sale price of heat to users connected to the district heating network, which is currently freely established by the network operator. The setting of the sale prices of heat therefore fully falls within the scope of intervention of the Authority pursuant to Article 3, paragraph 1, letter a), of Law No. 287/1990.  </w:t>
        <w:br/>
        <w:t xml:space="preserve">26. The conduct under examination must be contextualized within an economic scenario that has seen a rapid increase in natural gas prices at the main European hubs, particularly in the thermal year October 2021 – September 2022, and significant instability of these prices (see figure 3).  </w:t>
        <w:br/>
        <w:t xml:space="preserve">Figure 3: Trend of the spot price of natural gas at the major European hubs, 2018-2023  </w:t>
        <w:br/>
        <w:t xml:space="preserve">Source: GME  </w:t>
        <w:br/>
        <w:t xml:space="preserve">In the face of average prices below € 25/MWh that prevailed in the market between 2015 and 2020, in the last quarter of 2021, prices reached levels four times higher, while the average price of 2022 was over 150% higher than that of 2021.  </w:t>
        <w:br/>
        <w:t xml:space="preserve">27. In this context, Hera's use of pricing formulas based on the evolution of natural gas prices, even where the heat supplied is obtained predominantly from energy sources whose cost is, in principle, independent of natural gas prices, appears susceptible, in the absence of corrective mechanisms for extremely high gas price levels, to transferring an excessive burden onto consumers, which does not seem justified by the incidence of gas costs in heat production, making the clause for defining the same excessively burdensome. This appears to occur particularly in Ferrara – where a large part of the heat fed into the district heating network comes from a waste-to-energy plant of Herambiente and from geothermal wells operated by a RTI, 50% owned by Hera and ENEL Green Power S.p.A.  </w:t>
        <w:br/>
        <w:t xml:space="preserve">28. The application of such pricing formulas, in a context dominated by extremely significant increases in gas costs recorded since the last months of 2021, appears prima facie susceptible of constituting a violation of Article 3, letter a), of Law No. 287/1990 in the district heating network of Ferrara, which produces a predominant share of heat through waste-to-energy and geothermal sources, to the extent that it has led to the application of excessive prices, generating unjustified superprofits for Hera and the group companies from which it purchases heat. There are no reasons, in fact, to believe that such inputs have recorded substantial cost increases or otherwise comparable to those concerning the price of gas. Consequently, the application, even for this network and in the exceptional context recorded, of tariffs that reflect the growth of gas prices does not appear justified. This practice, on the other hand, would have prevented consumers from benefiting from the economic advantages that the choice to tie themselves to a method of heat production different from the combustion of natural gas could have produced in the recently experienced high gas price scenario.  </w:t>
        <w:br/>
        <w:t xml:space="preserve">29. Regarding the tariff reform that took place in Ferrara in October 2022 – which led to the identification of a tariff based on the average between a fixed value for geothermal energy and the aforementioned "avoided cost" applied to heat from waste and natural gas, weighted with the respective quantities of heat fed into the network – it should be noted that the tariff component applied to heat from waste combustion (approximately 40% of the heat fed into the network) continues to be linked to a reference (the price of gas) that could impose unjustified burdens on consumers.  </w:t>
        <w:br/>
        <w:t xml:space="preserve">Furthermore, at present, it cannot be excluded that the level at which the geothermal component value has been set could generate excessive burdens for users of the Ferrara district heating network.  </w:t>
        <w:br/>
        <w:t xml:space="preserve">30. The overall assessment of any excessive prices charged for the district heating service cannot, moreover, disregard an analysis of the pricing methods for the transfer of heat between Herambiente and the RTI of Ferrara, on the one hand, and Hera, on the other hand, also with reference to the actual costs of generating the supplied heat.  </w:t>
        <w:br/>
        <w:t xml:space="preserve">31. The above leads to the conclusion that there may be grounds for initiating proceedings against Hera S.p.A., the operator of the group networks and co-controller of the RTI that provides geothermal heat to the Ferrara network, and against Herambiente S.p.A., the operator of the waste-to-energy plant that supplies heat to the Ferrara network, to ascertain possible violations of Article 3, letter a), of Law No. 287/1990.  </w:t>
        <w:br/>
        <w:t>IT IS DEEMED, therefore, that the described conduct, carried out by Hera S.p.A. and Herambiente S.p.A. since 2021, may constitute an abuse of a dominant position pursuant to Article 3, paragraph 1, letter a), of Law No. 287/1990;</w:t>
      </w:r>
    </w:p>
    <w:p>
      <w:r>
        <w:rPr>
          <w:b/>
        </w:rPr>
        <w:t>[Pages 22–24]</w:t>
      </w:r>
    </w:p>
    <w:p>
      <w:r>
        <w:t xml:space="preserve">BULLETIN NO. 27 OF 17 JULY 2023 23  </w:t>
        <w:br/>
        <w:t xml:space="preserve">RESOLVES  </w:t>
        <w:br/>
        <w:t xml:space="preserve">a) to initiate the investigation, pursuant to Article 14 of Law No. 287/1990, against the companies Hera S.p.A. and Herambiente S.p.A., to ascertain the existence of possible violations of Article 3, paragraph 1, letter a), of Law No. 287/1990;  </w:t>
        <w:br/>
        <w:t xml:space="preserve">b) to set a deadline of sixty days from the notification of this measure for the legal representatives of the Parties to exercise their right to be heard, specifying that the request for a hearing must be received by the Transport, Energy and Environment Directorate of this Authority at least fifteen days before the expiration of the aforementioned deadline;  </w:t>
        <w:br/>
        <w:t xml:space="preserve">c) that the person responsible for the procedure is Dr. Fabio Massimo Esposito;  </w:t>
        <w:br/>
        <w:t xml:space="preserve">d) that the documents of the procedure can be viewed at the Transport, Energy and Environment Directorate of this Authority by the legal representatives of the Parties, as well as by a person delegated by them;  </w:t>
        <w:br/>
        <w:t xml:space="preserve">e) that the procedure must be concluded by 31 July 2024.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24 BULLETIN NO. 27 OF 17 JULY 2023  </w:t>
        <w:br/>
        <w:t xml:space="preserve">I805B - CORRUGATED CARDBOARD PRICES/REDETERMINATION OF PENALTY  </w:t>
        <w:br/>
        <w:t xml:space="preserve">SMURFIT KAPPA ITALIA  </w:t>
        <w:br/>
        <w:t xml:space="preserve">Measure No. 30681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30583 of 4 April 2023, which initiated a procedure aimed at the redetermination of penalties against the company Smurfit Kappa Italia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25  </w:t>
        <w:br/>
        <w:t xml:space="preserve">I805C - CORRUGATED CARDBOARD PRICES/REDETERMINATION OF PENALTY  </w:t>
        <w:br/>
        <w:t xml:space="preserve">ICOM  </w:t>
        <w:br/>
        <w:t xml:space="preserve">Measure No. 30682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30584 of 4 April 2023, which initiated a procedure aimed at the redetermination of penalties against the company ICOM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25–27]</w:t>
      </w:r>
    </w:p>
    <w:p>
      <w:r>
        <w:t xml:space="preserve">26 BULLETIN NO. 27 OF 17 JULY 2023  </w:t>
        <w:br/>
        <w:t xml:space="preserve">I805D - CORRUGATED CARDBOARD PRICES/REDETERMINATION OF PENALTY  </w:t>
        <w:br/>
        <w:t xml:space="preserve">ONDULATI NORDEST  </w:t>
        <w:br/>
        <w:t xml:space="preserve">Measure No. 30683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30585 of 4 April 2023, which initiated a procedure aimed at the redetermination of penalties against the company Ondulati Nordest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27  </w:t>
        <w:br/>
        <w:t xml:space="preserve">I805E - CORRUGATED CARDBOARD PRICES/REDETERMINATION OF PENALTY  </w:t>
        <w:br/>
        <w:t xml:space="preserve">ONDULATI E IMBALLAGGI DEL FRIULI  </w:t>
        <w:br/>
        <w:t xml:space="preserve">Measure No. 30684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30586 of 4 April 2023, which initiated a procedure aimed at the redetermination of penalties against the company Ondulati e Imballaggi del Friuli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28 BULLETIN NO. 27 OF 17 JULY 2023  </w:t>
        <w:br/>
        <w:t xml:space="preserve">I805F - CORRUGATED CARDBOARD PRICES/REDETERMINATION OF PENALTY  </w:t>
        <w:br/>
        <w:t xml:space="preserve">ONDULATO PICENO  </w:t>
        <w:br/>
        <w:t xml:space="preserve">Measure No. 30685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30587 of 4 April 2023, which initiated a procedure aimed at the redetermination of penalties against the company Ondulato Piceno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28–30]</w:t>
      </w:r>
    </w:p>
    <w:p>
      <w:r>
        <w:t xml:space="preserve">BULLETIN NO. 27 OF 17 JULY 2023 29  </w:t>
        <w:br/>
        <w:t xml:space="preserve">I805G - CORRUGATED CARDBOARD PRICES/REDETERMINATION OF PENALTY  </w:t>
        <w:br/>
        <w:t xml:space="preserve">SCATOLIFICIO IDEALKART  </w:t>
        <w:br/>
        <w:t xml:space="preserve">Measure No. 30686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30588 of 4 April 2023, which initiated a procedure aimed at the redetermination of penalties against the company Scatolificio Idealkart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30 BULLETIN NO. 27 OF 17 JULY 2023  </w:t>
        <w:br/>
        <w:t xml:space="preserve">I805H - CORRUGATED CARDBOARD PRICES/REDETERMINATION OF PENALTY  </w:t>
        <w:br/>
        <w:t xml:space="preserve">IMBALLAGGI PIEMONTESI  </w:t>
        <w:br/>
        <w:t xml:space="preserve">Measure No. 30687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30589 of 4 April 2023, which initiated a procedure aimed at the redetermination of penalties against the company Imballaggi Piemontesi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31  </w:t>
        <w:br/>
        <w:t xml:space="preserve">I805I - CORRUGATED CARDBOARD PRICES/REDETERMINATION OF PENALTY  </w:t>
        <w:br/>
        <w:t xml:space="preserve">ADDA ONDULATI  </w:t>
        <w:br/>
        <w:t xml:space="preserve">Measure No. 30688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30590 of 4 April 2023, which initiated a procedure aimed at the redetermination of penalties against the company Adda Ondulati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31–33]</w:t>
      </w:r>
    </w:p>
    <w:p>
      <w:r>
        <w:t xml:space="preserve">32 BULLETIN NO. 27 OF 17 JULY 2023  </w:t>
        <w:br/>
        <w:t xml:space="preserve">I805L - CORRUGATED CARDBOARD PRICES/REDETERMINATION OF PENALTY ICO  </w:t>
        <w:br/>
        <w:t xml:space="preserve">Measure No. 30689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30591 of 4 April 2023, which initiated a procedure aimed at the redetermination of penalties against the company Industria Cartone Ondulato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33  </w:t>
        <w:br/>
        <w:t xml:space="preserve">I805M - CORRUGATED CARDBOARD PRICES/REDETERMINATION OF PENALTY SANDRA  </w:t>
        <w:br/>
        <w:t xml:space="preserve">Measure No. 30690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30592 of 4 April 2023, which initiated a procedure aimed at the redetermination of penalties against the company Industria Sandra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34 BULLETIN NO. 27 OF 17 JULY 2023  </w:t>
        <w:br/>
        <w:t xml:space="preserve">I805N - CORRUGATED CARDBOARD PRICES/REDETERMINATION OF PENALTY ONDULATI DEL SAVIO  </w:t>
        <w:br/>
        <w:t xml:space="preserve">Measure No. 30691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30593 of 4 April 2023, which initiated a procedure aimed at the redetermination of penalties against the company Ondulati del Savio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34–36]</w:t>
      </w:r>
    </w:p>
    <w:p>
      <w:r>
        <w:t xml:space="preserve">BULLETIN NO. 27 OF 17 JULY 2023 35  </w:t>
        <w:br/>
        <w:t xml:space="preserve">I805O - CORRUGATED CARDBOARD PRICES/REDETERMINATION OF PENALTY  </w:t>
        <w:br/>
        <w:t xml:space="preserve">GRIMALDI  </w:t>
        <w:br/>
        <w:t xml:space="preserve">Measure No. 30692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30594 of 4 April 2023, which initiated a procedure aimed at the redetermination of penalties against the company Grimaldi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36 BULLETIN NO. 27 OF 17 JULY 2023  </w:t>
        <w:br/>
        <w:t xml:space="preserve">I805P - CORRUGATED CARDBOARD PRICES/REDETERMINATION OF PENALTY  </w:t>
        <w:br/>
        <w:t xml:space="preserve">SAICA PACK ITALIA  </w:t>
        <w:br/>
        <w:t xml:space="preserve">Measure No. 30693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30595 of 4 April 2023, which initiated a procedure aimed at the redetermination of penalties against the company Saica Pack Italia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37  </w:t>
        <w:br/>
        <w:t xml:space="preserve">I805Q - CORRUGATED CARDBOARD PRICES/REDETERMINATION OF PENALTY  </w:t>
        <w:br/>
        <w:t xml:space="preserve">TOPAZZINI  </w:t>
        <w:br/>
        <w:t xml:space="preserve">Measure No. 30694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30596 of 4 April 2023, which initiated a procedure aimed at the redetermination of penalties against the company Topazzini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37–39]</w:t>
      </w:r>
    </w:p>
    <w:p>
      <w:r>
        <w:t xml:space="preserve">38 BULLETIN NO. 27 OF 17 JULY 2023  </w:t>
        <w:br/>
        <w:t xml:space="preserve">I805R - CORRUGATED CARDBOARD PRICES/REDETERMINATION OF PENALTY  </w:t>
        <w:br/>
        <w:t xml:space="preserve">MAURO BENEDETTI  </w:t>
        <w:br/>
        <w:t xml:space="preserve">Measure No. 30695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30597 of 4 April 2023, which initiated a procedure aimed at the redetermination of penalties against the company Mauro Benedetti S.p.A.;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BULLETIN NO. 27 OF 17 JULY 2023 39  </w:t>
        <w:br/>
        <w:t xml:space="preserve">I805S - CORRUGATED CARDBOARD PRICES/REDETERMINATION OF PENALTY  </w:t>
        <w:br/>
        <w:t xml:space="preserve">INTERNATIONAL PAPER ITALIA  </w:t>
        <w:br/>
        <w:t xml:space="preserve">Measure No. 30696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30598 of 4 April 2023, which initiated a procedure aimed at the redetermination of penalties against the company International Paper Italia S.r.l.;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40 BULLETIN NO. 27 OF 17 JULY 2023  </w:t>
        <w:br/>
        <w:t xml:space="preserve">I805T - CORRUGATED CARDBOARD PRICES/REDETERMINATION OF PENALTY  </w:t>
        <w:br/>
        <w:t xml:space="preserve">GRUPPO PRO-GEST (PRO-GEST, CARTONSTRONG ITALIA, ONDULATI MARANELLO, ONDULATO TREVIGIANO, PLURIONDA, TRAVILKART)  </w:t>
        <w:br/>
        <w:t xml:space="preserve">Measure No. 30697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30599 of 4 April 2023, which initiated a procedure aimed at the redetermination of penalties against the companies Pro-Gest S.p.A., Cartonstrong Italia S.r.l., Ondulato Trevigiano S.r.l., Ondulati Maranello S.p.A., Plurionda S.p.A., all belonging to the Pro-Gest Group;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rPr>
          <w:b/>
        </w:rPr>
        <w:t>[Pages 40–42]</w:t>
      </w:r>
    </w:p>
    <w:p>
      <w:r>
        <w:t xml:space="preserve">BULLETIN NO. 27 OF 17 JULY 2023 41  </w:t>
        <w:br/>
        <w:t xml:space="preserve">I805U - CORRUGATED CARDBOARD PRICES/REDETERMINATION OF PENALTY  </w:t>
        <w:br/>
        <w:t xml:space="preserve">INNOVA GROUP AND INNOVA GROUP CAINO PLANT  </w:t>
        <w:br/>
        <w:t xml:space="preserve">Measure No. 30698  </w:t>
        <w:br/>
        <w:t xml:space="preserve">THE COMPETITION AND MARKET AUTHORITY  </w:t>
        <w:br/>
        <w:t xml:space="preserve">IN ITS MEETING of 28 June 2023;  </w:t>
        <w:br/>
        <w:t xml:space="preserve">HEARD the Rapporteur, Professor Elisabetta Iossa;  </w:t>
        <w:br/>
        <w:t xml:space="preserve">HAVING REGARD to Law No. 287 of 10 October 1990, and subsequent amendments;  </w:t>
        <w:br/>
        <w:t xml:space="preserve">HAVING REGARD to Presidential Decree No. 217 of 30 April 1998;  </w:t>
        <w:br/>
        <w:t xml:space="preserve">HAVING REGARD to its own measure No. 30600 of 4 April 2023, which initiated a procedure aimed at the redetermination of penalties against the companies Innova Group S.p.A. and Innova Group Caino S.r.l., belonging to the Innova group;  </w:t>
        <w:br/>
        <w:t xml:space="preserve">HAVING REGARD to the documents of the procedure;  </w:t>
        <w:br/>
        <w:t xml:space="preserve">CONSIDERING it necessary to replace the person responsible for the procedure due to new organizational needs;  </w:t>
        <w:br/>
        <w:t xml:space="preserve">RESOLVES  </w:t>
        <w:br/>
        <w:t xml:space="preserve">to replace Dr. Matteo Pierangelo Negrinotti with Dr. Lorenzo Ferrari as the person responsible for the procedure.  </w:t>
        <w:br/>
        <w:t xml:space="preserve">This measure will be notified to the interested parties and published in the Bulletin of the Competition and Market Authority.  </w:t>
        <w:br/>
        <w:t xml:space="preserve">THE SECRETARY GENERAL THE PRESIDENT  </w:t>
        <w:br/>
        <w:t>Guido Stazi Roberto Rustichelli</w:t>
      </w:r>
    </w:p>
    <w:p>
      <w:r>
        <w:t xml:space="preserve">42 BULLETIN NO. 27 OF 17 JULY 2023  </w:t>
        <w:br/>
        <w:t xml:space="preserve">I857 - TIM-DAZN SERIES A AGREEMENT 2021/2024  </w:t>
        <w:br/>
        <w:t xml:space="preserve">Measure No. 30699  </w:t>
        <w:br/>
        <w:t xml:space="preserve">THE COMPETITION AND MARKET AUTHORITY  </w:t>
        <w:br/>
        <w:t xml:space="preserve">IN ITS MEETING of 28 June 2023;  </w:t>
        <w:br/>
        <w:t xml:space="preserve">HEARD the Rapporteur, President Roberto Rustichelli;  </w:t>
        <w:br/>
        <w:t xml:space="preserve">HAVING REGARD to Article 101 of the Treaty on the Functioning of the European Union (TFEU);  </w:t>
        <w:br/>
        <w:t xml:space="preserve">HAVING REGARD to Presidential Decree No. 217 of 30 April 1998;  </w:t>
        <w:br/>
        <w:t xml:space="preserve">HAVING REGARD to its own resolution of 6 July 2021, No. 29739, which initiated an investigation pursuant to Article 14 of Law No. 287/1990, against the companies Telecom Italia S.p.A., DAZN Limited, and DAZN Media Services S.r.l. to ascertain the existence of any violations of Article 101 of the TFEU;  </w:t>
        <w:br/>
        <w:t xml:space="preserve">HAVING REGARD to its own resolution of 27 July 2021, No. 29778, which concluded the sub-procedure initiated concurrently with the resolution to open the procedure, considering that at the state of the documents there were no grounds for the adoption of precautionary measures pursuant to Article 14-bis of Law No. 287/1990;  </w:t>
        <w:br/>
        <w:t xml:space="preserve">HAVING REGARD to its own resolution of 7 June 2022, No. 30191, with which the Authority decided to reject the commitments submitted by Telecom Italia S.p.A., DAZN Limited, and DAZN Media Services S.r.l.;  </w:t>
        <w:br/>
        <w:t xml:space="preserve">HAVING REGARD to its own resolution of 7 June 2022, No. 30476, with which the Authority decided to extend the deadline for closing the procedure to 31 March 2023;  </w:t>
        <w:br/>
        <w:t xml:space="preserve">HAVING REGARD to the Communication of Investigative Findings, sent to the Parties on 20 January 2023, pursuant to Article 14 of Presidential Decree No. 217 of 30 April 1998;  </w:t>
        <w:br/>
        <w:t xml:space="preserve">HAVING REGARD to the request of DAZN Limited and DAZN Media Services S.r.l., received on 25 January 2023, and the subsequent request of Telecom Italia S.p.A., received on 26 January 2023, to extend the deadline referred to in Article 14, paragraph 4, of Presidential Decree No. 217 of 30 April 1998, until 21 March 2023, motivated by the need to more appropriately exercise their rights of defense;  </w:t>
        <w:br/>
        <w:t xml:space="preserve">HAVING REGARD to its own resolution of 31 January 2023 with which the Authority decided to extend the deadline for closing the procedure to 31 May 2023;  </w:t>
        <w:br/>
        <w:t xml:space="preserve">HAVING REGARD to the submissions presented on 28 March 2023 by the companies Fastweb S.p.A., Vodafone Italia S.p.A., Wind Tre S.p.A., Sky Italia S.r.l., Iliad Italia S.p.A., DAZN Limited, DAZN Media Services S.r.l., and Telecom Italia S.p.A.;  </w:t>
        <w:br/>
        <w:t xml:space="preserve">HEARD in the final hearing, on 4 April 2023, the representatives of the Italian Internet Provider Association and the companies Fastweb S.p.A., Vodafone Italia S.p.A., Wind Tre S.p.A., Sky Italia S.r.l., Iliad Italia S.p.A., DAZN Limited, DAZN Media Services S.r.l., and Telecom Italia S.p.A.;  </w:t>
        <w:br/>
        <w:t xml:space="preserve">HAVING REGARD to its own resolution of 18 April 2023 with which the Authority decided to extend the deadline for closing the procedure to 30 June 2023;  </w:t>
        <w:br/>
        <w:t>HAVING REGARD to the opinion of the Authority for Communications Guarantees, received on 16 June 2023;</w:t>
      </w:r>
    </w:p>
    <w:p>
      <w:r>
        <w:t xml:space="preserve">BULLETIN NO. 27 OF 17 JULY 2023 43  </w:t>
        <w:br/>
        <w:t xml:space="preserve">I. THE PARTIES  </w:t>
        <w:br/>
        <w:t xml:space="preserve">a) TIM  </w:t>
        <w:br/>
        <w:t xml:space="preserve">1. TIM S.p.A. (hereinafter also "Telecom" or "TIM") is a company active in the installation and provision of telecommunications infrastructure, as well as in the offering of related services. In particular, TIM is the owner of the telephone network, on which it provides retail services to end consumers and wholesale access services to other operators who do not own an access network to reach the end customer. TIM provides fixed, mobile, and satellite telephony services, data transmission services and internet access, connectivity services, network services and access to infrastructure, services related to e-commerce, website creation, offering Internet/Intranet/Extranet solutions to businesses, selling online advertising space, and multimedia services.  </w:t>
        <w:br/>
        <w:t xml:space="preserve">b) DAZN  </w:t>
        <w:br/>
        <w:t xml:space="preserve">2. DAZN Limited is a company with its registered office in London and a secondary office in Italy, active in the distribution of video and television programs.  </w:t>
        <w:br/>
        <w:t xml:space="preserve">3. DAZN Media Services S.r.l. (hereinafter also "DAZN Media") is a company active in the production and marketing of multimedia content related to sports and entertainment events on behalf of rights holders and media owners and in the sale of digital editorial products as well as video and audio through any technological platform.  </w:t>
        <w:br/>
        <w:t xml:space="preserve">The aforementioned companies, hereinafter jointly referred to as "DAZN," are part of the homonymous group active worldwide in the distribution of audiovisual content of live sports events on the internet platform.  </w:t>
        <w:br/>
        <w:t xml:space="preserve">c) Reporting and intervening parties  </w:t>
        <w:br/>
        <w:t xml:space="preserve">4. Fastweb S.p.A. ("Fastweb") is an operator that provides broadband and ultra-broadband telecommunications services. The company is also active in the mobile telecommunications services market as a virtual operator. Fastweb is 100% controlled by Swisscom Italia S.r.l., which is in turn subject to the control of Swisscom AG, a company active in the provision of telecommunications services based in Switzerland.  </w:t>
        <w:br/>
        <w:t xml:space="preserve">5. Vodafone Italia S.p.A. (hereinafter, "Vodafone" or "Vodafone Italia") is a company active in the provision of fixed and mobile communication services that belongs to the international group Vodafone Group PLC.  </w:t>
        <w:br/>
        <w:t xml:space="preserve">6. Wind Tre S.p.A. (hereinafter, "Wind Tre") is a fixed and mobile communications operator, born from the merger by incorporation of Wind Telecomunicazioni S.p.A. ("Wind") into H3G S.p.A. ("H3G") on 31 December 2016.  </w:t>
        <w:br/>
        <w:t xml:space="preserve">7. Sky Italia S.r.l. (hereinafter, "SI," "Sky," or "Sky Italia") is a television operator active in offering pay TV services provided through various transmission means and, in particular, via satellite (DTH 1) and through digital terrestrial (DTT 2), as well as via cable and internet and in offering free television services. SI is controlled by Sky Italian Holdings S.p.A. SI has also obtained  </w:t>
        <w:br/>
        <w:t>1 See European Commission decision, 1 September 2016, case M.7758 – Hutchison 3G Italy/Wind/Jv.</w:t>
      </w:r>
    </w:p>
    <w:p>
      <w:r>
        <w:rPr>
          <w:b/>
        </w:rPr>
        <w:t>[Pages 43–45]</w:t>
      </w:r>
    </w:p>
    <w:p>
      <w:r>
        <w:t xml:space="preserve">44 BULLETIN NO. 27 OF 17 JULY 2023  </w:t>
        <w:br/>
        <w:t xml:space="preserve">the general authorization, pursuant to Article 25 of Legislative Decree No. 259 of 1 August 2003 (“Electronic Communications Code”), for the provision of telephone and internet services and electronic communication networks.  </w:t>
        <w:br/>
        <w:t xml:space="preserve">8. OpEn Fiber S.p.A. (hereinafter, “OF” or “Open Fiber”) is a company established by the Enel Group to enter the electronic communications market, active in the installation, provision, and operation of high-speed fiber optic and ultra-broadband electronic communication networks. The company is under the joint control of Cassa Depositi e Prestiti Equity S.p.A. and Macquarie Infrastructure and Real Assets (Europe) Limited2.  </w:t>
        <w:br/>
        <w:t xml:space="preserve">9. Colt Technology Services S.p.A. (hereinafter also “Colt”) is a company active in the provision of ultra-broadband services and in the wholesale local access telecommunications services market and in the retail telecommunications services market on fixed broadband and ultra-broadband networks.  </w:t>
        <w:br/>
        <w:t xml:space="preserve">10. Irideos S.p.A. (hereinafter also “Irideos”) is a company active in the electronic communication infrastructure and services market (both fixed and mobile). Among the fixed services provided by IRIDEOS, in addition to those offered to end customers, are those in favor of so-called resellers: these are third-party operators who purchase “white label” services and resell them to their end customers (business or residential) under their own brand and with their additional services.  </w:t>
        <w:br/>
        <w:t xml:space="preserve">11. Iliad Italia S.p.A. (“Iliad”) is a newly established company that is about to enter the Italian market for the provision of mobile telephony services as a structured mobile operator (MNO). Iliad is controlled by Iliad S.A., a fixed and mobile telecommunications operator active in France.  </w:t>
        <w:br/>
        <w:t xml:space="preserve">12. Linkem S.p.A. (hereinafter, “Linkem”) is a company active in the retail telecommunications services market on fixed broadband and ultra-broadband networks and holds authorizations issued by the Ministry of Enterprises and Made in Italy (formerly the Ministry of Economic Development, hereinafter also “MISE”), as well as frequencies at 3.4-3.6 GHz to provide its services until 2029. Subsequently, by note of 7 October 20223, Tiscali S.p.A. (hereinafter also “Tiscali”) took over the position of intervenor of Linkem by virtue of the purchase of the business branch related to retail telecommunications services.  </w:t>
        <w:br/>
        <w:t xml:space="preserve">13. Associazione Italiana Internet Provider (hereinafter also “AIIP”) is an association that brings together companies active in the provision of broadband and ultra-broadband communication networks and services.  </w:t>
        <w:br/>
        <w:t xml:space="preserve">14. Federconsumatori – APS (hereinafter also “Federconsumatori”), established in 1988 with the support of Cgil, is a non-profit association whose primary objectives are the information and protection of consumers and users4.  </w:t>
        <w:br/>
        <w:t xml:space="preserve">2 See European Commission decision, 20 December 2021, case M.10450 – CDP/Macquarie/Open Fiber.  </w:t>
        <w:br/>
        <w:t xml:space="preserve">3 See doc. instr. 372.  </w:t>
        <w:br/>
        <w:t>4 https://www.federconsumatori.it/la-nostra-storia/.</w:t>
      </w:r>
    </w:p>
    <w:p>
      <w:r>
        <w:t xml:space="preserve">BULLETIN NO. 27 OF 17 JULY 2023 45  </w:t>
        <w:br/>
        <w:t xml:space="preserve">15. Codacons - Coordinamento Di Associazioni Per La Tutela Dell’ambiente E Dei Diritti di utenti e Consumatori (hereinafter also “CODACONS”)5 is an association founded in 1986 as the “heir” of previous campaigns defending consumers and users.  </w:t>
        <w:br/>
        <w:t xml:space="preserve">II. THE INSTRUCTIONAL PROCEDURE  </w:t>
        <w:br/>
        <w:t xml:space="preserve">The assignment of rights for viewing matches of the Serie A football championship to DAZN and the partnership with TIM  </w:t>
        <w:br/>
        <w:t xml:space="preserve">16. On 26 March 2021, the Lega Nazionale Professionisti Serie A (hereinafter also “LNPA”) assigned to DAZN Packages 1 and 3, which include the rights to exclusively broadcast seven matches (266, all platforms) and three in co-exclusivity (114, only on the internet platform) for each round of the Serie A Championship (hereinafter also the “Serie A Rights” or simply the “Rights”).  </w:t>
        <w:br/>
        <w:t xml:space="preserve">17. In view of the aforementioned assignment, on 27 January 2021, DAZN, through DAZN Limited, entered into an agreement with TIM for the establishment of a partnership for distribution and technological support, named Deal Memo Distribution (hereinafter also “Agreement”), aimed at extending previous collaboration agreements already in place between the parties. The rationale behind the Agreement would be of a financial and technical nature. TIM is a telecommunications operator and a provider of audiovisual services, with its OTT6 service called TIM Vision, in which it integrates its own editorial content and audiovisual services from third parties (e.g., Netflix, Disney+, DAZN) and possesses a high level of technical and distribution expertise. For its part, DAZN would have been able to reduce its financial exposure by optimizing its investment. DAZN was, therefore, able to present the offer for the two main Packages and secure the most effective distribution channel on the internet platform, consistent with its OTT offering model.  </w:t>
        <w:br/>
        <w:t xml:space="preserve">The reports in the documents  </w:t>
        <w:br/>
        <w:t xml:space="preserve">18. Starting from 21 February 2021, several telecommunications operators such as Vodafone Italia S.p.A., Wind Tre S.p.A., Fastweb S.p.A., and, lastly, on 22 June 2021, Sky Italia S.r.l., active both as a telecommunications operator and as a provider of audiovisual media services (with an offering present on satellite digital, terrestrial digital, and internet, with the brands Sky Q and Now; licensee of most of the rights for viewing matches of the Serie A championship in previous distribution cycles organized by the LNPA), submitted notes highlighting possible restrictive effects on competition attributable to the agreement between TIM and DAZN, developing substantially similar considerations.  </w:t>
        <w:br/>
        <w:t xml:space="preserve">19. The cited reports focus on two main critical issues that would affect competition in the wholesale and retail telecommunications services markets, as well as in the pay television market. In particular, the first critical issue would consist of the centralization of a non-replicable editorial content, of high value for consumers, such as the Serie A football championship, on the only internet Platform and its exclusive commercialization by TIM alone. This would further strengthen its position in the broadband and ultra-broadband market, as it would be the only telco that could include it in its triple play offers and the only entity that can offer discounts to consumers, as well as the only entity that can have the DAZN app installed on TIM's communication devices, such as in particular the TIM Box.  </w:t>
        <w:br/>
        <w:t xml:space="preserve">20. Following the agreement, DAZN would, therefore, have interrupted ongoing negotiations for various types of collaboration with telecommunications operators (such as agreements regarding payment services via telephone bill, for the sale of vouchers, and for the joint distribution and sale of DAZN services by telecommunications operators). DAZN would also have attempted to limit the rights present in existing and valid contracts with telecommunications operators, even requesting their early termination pretextually. According to the documentation provided, in the first days of June 2021, DAZN justified the interruption of any existing and negotiating collaboration with telecommunications operators due to prior agreements that absolutely preclude it from negotiating agreements regarding residential customers [omissis]*7.  </w:t>
        <w:br/>
        <w:t xml:space="preserve">21. Regarding the second type of critical issue, the reporting operators complained about TIM's implementation of technological improvements in its own network and the adoption of discriminatory technical solutions, which are currently being developed only for its internal division and which would tend to make alternative telecommunications operators more dependent on TIM's network, undermining their investments in telecommunications networks. At the same time, as a result of the agreement, DAZN would have lost any incentive to collaborate with telecommunications operators to identify the most appropriate technical solutions to avoid network congestion due to the expected increase in demand for DAZN services. In particular, in the face of maximum technical solutions already defined with operators, DAZN would have reduced the technical solutions for interconnection and traffic management, as well as the necessary investments for interconnection with operators, discriminating against them compared to TIM.  </w:t>
        <w:br/>
        <w:t xml:space="preserve">The DAZN/TIM Agreement  </w:t>
        <w:br/>
        <w:t xml:space="preserve">22. On 23 June 20218, TIM and DAZN, in response to specific requests for information9, transmitted the Agreement of 27 January 2021, entered into between DAZN Limited and TIM, and a series of contracts that have succeeded over time since 6 December 2019. The Agreement presents a suspensive condition that has been fulfilled with the assignment of rights to DAZN.  </w:t>
        <w:br/>
        <w:t xml:space="preserve">23. According to the provision of Letter D – Period, the Agreement in question has a total duration of six years starting from 1 July 2021, that is, three years, renewable for an additional three years. The parties reserved a right of early withdrawal, should minimum subscriber customer levels not be reached in 2023 [omissis]10.  </w:t>
        <w:br/>
        <w:t xml:space="preserve">* In this version, some data are omitted, as elements of confidentiality or secrecy of the information were deemed to exist.  </w:t>
        <w:br/>
        <w:t xml:space="preserve">7 [omissis].  </w:t>
        <w:br/>
        <w:t xml:space="preserve">8 Doc. DC.31 - Response to the request for information of 27/5/2021. A copy of the same agreement was also filed by DAZN Limited and DAZN Media Services S.r.l. (Doc. DC.34 - Response to the request for information of 27/5/2021). The accessible versions of the Deal memo are contained in docs. instr. 478-479.  </w:t>
        <w:br/>
        <w:t xml:space="preserve">9 Doc. DC.12 - Request for information to DAZN Limited and DAZN Media Services and doc. DC.13 - Request for information to Telecom Italia.  </w:t>
        <w:br/>
        <w:t xml:space="preserve">10 “Letter D) Effective date of this Deal Memo: […]  </w:t>
        <w:br/>
        <w:t xml:space="preserve">Launch date: 1 July 2021 (the “Launch Date”).  </w:t>
        <w:br/>
        <w:t xml:space="preserve">End date: 6 (six) years from Launch Date […].  </w:t>
        <w:br/>
        <w:t xml:space="preserve">[…]  </w:t>
        <w:br/>
        <w:t xml:space="preserve">The period from the Launch Date until the End Date being the “Period”. Each year from the Launch Date being a “contract year”.  </w:t>
        <w:br/>
        <w:t>This Deal Memo or the […] will automatically terminate at the end of the 3rd (third) contract year in the event the Condition Precedent under section C above is not achieved in respect of the Serie A Championship seasons 2024/25, 2025/26 and 2026/27 (the “Next Serie A Seasons”).”.</w:t>
      </w:r>
    </w:p>
    <w:p>
      <w:r>
        <w:rPr>
          <w:b/>
        </w:rPr>
        <w:t>[Pages 46–48]</w:t>
      </w:r>
    </w:p>
    <w:p>
      <w:r>
        <w:t xml:space="preserve">BULLETIN NO. 27 OF 17 JULY 2023 47  </w:t>
        <w:br/>
        <w:t xml:space="preserve">24. With reference to the possible methods of selling DAZN services, the Agreement provides for: (i) the “Hard bundle,” consisting of a commercial offer of the DAZN service combined inseparably with a telephony offer for new or existing TIM residential customers; (ii) the à la carte offer, which consists of a list price offer that new or existing TIM customers can activate with a charge to their phone bill; (iii) gift cards/vouchers that consist of complimentary vouchers that allow for a discount on the price or offer the DAZN subscription for free for a certain period of time.  </w:t>
        <w:br/>
        <w:t xml:space="preserve">25. The Agreement provides for exclusivity in favor of TIM, through a detailed regulation contained in the provision of Letter F - Exclusivity and, in particular:  </w:t>
        <w:br/>
        <w:t xml:space="preserve">˗ TIM will be the only telecommunications operator and audiovisual media operator authorized by DAZN to sell the DAZN service in a joint manner (“hard bundle”) or with an à la carte offer.  </w:t>
        <w:br/>
        <w:t xml:space="preserve">˗ It is expressly provided that DAZN is prohibited from making offers in partnership with other competing operators for the entire duration of the contractual relationship; in particular, it is stipulated that DAZN may not, either directly or indirectly, authorize other telecommunications or audiovisual media operators to jointly or à la carte offer DAZN services. The operators are specifically identified in Schedule 1 (audiovisual media operators) and Schedule 2 (telecommunications operators).  </w:t>
        <w:br/>
        <w:t xml:space="preserve">˗ The contract also establishes limits on the direct distribution by DAZN of its services, stipulating that DAZN: (i) may not offer its service on platforms other than the internet or include it in other channels or services; (ii) may not sub-license sports rights, except for the three Serie A matches in co-exclusivity; (iii) may not allow, from 1 July 2021, the DAZN app and the DAZN 1 channel to be available on Sky Q devices of Sky residential users or in any other service or device for Sky customers (e.g., Now TV stick).  </w:t>
        <w:br/>
        <w:t xml:space="preserve">˗ With reference to a non-exclusive distribution contract of DAZN in place until August 2022, a specific regulation is provided aimed at reducing or completely eliminating the contractual relationship. In particular, DAZN must alternatively: (A) not renew or extend the contract and prevent [omissis] from promoting or offering DAZN services to new subscribers until expiration, allowing existing subscribers to use the service, allowing only these last ones to access the DAZN app on [omissis] TV until August 2022; or (B) make available to [omissis] only an à la carte service, but in this option, there are economic penalties for DAZN, in particular, the minimum guarantee is reduced by the same amount of revenue billed by [omissis].  </w:t>
        <w:br/>
        <w:t xml:space="preserve">26. The Agreement then precisely describes the activities permitted to DAZN: (i) sell the DAZN service directly; (ii) distribute the DAZN service à la carte through authorized third parties (excluding telecommunications operators and audiovisual media service providers), but DAZN may not offer discounts on Amazon TV for more than two months or before thirty days from the start of each Serie A season; (iii) distribute the DAZN service in combination with other services and products through authorized third parties (excluding telecommunications operators and audiovisual media service providers); (iv) allow direct carrier billing mechanisms through authorized third parties. The Agreement specifies that unauthorized parties may not make advertising references to DAZN services, even indirectly (e.g., if they sell products that are entitled to have DAZN installed).  </w:t>
        <w:br/>
        <w:t xml:space="preserve">27. In light of such commercial agreements, a minimum guarantee is provided that TIM will pay to DAZN (Letter J – Fees and Minimum Guarantee). However, the Agreement expressly provides for the maintenance of its effectiveness even in the event that exclusivity ceases (Letter F – Exclusivity).  </w:t>
        <w:br/>
        <w:t xml:space="preserve">28. Regarding technical solutions, the Agreement provides for the integration of DAZN with TIM's Content Delivery Network (CDN) to ensure the best possible quality, as well as obligations to cooperate in good faith between the Parties (Letter Q - Network and Piracy Services).  </w:t>
        <w:br/>
        <w:t xml:space="preserve">The additional information provided by TIM and DAZN regarding technological solutions for viewing DAZN content  </w:t>
        <w:br/>
        <w:t xml:space="preserve">29. In addition to having transmitted the requested contractual documentation, DAZN and TIM have provided some additional informational elements specifically regarding technical solutions to enable live streaming of audiovisual content held by DAZN.  </w:t>
        <w:br/>
        <w:t>30. In response to the information request of 23 June 2021, TIM represented that some initiatives were underway on its systems to adapt the network to the expected traffic from the live streaming of Serie A matches. In addition to an upgrade of its CDN (“TIM CDN”), the use of direct interconnections (“peering” with DAZN servers (“DAZN Edge”) was being implemented in its wholesale access network with a solution called “multicast ABR”; this solution would be made available “at the moment only for the [omissis]”.</w:t>
      </w:r>
    </w:p>
    <w:p>
      <w:r>
        <w:rPr>
          <w:b/>
        </w:rPr>
        <w:t>[Pages 49–51]</w:t>
      </w:r>
    </w:p>
    <w:p>
      <w:r>
        <w:t xml:space="preserve">50 BULLETIN NO. 27 OF 17 JULY 2023  </w:t>
        <w:br/>
        <w:t xml:space="preserve">customers FTTx on TIM network” (therefore, only for TIM retail customers and for other telecommunications operators who decide to use TIM's active NGA bitstream services, renouncing their own network and equipment). From the information provided, it emerged that TIM was also negotiating with DAZN a terrestrial digital backup on its TIM Vision decoder: in practice, when the connection is insufficient, the TIM Vision decoder would automatically switch to terrestrial digital mode.  </w:t>
        <w:br/>
        <w:t xml:space="preserve">31. DAZN, for its part, stated that it was “considering” the preparation of a backup solution on the digital terrestrial platform (DTT) with conditional access. Given the nature of the service traditionally offered by DAZN (i.e., via the OTT platform), this option on DTT would be understood as a pure backup solution, made available (with reference to a match of the Package in each slot) to users in the event (and for the duration) of issues concerning the use of the DAZN app, also in order to compensate for any inconveniences due to insufficient capacity of the broadband network in Italy (especially in certain areas).  </w:t>
        <w:br/>
        <w:t xml:space="preserve">The initiation of the procedure  </w:t>
        <w:br/>
        <w:t xml:space="preserve">32. By measure of 6 July 2021, No. 29778, the Authority decided to initiate a procedure against Telecom and DAZN, in order to ascertain the existence of a restrictive agreement on competition, consisting of the agreement, named Deal Memo Distribution (hereinafter also “Agreement”), for the establishment of a partnership for the distribution and technological support for the provision of the content of Packages 1 and 3 of the rights to view matches of the Serie A championship and in the implementing conduct of the same.  </w:t>
        <w:br/>
        <w:t xml:space="preserve">33. In summary, in the measure of 6 July 2021, the Authority contested the possible restrictions on competition arising from: (i) the provisions of the agreement that commercially and technically limit DAZN in offering pay-TV services, reducing its ability to propose discounts to users and to choose additional transmission methods that it deems more suitable (in terms of transmission methodologies used, devices on which the DAZN app is available to the public, possibilities for users to use payment services via phone bill), as well as reducing the incentives for DAZN to invest in interconnection with fixed and mobile operators and to adapt its content distribution network; (ii) the provisions of the agreement that hinder competing telecommunications operators from undertaking commercial initiatives and that, through the wide exclusivity, present selective characteristics, also affecting existing contractual relationships and preventing the replication of the possibility of applying discounts or granting promotional vouchers to their users for the offer of content related to Serie A matches.  </w:t>
        <w:br/>
        <w:t xml:space="preserve">34. According to the hypothesis formulated at the initiation stage, the aforementioned restrictions contained in the Agreement did not appear justified and proportionate to the objective of ensuring the necessary technological support to operate the provision of the content assigned to DAZN or to provide economic support for the acquisition of audiovisual rights. The Agreement could, therefore, significantly affect competition in the fixed (wholesale and retail) and mobile telecommunications markets and in the pay-TV market, to the detriment of consumers wishing to purchase audiovisual services of Serie A, who would not be fully free to choose their telecommunications service provider and could acquire telecommunications and/or pay-TV services under worse economic conditions.  </w:t>
        <w:br/>
        <w:t xml:space="preserve">35. In the initiation measure, the Authority noted that the restrictions under analysis appeared to be characterized by particular severity, as they were likely to create an artificial competitive advantage in favor of TIM, to the detriment of end consumers of the service at a crucial stage for the development of high-capacity telecommunications networks (FTTH and 5G) in Italy, both in terms of freedom of choice among available alternatives and service quality.  </w:t>
        <w:br/>
        <w:t xml:space="preserve">The precautionary sub-procedure  </w:t>
        <w:br/>
        <w:t xml:space="preserve">a) The precautionary procedure initiated by the Authority  </w:t>
        <w:br/>
        <w:t xml:space="preserve">36. With the aforementioned measure of 6 July 2021, No. 29739, in light of a preliminary assessment of the evidentiary framework and the existence of serious and irreparable harm to competition, the Authority deemed it necessary to simultaneously initiate a precautionary sub-procedure pursuant to Article 14-bis of Law No. 287/1990.  </w:t>
        <w:br/>
        <w:t xml:space="preserve">37. Concurrently with the notification of the initiation measure, the Parties were informed of the setting, within the precautionary measures procedure, of a seven-day deadline, starting from the date of notification of the initiation measure, for the submission of written statements and documents and for the request for a hearing before the College, as well as the possibility of accessing the documents of the procedure.  </w:t>
        <w:br/>
        <w:t xml:space="preserve">38. By resolution of 15 July 2021, the Authority decided to extend the deadline for the submission of statements to 19 July 2021, setting an additional deadline for the submission of replies.  </w:t>
        <w:br/>
        <w:t xml:space="preserve">39. All Parties repeatedly exercised their right of access. On 19 July 2021, the Parties submitted defensive statements27. On 21 July 2021, the Parties to the procedure submitted replies28. TIM and DAZN submitted further statements and documents on 23 July 202129.  </w:t>
        <w:br/>
        <w:t xml:space="preserve">40. Other interveners, in addition to those in the reports on file, articulated their defensive considerations on 19 July 2021 (Wind Tre30, AIIP31 Fastweb32, Open Fiber33, Sky34, and Vodafone35) and on 21 July 2021 during the replies36.  </w:t>
        <w:br/>
        <w:t xml:space="preserve">b) The measures proposed by TIM and DAZN  </w:t>
        <w:br/>
        <w:t xml:space="preserve">41. During the precautionary sub-procedure, TIM and DAZN, while making some considerations on the legality of the clauses contested in the initiation measure, jointly presented, lastly on 23 July 2021, a set of measures aimed at resolving the possible competitive issues identified at the initiation stage during the course of the investigative procedure.  </w:t>
        <w:br/>
        <w:t xml:space="preserve">42. Below, a brief description is provided, referring to the content of the measure of 27 July 2021, No. 29778, which concluded the precautionary sub-procedure.  </w:t>
        <w:br/>
        <w:t xml:space="preserve">A. The “DAZN service” is available to all customers with a fixed or mobile internet connection, regardless of the access operator. TIM represented that its commercial policy will be based on two general principles. First, with regard to the product and geographical markets in which it holds a dominant position, TIM commits not to offer bundled (contractual or economic) access services and content services, particularly football and sports, including the DAZN Service: consequently, the customer will always have the free choice to purchase access services or content services separately, particularly football and sports, including the DAZN Service. The customer who subscribes to both will always have the option to withdraw from either of the two services, being able to keep the other active.  </w:t>
        <w:br/>
        <w:t xml:space="preserve">In the second place, regarding the price of the bundled content service between the TimVision service and football and sports content, including the DAZN Service, TIM will not discriminate between its access customers and those of other operators who purchase such a bundle. Compared to what was hypothesized in the initiation measure, therefore, the broadest possibility of joining this bundle is guaranteed, regardless of the telecommunications operator to which the interested customer belongs. In this regard, it should also be noted, as a limitation of the exclusivity and as evidence of its proportional nature, the full freedom of DAZN in promoting and marketing the services in question, both directly and through authorized third parties, including, as provided in Schedule 1 attached to the Deal Memo, it is worth noting, Amazon, Apple, and Google.  </w:t>
        <w:br/>
        <w:t xml:space="preserve">In particular, the Parties committed to modify the provisions contained in the Deal Memo, in order to allow TIM to market the bundle of the TimVision service (including the Set Top Box) and the DAZN Service also to customers of OAO. To this end, TIM commits to making available to potential customers of these services a method of joining through its online and offline sales channels, which will not condition said joining on the (prior, simultaneous, or subsequent) subscription to a subscription for TIM's access services – fixed and/or mobile.  </w:t>
        <w:br/>
        <w:t xml:space="preserve">Starting from 31 October 2021, TIM customers and customers who do not have a fixed and/or mobile access with TIM would then purchase TIM Vision services with football and sports content under identical conditions, without the need to go to any TIM sales point.  </w:t>
        <w:br/>
        <w:t xml:space="preserve">B. In the context of the precautionary sub-procedure concluded with the measure of 27 July 2021, No. 29778, DAZN committed to preparing a backup solution in DTT (i.e., a channel) specifically for users located in areas with greater infrastructural limitations regarding the internet network with limited access to broadband/ultra-broadband internet (i.e., particularly in the so-called white areas as identified by the maps of TIM and Open Fiber). DAZN Limited represents that it has already obtained from MISE a general authorization for the offer of conditional access services via DTT pursuant to Article 15 of the New Regulation on terrestrial television broadcasting in digital technique (Annex A to AGCom resolution 353/11/CONS) and Article 25 of the Electronic Communications Code, based on a declaration made to MISE on 25 May 2021.  </w:t>
        <w:br/>
        <w:t>TIM and DAZN have, therefore, represented that DAZN customers located in the Identified Areas will be able to prioritize the purchase of a DAZN set-top box (STB) (with hardware comparable to that of the Timvision set-top box – also in relation to the possible enjoyment of content in multicast mode – but, evidently, without TIM's customizations and without the TimVision app preloaded, and with internet and DTT connectivity), which will allow them to enjoy the backup on digital terrestrial that will be accessible only and exclusively in case of actual problems (with access only through the DAZN app installed therein). This solution would operate, without any difference, to</w:t>
      </w:r>
    </w:p>
    <w:p>
      <w:r>
        <w:rPr>
          <w:b/>
        </w:rPr>
        <w:t>[Pages 52–54]</w:t>
      </w:r>
    </w:p>
    <w:p>
      <w:r>
        <w:t xml:space="preserve">BULLETIN NO. 27 OF 17 JULY 2023 53  </w:t>
        <w:br/>
        <w:t xml:space="preserve">regardless of the operator with which the customer accesses the internet network. The DAZN STBs will be made available for purchase (subject to demonstrating, at least in an initial phase, the applicant's place of residence within the Identified Areas, or being in locations with similar infrastructural deficits regarding the internet network with limited access to broadband/ultra-broadband internet, and concurrently or subsequently to subscribing to a DAZN service).  </w:t>
        <w:br/>
        <w:t xml:space="preserve">C. Regarding the alleged limitation of DAZN's ability to offer discounts and promotions, the Parties have stated that the Deal Memo does not impose any limitations on this ability. [Omissis].  </w:t>
        <w:br/>
        <w:t xml:space="preserve">D. In relation to the implementation of the multicast solution for viewing live content provided by DAZN, TIM and DAZN have highlighted that activities aimed at the actual adoption of this technological choice began only from May. DAZN, in order to rapidly adopt multicast, would have proceeded to define a specific roadmap related to the introduction of the necessary adaptations of its apps and for the gradual enabling of devices for this functionality. It remains the case that the multicast not being active for OAO (Other Authorised Operators) at the start of the 2021/22 Serie A Football Championship will not impact the viewing quality for the customers of those OAO, and that, as detailed in the subsequent point E, the availability of DAZN Edge caches in the number that has been planned will constitute an adequate safeguard in this regard. DAZN has offered full availability to negotiate the adoption of multicast with the OAOs that have made/will make requests (and that confirm such interest by sharing concrete projects, beyond purely formal requests), with the actual introduction according to a roadmap to be defined taking into account the type of projects of the individual involved OAOs and their respective progress. Compliance with this roadmap will also depend on the commitment during the implementation phase of the interested OAOs.  </w:t>
        <w:br/>
        <w:t xml:space="preserve">Regarding the wholesale services that can be provided directly by TIM, TIM and DAZN have indicated that already in April and then again in June, TIM officially expressed to other telecommunications operators its willingness to provide the multicast service through the NGA bitstream, as well as the possibility of using TIM's CDN in order to (i) ensure the distribution of content to customers of those operators without overloading the transport networks of the OAO and (ii) thereby limit the likelihood of failures/service disruptions. From the reading of the aforementioned communications, it can also be inferred that TIM had already made itself available to the OAOs to evaluate (on a project basis) other solutions based on VULA – Virtual Unbundling Local Access (the same requests now made by the AGCM) without having received any real expression of interest from the OAOs. TIM and DAZN have noted that the objectives pursued by TIM's proposals (as per points (i) and (ii) above) coincided with those of the AGCom directive (issued subsequently) regarding the necessary collaboration methods between DAZN and telecommunications operators to ensure the quality of the DAZN service provided through the operators' networks and aimed at avoiding any potential congestion phenomena and thus service disruptions to customers. TIM has communicated its willingness to provide on a project basis both to content providers and to OAOs, CDN up to thirty nodes of the TIM network also through specific consortia, for the transport of content from the head ends of video providers to the main points of presence at TIM locations.  </w:t>
        <w:br/>
        <w:t xml:space="preserve">Regarding the multicast service, TIM has committed to providing solutions for transporting the multicast signal, in addition to the NGA bitstream already provided for by existing regulations and known to the OAOs for years, also on VULA throughout the national territory to operators who request it, and not only in the "non-contestable areas," as indicated by the AGCM.  </w:t>
        <w:br/>
        <w:t xml:space="preserve">E. In relation to point E of the possible measures, DAZN [omissis], has committed to ensuring that operators who request it receive an adequate number of "DAZN Edge" caches, a technical solution that will provide an additional mode to the so-called global CDNs for streaming content from the DAZN app.  </w:t>
        <w:br/>
        <w:t xml:space="preserve">c) The decision not to adopt precautionary measures and the subsequent requests from the intervening Parties  </w:t>
        <w:br/>
        <w:t xml:space="preserve">43. In light of the measures represented by TIM and DAZN, in the version received on 23 July 2021, the Authority, with decision of 27 July 2021, No. 29778, deemed that the prerequisites for a precautionary intervention pursuant to Article 14-bis of Law No. 287/1990 were not met, as the prerequisite of periculum in mora had ceased to exist.  </w:t>
        <w:br/>
        <w:t xml:space="preserve">44. In particular, with the decision of 27 July 2021, No. 29778, the Authority considered that:  </w:t>
        <w:br/>
        <w:t xml:space="preserve">A. The measure described by TIM and DAZN regarding the marketing of the TIM Vision service bundle (including the Set Top Box) and the DAZN Service also to customers of the OAOs without conditioning this adherence to (prior, concurrent, or subsequent) subscription to TIM's access services – fixed and/or mobile – appeared suitable to prevent such an operator from engaging in a pre-emption activity in the market where it has a dominant position, exploiting the agreement concluded with DAZN. In this regard, the timing indicated with activation – through any channel (online and physical) – starting from 1 August 2021 with the acquisition of a service SIM offered free of charge and without the obligation to have a connection with TIM allows a customer registered with an operator other than TIM to acquire DAZN services under the same conditions.  </w:t>
        <w:br/>
        <w:t xml:space="preserve">B. The measure indicated in letter B allowed DAZN not to renounce the possibility of making its content available on different platforms and in specific cases, in compliance with its freedom of enterprise, offering customers the possibility to back up the service.  </w:t>
        <w:br/>
        <w:t xml:space="preserve">C. With reference to the provision contained in the Deal Memo regarding the limitation of DAZN's ability to propose discounts and promotions, the Parties committed not to consider this provision applicable in the Deal Memo and to provide in the definitive agreement not to limit DAZN's ability to propose discounts and promotions. This measure appeared suitable to neutralize the restrictive impact on competition of the clause contained in the Deal Memo, particularly with regard to a limitation of DAZN's activity, preserving the possibility of offering discounts and promotions to the benefit of consumers.  </w:t>
        <w:br/>
        <w:t xml:space="preserve">D. TIM had committed to providing solutions for transporting the multicast signal, in addition to the NGA bitstream already provided for by existing regulations and known to the OAOs for years, also on VULA throughout the national territory to operators who request it, and not only in the "non-contestable areas." This solution allowed operators to provide and promote their service under the same conditions available to TIM.  </w:t>
        <w:br/>
        <w:t xml:space="preserve">E. DAZN had committed to making available to OAOs with a market share, according to the latest data from the AGCOM Observatory, of about 15 percent each, 8 DAZN Edge caches with a capacity of 180 Gbps each (to manage up to 1.4 Tbps of traffic). Furthermore, DAZN had committed to increasing the number of caches that may be requested by individual OAOs based on actual traffic data (which will be shared with individual OAOs on a weekly basis), taking into account the same proportions, as agreed with the OAOs and in line with what is reflected in the Directive issued by AGCOM, to meet these needs. In the  </w:t>
        <w:br/>
        <w:t xml:space="preserve">BULLETIN NO. 27 OF 17 JULY 2023 55  </w:t>
        <w:br/>
        <w:t xml:space="preserve">decision of 27 July 2021, No. 29778, the Authority considered that these interventions should ensure an adequate provision of the service, guaranteeing both parity of conditions among telecommunications operators and adequate service levels to the end consumer.  </w:t>
        <w:br/>
        <w:t xml:space="preserve">45. With particular reference to the requirement of periculum in mora, therefore, the Authority considered that the measures appeared to prevent that, during the time necessary for the definition of the main procedure, serious and irreparable damage to competition, as hypothesized in the initiation of the precautionary sub-procedure, could occur, particularly with regard to aspects of possible pre-emption and the establishment of discriminatory service offering conditions.  </w:t>
        <w:br/>
        <w:t xml:space="preserve">46. Furthermore, in the decision of 27 July 2021, No. 29778, the Authority considered that the measures presented by the Parties appeared suitable to avoid prejudice to the end consumers of the service, both in terms of freedom of choice among available alternatives and in terms of service quality.  </w:t>
        <w:br/>
        <w:t xml:space="preserve">47. Considering that these measures pertained to behaviors that had to be implemented by the Parties, the Authority deemed it necessary to order TIM and DAZN to prepare and transmit a report regarding the actual implementation of the represented measures. TIM transmitted the requested report on 6 August 2021, DAZN transmitted its report on the implementation of the measures on 18 August 2021.  </w:t>
        <w:br/>
        <w:t xml:space="preserve">48. Between 4 and 5 October, several competitors of Telecom (Wind, Vodafone, Open Fiber, Sky) reported a specific promotion from TIM that would bundle the viewing of DAZN with particular conditions for the internet service, not complying with the measures that Telecom would have assumed within the precautionary sub-procedure. The offer would, more generally, have the effect of causing a pre-emption by Telecom, allowing it to unduly attract customers to its services.  </w:t>
        <w:br/>
        <w:t xml:space="preserve">49. All reporting operators have submitted a request to open a new precautionary sub-procedure pursuant to Article 14-bis of Law No. 287/1990.  </w:t>
        <w:br/>
        <w:t xml:space="preserve">The procedure process  </w:t>
        <w:br/>
        <w:t xml:space="preserve">a) The sub-procedure for the presentation of commitments and their rejection  </w:t>
        <w:br/>
        <w:t xml:space="preserve">50. On 31 October 2021, TIM and DAZN submitted the form for the presentation of commitments, pursuant to Article 14-ter of Law No. 287/1990.  </w:t>
        <w:br/>
        <w:t xml:space="preserve">51. The Authority, with resolution of 5 January 2022, No. 29949, considered that the commitments presented appeared, overall, not manifestly unfounded and suitable for publication, reserving the right to carry out any further assessment regarding their suitability to remove restrictions on competition, also in light of the observations that would be received during the market test. Therefore, the Authority deemed it appropriate to order the publication of the aforementioned commitments presented, so that interested third parties could express their observations.  </w:t>
        <w:br/>
        <w:t>52. On 14 December 2021, the decision to publish the commitments was adopted, which was published on 5 January 2022. During the market test, observations were made.</w:t>
      </w:r>
    </w:p>
    <w:p>
      <w:r>
        <w:rPr>
          <w:b/>
        </w:rPr>
        <w:t>[Pages 55–57]</w:t>
      </w:r>
    </w:p>
    <w:p>
      <w:r>
        <w:t xml:space="preserve">56 BULLETIN NO. 27 OF 17 JULY 2023  </w:t>
        <w:br/>
        <w:t xml:space="preserve">critical observations from competing operators, particularly regarding the bundle of services (telephony and content) and the provision of agreements aimed at regulating in advance the future participation of the two operators in the bidding for Serie A TV Rights for the three-year period 2024/2027.  </w:t>
        <w:br/>
        <w:t xml:space="preserve">53. In general, based on the observations made by the operators, the commitments presented by TIM and DAZN were insufficient to allay the competitive concerns raised in the initiation measure, particularly regarding Telecom's bundled offer and the regulation of the relationship between the Parties following the expiration of the contract's effectiveness, which was where most of the observations were focused.  </w:t>
        <w:br/>
        <w:t xml:space="preserve">54. By resolution of 7 June 2022, No. 30191, the Authority deemed that the commitments presented by TIM and DAZN appeared, both collectively and individually considered, inadequate to eliminate the anticompetitive profiles identified in the initiation resolution, as they were not capable of resolving the competitive concerns highlighted in the initiation measure itself. Indeed, they had not resulted in shared contractual modifications that would eliminate the competitive issues described in the initiation measure of 6 July 2021. The Authority also noted an interest in proceeding with the ascertainment of any infringement.  </w:t>
        <w:br/>
        <w:t xml:space="preserve">b) The extension measure  </w:t>
        <w:br/>
        <w:t xml:space="preserve">55. By resolution of 7 June 2022, No. 30192, considering that, due to the complexity of the case, the sub-procedure for the evaluation of commitments pursuant to Article 14-ter of Law No. 287/90 required a period longer than the ninety days indicated in the "Communication on the procedures for the application of Article 14-ter of Law No. 287 of 10 October 1990," adopted in the meeting of 6 September 2012 and published in Bulletin No. 35 of 17 September 2012, the Authority resolved to extend the deadline for closing the procedure.  </w:t>
        <w:br/>
        <w:t xml:space="preserve">56. In this regard, the Authority noted that TIM and DAZN had submitted several requests for extensions concerning the deadline for the submission of commitments and that it was necessary to proceed with the investigative obligations in view of the closure measure and, in particular, to prepare the Communication of Investigative Results, pursuant to Article 14 of Presidential Decree No. 217 of 30 April 1998. Furthermore, it was observed that it was necessary to request the opinion of the Authority for Communications Guarantees (AGCOM) pursuant to Article 1, paragraph 6, letter c), No. 11, of Law No. 249/1997. In light of these considerations, the Authority deemed it necessary to extend the deadline for concluding the procedure to 31 March 2023.  </w:t>
        <w:br/>
        <w:t xml:space="preserve">57. On 25 November 2021, Vodafone submitted an extraordinary appeal to the Head of State pursuant to Article 8 of Presidential Decree No. 1199/1971, concerning the measure of non-adoption of precautionary measures of 27 July 2021.  </w:t>
        <w:br/>
        <w:t xml:space="preserve">c) Requests for information and access to documents  </w:t>
        <w:br/>
        <w:t xml:space="preserve">58. During the procedure, the Directorate made several requests for information to TIM and DAZN as well as to third parties in order to gather useful elements for the evaluation of the case at hand.  </w:t>
        <w:br/>
        <w:t xml:space="preserve">59. On 18 June 2021, the LNPA provided information requested by the Offices in response to a request for information made on 16 June 2021.  </w:t>
        <w:br/>
        <w:t xml:space="preserve">60. Regarding the requests for information made to TIM and DAZN, they aimed to gather elements regarding the trend of DAZN subscriptions and TIM's connectivity services associated with the marketing of DAZN content, also with reference to specific promotions of connectivity services associated with the DAZN content offer.  </w:t>
        <w:br/>
        <w:t xml:space="preserve">61. In particular:  </w:t>
        <w:br/>
        <w:t xml:space="preserve">- on 1 September 2021, information was requested from TIM and DAZN, which was responded to on 15 September 2021 (TIM) and 21 September 2021 (DAZN);  </w:t>
        <w:br/>
        <w:t xml:space="preserve">- on 4 October 2021, information was requested from TIM and DAZN, which was responded to on 15 October 2021 (TIM) and 21 October 2021 (DAZN);  </w:t>
        <w:br/>
        <w:t xml:space="preserve">- on 5 October 2021, information was requested from TIM regarding the TIM Vision Gold commercial offer;  </w:t>
        <w:br/>
        <w:t xml:space="preserve">- on 12 November 2021, information was requested from TIM regarding the TIM Vision Gold commercial offer;  </w:t>
        <w:br/>
        <w:t xml:space="preserve">- on 26 November 2021, information was requested from TIM and DAZN, which was responded to on 3 December 2021 (TIM) and 1 December 2021 (DAZN);  </w:t>
        <w:br/>
        <w:t xml:space="preserve">- on 5 July 2022, information was requested from TIM and DAZN, which was responded to on 25 July 2022 (TIM) and (DAZN);  </w:t>
        <w:br/>
        <w:t xml:space="preserve">- on 24 October 2022, information was requested from TIM and DAZN, which was responded to on 14 November 2022 (DAZN) and 21 November 2022 (TIM).  </w:t>
        <w:br/>
        <w:t xml:space="preserve">62. TIM and DAZN and all Parties involved in the procedure repeatedly exercised the right of access to the investigative file, acquiring the documentation available in the records.  </w:t>
        <w:br/>
        <w:t xml:space="preserve">63. On 27 September 2022, WindTre transmitted, for the knowledge of the Authority's Offices, a request to DAZN to initiate commercial negotiations. DAZN responded to the aforementioned request on 18 October 2022, including among the recipients of the communication the Offices of the Authority.  </w:t>
        <w:br/>
        <w:t xml:space="preserve">d) The new agreement between TIM and DAZN  </w:t>
        <w:br/>
        <w:t xml:space="preserve">64. On 4 August 2022, TIM and DAZN submitted a new agreement for the distribution of DAZN content on the TIM Vision platform, called the Distribution agreement.  </w:t>
        <w:br/>
        <w:t xml:space="preserve">65. On 10 August 2022, DAZN sent the final text of the Term Sheet DAZN affiliate and marketing services agreement, concluded with Sky.  </w:t>
        <w:br/>
        <w:t xml:space="preserve">e) The elements collected after the conclusion of the agreement between TIM and DAZN  </w:t>
        <w:br/>
        <w:t xml:space="preserve">66. Following the transmission of the agreements between TIM and DAZN and between DAZN and Sky, hearings were held with the intervening Parties and reporters. In particular: on 13 September 2022, the hearing of Wind took place; on 14 September 2022, the hearing of Vodafone took place; on 28 September 2022, the hearing of Iliad Italia took place; on 5 October 2022, the hearing of AIIP took place; on 13 October 2022, the hearing of Open Fiber took place; on 14 October 2022, the hearing of Fastweb took place; on 14 October 2022, the hearing of Sky Italia also took place; on 20 October 2022, the hearing of Codacons took place; on 10 November 2022, the hearing of Colt took place.  </w:t>
        <w:br/>
        <w:t xml:space="preserve">67. In the context of the aforementioned hearings, information was requested to gather elements regarding the number of users from operators other than TIM who activated the DAZN service while maintaining the subscription for connectivity services with their reference operator, as well as elements regarding customer loss and revenue.  </w:t>
        <w:br/>
        <w:t>68. The responses to the aforementioned requests for information were received on 22 September 2022 (Wind); on 10 October 2022 (Iliad Italia); on 25 October 2022 (Fastweb) and on 27 October 2022 (Sky Italia).</w:t>
      </w:r>
    </w:p>
    <w:p>
      <w:r>
        <w:rPr>
          <w:b/>
        </w:rPr>
        <w:t>[Pages 58–60]</w:t>
      </w:r>
    </w:p>
    <w:p>
      <w:r>
        <w:t xml:space="preserve">BULLETIN NO. 27 OF 17 JULY 2023 59  </w:t>
        <w:br/>
        <w:t xml:space="preserve">69. On 30 November 2022, hearings were held with TIM89 and DAZN90, during which requests for information were made to both operators. TIM responded to the aforementioned request for information on 5 December 202291 and DAZN on 16 December 202292.  </w:t>
        <w:br/>
        <w:t xml:space="preserve">70. On 17 January 2023, the Authority was informed, and on 20 January 2023, the communication of the investigative findings (hereinafter also referred to as “CRI”) was sent to the Parties, along with the communication of the deadline for closing the evidence-gathering phase, set for 28 February 2023.  </w:t>
        <w:br/>
        <w:t xml:space="preserve">71. Following requests for an extension, until 21 March 2023, of the deadline referred to in Article 14, paragraph 4, of Presidential Decree No. 217/1998, received from DAZN on 25 January 202393 and from Telecom on 26 January 202394, the Authority, on 31 January 2023, resolved to extend the deadline for closing the procedure to 31 May 2023, considering the need to ensure the widest exercise of the right of defense to fully guarantee the right to adversarial proceedings.  </w:t>
        <w:br/>
        <w:t xml:space="preserve">72. The intra-procedural deadline for concluding the evidence-gathering phase and the date of the final hearing, originally scheduled for 28 February 2023, was therefore extended to 28 March 2023.  </w:t>
        <w:br/>
        <w:t xml:space="preserve">73. On 20 March 2023, the final memorandum from Open Fiber95 was received.  </w:t>
        <w:br/>
        <w:t xml:space="preserve">74. On 28 March 2023, the final memoranda from TIM96, DAZN97, Wind98, Vodafone99, Iliad100, Sky Italia101, and Fastweb102 were received.  </w:t>
        <w:br/>
        <w:t xml:space="preserve">75. On 4 April 2023103, the representatives of the companies AIIP, Fastweb, Iliad, Vodafone, Wind, Sky Italia, TIM, and DAZN were heard in a final hearing before the College, in the presence of the company Open Fiber, which did not make any interventions.  </w:t>
        <w:br/>
        <w:t xml:space="preserve">III. THE INVESTIGATIVE FINDINGS  </w:t>
        <w:br/>
        <w:t xml:space="preserve">The relevant markets  </w:t>
        <w:br/>
        <w:t xml:space="preserve">The value chain and the relevant markets  </w:t>
        <w:br/>
        <w:t xml:space="preserve">76. The clauses contained in the agreement between TIM and DAZN constitute an agreement between companies, susceptible to evaluation under Article 101 TFEU.  </w:t>
        <w:br/>
        <w:t xml:space="preserve">89 Doc. istr. 440.  </w:t>
        <w:br/>
        <w:t xml:space="preserve">90 Doc. istr. 441.  </w:t>
        <w:br/>
        <w:t xml:space="preserve">91 Doc. istr. 448.  </w:t>
        <w:br/>
        <w:t xml:space="preserve">92 Doc. istr. 458.  </w:t>
        <w:br/>
        <w:t xml:space="preserve">93 Doc. istr. 514.  </w:t>
        <w:br/>
        <w:t xml:space="preserve">94 Doc. istr. 518.  </w:t>
        <w:br/>
        <w:t xml:space="preserve">95 Doc. istr. 558.  </w:t>
        <w:br/>
        <w:t xml:space="preserve">96 Doc. istr. 575.  </w:t>
        <w:br/>
        <w:t xml:space="preserve">97 Doc. istr. 577.  </w:t>
        <w:br/>
        <w:t xml:space="preserve">98 Doc. istr. 569.  </w:t>
        <w:br/>
        <w:t xml:space="preserve">99 Doc. istr. 580.  </w:t>
        <w:br/>
        <w:t xml:space="preserve">100 Doc. istr. 572.  </w:t>
        <w:br/>
        <w:t xml:space="preserve">101 Doc. istr. 574.  </w:t>
        <w:br/>
        <w:t xml:space="preserve">102 Doc. istr. 576.  </w:t>
        <w:br/>
        <w:t>103 Doc. istr. 614.</w:t>
      </w:r>
    </w:p>
    <w:p>
      <w:r>
        <w:t xml:space="preserve">60 BULLETIN NO. 27 OF 17 JULY 2023  </w:t>
        <w:br/>
        <w:t xml:space="preserve">That said, it is recalled that, in cases concerning agreements, the definition of the relevant market is essentially aimed at identifying the characteristics of the economic and legal context in which the coordination between companies takes place.  </w:t>
        <w:br/>
        <w:t xml:space="preserve">77. For the purposes of evaluating an agreement, in fact, the identification of the relevant market, although useful for precisely delineating and focusing the analysis of the behaviors of the involved companies, is functional to identifying the product and territorial scope in which coordination between companies manifests and the effects arising from the anticompetitive conduct104.  </w:t>
        <w:br/>
        <w:t xml:space="preserve">78. In order to fully understand the context in which the behaviors under examination are embedded, it is deemed useful to examine the production chain specific to television services, with particular reference to pay-TV services. The value chain of the television medium can be divided into several vertically interrelated phases, each of which can be performed internally or outsourced: these are summarized in Figure 1.  </w:t>
        <w:br/>
        <w:t xml:space="preserve">79. It should be noted from the outset that the analysis of the vertical chain varies depending on the business models and the type of audiovisual media services analyzed. As will be seen later, in fact, not all phases of the production chain are present in all business models.  </w:t>
        <w:br/>
        <w:t xml:space="preserve">Figure 1 – Vertical structure of television services105  </w:t>
        <w:br/>
        <w:t xml:space="preserve">80. The contents represent an input for the provision of audiovisual media services to end customers. For this purpose, one can resort to self-production or to purchasing broadcasting rights for products owned by third parties on the market. From the perspective of the horizontal differentiation of audiovisual content, these can be classified, depending on their objective characteristics and the audience they target, into different thematic genres.  </w:t>
        <w:br/>
        <w:t xml:space="preserve">104 See, inter alia, Council of State 26 January 2017, No. 740, case I833-Consip cleaning tenders in schools, and Council of State, 3 June 2014, Nos. 2837, 3167, and 3168, case I722-International Logistics; Council of State, 24 October 2014, Nos. 4230, 5274, 5276, 5278, case I701-Retail sale of cosmetic products.  </w:t>
        <w:br/>
        <w:t>105 See AGCM Measure No. 26258 of 30 November 2016, IC41-Investigation into the audiovisual sector, cited.</w:t>
      </w:r>
    </w:p>
    <w:p>
      <w:r>
        <w:t xml:space="preserve">BULLETIN NO. 27 OF 17 JULY 2023 61  </w:t>
        <w:br/>
        <w:t xml:space="preserve">81. In relation to the vertical differentiation of audiovisual content, these are traditionally divided into two groups, namely “premium” and “non-premium.” The first type is characterized by a high level of quality perceived by end users; therefore, they are marked by a high willingness to pay from the public and are capable of generating significant viewership. In antitrust decision-making practice, this essentially concerns first-run films and particularly appealing live sporting events (for example, the national Serie A championship). In particular, the contents of the Serie A championship appear to be an important driver of users' consumption choices; in the past, it has indeed been found that over half of the users who include such content in their subscription (specifically, 56.9%) would cancel the entire subscription if Serie A were no longer available (Figure 2).  </w:t>
        <w:br/>
        <w:t xml:space="preserve">Figure 2 – Reaction to the absence of Serie A content106  </w:t>
        <w:br/>
        <w:t xml:space="preserve">82. Providers of audiovisual media services are responsible for the editorial activity of packaging individual programs and, in general, audiovisual content, into schedules and catalogs. In this context, it is possible to distinguish the activity of packaging linear media services (“linear channels” according to a predetermined order) from the activity of defining an on-demand audiovisual media service (the “on-demand” mode with a catalog of content that can be chosen by end users).  </w:t>
        <w:br/>
        <w:t xml:space="preserve">83. The stage of the audiovisual chain just described represents the wholesale side, which consists of preparing a complete editorial product that can be sold to define a retail offer to the end public.  </w:t>
        <w:br/>
        <w:t xml:space="preserve">84. The third phase in the industrial chain, indicated in Figure 1, concerns the methods of offering channels and catalogs to end customers.  </w:t>
        <w:br/>
        <w:t xml:space="preserve">85. The Authority has previously noted that “the various phases of the vertical chain depend on the business model considered. In particular, in the commercial platforms of pay-TV, operators prepare a retail offer of a bouquet of channels, both third-party and self-produced. The pay-TV operator, therefore, acquires the channel at wholesale and includes it in its commercial offer to customers. […] Furthermore, even considering non-linear services (VOD catalogs), the distinction between this phase of the vertical chain [offer to the public] and the previous stage  </w:t>
        <w:br/>
        <w:t>106 See AGCM Measure No. 27784 of 20 May 2019, case C12207-Sky Italia/R2.</w:t>
      </w:r>
    </w:p>
    <w:p>
      <w:r>
        <w:rPr>
          <w:b/>
        </w:rPr>
        <w:t>[Pages 61–63]</w:t>
      </w:r>
    </w:p>
    <w:p>
      <w:r>
        <w:t xml:space="preserve">62 BULLETIN NO. 27 OF 17 JULY 2023  </w:t>
        <w:br/>
        <w:t xml:space="preserve">[media service providers] of the chain becomes particularly blurred. This is because the editorial activity consists of defining the catalog of on-demand content available in the public offering, and such activities do not involve the acquisition of linear channels”107.  </w:t>
        <w:br/>
        <w:t xml:space="preserve">86. The content must then be transmitted to the viewer, using one of the currently available technologies. In recent years, in addition to the traditionally used methods for television transmission in Italy – namely digital terrestrial (DTT) and digital satellite (DTH) – the penetration of the internet (IP – Internet Protocol) for the offering and consumption of audiovisual content has increased.  </w:t>
        <w:br/>
        <w:t xml:space="preserve">87. In particular, audiovisual media services over the internet are based almost exclusively on an OTT-TV – Over The Top TV model and are transmitted over the public internet network without distinction of operators, do not use closed IP networks, and are therefore available to all users who have access to broadband internet. No minimum quality levels for the service are provided, which is delivered on a best-effort basis, although paid services usually employ technologies capable of limiting delays and interruptions in the audiovisual stream108.  </w:t>
        <w:br/>
        <w:t xml:space="preserve">88. In order to improve the performance of the network in which data traffic is treated indiscriminately, various technologies have been developed that allow for the guarantee of quality levels within a best-effort framework.  </w:t>
        <w:br/>
        <w:t xml:space="preserve">89. Among these are the services of content delivery networks (CD Content Delivery Network or CDN), which, as mentioned in the section dedicated to describing the measures adopted by the Parties in the precautionary sub-procedure, consist of additional transmission networks and servers, placed at points in the internet network with a higher likelihood of congestion, which allow for dedicated transmission capacity and space to copy and store information present on the original servers. In this way, the request for a particular content is satisfied by the nearest server and in a faster time than if it were to be managed by the headquarters of the audiovisual service provider.  </w:t>
        <w:br/>
        <w:t xml:space="preserve">90. Such services can only accelerate the transmission of data, reducing potential bottlenecks at certain nodes in the network, without being able to affect the conditions of the communication network that reaches the end customer (access network), which may not guarantee an adequate level of service.  </w:t>
        <w:br/>
        <w:t xml:space="preserve">91. Further traffic management methods may consist of identifying, with telecommunications operators, points of interconnection (peering) with the networks, in order to geographically define and size the "paths" of communication between the media service provider's servers, which generate the content, and the operators' network necessary to reach the users.  </w:t>
        <w:br/>
        <w:t xml:space="preserve">92. The methods of transmission over the internet can be distinguished into "unicast" and "multicast." A unicast transmission consists of a point-to-point transmission in which each user establishes a single connection with the server: this means that if N users use the audiovisual service simultaneously (even the same content), there will be N simultaneous data streams that will therefore add up in the occupation of the available network resources.  </w:t>
        <w:br/>
        <w:t xml:space="preserve">93. Multicast technologies, usable in the case of simultaneous viewing of the same content (such as, for example, linear channels or live events), allow for the sending of a single data stream to N users, although with a delay depending on the technology implemented. In this case,  </w:t>
        <w:br/>
        <w:t xml:space="preserve">107 See AGCM measure No. 26258 of 30 November 2016, IC41-Exploratory Investigation into the audiovisual sector, cited.  </w:t>
        <w:br/>
        <w:t>108 See ibidem.</w:t>
      </w:r>
    </w:p>
    <w:p>
      <w:r>
        <w:t xml:space="preserve">BULLETIN NO. 27 OF 17 JULY 2023 63  </w:t>
        <w:br/>
        <w:t xml:space="preserve">the use of network resources is lower, considering the presence of a single audio-video stream.  </w:t>
        <w:br/>
        <w:t xml:space="preserve">94. Regarding receiving devices, technological evolution has allowed for the introduction of a series of devices, different from the traditional television, that are capable of accessing audiovisual content, even on the go. On one hand, therefore, there is the introduction of new devices such as tablets, smartphones, and computers, and on the other hand, there is the convergence between traditional television and the internet (smart TVs, set-top boxes, or connected decoders). These devices usually allow for the installation of apps from audiovisual media service providers in an OTT mode.  </w:t>
        <w:br/>
        <w:t xml:space="preserve">95. The agreement under examination, therefore, affects various levels of the supply chain and, in particular, (i) the possibility of wholesaling the DAZN service; (ii) the technical-economic conditions for selling services to the public and the limitations on marketing by certain subjects; (iii) the method of transmission and billing of the service by electronic communications operators; (iv) the devices (decoders, set-top boxes) on which DAZN's OTT services can be installed.  </w:t>
        <w:br/>
        <w:t xml:space="preserve">96. Considering the scope of the agreements under examination and the activities of the companies involved, the following are also relevant: (1) the retail market for pay television services (the pay-TV market); (2) the market for wholesale access services to the fixed broadband and ultra-broadband network; (3) the retail market for telecommunications services on fixed broadband and ultra-broadband networks; (4) the retail market for mobile telecommunications services.  </w:t>
        <w:br/>
        <w:t xml:space="preserve">The retail market for pay television services (the pay-TV market)  </w:t>
        <w:br/>
        <w:t xml:space="preserve">97. The pay-TV market, of national geographical size, coincides with the overall market for pay television services, which can be provided through various transmission means and, in particular, via satellite (DTH), through digital terrestrial (DTT), as well as via cable and internet (IPTV and OTT).  </w:t>
        <w:br/>
        <w:t xml:space="preserve">98. In national and European practice109, the pay-TV market is considered distinct from the free-to-air television market and, more specifically, from the market for advertising revenue on television, although there are connections between these due to horizontal relationships. This is because premium programs and content normally distributed through pay-TV are not typically substitutable with programs and content broadcast by free-to-air channels.  </w:t>
        <w:br/>
        <w:t xml:space="preserve">99. In this market, TIM is present with its TIM Vision offer and DAZN with its OTT service marketed directly or through distribution agreements with third-party operators.  </w:t>
        <w:br/>
        <w:t xml:space="preserve">The market for wholesale access services to the fixed broadband and ultra-broadband network  </w:t>
        <w:br/>
        <w:t xml:space="preserve">100. The market for wholesale access services to the fixed broadband and ultra-broadband network (hereinafter also "wholesale market"), of national geographical size, is defined from a commodity perspective as that which contains the services that allow telecommunications operators to provide services to end customers through access to the fixed local network broadband and ultra-broadband. Access to the local network that connects the end customer is a necessary production factor to operate in the downstream market of retail telecommunications services. For operators intending to prepare an offer of telecommunications services aimed at the  </w:t>
        <w:br/>
        <w:t>109 See AGCM measure No. 27784 of 20 May 2019, case C12207-Sky Italia/R2; AGCM measure No. 18932 of 2 October 2008, case A407-TV Account/Sky Italia; AGCM measure No. 15632 of 28 June 2006, A362-Football Rights; AGCM measure No. 24206 of 6 February 2013, A418C-Selective Procedures Lega calcio 2010/11 and 2011/12; European Commission decision of 25 June 2008, case COMP/M.5121-News Corp/Premiere; European Commission decision of 2 April 2003, case COMP/M.2876-Newscorp/Telepiù.</w:t>
      </w:r>
    </w:p>
    <w:p>
      <w:r>
        <w:t xml:space="preserve">64 BULLETIN NO. 27 OF 17 JULY 2023  </w:t>
        <w:br/>
        <w:t xml:space="preserve">final customer, the procurement of local network access services is essential, as it is not possible to serve the final customer without access to the local network.  </w:t>
        <w:br/>
        <w:t xml:space="preserve">The market for retail telecommunications services on fixed broadband and ultra-broadband networks  </w:t>
        <w:br/>
        <w:t xml:space="preserve">101. The market for retail telecommunications services on fixed broadband and ultra-broadband networks (hereinafter also "retail market"), of national geographical size, is defined from a commodity perspective as the set of fixed network voice and data services on broadband and ultra-broadband intended for end users. This market structurally presents an oligopolistic nature, although there is a more vibrant competitive comparison compared to the upstream market of wholesale access services.  </w:t>
        <w:br/>
        <w:t xml:space="preserve">102. In this market, TIM is the only vertically integrated operator possessing an access network covering the entire national geographical market, with a majority market share that is significantly higher (almost three times) than the three main competing telecommunications operators. The market shares in volume, as of June 2020, are represented in Table 1 below.  </w:t>
        <w:br/>
        <w:t xml:space="preserve">Table 1 – Retail accesses to broadband and ultra-broadband (June 2020)110  </w:t>
        <w:br/>
        <w:t xml:space="preserve">Number of broadband and ultra-broadband accesses (million lines) Market share (%)  </w:t>
        <w:br/>
        <w:t xml:space="preserve">Operator  </w:t>
        <w:br/>
        <w:t xml:space="preserve">Tim 7.52 42.2%  </w:t>
        <w:br/>
        <w:t xml:space="preserve">Vodafone 2.96 16.6%  </w:t>
        <w:br/>
        <w:t xml:space="preserve">Fastweb 2.69 15.1%  </w:t>
        <w:br/>
        <w:t xml:space="preserve">Wind Tre 2.49 14.0%  </w:t>
        <w:br/>
        <w:t xml:space="preserve">Linkem 0.67 3.8%  </w:t>
        <w:br/>
        <w:t xml:space="preserve">Eolo 0.49 2.8%  </w:t>
        <w:br/>
        <w:t xml:space="preserve">Tiscali 0.43 2.4%  </w:t>
        <w:br/>
        <w:t xml:space="preserve">Others 0.54 3.0%  </w:t>
        <w:br/>
        <w:t xml:space="preserve">Total 17.81 100.0  </w:t>
        <w:br/>
        <w:t xml:space="preserve">The retail market for mobile telecommunications services  </w:t>
        <w:br/>
        <w:t xml:space="preserve">103. The retail market for mobile telecommunications services, according to established national and community guidelines111, consists of a series of services that, through the use of wireless technologies, allow users to meet their communication needs on the go through voice, data, and SMS services. Geographically, this market has a national scope, due to the regulatory frameworks in Italy, as well as the national extent of mobile telecommunications networks and their independence from other EU member states. The market shares in volume based on the number of active SIMs, as of December 2020, are shown in the following table.  </w:t>
        <w:br/>
        <w:t xml:space="preserve">110 See AGCOM, Communications Observatory No. 3/2020.  </w:t>
        <w:br/>
        <w:t>111 See European Commission decision of 1 September 2016, case M.7758-Hutchison 3G Italy/Wind/JV; AGCM measure No. 28102 of 28 January 2020, case I820-Monthly billing with tariff reconfiguration; AGCM measure No. 23891 of 12 September 2012, case I757-Obstacles to market access for a new mobile operator; AGCM measure No. 17131 of 3 August 2007, case A357-Tele2/Tim-Vodafone-Wind.</w:t>
      </w:r>
    </w:p>
    <w:p>
      <w:r>
        <w:rPr>
          <w:b/>
        </w:rPr>
        <w:t>[Pages 64–66]</w:t>
      </w:r>
    </w:p>
    <w:p>
      <w:r>
        <w:t xml:space="preserve">BULLETIN NO. 27 OF 17 JULY 2023 65  </w:t>
        <w:br/>
        <w:t xml:space="preserve">Table 2 – Market shares in volume (number of SIMs, December 2020)112  </w:t>
        <w:br/>
        <w:t xml:space="preserve">Number of SIMs Market share in volume  </w:t>
        <w:br/>
        <w:t xml:space="preserve">Operator  </w:t>
        <w:br/>
        <w:t xml:space="preserve">(millions) (%)  </w:t>
        <w:br/>
        <w:t xml:space="preserve">Wind Tre 21.5 27.7%  </w:t>
        <w:br/>
        <w:t xml:space="preserve">Tim 20.6 26.6%  </w:t>
        <w:br/>
        <w:t xml:space="preserve">Vodafone 18.5 23.9%  </w:t>
        <w:br/>
        <w:t xml:space="preserve">Iliad 7.2 9.3%  </w:t>
        <w:br/>
        <w:t xml:space="preserve">Poste Mobile 4.3 5.6%  </w:t>
        <w:br/>
        <w:t xml:space="preserve">Other MVNOs 5.3 6.9%  </w:t>
        <w:br/>
        <w:t xml:space="preserve">Total 77.6 100.0%  </w:t>
        <w:br/>
        <w:t xml:space="preserve">104. According to public data (Figure 3), over 20% of DAZN users use mobile devices to view the publisher's content.  </w:t>
        <w:br/>
        <w:t xml:space="preserve">Figure 3 – Distribution of DAZN users in Italy by access platform113  </w:t>
        <w:br/>
        <w:t xml:space="preserve">112 See AGCOM, Communications Observatory No. 1/2021. Market shares are based on the number of "human" SIMs.  </w:t>
        <w:br/>
        <w:t>113 Source: Statista, “Distribution of DAZN users in Italy from August 2018 to May 2019, by access platform.”</w:t>
      </w:r>
    </w:p>
    <w:p>
      <w:r>
        <w:t xml:space="preserve">66 BULLETIN NO. 27 OF 17 JULY 2023  </w:t>
        <w:br/>
        <w:t xml:space="preserve">The evidence regarding the effects of the agreement  </w:t>
        <w:br/>
        <w:t xml:space="preserve">a) Introduction to the analysis approach, type of data, and reference period  </w:t>
        <w:br/>
        <w:t xml:space="preserve">105. The Authority, during the procedure, made several requests for information to TIM and DAZN to gather elements regarding the effects on the markets affected by the present procedure following the conclusion of the Agreement, adopting the following methodology.  </w:t>
        <w:br/>
        <w:t xml:space="preserve">106. Quantitative data were collected, particularly concerning the trend in the number of users who subscribed to the DAZN service. In this regard, as will be analyzed in the following paragraphs and in the graphs presented, data from users who activated the DAZN service directly (so-called pure subscriptions) and those from users who activated this service by subscribing to the TIM Vision platform (so-called TIM/DAZN subscription) were analyzed and compared, both on fixed and mobile networks.  </w:t>
        <w:br/>
        <w:t xml:space="preserve">107. An analysis of quantitative user data was also conducted concerning subscriptions to TIM connectivity services. The graphs that will be illustrated aim to highlight the parallels that exist between the trends of such data during the observation period.  </w:t>
        <w:br/>
        <w:t xml:space="preserve">108. From a temporal perspective, the period of interest for data collection runs from July 2021 to August 2022. It is noted that this time frame was considered because it coincides with the date on which the agreement is effective for the Parties, with the start of the commercialization of the TIM Vision service associated with DAZN content (i.e., from 1 July 2021) until the end of July 2022. Data were also collected for the period following 4 August 2022 when TIM and DAZN signed the new agreement, and DAZN subsequently entered into an agreement with SKY to make its content available on that platform.  </w:t>
        <w:br/>
        <w:t xml:space="preserve">109. In order to understand the trend of the data, it is necessary to keep in mind that during the analyzed time frame, which coincides with the entire investigative phase of the present procedure, certain moments must be considered that allow for the appreciation of significant deviations in the summary curves of the considered data.  </w:t>
        <w:br/>
        <w:t xml:space="preserve">110. The first is represented by the start of the commercialization of the rights based on the Deal Memo (1 July 2021) until the period of actual adoption of the voluntary measures within the precautionary sub-procedure (August 2022). This is the period during which the measures adopted by TIM and DAZN within the precautionary sub-procedure were not implemented, and therefore, the Deal Memo in question was fully effective between TIM and DAZN. During this period, there was an increase in the number of subscriptions to the TIM service in the quantitative terms that will be described.  </w:t>
        <w:br/>
        <w:t xml:space="preserve">111. The second period to be examined runs from August 2021, that is, from the first and full application of the voluntary measures presented by TIM and DAZN during the precautionary sub-procedure, until the signing of the new agreement between TIM and DAZN (4 August 2022). In this phase, it should be noted that TIM proceeded with commercial offers of connectivity content bundled with audiovisual content where the all-inclusive price of the offer for the latter eliminated the price of connectivity. These offers were temporally limited and operated during the period October-December 2021, and in relation to them, it is possible to analyze a different trend of the subscription curve, favorable to the activation of the TIM service with the activation of TIM Vision with DAZN content.  </w:t>
        <w:br/>
        <w:t xml:space="preserve">112. Below, the main evidence collected will be summarized. Public data will also be reported, in particular, the data from the AGCOM observatory regarding the trend of subscriptions to connectivity services with TIM and other OAO and the deviations in market positions114. These data indicate an improvement in TIM's position in the connectivity markets during the considered period.  </w:t>
        <w:br/>
        <w:t xml:space="preserve">b) Analysis of the effects of the agreement (between TIM and DAZN - Deal Memo Distribution) on DAZN service subscriptions and comparison with direct subscriptions  </w:t>
        <w:br/>
        <w:t xml:space="preserve">113. The following figure shows the total number of subscribers to the DAZN service, which includes both so-called "pure" DAZN subscribers (subscribers to the DAZN service via the dedicated DAZN App on smart TVs, PCs, mobile phones, etc.) and subscribers to DAZN services via the TIM VISION platform (subscribers to the TIM VISION platform who have subscribed115 to at least one package including DAZN):  </w:t>
        <w:br/>
        <w:t xml:space="preserve">Figure 4 – Number of DAZN subscriptions (Source: DAZN)  </w:t>
        <w:br/>
        <w:t xml:space="preserve">114 Communications Observatory No. 3/2022, Communications Observatory No. 2/2022, Communications Observatory No. 1/2022, Communications Observatory No. 4/2021, and Communications Observatory No. 3/2021.  </w:t>
        <w:br/>
        <w:t>115 For TIM Vision packages that contain DAZN, all TIM VISION packages including DAZN are meant (for example, TimVision + DAZN + Infinity, TimVision + DAZN + Infinity + Disney+, TimVision + DAZN + Infinity + Netflix + Disney+, etc.)</w:t>
      </w:r>
    </w:p>
    <w:p>
      <w:r>
        <w:rPr>
          <w:b/>
        </w:rPr>
        <w:t>[Pages 67–69]</w:t>
      </w:r>
    </w:p>
    <w:p>
      <w:r>
        <w:t xml:space="preserve">68 BULLETIN NO. 27 OF 17 JULY 2023  </w:t>
        <w:br/>
        <w:t xml:space="preserve">114. From the figure, it can be inferred that the total number of "pure" subscribers as well as the total number of subscribers to the DAZN service remains almost constant over the annual duration except during the interruptions of the Serie A football championship. The maximum total number of subscribers to the DAZN service is approximately [omitted] million while the number of "pure" subscribers currently stands at approximately [omitted] million.  </w:t>
        <w:br/>
        <w:t xml:space="preserve">115. The maximum number of subscribers to the TimVision platform who have subscribed to at least one package including DAZN is approximately [omitted] during the reference period. Therefore, the contribution of the TimVision platform to the DAZN service in terms of percentage of total users is below 30%.  </w:t>
        <w:br/>
        <w:t xml:space="preserve">116. From August 2022, the total number of subscribers to the DAZN service also includes DAZN subscribers who, due to the recent agreement (Distribution Agreement) concluded between DAZN and SKY, are allowed to access DAZN services on SKY devices (such as SKY Q and SKY Glass). Based on the data requested from DAZN on 24 October 2022, the following figure shows the evolution of the number of such subscribers compared to the number of TIM VISION subscribers who use the DAZN service:  </w:t>
        <w:br/>
        <w:t xml:space="preserve">Figure 5 – Number of TIM VISION subscriptions with DAZN and SKY activations (Source: processing by the offices based on data provided by DAZN)  </w:t>
        <w:br/>
        <w:t>116 Doc. instr. 396.</w:t>
      </w:r>
    </w:p>
    <w:p>
      <w:r>
        <w:t xml:space="preserve">BULLETIN NO. 27 OF 17 JULY 2023 69  </w:t>
        <w:br/>
        <w:t xml:space="preserve">117. The data presented in the figure shows how the impact of accessing DAZN services on SKY devices is still limited due to the proximity of the agreement date (Distribution Agreement). In any case, DAZN subscribers who are allowed, due to the recent agreement (Distribution Agreement), to access DAZN services on SKY devices currently represent approximately [omitted%] of the total number of TIM VISION subscribers with DAZN and are nonetheless growing from August to October 2022, while a slight decrease in the total number of TIM VISION subscribers using the DAZN service is noted.  </w:t>
        <w:br/>
        <w:t xml:space="preserve">Furthermore, there is an increasing number of DAZN customers who have activated the DAZN zone Channel option, which allows customers with an active contract with SKY to view the linear channel available on satellite, increasing from approximately [omitted] in mid-October 2022 to approximately [omitted] in mid-December 2022.  </w:t>
        <w:br/>
        <w:t xml:space="preserve">c) Analysis of the effects of the agreement on TIM VISION platform subscriptions, bundled content/connectivity promotions, and the trend of TIM Vision subscriptions with TIM and users of other OAO.  </w:t>
        <w:br/>
        <w:t xml:space="preserve">118. The Directorate requested, on 1 September 2021 and 5 October 2021, TIM to provide data related to the TIM VISION service with DAZN services for TIM access customers on both fixed and mobile networks. Based on the reading of the data provided by the aforementioned operator, the following figure shows, for the first months following the implementation of the agreement between TIM and DAZN (Deal Memo Distribution) (i.e., from 1 July 2021 as established by the contract), the total number of subscribers to the TIM VISION platform with DAZN services who are also TIM access customers, broken down by fixed and mobile lines.  </w:t>
        <w:br/>
        <w:t xml:space="preserve">Figure 6: number of subscribers to TIM VISION with DAZN services on fixed line, mobile, fixed and mobile (Source: processing by the offices based on data provided by TIM)  </w:t>
        <w:br/>
        <w:t xml:space="preserve">119. From the figure, it can be observed that for subscribers to the TIM VISION platform, the use of fixed access is predominant compared to mobile line. From data provided by TIM in the attachment to the hearing with TIM on 30 November 2022, a significant percentage of customers, approximately [omitted] of the total number of DAZN subscribers via TIM VISION, use the DAZN service on the TIM VISION platform with access from the TIM mobile network.  </w:t>
        <w:br/>
        <w:t xml:space="preserve">120. Based on the data requested from TIM on 24 October 2022, the following figure shows the total number of subscribers to TIM VISION on fixed line, also broken down by the number of subscribers to TIM VISION on fixed line with packages that include DAZN and by the number of subscribers to TIM VISION on fixed line with packages that do not include DAZN.  </w:t>
        <w:br/>
        <w:t xml:space="preserve">120 Doc. instr. 440.  </w:t>
        <w:br/>
        <w:t>121 For TimVision packages that contain DAZN, all TimVision packages including DAZN are meant (for example, TimVision + DAZN + Infinity, TIM VISION + DAZN + Infinity + Disney+, TimVision + DAZN + Infinity + Netflix + Disney+, etc.)</w:t>
      </w:r>
    </w:p>
    <w:p>
      <w:r>
        <w:rPr>
          <w:b/>
        </w:rPr>
        <w:t>[Pages 70–72]</w:t>
      </w:r>
    </w:p>
    <w:p>
      <w:r>
        <w:t xml:space="preserve">BULLETIN NO. 27 OF 17 JULY 2023 71  </w:t>
        <w:br/>
        <w:t xml:space="preserve">Figure 7: Number of subscribers to TIM VISION on fixed line (Source: processing by the offices based on data provided by TIM)  </w:t>
        <w:br/>
        <w:t xml:space="preserve">121. The total number of subscribers to the TimVision platform who are TIM customers on fixed line has remained virtually constant for about a year and is approximately [omitted] units, while the total number of subscribers to the TimVision platform with DAZN services who are TIM customers on fixed line is approximately [omitted].  </w:t>
        <w:br/>
        <w:t xml:space="preserve">122. The graph shows that, from July 2021 to August 2021, that is, during the first period of application of the Deal Memo until the moment of implementation of the measures taken by the Parties within the precautionary sub-procedure in just two months, TIM acquires a customer share of approximately [omitted] units, which is one-third of the total acquired in a year and represents a significant share of subscriptions when compared to that of a medium-sized OAO.  </w:t>
        <w:br/>
        <w:t xml:space="preserve">123. The curve of the number of TIM fixed line subscribers with packages that include DAZN from August 2021, that is, during the period of application of the measures and in the absence of TIM bundle offers, experiences a slowdown. Subsequently, there is a sort of discontinuity starting from October 2021 and in the months of December 2021/January 2022 due to a TIM promotion that occurred in November 2021 and December 2021, which offered some TIM fixed line customers who already had paid TimVision active and who did not have any active Football and Sports offer the opportunity to enjoy TimVision Football and Sports with DAZN for free for a limited period (until 12 January 2022). This promotion provided for the automatic deactivation of DAZN services without the need for any additional cost for TIM fixed line customers targeted by the offer. The number of those who then subscribed to the paid offer at the end of the free trial period was very low.  </w:t>
        <w:br/>
        <w:t xml:space="preserve">124. Aside from the temporary effects caused by this offer, it is evident how the contribution of TimVision packages that included DAZN has compensated for the reductions, in terms of the number of subscribers, of the TimVision platform regarding other (non-sport) packages, thus maintaining the number of subscribers to the TimVision platform virtually constant (at least on fixed line) throughout the year.  </w:t>
        <w:br/>
        <w:t xml:space="preserve">125. In general, following the agreement, it is noted that there has been a compensation of the reductions in subscribers to TimVision with packages that included only entertainment and/or movies with the new customers who subscribed to a package that included DAZN. Furthermore, it can be observed how some of the periods of greatest increase in the acquisition of new subscribers (months of October, November 2021), coinciding in the graph with those of maximum slope of the red curve of the number of TIM fixed line subscribers with packages that include DAZN, correspond temporally with some TIM offers that combined DAZN with the fiber access service (for example, the offer “fiber 0 euros until 31 December 2021 + TimVision Gold with DAZN” in October 2021).  </w:t>
        <w:br/>
        <w:t xml:space="preserve">126. It is worth noting that the decrease in the number of subscribers to the TimVision platform of other fixed line access operators experiences a slowdown starting from August 2021, that is, from the moment of implementation of the measures taken in the precautionary procedure, only to then resume a more pronounced downward trend in correspondence with the bundling offers made by TIM with DAZN content mentioned above. Therefore, a symmetrical relationship can be observed between the two curves, that of TIM, on one side, and that of the OAOs, on the other, with the former rising and the latter falling, with more pronounced trends where TIM operated such types of promotions.  </w:t>
        <w:br/>
        <w:t xml:space="preserve">127. In September 2022, that is, immediately after the signing of the new agreement between TIM and DAZN with the elimination of exclusivity, subscribers to the TimVision platform of other fixed line access operators represented about [5%-10%] of the total TIM VISION customers with DAZN on TIM fixed line. For the month of September 2022, it is also worth noting that, based on data provided by TIM, the TimVision customers who subscribed to the service through the methods indicated in the compliance report on the measures offered on 23/07/2021 are approximately [55%-60%] of the total OAOs.  </w:t>
        <w:br/>
        <w:t xml:space="preserve">128. Regarding the effect of the agreement on the upstream market for retail fixed line broadband and ultra-broadband access services, some data from the AGCOM communications observatory122 have been analyzed.  </w:t>
        <w:br/>
        <w:t xml:space="preserve">129. Firstly, the data from the AGCOM Observatory regarding the market of the four main FTTC (Fiber To the Cabinet) access service operators is reported:  </w:t>
        <w:br/>
        <w:t>122 In particular: Communications Observatory No. 3/2022, Communications Observatory No. 2/2022, Communications Observatory No. 1/2022, Communications Observatory No. 4/2021, and Communications Observatory No. 3/2021.</w:t>
      </w:r>
    </w:p>
    <w:p>
      <w:r>
        <w:t xml:space="preserve">BULLETIN NO. 27 OF 17 JULY 2023 73  </w:t>
        <w:br/>
        <w:t xml:space="preserve">Figure 8: Market shares in terms of FTTC accesses of the main 4 operators (Source: processing by the offices based on AGCOM Communications Observatory data)  </w:t>
        <w:br/>
        <w:t xml:space="preserve">130. From the preceding figure, it can be observed that in the FTTC sub-market there have been no significant variations in market shares either from TIM or from the other main operators.  </w:t>
        <w:br/>
        <w:t>131. Below, the data provided by AGCOM regarding the market shares of the four main fiber (FTTH) access service operators is reported.</w:t>
      </w:r>
    </w:p>
    <w:p>
      <w:r>
        <w:rPr>
          <w:b/>
        </w:rPr>
        <w:t>[Pages 73–75]</w:t>
      </w:r>
    </w:p>
    <w:p>
      <w:r>
        <w:t xml:space="preserve">74 BULLETIN NO. 27 OF 17 JULY 2023  </w:t>
        <w:br/>
        <w:t xml:space="preserve">Figure 9: Market shares in terms of FTTH accesses of the main 4 operators (Source: AGCOM Communications Observatory data processing).  </w:t>
        <w:br/>
        <w:t xml:space="preserve">132. The following figure shows the same data also in absolute value:  </w:t>
        <w:br/>
        <w:t xml:space="preserve">Figure 10: Number of FTTH accesses of the main 4 operators (Source: AGCOM Communications Observatory data processing)  </w:t>
        <w:br/>
        <w:t>133. From the comparison of the data provided by the AGCOM Communications Observatory, the average increase in FTTC accesses between June 2021 and June 2022 is approximately 5.5%, while the average increase in FTTH (Fiber To The Home) accesses is approximately 35%. The data and figures above</w:t>
      </w:r>
    </w:p>
    <w:p>
      <w:r>
        <w:t xml:space="preserve">BULLETIN NO. 27 OF 17 JULY 2023 75  </w:t>
        <w:br/>
        <w:t xml:space="preserve">also show how TIM has maintained its leadership position in the FTTC market and that there have been no significant changes in the structure and market shares of the main four operators in this sub-market. It should also be noted that, according to the data reported in the AGCOM Communications Observatory of December 2022 and in that No. 3 of 2021, in the FTTH sub-market over a period of fifteen months, from June 2021 to September 2022, TIM has consolidated its leadership position as the first fiber access operator (FTTH) with a share of 23.1%, starting from the fourth position held in June 2021. In particular, TIM shows by far the highest growth rate (in terms of increase in FTTH lines) among the main operators in the aforementioned market during the period June 2021-September 2022, as highlighted by the following table:  </w:t>
        <w:br/>
        <w:t xml:space="preserve">Table 3: Growth rate in % of FTTH accesses in the period June 2021/September 2022 Source: (AGCM processing on AGCOM Communications Observatory data).  </w:t>
        <w:br/>
        <w:t xml:space="preserve">Operator  </w:t>
        <w:br/>
        <w:t xml:space="preserve">TIM 73.7%  </w:t>
        <w:br/>
        <w:t xml:space="preserve">WIND3 39.3%  </w:t>
        <w:br/>
        <w:t xml:space="preserve">VODAFONE 26.8%  </w:t>
        <w:br/>
        <w:t xml:space="preserve">FASTWEB 14.2%  </w:t>
        <w:br/>
        <w:t xml:space="preserve">134. From the above table, it can be observed that TIM's growth rate in the FTTH sub-market is almost double that of WIND3 and over 5 times that of FASTWEB during the reference period.  </w:t>
        <w:br/>
        <w:t xml:space="preserve">135. Another indication of TIM's growth in the FTTH market is represented in the following table, which reproduces the monthly variations (between two subsequent months) from July 2021 to December 2021, of:  </w:t>
        <w:br/>
        <w:t xml:space="preserve">a) the total number of TIM consumer customers on fixed network in FTTH technology;  </w:t>
        <w:br/>
        <w:t xml:space="preserve">b) the number of subscribers to the TIM VISION platform with packages that include DAZN who are also TIM consumer customers on fixed network in FTTH technology:  </w:t>
        <w:br/>
        <w:t xml:space="preserve">Table 4: Monthly variation total number of consumer customers on TIM fixed network in FTTH technology and total number of consumer customers on TIM fixed network subscribed to TIM VISION with DAZN services (Source: processing by the offices based on data provided by TIM)  </w:t>
        <w:br/>
        <w:t xml:space="preserve">set21/oct21  </w:t>
        <w:br/>
        <w:t xml:space="preserve">Variation jul21/aug21 aug21/set21 oct21/nov21 nov21/dec21  </w:t>
        <w:br/>
        <w:t xml:space="preserve">1  </w:t>
        <w:br/>
        <w:t xml:space="preserve">a) [omissis] [omissis] [omissis] [omissis] [omissis]  </w:t>
        <w:br/>
        <w:t xml:space="preserve">b) [omissis] [omissis] [omissis] [omissis] [omissis]  </w:t>
        <w:br/>
        <w:t xml:space="preserve">136. From the examination of the data in the table, it emerges that in three cases the increases in the number of subscribers to the TIM VISION platform with packages that include DAZN who are also TIM consumer customers on fixed network in FTTH technology were practically equal to the increase of all TIM customers in the fixed access market in FTTH technology.  </w:t>
        <w:br/>
        <w:t>137. From the same table, it emerges that, with the TIM Vision Gold offer (October-December 2021), which provided free fiber by purchasing the TimVision+Dazn bundle, the share of FTTH lines of TIM whose sale is due to TimVision+Dazn rises to approximately 90%.</w:t>
      </w:r>
    </w:p>
    <w:p>
      <w:r>
        <w:t xml:space="preserve">76 BULLETIN NO. 27 OF 17 JULY 2023  </w:t>
        <w:br/>
        <w:t xml:space="preserve">The content of the new agreement between TIM and DAZN and the contract concluded between DAZN and Sky  </w:t>
        <w:br/>
        <w:t xml:space="preserve">138. Following the new contractual arrangement between TIM and DAZN established on 4 August 2022, DAZN is free to conclude distribution agreements for its services with any interested operator (Article 4 Non-Exclusivity)123.  </w:t>
        <w:br/>
        <w:t xml:space="preserve">139. The aforementioned Article 4 does not limit this ability in any way, but exclusively regulates the economic compensations in favor of TIM in the event of DAZN entering into other distribution contracts with other operators (“DAZN is and will be freely entitled to provide the DAZN Service to any interested third party with no restriction, save for the following […]”). This scenario occurs starting from the contract concluded with Sky, also referenced in Article 30124, which, according to the shared text, is signed simultaneously (“in respect of the Sky agreement: (a) DAZN will grant TIM a relief (the Sky Relief) in relation to the number of MTRPSs [Migrated TIM Registered and Paying Subscribers] who will be migrated from TIM to Sky […]”).  </w:t>
        <w:br/>
        <w:t xml:space="preserve">140. By virtue of these contractual provisions, it is stipulated that any new agreement between TIM and DAZN can only be concluded after the assignment of the TV rights for Serie A [omissis].  </w:t>
        <w:br/>
        <w:t xml:space="preserve">141. More generally, by virtue of the new agreement, DAZN is contractually free to make its service available on the Sky platform [omissis]125.  </w:t>
        <w:br/>
        <w:t xml:space="preserve">142. The contract expressly provides as its purpose the removal of the critical issues underlying the initiation of the Authority's procedure, as can be inferred from its premises126 and from the reading of the complex content of Article 18 aimed at preemptively regulating any scenario affected by an intervention of the Authority, which recalls, in addition to the sub-procedure related to the presentation of commitments referred to in Article 14-ter of Law No. 287/1990, also the content of the measures adopted by the parties during the precautionary sub-procedure established pursuant to Article 14-bis of Law No. 287/1990.  </w:t>
        <w:br/>
        <w:t xml:space="preserve">143. In a note received on 5 August 2022127, regarding the measures presented during the precautionary sub-procedure on 23 July 2021, TIM represented that they should be considered fully overcome and that it is no longer bound to their execution.  </w:t>
        <w:br/>
        <w:t xml:space="preserve">144. In the context of the hearing with the Offices128, DAZN represented that the contract between TIM and DAZN aims to compensate TIM in the form of a reduction of the minimum guarantee in light of the loss of exclusivity and the agreement with SKY, in the event of customer migration from TIM Vision.  </w:t>
        <w:br/>
        <w:t xml:space="preserve">123 The accessible versions of the Deal Memo are contained in docs. istr. 478-479.  </w:t>
        <w:br/>
        <w:t xml:space="preserve">124 “Article 30. Sky agreement and term  </w:t>
        <w:br/>
        <w:t xml:space="preserve">30.1. In light of the fact that the SKY Agreement is to be executed simultaneously herewith, this Agreement will enter into force on the date hereof […].  </w:t>
        <w:br/>
        <w:t xml:space="preserve">30.2. […] the Agreement shall remain effective and binding between the Parties until 30 June 2024. […].  </w:t>
        <w:br/>
        <w:t xml:space="preserve">30.3. In the event DAZN wishes to bid for, and/or enter into any cooperation or partnership agreement related to, the Rights in relation to the Serie A Championship seasons 2024/25, 2025/26 and 2026/27, the Parties shall negotiate in good faith and with adequate notice and time the prorogation of their partnership.”.  </w:t>
        <w:br/>
        <w:t xml:space="preserve">125 [Omissis].  </w:t>
        <w:br/>
        <w:t xml:space="preserve">126 “On 6 July 2021, the Italian Antitrust Authority (IAA) started the investigation No. I857 (the Proceeding) against TIM and DAZN also based on complaints submitted by certain Telco Operators and other parties. The Proceeding concerns an alleged restrictive agreement, in violation of Art. 101 TFEU, with respect to certain terms of the Deal Memo. In parallel with the opening of the Proceeding, the IAA also considered the potential adoption of interim measures, pursuant to art. 14-bis of Law No. 287/1990. However, on 27 July 2021, the IAA ultimately decided not to apply interim measures, in light of certain undertakings jointly submitted by TIM and DAZN. On 30 October 2021, TIM and DAZN filed each a proposal of commitments (the Commitments) according to article 14-ter, Law No. 287/1990, which were not considered manifestly unfounded in order to address the relevant antitrust concerns and, thus, they were market tested.”.  </w:t>
        <w:br/>
        <w:t xml:space="preserve">127 Doc. istr. 322.  </w:t>
        <w:br/>
        <w:t>128 Doc. istr. 441.</w:t>
      </w:r>
    </w:p>
    <w:p>
      <w:r>
        <w:rPr>
          <w:b/>
        </w:rPr>
        <w:t>[Pages 76–78]</w:t>
      </w:r>
    </w:p>
    <w:p>
      <w:r>
        <w:t xml:space="preserve">BULLETIN NO. 27 OF 17 JULY 2023 77  </w:t>
        <w:br/>
        <w:t xml:space="preserve">to DAZN through the Sky platform (so-called Sky relief clause). The monitoring of customer transition is neither monthly nor weekly, but a sort of reconciliation is carried out at the end of the year.  </w:t>
        <w:br/>
        <w:t xml:space="preserve">145. In the aforementioned hearing, DAZN emphasized that, apart from the reconciliations that take place at the end of the season, information on customer transition can never be weekly, to avoid commercial use and, in general, excessively detailed information exchanges. The information provided tends to be very aggregated, without details on commercial trends, but through specific tables. It should be noted that a specific protocol is being defined between the Parties with the provision of a clean team.  </w:t>
        <w:br/>
        <w:t xml:space="preserve">146. DAZN has submitted the final text of the Term Sheet-DAZN affiliate and marketing services agreement signed with SKY129. The contract provides that DAZN subscribers can use the related APP also on the Sky platform and, by paying an additional price, can benefit from viewing the 7 matches granted exclusively to DAZN through a linear channel. The channel makes available the editorial content packaged by DAZN, and the marketing relationship with the end customer remains with the aforementioned operator.  </w:t>
        <w:br/>
        <w:t xml:space="preserve">Negotiations by DAZN with other operators following the new agreement with TIM  </w:t>
        <w:br/>
        <w:t xml:space="preserve">147. In the context of a hearing with the Offices and in response to a request for information made in the aforementioned venue130, DAZN represented that it had interacted in writing with Vodafone and Wind Tre, submitting the relevant correspondence. Vodafone did not continue the dialogue (which, therefore, is halted at the response provided by DAZN on 7 September 2022 to the first communication sent by Vodafone on 29 August 2022), while the exchange of letters with Wind Tre led to the organization of a meeting held on 12 December 2022. During this meeting, DAZN communicated that it was satisfied with the agreements in place with TIM and Sky, but was willing to consider a specific and concrete commercial distribution proposal from Wind Tre that takes into account the significant investment made by DAZN in acquiring the rights to Serie A for the three-year period 2021/2024, as well as all related infrastructural, promotional, and corporate investments, which, therefore, cannot disregard the presence of an adequate guaranteed minimum, an essential economic condition for the sustainability of DAZN's business. In light of this, Wind Tre expressed its willingness to evaluate the possibility of submitting a proposal to DAZN that includes the guaranteed minimum also through new meetings between the parties.  </w:t>
        <w:br/>
        <w:t xml:space="preserve">DAZN's initiatives regarding interconnection obligations  </w:t>
        <w:br/>
        <w:t xml:space="preserve">148. In response to a request for information made by the Offices during the hearing on 30 November 2022131, DAZN, on 16 December 2022132, represented that it had long ensured the activation of the so-called DAZN Edge agreed with the individual OAO (this involves an initial total of forty caches, made available to the OAOs with a market share, according to AGCOM's Observatory data, greater than or equal to approximately 15 percent, with a capacity of 180 Gbps each to manage up to 1.4 Tbps of traffic). More specifically, twelve caches were provided to TIM; eight caches to Vodafone, Wind Tre, and Fastweb; and two caches to Tiscali and Eolo. In order to take into account the experience gained and the discussions with the OAOs, significant infrastructure enhancement interventions on DAZN EDGE were carried out during February 2022 on the main OAOs, which allowed for further improvement of the infrastructure made available to them.  </w:t>
        <w:br/>
        <w:t xml:space="preserve">149. In particular, new caches have been progressively installed at Fastweb in Milan, and, regarding Vodafone, two additional caches have been provided in Milan and Rome for better management of the traffic that passes through this solution and, consequently, a significant improvement in the overall service.  </w:t>
        <w:br/>
        <w:t xml:space="preserve">150. According to DAZN, the significant enhancement of the infrastructure, which occurred in response to the operators' request to increase the overall percentage of traffic managed by DAZN EDGE, has allowed the utilization of the platform's capacity to rise above 80% of the installed capacity. This evolution and the related appreciation from these operators is confirmed in the minutes of the technical table held in the presence of the OAOs and the Communications Authority throughout the sports season.  </w:t>
        <w:br/>
        <w:t xml:space="preserve">151. With specific reference to multicast, as can also be inferred from some minutes of the meetings related to the aforementioned technical table, tests are currently underway with Vodafone, which is the only operator that has continued to show interest in this technological solution.  </w:t>
        <w:br/>
        <w:t xml:space="preserve">IV. THE ARGUMENTS OF THE PARTIES  </w:t>
        <w:br/>
        <w:t xml:space="preserve">152. Below, the main arguments of the Parties are illustrated, summarized by thematic points. First, the defense elements presented by Telecom and DAZN will be illustrated, and subsequently, the arguments presented by the notifying and intervening Parties in this proceeding will be represented.  </w:t>
        <w:br/>
        <w:t xml:space="preserve">The defenses of TIM  </w:t>
        <w:br/>
        <w:t xml:space="preserve">153. During the proceeding, TIM articulated its defenses in a hearing before the Offices on 30 November 2022133, in a defense memorandum submitted on 28 March 2023134, and finally, in the intervention made during the final hearing before the Authority's College on 4 April 2023135. On these occasions, the Party proceeded to articulate defensive considerations briefly illustrated below, supported by economic analysis.  </w:t>
        <w:br/>
        <w:t xml:space="preserve">I) The exemption of the Deal Memo pursuant to Regulation VBER No. 720/2022 and/or the applicability of Article 101, paragraph 3, TFEU.  </w:t>
        <w:br/>
        <w:t xml:space="preserve">154. As a preliminary matter, TIM argued that the Deal Memo could benefit from the exemption provided for in Regulation VBER No. 720/2022136 (and previously VBER 2010)137 as it did not impose an obligation of exclusivity on DAZN in the strict sense. In addition to TIM's right to distribute the DAZN Service, the Agreement indeed provided for DAZN's full freedom in promoting and marketing it, both directly and through authorized third parties – including [omitted]. In particular, the Deal Memo benefited from the category exemption provided and regulated by VBER 2010, applicable ratione temporis for most of the duration of the Deal Memo, and by VBER 2022, applicable only for a few months.  </w:t>
        <w:br/>
        <w:t xml:space="preserve">155. According to TIM, all the conditions required by the VBER Regulations are satisfied as: i) the Deal Memo would constitute a vertical agreement pursuant to Article 1, letter a) of the VBER Regulations138; ii) Even assuming that TIM and DAZN are "competing enterprises" within the meaning of Article 1(c) of the VBER Regulations139, the exception in Article 2(4)140 would be satisfied, since the vertical agreement was not reciprocal and TIM does not compete with DAZN in the wholesale sale of audiovisual content; iii) the Deal Memo did not include any of the fundamental restrictions referred to in Article 4 of the VBER Regulations. In this regard, the Party emphasized that even if the Deal Memo provided for some restrictions on TIM's ability to sell to certain categories of customers (the so-called "non-TIM customers"), such provisions did not constitute a fundamental restriction (hardcore restriction) under Article 4(b)(i) of VBER 2010141.  </w:t>
        <w:br/>
        <w:t xml:space="preserve">156. It would be established practice in the pay TV audiovisual content marketing market to limit the distributor's sales to its own customer base, while the producer reserves the right to market directly to the remaining potential clientele.  </w:t>
        <w:br/>
        <w:t xml:space="preserve">157. As for the condition regarding market shares, contained in Article 3(1) of the VBER Regulations 2010142, TIM represented that the share held by the supplier (DAZN) in 2020 and 2021 did not exceed 30% in the market where it sells the products covered by the contract (namely, the wholesale sale of audiovisual media services with premium content, in which TIM is not present) where several operators are listed (e.g., Sky, Netflix, Disney+, Discovery+, Fox, Eurosport, etc.). The share of purchases in that market held in 2020 and 2021 by the buyer (TIM) was below 30%, considering also in this case the numerous operators active in the final offer to the public (such as Sky, Netflix, Disney+, Discovery+, and Eurosport).  </w:t>
        <w:br/>
        <w:t xml:space="preserve">138 In particular, "by 'vertical agreements' we mean agreements or practices agreed upon between two or more enterprises, each operating, for the purposes of the agreement or the agreed practice, at a different level of the production or distribution chain, and which relate to the conditions under which the parties may purchase, sell or resell certain goods or services."  </w:t>
        <w:br/>
        <w:t xml:space="preserve">139 The article states that "by 'competing enterprise' we mean an actual or potential competitor; by 'actual competitor' we mean an enterprise operating in the same relevant market; by 'potential competitor' we mean an enterprise that, in the absence of the vertical agreement, based on realistic considerations and not merely as a theoretical possibility, would be able, in a short time, to make the additional investments or incur the additional costs necessary to access the relevant market."  </w:t>
        <w:br/>
        <w:t xml:space="preserve">140 "4. The exemption in paragraph 1 does not apply to vertical agreements concluded between competing enterprises. However, this exemption applies if competing enterprises conclude a non-reciprocal vertical agreement and if one of the following conditions is met: a) the supplier operates upstream as a producer, importer, or wholesaler and, downstream, as an importer, wholesaler, or distributor of goods, while the buyer operates downstream as an importer, wholesaler, or distributor and is not a competing enterprise upstream, the level at which it purchases the goods covered by the contract; or b) the supplier is a service provider at different levels of the commercial chain, while the buyer provides its goods or services at the retail level and is not a competing enterprise at the level of the commercial chain at which it purchases the services covered by the contract."  </w:t>
        <w:br/>
        <w:t xml:space="preserve">141 "[The] exemption in Article 2 does not apply to vertical agreements that, directly or indirectly, alone or in conjunction with other factors under the control of the parties, have as their object the following... the restriction relating to [...] the customers to whom the buyer who is a party to the agreement [...] may sell the goods or services covered by the contract, except for the following: the restriction of active sales [...] to the exclusive clientele reserved for the supplier or assigned by it to another buyer, provided that such restriction does not limit sales by the buyer's customers."  </w:t>
        <w:br/>
        <w:t>142 "1. The exemption in Article 2 applies provided that the market share held by the supplier does not exceed 30% of the relevant market in which it sells the goods or services covered by the contract and the market share held by the buyer does not exceed 30% of the relevant market in which it purchases the goods or services covered by the contract."</w:t>
      </w:r>
    </w:p>
    <w:p>
      <w:r>
        <w:rPr>
          <w:b/>
        </w:rPr>
        <w:t>[Pages 79–81]</w:t>
      </w:r>
    </w:p>
    <w:p>
      <w:r>
        <w:t xml:space="preserve">80 BULLETIN NO. 27 OF 17 JULY 2023  </w:t>
        <w:br/>
        <w:t xml:space="preserve">158. Similar considerations have been made in the context of the subordinate application of paragraph 3 of Article 101 TFEU to declare paragraph 1 of the same article inapplicable. In fact, the deal memo would meet the four required conditions by contributing to improving the production or distribution of products or promoting technical or economic progress, avoiding imposing on the companies involved restrictions that are not essential to achieve such objectives and eliminating competition for a substantial part of the affected markets.  </w:t>
        <w:br/>
        <w:t xml:space="preserve">II) The framing of the TIM/DAZN agreement as a semi-exclusive vertical supply agreement and the absence of a restrictive agreement on unlawful competition by object  </w:t>
        <w:br/>
        <w:t xml:space="preserve">159. TIM has represented that the Deal Memo would represent a case of a vertical agreement. In particular, it would fall under the notion of exclusive supply, although in reality the correct qualification in this case is rather that of "semi-exclusive," given that the exclusivity in favor of TIM was subject to significant limitations.  </w:t>
        <w:br/>
        <w:t xml:space="preserve">160. That said, the Deal Memo could not be classified as restrictive by object: only exceptionally have vertical restrictions been classified as such, and in any case never in the case of exclusive supply agreements. From this perspective, the assessment of the Deal Memo as a restrictive agreement by object would conflict with that of the Commission and community jurisprudence as it does not take into account the fact that vertical restrictions are generally less harmful to competition than horizontal restrictions and can produce significant efficiency improvements. In particular, exclusive supply agreements do not fall within the list of fundamental restrictions – generally considered restrictions of competition by object not deserving of exemption – contained in Article 4 of the aforementioned VBER Regulations. Conceptually, in fact, exclusivity clauses are not considered inherently restrictive of competition by object.  </w:t>
        <w:br/>
        <w:t xml:space="preserve">161. More generally, the Party has highlighted the legality under antitrust law of the agreement under evaluation in the initiation measure deliberated by the Authority on 6 July 2021, emphasizing that it does not fall within the scope of the notion of a restrictive agreement on competition by object.  </w:t>
        <w:br/>
        <w:t xml:space="preserve">162. According to TIM, regarding the absence of an unlawful agreement by object, community jurisprudence indicates that the notion of "restriction by object" must be interpreted restrictively. It can only be applied to certain collusive practices among companies that reveal an evident intent to restrict competition, in and of themselves and/or taking into account the tenor of their provisions and the objectives pursued. Furthermore, it is necessary to consider the economic and legal context in which the practices are inserted, the degree of sufficient harm to competition for it to be deemed that the examination of their effects is unnecessary. In fact, certain forms of coordination among companies can be considered, by their very nature, harmful to the proper functioning of normal competition, such as, for example, horizontal price-fixing cartels. In assessing this context, it is also necessary to take into account the nature of the goods or services involved and the actual operating conditions and structure of the market or markets concerned143.  </w:t>
        <w:br/>
        <w:t xml:space="preserve">III) The virtuous nature of the agreement within the framework of the regulation of the assignment of sports audiovisual rights dictated by the Melandri Decree.  </w:t>
        <w:br/>
        <w:t xml:space="preserve">163. With arguments related to the proposed absence of an unlawful agreement by object, TIM has represented that the content of the Deal Memo cannot be analyzed in the abstract, decontextualizing it from the tender for the assignment of the Rights called by the Lega Serie A and awarded to DAZN.  </w:t>
        <w:br/>
        <w:t xml:space="preserve">164. There was an undeniable direct causal relationship, economic and legal, between the upstream exclusivity held by DAZN as a result of the award and the downstream distribution under the contract between TIM and DAZN. In particular, it cannot escape notice that DAZN was able to win the packages 1 and 3 of the Rights, two months after the conclusion of the Deal Memo and following a tight competitive comparison, only thanks to the significant financial and technological contribution from TIM. Without the guaranteed minimums that TIM committed to pay, DAZN would not have been able to make a competitive offer, as it would not have been able to reduce its financial exposure and optimize its investment. The exclusive nature of the distribution was, therefore, objectively aimed at preventing possible free-riding behaviors by operators who, on the one hand, while theoretically able to participate in the procedure for the assignment of the Rights, preferred not to make any investment in terms of risk, finances, productive resources, and, on the other hand, still derived certain benefits from the opening of the market, which had previously been long hoped for.  </w:t>
        <w:br/>
        <w:t xml:space="preserve">165. The Agreement has produced significant benefits for consumers, for technical development and technological progress, for the sustainability of the football industry, and for competition in the pay TV market. In particular, the Agreement has favored the technological transition from satellite and DTT transmission to that through internet platforms, while promoting multi-homing by users. In any case, the exclusivity in question, although deemed to constitute a limitation on the commercial freedom of DAZN and potentially interested third operators, was certainly reasonable and proportionate given that DAZN remained fully free to promote and market the audiovisual services in question both directly and through authorized third parties, among which were significant operators.  </w:t>
        <w:br/>
        <w:t xml:space="preserve">166. Furthermore, the provision of (non-absolute) exclusivity of distribution and the other restrictive agreements that have drawn the attention of the AGCM were attributable to the notion of "ancillary restriction": while limiting the commercial autonomy of the Parties, they were objectively necessary for the implementation of the Agreement – which in the absence of them would have been simply inconceivable – and reasonably proportionate to its objectives.  </w:t>
        <w:br/>
        <w:t xml:space="preserve">167. Such considerations regarding the ancillary nature of the agreements also apply to the commitments to terminate previous contracts with specifically identified operators and/or not to enter into partnerships with certain subjects. Otherwise, considering also the size of certain subjects and the fact that other operators were present in the same connectivity markets of TIM, the maintenance of such relationships would have had the effect of undermining the investment made by TIM and the actual convenience of the operation carried out.  </w:t>
        <w:br/>
        <w:t xml:space="preserve">IV) Absence of restrictive effects on competition.  </w:t>
        <w:br/>
        <w:t xml:space="preserve">168. Based on the economic analyses conducted by TIM, the agreement would not have produced restrictive effects on competition. In particular, during the period covered by the Agreement with exclusivity, TIM lost almost [omitted] percentage points of retail market share both in the BB and UBB service markets and in the specific UBB segment. Focusing on TIM's customer base for fixed network UBB services (FTTC+FTTH), it is noted that in October 2021 (i.e., after the first sales season of Serie A content) only [omitted] were TIM Vision customers with DAZN. This percentage remained virtually unchanged, indeed it slightly increased to [omitted] in October 2022 (i.e., after the second sales season of Serie A content), when the exclusivity was no longer in effect.  </w:t>
        <w:br/>
        <w:t xml:space="preserve">82 BULLETIN NO. 27 OF 17 JULY 2023  </w:t>
        <w:br/>
        <w:t xml:space="preserve">169. The data provided by TIM considered during the peak sales period of football content (July-October) show that the bundled purchase of FTTH services and TIM Vision with DAZN:  </w:t>
        <w:br/>
        <w:t xml:space="preserve">- accounts for only [omitted] of the new activations of FTTH services in the July-October 2021 period covered by the exclusivity;  </w:t>
        <w:br/>
        <w:t xml:space="preserve">- has no links with TIM's results in terms of new FTTH activations, as these were higher in the July–October 2022 period (in the absence of exclusivity, and with a reduction in such bundled purchases).  </w:t>
        <w:br/>
        <w:t xml:space="preserve">170. TIM's FTTH customer base consists of only 10% of consumers who are also TIM Vision customers with DAZN. This figure has not changed with the end of the exclusivity. The cross-analysis of the monthly churn of TIM's FTTH customers with the monthly quantities of new FTTH activations bundled with TIM Vision DAZN corresponding to transformations does not highlight any influence of the second parameter on the first.  </w:t>
        <w:br/>
        <w:t xml:space="preserve">171. Regarding the pay-TV market, the reading of the data provided by TIM to the Offices during the investigation is incorrect: the CRI has improperly confused the effects of TIM's upselling policies (i.e., existing TIM Vision customers who integrate their subscription with the DAZN Service) with a non-existent substitution effect between (old) exiting customers and (new) incoming customers.  </w:t>
        <w:br/>
        <w:t xml:space="preserve">172. The Agreement did not activate any appreciable leverage effect in favor of TIM's broadband and ultrabroadband access services. According to the data reported by TIM, three out of four sales of the DAZN Service that occurred during the period covered by the contested semi-exclusivity were made by DAZN through direct channels, and therefore to consumers who – by definition – freely chose their connectivity provider.  </w:t>
        <w:br/>
        <w:t xml:space="preserve">173. Before the voluntary Measures came into effect at the end of July 2021, TIM did not leverage DAZN's content to take customers from OAO in the ultrabroadband retail market, but rather first suffered the aggressive pre-emption strategy of its own partner, and then primarily engaged in upselling the package with DAZN to customers already acquired for some time.  </w:t>
        <w:br/>
        <w:t xml:space="preserve">174. The alleged anti-competitive effects in favor of TIM that, according to the CRI, would have occurred in the FTTH segment simply do not exist. The related analyses of the Offices are, in fact, materially incorrect, and contradicted by the data provided by TIM, which demonstrate how – during the period covered by the semi-exclusivity – there was no commercial correlation between the performance of the FTTH segment and the sales of TimVision+DAZN. Looking at the broadband and ultrabroadband access market as a whole, it is indisputable that TIM continued to lose customers to OAO during the period covered by the Agreement.  </w:t>
        <w:br/>
        <w:t xml:space="preserve">175. TIM did not benefit from the Agreement even to strengthen its position in the pay TV market, in which it is a new entrant. Despite the significant investment, in fact, the TIM Vision customer base remained practically unchanged even after July 2021. If we analyze in more detail the customer base of TIM's football subscribers, it emerges not only that they were already TIM customers for connectivity, but also that they were for content. The total number of subscribers to the TimVision platform remained stable throughout the duration of the Agreement: what emerges as the prevailing dynamic is an initial effect of shifting the existing TimVision customer base towards the new offer, where the reduction in the number of TimVision only subscriptions corresponded to an increase (of almost the same size) in TimVision+DAZN subscriptions.  </w:t>
        <w:br/>
        <w:t>176. TIM has represented that, according to its estimates, more than [70%-80%] of consumers who enjoy Serie A are direct DAZN customers who even before the agreement</w:t>
      </w:r>
    </w:p>
    <w:p>
      <w:r>
        <w:rPr>
          <w:b/>
        </w:rPr>
        <w:t>[Pages 82–84]</w:t>
      </w:r>
    </w:p>
    <w:p>
      <w:r>
        <w:t xml:space="preserve">BULLETIN NO. 27 OF 17 JULY 2023 83  </w:t>
        <w:br/>
        <w:t xml:space="preserve">entered into force has implemented aggressive pricing policies even towards TIM itself, favoring the direct distribution of its own content.  </w:t>
        <w:br/>
        <w:t xml:space="preserve">177. TIM has stated that the agreement did not meet the expectations at the time of its conclusion. In this regard, referring to public documentation, the Party has indicated that it recorded “non-recurring operating expenses” as “Provisions for contractual risks for onerous contracts” amounting to as much as - € 548 million, mainly attributable to the “negative margin” expected from the Agreement. The 2021 Financial Statements of TIM were also burdened by an impairment of goodwill for the Domestic Business amounting to - € 4.120 billion, which emerged following the “impairment test exercise.” In summary, this provision was allocated because the data in TIM's possession unequivocally indicated that the Agreement would only generate losses over the entire three-year duration.  </w:t>
        <w:br/>
        <w:t xml:space="preserve">V) The absence of a counterfactual analysis and an investigation into the dynamics in the relevant markets.  </w:t>
        <w:br/>
        <w:t xml:space="preserve">178. In denying that the Deal Memo has the nature of an illicit agreement by object, TIM believes that a counterfactual scenario analysis is lacking. In this regard, it is highlighted that in the absence of the semi-exclusivity provision in favor of TIM, the Company would not have made the costly economic investment mentioned, and DAZN would not have obtained the award of the Rights. If the Rights had been re-awarded to Sky (the second-best bidder in the tender), no “virtuous” effects would have been produced in the market.  </w:t>
        <w:br/>
        <w:t xml:space="preserve">179. TIM emphasizes that, in the counterfactual scenario, other operators potentially interested in the distribution of the Rights could have independently participated alongside DAZN in the competitive procedure for their assignment; or, acting like TIM, propose a similar financial and technological partnership to DAZN after securing adequate external sources of financing. However, competitors preferred not to undertake any investment in terms of risk, finances, and productive resources, leaving TIM to bear the substantial economic burdens of the investment, only to later report alleged competitive issues to the Authority. The semi-exclusive nature of the distribution was therefore also linked to the aim of preventing possible parasitic behavior (free riding).  </w:t>
        <w:br/>
        <w:t xml:space="preserve">180. Theoretically speaking, another alternative for DAZN to the Deal Memo would have been to support the investment without TIM's participation by adopting a strategy of granting non-exclusive distribution licenses for the Rights to multiple interested distributors. In such a scenario, however, the fees that DAZN would have obtained from such licenses would not have been sufficient to provide it with the necessary financial resources to win the tender. Other smaller operators could have invested, but the reality is that, outside of TIM, there was no willingness to do so, and consequently, DAZN would never have reached the amount paid by TIM that allowed it to outbid Sky: it simply would not have been able to participate in the competitive procedure.  </w:t>
        <w:br/>
        <w:t xml:space="preserve">181. The OAO did not express any serious and concrete interest in concluding distribution agreements for the DAZN Service even after the conclusion of the Distribution Agreement and the cessation of the semi-exclusive supply in favor of TIM, with the sole exception of Sky.  </w:t>
        <w:br/>
        <w:t xml:space="preserve">182. Regarding the relevant markets and ongoing dynamics, TIM contested the use of elements collected in the C12207-SKY Italia/R2 proceeding as they were outdated. It would have been more appropriate to conduct a new survey that would have allowed for a review of the Offices' assessments, especially concerning the alleged relevance of the availability of audiovisual content for matches of the Lega Serie A competitions in terms of killer application.  </w:t>
        <w:br/>
        <w:t xml:space="preserve">183. The fact that sporting events such as the Serie A championship are not to be considered essential factors for competition has also been stated by the Commission in a previous decision from 2018 adopted in the context of merger control144. In that decision, the Commission took a position on the matter, stating that sports content such as Serie A can attract viewers and generate revenue, but access to it is not a requirement for continuing to operate in the wholesale supply market of television channels or in the retail supply of pay TV services. This is because operators in the pay TV value chain (TV channel providers and retail pay TV providers) still have the opportunity to differentiate themselves by investing in alternative content that can be (or become over time) equally or even more attractive to viewers and subscribers.  </w:t>
        <w:br/>
        <w:t xml:space="preserve">VI) TIM's cooperative attitude during the procedure and the new agreement of 4 August 2022  </w:t>
        <w:br/>
        <w:t xml:space="preserve">184. Notwithstanding the above, TIM has stated that the initiatives undertaken by both Parties of the Deal Memo represent elements that entirely negate the existence of the agreement, removing the concerns raised in the initiation measure of the procedure and in the CRI.  </w:t>
        <w:br/>
        <w:t xml:space="preserve">185. The Parties modified the terms of the Agreement, communicating on 23 July 2021 - less than a month after the initiation of the investigation - a set of measures whose immediate adoption would have resolved the alleged competitive issues identified at the outset. The restrictive scope of the controversial clauses was therefore significantly reduced, if not entirely neutralized, already during the execution given by the Parties to the Deal Memo and from the beginning of the marketing campaigns for their respective offers related to the Rights.  </w:t>
        <w:br/>
        <w:t xml:space="preserve">186. Furthermore, TIM has stated that the Deal Memo was replaced during the investigation by the Distribution Agreement concluded between the Parties on 4 August 2022, which does not contain an exclusivity clause similar to that provided for in the previous one (Section F) - by virtue of which TIM was the only telecommunications operator and audiovisual media operator, besides DAZN itself, authorized by the counterparty to distribute the DAZN service in hard bundle nor any limitation on DAZN's freedom to offer discounts and promotions or to distribute the Serie A TIM content on technological platforms (DTH and DTT) other than the internet.  </w:t>
        <w:br/>
        <w:t xml:space="preserve">187. Notwithstanding that the aforementioned modifications cannot in any way be interpreted as an expression of the Parties' acquiescence to the alleged violations configured by the Authority, the issue of the possible existence of a restriction of competition by object arises, therefore, exclusively concerning the Deal Memo and, thus, for the period between the signing of the Deal Memo and its replacement with the new agreement.  </w:t>
        <w:br/>
        <w:t xml:space="preserve">VII) Considerations regarding the sanctioning treatment  </w:t>
        <w:br/>
        <w:t xml:space="preserve">188. TIM has made arguments regarding the determination of the amount of the sanction, in the event of ascertaining the infringement where the Authority does not consider applying a merely symbolic sanction or not imposing any sanction at all.  </w:t>
        <w:br/>
        <w:t xml:space="preserve">189. With reference to the indices for assessing severity, emphasizing that the agreement was not secret, TIM has recalled the considerations made and illustrated above regarding the non-existence of an illicit agreement by object of a horizontal nature, the absence of effects on the relevant markets, as well as regarding the benefits for consumers that have arisen from the agreement, especially in terms of having allowed the assignment of the rights of the Lega Serie A for the three-year period 2021/2024 to DAZN. In this perspective, the party considers the Guidelines on sanctions regarding the entry fee and the need for an adjustment of the amount to ensure a deterrent effect on the injunction measure to be inapplicable.  </w:t>
        <w:br/>
        <w:t xml:space="preserve">190. As for the duration, TIM has contested the correctness of the period considered in the CRI (from 27 January 2021, the date of signing the agreement, to 4 August 2022, the date of signing the new agreement between TIM and DAZN). In this regard, the Party has stated that the clauses of the Deal Memo were in effect for a very limited period. This should coincide with the date when the agreement became operational (i.e., 1 July 2021) concerning the start date, while the alleged infringement would coincide with the moment when the Parties proposed the measures then deemed by the Authority suitable to determine the non-adoption of the precautionary measure (i.e., on 27 July 2021) or at most from the moment when they were concretely adopted (i.e., on 1 August 2021), identifying a total duration period of three weeks. Following the resolution of non-adoption of the precautionary measure, the clauses would no longer have been applied, and the effects of the agreement would have ceased well before and regardless of the conclusion of the new agreement.  </w:t>
        <w:br/>
        <w:t xml:space="preserve">191. Regarding the value of sales, as an element for determining the sanction, TIM has contested the reference to the wholesale market, as the value of sales in a market that would not be relevant for the infringement cannot be considered.  </w:t>
        <w:br/>
        <w:t xml:space="preserve">192. With respect to mitigating circumstances, TIM has recalled what was represented regarding the complex of initiatives undertaken immediately after the initiation of the procedure, which were also immediately applied. These should be considered for a significant reduction in the amount of any potential sanction.  </w:t>
        <w:br/>
        <w:t xml:space="preserve">DAZN's defenses  </w:t>
        <w:br/>
        <w:t xml:space="preserve">193. During the procedure, DAZN articulated its defenses during a hearing before the Offices on 30 November 2022145, in a defense memorandum submitted on 28 March 2023146, and finally, during the intervention in the final hearing before the Authority's College on 4 April 2023147. On these occasions, the Party presented the defensive considerations illustrated below, supported by economic analysis.  </w:t>
        <w:br/>
        <w:t xml:space="preserve">194. These considerations are similar to those articulated by TIM. This is evident with reference to the nature of the agreement, the non-existence of a restrictive illicit agreement by object and of restrictive effects on competition, the possibility of exempting the agreement under Regulation (EU) 720/2022 or declaring Article 101, paragraph 3, TFEU applicable also in light of the virtuous nature of the effects arising from the agreement for the relevant markets. The Party also emphasized its cooperative attitude, also in light of the assessments regarding the sanctioning treatment.  </w:t>
        <w:br/>
        <w:t xml:space="preserve">I) Non-existence of a restrictive illicit agreement by object and/or by effect.  </w:t>
        <w:br/>
        <w:t xml:space="preserve">195. DAZN has argued that the Agreement in question is not restrictive by object and has indeed created a virtuous counterfactual scenario. The analysis of agreements under Article 101 TFEU, also with reference to the object, must take into account the economic and legal context in which the agreement is embedded, as well as the counterfactual scenario or scenarios.  </w:t>
        <w:br/>
        <w:t xml:space="preserve">145 See doc. istr. 441.  </w:t>
        <w:br/>
        <w:t xml:space="preserve">146 See doc. istr. 577 (accessible version doc. istr. 579).  </w:t>
        <w:br/>
        <w:t>147 See doc. istr. 614, annex 11.</w:t>
      </w:r>
    </w:p>
    <w:p>
      <w:r>
        <w:rPr>
          <w:b/>
        </w:rPr>
        <w:t>[Pages 85–87]</w:t>
      </w:r>
    </w:p>
    <w:p>
      <w:r>
        <w:t xml:space="preserve">86 BULLETIN NO. 27 OF 17 JULY 2023  </w:t>
        <w:br/>
        <w:t xml:space="preserve">196. DAZN emphasized that the Deal Memo is fully compatible with Article 101 TFEU. The semi-exclusivity in favor of TIM is legitimate, as it involves a significant investment (and associated entrepreneurial risk) by TIM, and any operator/Telco could have participated in the bidding for the football rights independently or in partnership, or could have offered to enter into a similar agreement with DAZN, committing financially in a similar manner.  </w:t>
        <w:br/>
        <w:t xml:space="preserve">197. DAZN could offer its service directly and through all devices (smartphones, tablets, and other widely used devices) compatible with iOS and Android, in addition to the vast majority of smart TVs. DAZN could enter into distribution contracts with, among others, [omitted] (so-called Permitted Parties). All customers of all Telcos/connectivity service providers could freely access the DAZN service. DAZN was in no way limited in its ability to propose discounts or commercial conditions, as demonstrated by the launch of numerous promotional campaigns that included significant discounts for interested consumers.  </w:t>
        <w:br/>
        <w:t xml:space="preserve">198. The provisions that limited the promotions to two that could be made with [omitted] reflected normal market practices. Moreover, DAZN had every interest in benefiting from a wide range of channels to maximize its earnings, primarily through the direct subscription to its service, the earnings of which should be understood net of percentages to be paid to the distributor TIM.  </w:t>
        <w:br/>
        <w:t xml:space="preserve">199. DAZN emphasized that the Deal Memo did not in any way obligate TIM to implement non-replicable bundled commercial offers and did not discriminate in any way technologically against other Telcos. DAZN had every interest in benefiting from a wide range of channels to maximize its earnings, primarily through the direct subscription to its service.  </w:t>
        <w:br/>
        <w:t xml:space="preserve">II) The compatibility of the Deal Memo with the regulatory framework provided by the Melandri Decree  </w:t>
        <w:br/>
        <w:t xml:space="preserve">200. DAZN noted that considering the Deal Memo as restrictive of competition would adopt a completely dissonant approach with the regulatory framework of reference established by Legislative Decree No. 9 of 9 January 2008 (the so-called Melandri Decree), as well as with the rules protecting competition (in particular, Article 101 TFEU and Article 2 of Law No. 287/1990).  </w:t>
        <w:br/>
        <w:t xml:space="preserve">201. The method of selling audiovisual football rights, governed by the Melandri Decree, is based (and the Decree finds its foundation) on the assumption represented by the intrinsically exclusive nature of the audiovisual rights of Serie A. Indeed, it is precisely this characteristic of the rights in question that requires regulation that also involves intervention by AGCM and AGCOM to ensure that the normal competitive dynamics can take place in the form of "competition for the market," that is, through an open bidding mechanism in which all communication operators can participate on equal terms.  </w:t>
        <w:br/>
        <w:t xml:space="preserve">202. The intrinsically exclusive nature of the Rights derives directly from the Melandri Decree. It is difficult to believe that what would have been absolutely uncontestable in any forum, namely TIM's availability of the Rights in absolute exclusivity following its successful participation in the LNPA bidding, could instead be subject to criticism where such availability - this time, in semi-exclusivity - derives from an agreement with someone who participated in that bidding.  </w:t>
        <w:br/>
        <w:t xml:space="preserve">III) Absence of restrictive effects on competition.  </w:t>
        <w:br/>
        <w:t xml:space="preserve">203. DAZN represented that the agreement became effective on 1 July 2021 and, after a few weeks, the application of the Measures presented in the context of the precautionary sub-procedure confirmed the full availability of the DAZN service for all users with a fixed or mobile internet connection, regardless of the access operator.  </w:t>
        <w:br/>
        <w:t xml:space="preserve">BULLETIN NO. 27 OF 17 JULY 2023 87  </w:t>
        <w:br/>
        <w:t xml:space="preserve">204. The Measures effectively sterilized the effects of the agreement to the extent that they were presented immediately after the initiation of the procedure and promptly implemented in practice, eliminating constraints in view of future commercial strategies. The measures also addressed criticisms regarding the choice to bind the transmission of Serie A matches to the OTT platform, allowing users in areas with significant infrastructure deficiencies to access the backup function on DTT.  </w:t>
        <w:br/>
        <w:t xml:space="preserve">205. The only potential effect that would have remained in the phase following the implementation of the Measures would have occurred not in the pay-TV market, that is, the market directly affected by the Agreement, but in the market for broadband and ultra-broadband connectivity, where only TIM operated among the Parties. Moreover, this effect was independent of the Agreement (which - it should be remembered - did not obligate TIM to engage in any bundling) and/or the conduct engaged in by DAZN (completely unrelated and disinterested in the connectivity market) in its implementation and was solely derived from the mere possibility for TIM to jointly offer premium football content related to Serie A and connectivity services. Furthermore, there would be no evidence of a causal relationship between the Agreement, the trend of TimVision subscribers, and the trend of subscribers to connectivity services.  </w:t>
        <w:br/>
        <w:t xml:space="preserve">206. In the connectivity market, TIM, as a result of the Agreement, from September 2021 to September 2022, would have benefited from a significant increase in its shares in the FTTH segment (rising from 19.9% to 23.1% market share) - this growth is not only fully consistent and consequential with the numbers already recorded by TIM before the conclusion of the Agreement but, in fact, represents a decline compared to previous periods. Indeed, TIM (i) from December 2019 to December 2020, had already recorded a 4.5% increase in its market share (reaching 15.6%) and (ii) from January to June 2021, a period in which the Agreement was not yet applicable, had further increased by another 3.5 percentage points, reaching a market share of 19.1%. Therefore, the assertion that the growth in the FTTH segment, during the period from September 2021 to September 2022, is attributable to the Agreement, and thus to TIM's alleged non-replicable offer, is absolutely unfounded, as the growth had been even (significantly) greater in the absence of the Agreement itself. The strong growth of TIM's fiber (FTTH segment), recorded since 2020, is likely attributable to other factors.  </w:t>
        <w:br/>
        <w:t xml:space="preserve">207. In general, the Agreement would not have given rise to any restrictive effects on competition in the markets for broadband and ultra-broadband access services (FTTH segment). Firstly, there is no causal relationship between the alleged effects and the Agreement, given that: (i) TIM's growth in the FTTH segment began well before the Agreement and is attributable, if anything, to other factors; (ii) the absence of any provision in the Agreement obligating TIM to proceed with bundled sales between TimVision, including the DAZN service, and its connectivity services, supports the absence of any link between the Agreement and the effects produced on FTTH technology connectivity services.  </w:t>
        <w:br/>
        <w:t xml:space="preserve">208. Regarding the pay-TV market, DAZN emphasized that the scenario created following the Agreement has brought only benefits from a competitive perspective in the pay-TV market, creating, in fact, a significantly richer offer for consumers, especially when compared to the previous three-year periods of assignment of the Rights. If Sky (a vertically integrated entity) had, for example, won the same Packages from DAZN, this would have represented merely the continuation of the scenario characterizing the last twenty years. In this way, Sky would have implemented its well-known commercial policy characterized (i) by offers with technology only possessed by it in Italy (DTH), (ii) by significant activation costs and lock-in policies with substantial exit costs for customers, (iii) without entering, moreover, into distribution agreements or at least without the same penetration as those concluded for the current three-year period by DAZN.  </w:t>
        <w:br/>
        <w:t xml:space="preserve">209. The above also applies in the event that TIM is hypothesized to participate in the Bid and win Packages 1 and 3 (those currently assigned to DAZN). The latter could obviously have benefited from an absolute exclusivity in the marketing of the related audiovisual rights much broader than that provided for by the Agreement (which, in fact, should be classified as semi-exclusive) and without its participation and subsequent award being in conflict with the Melandri Decree, and ultimately, with antitrust law.  </w:t>
        <w:br/>
        <w:t xml:space="preserve">IV) DAZN's cooperative attitude during the procedure and the new agreement of 4 August 2022.  </w:t>
        <w:br/>
        <w:t xml:space="preserve">210. DAZN represented that the new distribution agreement, called the Distribution Agreement, resulted in the elimination of the exclusivity provided for in the Deal Memo of 27 January 2021 and the simultaneous conclusion of a platform services and commercial promotion agreement between DAZN and SKY (including a linear channel), also making it possible to conclude similar service/distribution agreements with other Telcos and VPDs.  </w:t>
        <w:br/>
        <w:t xml:space="preserve">211. The elimination of the Deal Memo and its replacement with the new TIM/DAZN agreement, in a context of full implementation of the measures requested by AGCM, resolved all the critical issues, both those indicated in the initiation of the investigation and those discussed in the context of the sub-procedures for the adoption of precautionary measures and for the presentation of commitments.  </w:t>
        <w:br/>
        <w:t xml:space="preserve">V) DAZN's different position compared to TIM.  </w:t>
        <w:br/>
        <w:t xml:space="preserve">212. According to DAZN, the passive role of DAZN in the infringement should be considered, which, according to the CRI, produces effects only in a market where DAZN does not operate, nor in which it has any direct/indirect interest and from which it could not have derived any benefit, direct or indirect. This should be taken into account when evaluating DAZN's position, also for the purposes of sanctioning treatment.  </w:t>
        <w:br/>
        <w:t xml:space="preserve">213. DAZN is, in any case, a new entrant in the pay-TV market in Italy that, as ideally hoped by the Authority in the closure of case C12207-SKY Italia/R2, obtained the audiovisual rights of Serie A through competition for the market provided for by the Melandri Decree, improving the structure of the offer in the pay-TV market.  </w:t>
        <w:br/>
        <w:t xml:space="preserve">VI) Considerations regarding the application of a sanction.  </w:t>
        <w:br/>
        <w:t xml:space="preserve">214. In light of what has been represented regarding the alleged impossibility of configuring an illicit agreement by object, the absence of effects, and its cooperative attitude, DAZN believes that the Authority should consider the possibility of imposing a merely symbolic sanction pursuant to Article 33 of the Guidelines on the application of the criteria for quantifying sanctions.  </w:t>
        <w:br/>
        <w:t xml:space="preserve">215. Regarding the duration, DAZN contested the identification of the initial and final term of the infringement with arguments similar to those made by TIM. Also concerning the severity and application of an entry fee, DAZN makes considerations similar to those of TIM.  </w:t>
        <w:br/>
        <w:t>216. Finally, DAZN contests the existence of the prerequisites for the so-called size fee referred to in paragraph 25 of the Guidelines on sanctions. Firstly, the revenue generated in 2021, globally, by DAZN is approximately €1.5 billion and is certainly not "well above the sales of the product to which the infringement refers," that is, those generated in Italy by users subscribing to the DAZN service,</w:t>
      </w:r>
    </w:p>
    <w:p>
      <w:r>
        <w:rPr>
          <w:b/>
        </w:rPr>
        <w:t>[Pages 88–90]</w:t>
      </w:r>
    </w:p>
    <w:p>
      <w:r>
        <w:t xml:space="preserve">BULLETIN NO. 27 OF 17 JULY 2023 89  </w:t>
        <w:br/>
        <w:t xml:space="preserve">which, in 2021, amounted to approximately €550 million, i.e. the equivalent of 37% of the total revenue of the DAZN group.  </w:t>
        <w:br/>
        <w:t xml:space="preserve">217. This is even more true especially when compared to previous cases where the size fee was applied: for example, in the Pfizer and Aspen cases, the value of the sales of the parties, determined in accordance with the Guidelines on sanctions, was equal to 0.04% and 0.2% of the revenue generated worldwide by the companies under investigation, so it emerges that such a percentage increase cannot be applied to the case at hand to pursue an alleged "deterrent effect," as occurred in the aforementioned cases.  </w:t>
        <w:br/>
        <w:t xml:space="preserve">218. More generally, it cannot be doubted that DAZN could not have been aware of the anti-competitive nature of its behaviors since, on the one hand, the Agreement is entirely compliant with antitrust law and, on the other hand, even if some violation of competition protection rules were to be found (which is not the case), the specific case would be subject to interpretative uncertainties such that it does not seem possible to postulate any certainty on the part of DAZN, at the time of the conclusion of the Agreement, of engaging in conduct detrimental to genuine competitive processes.  </w:t>
        <w:br/>
        <w:t xml:space="preserve">219. DAZN finally pointed out that it suffered significant losses in the last fiscal year amounting to approximately €2.17 billion (about €270 million just in Italy), bringing the total losses over the last three years to $5 billion.  </w:t>
        <w:br/>
        <w:t xml:space="preserve">The arguments of the intervening and reporting parties  </w:t>
        <w:br/>
        <w:t xml:space="preserve">220. During the investigation procedure, the intervening parties developed some considerations regarding the conduct engaged in by Telecom and their framing, the precautionary sub-procedure, the effects of the agreement between TIM and DAZN, as well as the agreement of 4 August 2022 that modified the original contract between TIM and DAZN regarding the distribution of audiovisual content for viewing the Serie A championship in the three-year period 2021/2024. Below is a summary of the main arguments developed during the investigative hearings, in response to requests for information, and finally in the final submissions and interventions in the final hearing before the Board148.  </w:t>
        <w:br/>
        <w:t xml:space="preserve">i) On the configuration of an illegal agreement by object  </w:t>
        <w:br/>
        <w:t xml:space="preserve">221. Fastweb, Iliad, Sky, Vodafone, Wind, and Open Fiber highlighted the need that, beyond the analysis of the anti-competitive effects actually produced, the final measure of the Authority maintains the qualification of the TIM/DAZN Agreement primarily as a restriction by object. On this point, the aforementioned operators believe that TIM's defensive arguments are insufficient and generic. Specifically regarding the exclusivity clauses, it is noted that there are previous national and community experiences that have qualified various types of exclusivity clauses as restrictions by object. In this regard, the intervenors essentially believe that there is no sufficient justification for the Agreement in terms of efficiency gains and benefits for the consumer.  </w:t>
        <w:br/>
        <w:t xml:space="preserve">222. Sky states in its submission that the restrictions of the contested Agreement are horizontal and not vertical, as TIM and DAZN are current competitors. This would be demonstrated by what the parties themselves stated, namely that TIM could have participated in the tender in direct competition with DAZN, just as it had participated in previous editions of the competitive procedures for the assignment of Serie A Rights. Moreover, both DAZN and TIM (with its own independent offer called TimVision) both offer paid audiovisual media services to the end public.  </w:t>
        <w:br/>
        <w:t xml:space="preserve">223. According to Sky, the fact that the two companies coordinated their participation in the tender through the Agreement, which stipulated that only DAZN would submit a bid within a broader partnership regulating the joint exploitation of Serie A Rights, does not change the nature of the Agreement, which remains horizontal in nature. Consequently, TIM's reference to Regulation (EU) No. 2022/2790 and to the jurisprudence on vertical agreements is irrelevant.  </w:t>
        <w:br/>
        <w:t xml:space="preserve">ii) On the non-existence of the effects of the agreement  </w:t>
        <w:br/>
        <w:t xml:space="preserve">224. The participating operators conducted in-depth analyses of the anti-competitive effects of the Agreement, reiterating its critical aspects and the scope of the exclusivity.  </w:t>
        <w:br/>
        <w:t xml:space="preserve">225. In particular, the submissions emphasize how the contractual provisions of the Agreement have caused a structural alteration of competitive confrontation in the retail markets for the provision of services on fixed and mobile networks, reserving only to the dominant operator (TIM) in these markets the possibility of offering essential content such as Serie A matches together with a connectivity service, benefiting from the resulting competitive advantage that cannot be replicated by other telecommunications operators.  </w:t>
        <w:br/>
        <w:t xml:space="preserve">226. Such considerations are supported by the operators based on the analysis of the public offers proposed during the validity of the Agreement by TIM. Furthermore, additional commercial activities of TIM are reported that would have generated in users the belief that they could subscribe to the TimVision service (including the DAZN app) only by first subscribing to a TIM fiber optic service offer. The operators believe that the combined effect of the exclusivity subject to the Agreement and the discounted prices applied by TIM to its bundled offers has made it impossible for a competitor of TIM in the retail market for ultra-broadband fixed network services or mobile telephony to propose an offer that could be even minimally competitive compared to those bundled offers proposed by TIM.  </w:t>
        <w:br/>
        <w:t xml:space="preserve">227. According to the intervenors, the anti-competitive characteristics of the Agreement are then more intense considering that the exclusive access to premium content has been used by TIM primarily as a lever to further strengthen its position in the retail market for internet access services, at a time of technological transition characterized by significant investments for the development of FTTH fiber networks and 5G services, which all operators intending to compete in such markets are called upon to support.  </w:t>
        <w:br/>
        <w:t xml:space="preserve">228. During the procedure, the Parties observed that the contested Agreement between TIM and DAZN, in addition to representing a hardcore restriction, would have nonetheless determined effects in the considered markets and particularly in the provision of connectivity services.  </w:t>
        <w:br/>
        <w:t xml:space="preserve">229. Through the bundled sale (contractual or economic) of the fiber + TimVision service including DAZN, not replicable due to the exclusivity contained in the Agreement (until August 2022), TIM has already "swept" the available customer base, with a timing such as to ensure a de facto exclusivity for the entire 2022/2023 championship. The number of users interested in subscribing to a fiber + football bundle is typically a finite and limited set, now drained by TIM's aggressive and unreplicable offers.  </w:t>
        <w:br/>
        <w:t xml:space="preserve">230. The occurrence of the customer base sweep in the broadband market is also confirmed by the fact that TIM itself reported in Q3 2021: (i) a 42% increase in net adds UBB compared to the same period of the previous year; and (ii) a 25% reduction in the churn rate compared to the previous year. The DAZN offer was crucial for achieving these results. Furthermore, it has been noted that the users "swept" by TIM are locked into contracts with TIM for access services with related exit costs for a minimum period of 24 months (i.e. at least until Q3 2023), up to forty-eight months (i.e. at least until Q3 2025) depending on the date of subscription of the contract. The exit costs represent a significant barrier to exit for end customers and therefore a form of lock-in for the customers themselves.  </w:t>
        <w:br/>
        <w:t xml:space="preserve">231. The fruit of TIM's strategy (pre-emption and lock-in), implemented through the individual promotional actions so far reported by WIND TRE, has clearly emerged from the results highlighted by TIM itself. The evidence of the effects of the strategy published by TIM in the results of the third quarter of 2021 discussed by its Board of Directors "TIM GROUP Leading the Country’s digitalization 28 October 2021"149.  </w:t>
        <w:br/>
        <w:t xml:space="preserve">Within the Quarterly Telecommunications Observatory published by AGCOM, it is highlighted that TIM is the only company that has overperformed in FTTH against the negative or near-zero results of other operators, while in FTTC the results of operators including TIM are in line. This is in light of the fact that TIM had the DAZN service in exclusivity more than other operators.  </w:t>
        <w:br/>
        <w:t xml:space="preserve">232. Regarding the prejudicial effects that the Agreement has determined for the individual intervening operators, the submissions of the operators highlight effects both in terms of loss of current and potential customers (retail), as well as on the wholesale side. Such prejudicial consequences, according to the intervenors, also derive from the lock-in effect of the offers practiced by TIM and the pre-emption effect in favor of TIM in the FTTH fiber and 5G access markets.  </w:t>
        <w:br/>
        <w:t xml:space="preserve">233. Fastweb states that it has recorded a significant decrease in its customer base and a simultaneous increase in churn. In particular, from September 2021 to September 2022, the gross acquisitions of FW in the UBB services market have overall decreased by 12%. Hence, Sky and Fastweb express the need for a final positive injunction measure, ordering TIM and DAZN to make Multicast available to OAO on access services other than Bitstream.  </w:t>
        <w:br/>
        <w:t xml:space="preserve">234. Regarding Iliad's position, the operator emphasizes how the prejudice of anti-competitive effects represents a particularly relevant and concrete aspect, considering that in France, through its parent company Iliad S.A., Iliad already has its own audiovisual media content service distributed nationally and, consequently, could certainly have considered the possibility of developing a partnership with DAZN to offer its users Serie A matches. Furthermore, Iliad highlighted how such anti-competitive effects occurred in the period close to its entry into the fixed telephony market, i.e. at a particularly delicate moment that could negatively impact the commercial launch of its fixed network service offering.  </w:t>
        <w:br/>
        <w:t xml:space="preserve">235. From the perspective of Sky's subjective position, the contractual prohibitions agreed between DAZN and TIM have caused damage in terms of reduction of the size of its customer base and the ARPU attributable to it. Such negative events are, according to Sky, directly attributable to the infringement: Sky customers passionate about football have canceled their subscriptions as Serie A (seven matches out of ten per day, including the big matches) was no longer available through Sky Devices despite an impressive set of caring measures implemented by Sky.  </w:t>
        <w:br/>
        <w:t>149 Hearing minutes Wind, doc. istr. 343 (accessible version doc. istr. 346).</w:t>
      </w:r>
    </w:p>
    <w:p>
      <w:r>
        <w:rPr>
          <w:b/>
        </w:rPr>
        <w:t>[Pages 91–93]</w:t>
      </w:r>
    </w:p>
    <w:p>
      <w:r>
        <w:t xml:space="preserve">92 BULLETIN NO. 27 OF 17 JULY 2023  </w:t>
        <w:br/>
        <w:t xml:space="preserve">236. Vodafone believes that the Agreement represents an agreement by object and has also produced tangible effects not only in the national market but also in the intra-community market, having involved operators of a supranational dimension. In particular, it is asserted that the restrictions have created an "artificial competitive advantage" in favor of TIM.  </w:t>
        <w:br/>
        <w:t xml:space="preserve">237. The negative competitive effects described by Wind Tre in its related memorandum coincided with a lack of increase in its gross adds compared to the previous year and a decrease in the same, as well as its ARPU, being unable to offer a service similar to that of TIM which, together with access, guaranteed the DAZN service with Serie A football matches exclusively.  </w:t>
        <w:br/>
        <w:t xml:space="preserve">238. Wind Tre hopes in its memorandum that the Authority will impose a sufficiently deterrent sanction and at the same time require TIM to adopt measures suitable to avoid any type of retail offer, even if only in a commercial combination, between fixed network access services and TimVision services that include the DAZN package with Serie A football matches, any offer on exclusive promotional terms to its access customers, and any advertising that suggests to customers of other operators the exclusivity of the offer of Serie A football matches for TIM access customers only.  </w:t>
        <w:br/>
        <w:t xml:space="preserve">239. In its memorandum of 20 March 2023, Open Fiber emphasizes the seriousness of the restrictions subject to the Agreement, as they are capable of creating an artificial competitive advantage in favor of TIM, to the detriment of end consumers of the service, especially at a crucial stage for the development of UBB telecommunications networks. These distorting effects on competition have not diminished even following the changes made in August 2022 which, on the one hand, made it objectively impossible for TIM's and DAZN's competing operators to carry out the necessary commercial planning and promotion of their services for the 2022/2023 season, and on the other hand, limited the potential customer base even for the 2023/2024 football season. Open Fiber hopes that the Authority, in imposing an administrative monetary sanction on the parties, will take into account, inter alia, the recidivism of TIM, in addition to the fact that the agreement has been concretely implemented, given that the Parties have formally entered into the Agreement, implementing commercial promotions and sales strategies in line with its content.  </w:t>
        <w:br/>
        <w:t xml:space="preserve">iii) On the configuration of an abuse of dominant position by Telecom.  </w:t>
        <w:br/>
        <w:t xml:space="preserve">240. During the proceedings, the Parties argued that the conduct engaged in by Telecom Italia through the conclusion of the agreement with DAZN should also be assessed as a case of abuse of dominant position in violation of Article 102 TFEU.  </w:t>
        <w:br/>
        <w:t xml:space="preserve">The investigation concerns a restrictive agreement but, at this stage, it does not address certain aspects that emerge from the documents and present critical issues from the perspective of antitrust regulation150. From the documents, unilateral conduct by TIM would have emerged which, due to the withdrawal of the commitments proposed by the parties, would have warranted further investigation under Article 102 TFEU regarding abuse of dominant position, for the purpose of adopting the necessary measures to ensure undistorted competition151.  </w:t>
        <w:br/>
        <w:t xml:space="preserve">241. TIM would have reserved for itself functionalities that allowed it optimal distribution of high-bandwidth live streaming content on its own network, not available to other operators, thus creating internal-external discrimination, with the consequence that other operators were not placed in a position to distribute the same on the TIM network at optimal levels150 Cfr., inter alia, Vodafone hearing minutes - doc. istr. 345 (accessible version doc. istr. 351); AIIP hearing minutes - doc. istr. 374.  </w:t>
        <w:br/>
        <w:t>151 Wind Tre hearing minutes - doc. istr. 343 (accessible version doc. istr. 346).</w:t>
      </w:r>
    </w:p>
    <w:p>
      <w:r>
        <w:t xml:space="preserve">BULLETIN NO. 27 OF 17 JULY 2023 93  </w:t>
        <w:br/>
        <w:t xml:space="preserve">or in any case on technical and economic conditions equal to those of TIM due to technical issues related to VULA and bitstream technologies and the reduced bandwidth capacity that TIM makes available to operators as well as the excessive prices of bandwidth.  </w:t>
        <w:br/>
        <w:t xml:space="preserve">242. Given the market context and the nature of the exclusivity, it has created a pre-emption effect, allowing TIM to formulate bundle offers of content and connectivity services that are not replicable by competing operators, limiting competition even with respect to the offer of audiovisual content152.  </w:t>
        <w:br/>
        <w:t xml:space="preserve">243. Such conduct would have been characterized by an exclusionary strategy, also manifesting itself through the marketing of particular bundle promotions between connectivity services and audiovisual content implemented in conjunction with periods when the marketing of Serie A championship content is particularly appealing. TIM has thus led to the belief that to subscribe to TimVision including DAZN, it was necessary to be a TIM broadband customer, to capture new broadband customers153.  </w:t>
        <w:br/>
        <w:t xml:space="preserve">244. That said, the conclusion of the present proceedings with the current allegations, while potentially leading to a sanction, given that the agreement is not exemptible as it is serious in terms of object and the size of the operators involved, would therefore not be able to affect the aforementioned unilateral conduct of TIM.  </w:t>
        <w:br/>
        <w:t xml:space="preserve">iv) On the failure to comply with the measures taken during the precautionary sub-proceeding  </w:t>
        <w:br/>
        <w:t xml:space="preserve">245. According to the Parties, TIM would not have complied with the measures it itself presented in the context of the precautionary sub-proceeding at least under two aspects: a) through the economic bundling of fiber access services and DAZN content; b) despite the alleged removal of the prohibition for DAZN to apply discounts and promotions, the subscription to the stand-alone DAZN service is not an economically convenient option for consumers compared to the TIM fiber + TimVision bundle (including DAZN)154.  </w:t>
        <w:br/>
        <w:t xml:space="preserve">246. TIM would have continued to exploit the agreement with DAZN to consolidate/strengthen its dominance in the broadband market through a communication strategy that: (a) leverages the DAZN service, whose sale is commercially associated with the sale of the TIM Premium Fiber package, to capture fiber customers; (b) leads to the belief that it is possible to enjoy the TimVision Calcio and Sport offer (with DAZN) only if the TIM Premium Fiber broadband service is subscribed by the indicated deadline; (c) finally practices conditions that are not replicable by operators even on the broadband component (one month free), in which it is dominant.  </w:t>
        <w:br/>
        <w:t xml:space="preserve">247. Since October 2021, TIM has marketed very aggressive promotions in violation of the measures adopted in the precautionary phase of the proceedings (for example: from 03/10/21 to 31/10/21 the Timvision gold bundle and New Tim super fiber and from 09/11/21 the Timvision Gold offer, including DAZN155).  </w:t>
        <w:br/>
        <w:t xml:space="preserve">248. Concern has been raised regarding what TIM stated in its latest notes at the beginning of August regarding the circumstance that this entity believes it is free from compliance with the voluntary measures presented in the context of the precautionary sub-proceeding of July 2021. This indication is likely to suggest an even more aggressive strategy by TIM, which has already repeatedly disregarded the same voluntary measures, both at the wholesale and retail levels, demonstrating that the offer of premium audiovisual content is a fundamental lever for increasing the customer base in broadband.  </w:t>
        <w:br/>
        <w:t xml:space="preserve">249. With reference to the provision of wholesale services, it is noted that TIM had committed in the context of voluntary measures to develop multicast on VULA by March 2022, but to date has not followed through on the commitment made. This circumstance is confirmed by the fact that in the context of an ongoing AGCOM table, TIM, in blatant contradiction with the voluntary measure taken, is arguing that the development of multicast on VULA would not be profitable156.  </w:t>
        <w:br/>
        <w:t xml:space="preserve">250. Some parties in the proceedings, in addition to damage to consumers157, have also reported the possible presence of indirect effects attributable to the agreement between TIM and DAZN that would particularly concern the upstream market of wholesale connectivity services. In particular, a strengthening of the market position in the retail market would inevitably have repercussions on the upstream market, disincentivizing TIM's competitors from making infrastructure investments158.  </w:t>
        <w:br/>
        <w:t xml:space="preserve">251. Regarding the impact of the precautionary measures on the competitive critical issues identified by the Authority in the initiation act of the proceedings, all operators believe that the measures presented by TIM - DAZN on 23 July 2021 in the context of the precautionary proceedings have not "sterilized," "tempered," nor, let alone, remedied the competitive harm already produced by the implementation of the agreement, proving to be late and inadequate. Specifically, the TIM - DAZN Measures have left unchanged the prohibition for DAZN to enter into agreements with operators other than TIM both for the marketing of DAZN services in joint mode (so-called hard bundle) with telephony services and for the distribution of DAZN services through a specific listed offer that residential customers can activate with a charge to their phone bill (so-called à la carte offer). Consequently, according to what the operators have argued, the foreclosure effect to the detriment of TIM's competitors in the connectivity markets has not diminished. Almost all parties involved in the proceedings have reported that TIM has repeatedly failed to comply with the voluntary measures, particularly regarding – as far as more relevant to Fastweb and Vodafone – the offer of multicast technology also on VULA. Wind Tre further emphasizes that the adoption by TIM and DAZN of the Voluntary Measures should not be assessed as a mitigating factor, as the voluntariness of such measures was contingent upon the pendency of a precautionary proceeding. Rather, according to Wind Tre, this constitutes a tacit acknowledgment by TIM and DAZN of the unlawfulness of the conduct engaged in. Finally, the TIM - DAZN Measures, based on what has been stated in the memoranda of the intervening operators, have not been adequate to prevent harm to end consumers in terms of service quality and costs.  </w:t>
        <w:br/>
        <w:t xml:space="preserve">v) On the inadequacy of the new agreement to remove the contested aspects in the initiation provision  </w:t>
        <w:br/>
        <w:t>252. Even with the exclusivity removed from the Agreement, the intervening Parties159 have emphasized that this circumstance is not suitable to eliminate the competitive concerns underlying the initiation of the proceedings, also considering that the new agreement has occurred close to the time of the initiation.</w:t>
      </w:r>
    </w:p>
    <w:p>
      <w:r>
        <w:rPr>
          <w:b/>
        </w:rPr>
        <w:t>[Pages 94–96]</w:t>
      </w:r>
    </w:p>
    <w:p>
      <w:r>
        <w:t xml:space="preserve">BULLETIN NO. 27 OF 17 JULY 2023 95  </w:t>
        <w:br/>
        <w:t xml:space="preserve">of the beginning of the second football season for the commercialization of rights, effectively preventing a modification of commercial strategies160.  </w:t>
        <w:br/>
        <w:t xml:space="preserve">253. In particular, TIM's competitors are, in any case, not in a position to propose valid alternative bundles of fiber + DAZN that surpass the effects of customer acquisition and lock-in in the broadband market generated by the Agreement. The conditions practiced by TIM prior to the elimination of exclusivity for the fiber + DAZN content bundle and for the standalone DAZN service within the TimVision bundle are not replicable by equally efficient competitors. TIM's current offers for the DAZN Service are not replicable by equally efficient competitors, unless DAZN offers TIM's competitors, in any future contracts, economic conditions that allow them to propose on the market fiber + DAZN content bundles comparable to those of TIM.  </w:t>
        <w:br/>
        <w:t xml:space="preserve">254. The Parties have also noted that it remains uncertain whether DAZN will be able to distribute the rights for viewing Serie A matches to other TLC operators under conditions that would allow them to propose bundled offers (fiber + DAZN content) in effective competition with TIM, that is, sufficiently attractive to overcome the customer acquisition of the contestable BB and UBB customer base and its lock-in, established by TIM thanks to the Agreement.  </w:t>
        <w:br/>
        <w:t xml:space="preserve">255. It would also not be clear whether DAZN will be able to participate in the tenders announced by the Lega Nazionale Professionisti for the three-year period 2024-2027 in competition with TIM.  </w:t>
        <w:br/>
        <w:t xml:space="preserve">256. Regarding the Amending Agreement of 4 August 2022, the interveners believe that these modifications have only formally eliminated the articulated exclusivity provided for by the Agreement at the level of explicit contractual provisions.  </w:t>
        <w:br/>
        <w:t xml:space="preserve">257. The Amending Agreement was concluded only four days before the start of the 2022/2023 football season and is, therefore, late in terms of the actual possibility for operators other than TIM to initiate negotiations with DAZN in time to exploit the driver that Serie A football matches represent in the choices of final consumers, at least for the 2022/23 football season, corresponding to the second year of rights assignment to DAZN. Iliad, Fastweb, and Open Fiber also emphasize that the Amending Agreement fits into a competitive context already altered in which consumers have subscribed to TIM Vision offers with DAZN services for the 2021/2022 football season that include lock-in mechanisms (such as contractual duration constraints and exit costs) capable of preventing customer mobility even for the 2023/2024 season.  </w:t>
        <w:br/>
        <w:t xml:space="preserve">258. Only one operator, Sky, has concluded an agreement with DAZN for the distribution of the content assigned to it but at the same prices as DAZN, imposing on its customers a surcharge of 5 Euros. For Fastweb, this is a commercial bundle that is by no means comparable to those that TIM can make available to its customers in execution of the agreement. Moreover, Sky itself highlights that it has no "wholesale availability of the rights for viewing Serie A matches," and that, therefore, it continues to be unable to formulate commercial offers in competition with TIM, resulting in a limitation of consumer choice. The memorandum describes how the Agreement of 4 August 2022 has severely limited Sky's ability to establish an efficient distribution partnership with DAZN, due to the timing with which it was concluded, a year after the start of the infringement, when consumers had already made their purchasing choices in a context altered by the restrictions of the Agreement. On this point, according to the statements in the memoranda of Vodafone and Iliad, although the channels for distributing the DAZN service have been expanded, this cannot be considered as an element demonstrating the overcoming of the anticompetitive effects produced by the Agreement in the markets for the provision of retail services on fixed and mobile networks, but rather reinforces its anticompetitive effects, as Sky is in a dominant position in the pay-TV services markets.  </w:t>
        <w:br/>
        <w:t xml:space="preserve">259. Furthermore, according to the reports from the interveners' memoranda, no other TLC operator has concluded commercial relationships with DAZN. Vodafone did not continue the dialogue, which stopped at the response provided by DAZN in September 2022, and negotiations with Wind Tre halted after a meeting in December 2022. Wind Tre claims to be awaiting a response from DAZN to make an assessment consistent with the market scenario and not merely formal, restoring a correct competitive scenario.  </w:t>
        <w:br/>
        <w:t xml:space="preserve">260. Fastweb also states in its memorandum that, once negotiations with DAZN were interrupted at DAZN's initiative, it could no longer develop a bundle of connectivity and sports content services under economic and technical conditions that were fair and efficient.  </w:t>
        <w:br/>
        <w:t xml:space="preserve">261. From what emerges from the memoranda submitted by the complainants and interveners in the proceeding, none of the intervening operators can currently meet a threshold of guaranteed minimum subscriptions that is remotely comparable to that provided for TIM and, therefore, the conditions proposed by DAZN constitute a new de facto exclusivity, discriminating against TIM's competing operators and depriving them of the opportunity to access DAZN content and offer final users joint offers similar to those disseminated by TIM for almost two years. On this point, precisely due to the high guaranteed minimums required by DAZN, Vodafone states that it has not pursued negotiations with DAZN for the conclusion of a partnership.  </w:t>
        <w:br/>
        <w:t xml:space="preserve">262. Another element that, in Iliad's opinion, disincentivizes the conclusion of agreements between DAZN and TIM's competing operators is represented by the fact that, pursuant to the Amending Agreement, for each partnership agreement with parties other than TIM, the latter must receive specific economic compensations, with a view to a presumed compensation for the lesser favorable commercial effects. However, this element constitutes an evident disincentive for DAZN to conclude agreements with third parties, since in that case it would have to make the aforementioned compensation in favor of TIM.  </w:t>
        <w:br/>
        <w:t xml:space="preserve">V. THE OPINION FORMULATED BY THE AUTHORITY FOR GUARANTEES IN COMMUNICATIONS  </w:t>
        <w:br/>
        <w:t xml:space="preserve">263. On 19 May 2023, the draft closure measure of the present proceeding was sent to the Authority for Guarantees in Communications for the issuance of the relevant opinion. In the communication received on 16 June 2023, AGCOM formulated the considerations summarized below.  </w:t>
        <w:br/>
        <w:t xml:space="preserve">264. AGCOM generally shares the conclusions of the Authority reported in the draft measure transmitted, according to which the elements in the records indicate the existence of a restrictive agreement on competition established by TIM and DAZN in violation of Article 101, paragraph 1, TFEU, with effects from 1 July 2021 until August 2021.  </w:t>
        <w:br/>
        <w:t xml:space="preserve">265. On the merits, AGCOM believes, in particular, that the clauses of the agreement concluded between DAZN and TIM on 27 January 2021, which provide for provisions that limit commercially and technologically DAZN's possibilities in relations with TIM's competing telecommunications operators, have been potentially harmful to competition, with effects in the markets identified by the Authority.  </w:t>
        <w:br/>
        <w:t xml:space="preserve">266. In this regard, with reference to the market for wholesale access services to the fixed broadband and ultra-broadband network and the market for retail telecommunications services on fixed broadband and ultra-broadband networks, AGCOM reports on an intense regulatory and supervisory activity initiated since June 2021 and in particular on resolution No. 206/21/CONS containing "Guidelines for the correct sizing and geographical distribution of the distribution network (CDN) of Serie A football matches for the 2021-2024 seasons in live streaming." This activity, accompanied by constant monitoring, has facilitated the achievement of more efficient bilateral negotiation outcomes between OAO and DAZN in terms of reducing the risk of network congestion and, therefore, competition between TIM and OAO in the markets for retail telecommunications services on fixed broadband and ultra-broadband networks.  </w:t>
        <w:br/>
        <w:t xml:space="preserve">267. In the opinion received on 16 June 2023, AGCOM then recalled further supervisory activities carried out in the electronic communications and content sector as well as pluralism with reference to the market for the retail sale of pay-TV services (pay-TV market). In particular, during some preliminary investigations, AGCOM noted that the exclusivity of the agreement of 27 January 2021 between TIM and DAZN has ceased with the contract of 4 August 2022. AGCOM emphasized that this situation (elimination of exclusivity clauses) appeared in itself to improve the relative position in the pay-TV market previously held by TIM, even if it had been considered potentially capable of generating customer lock-in effects due to the simultaneous presence in the electronic communications sector or even distorting effects on pluralism.  </w:t>
        <w:br/>
        <w:t xml:space="preserve">268. For its part, DAZN, in light of the possibility of distributing its services through other commercial partners, having lost the exclusivity clause with TIM, has entered into a "platform services and commercial promotion" agreement for the three-year period 2021/2024 with SKY, which has allowed the inclusion of the "DAZN app" and, therefore, the OTT service of DAZN, on the SkyQ platform (and other devices), in addition to the possibility for DAZN subscribers who are also SKY subscribers to access a linear DAZN channel, called "ZONA DAZN," available via satellite and digital terrestrial through the services offered to the final customer by SKY.  </w:t>
        <w:br/>
        <w:t xml:space="preserve">269. Based on the considerations made, the Authority, for the profiles of its competence, concluded by expressing an adhesive opinion, within the limits of what is stated in the motivation, to the conclusions of AGCM reported in the draft closure measure of proceeding I857 concerning the existence of a restrictive agreement on competition between TIM and DAZN, qualifying as serious to the extent that it was aimed at limiting production, outlets, technical development or investments and applying, in commercial relations, asymmetric conditions with other contracting parties.  </w:t>
        <w:br/>
        <w:t xml:space="preserve">VI. EVALUATIONS  </w:t>
        <w:br/>
        <w:t xml:space="preserve">a) Considerations on the observations of third parties and complainants  </w:t>
        <w:br/>
        <w:t xml:space="preserve">270. Regarding the arguments developed by the intervening parties on the definition of the object of the proceeding, it is noted that they cannot be accepted with reference to the hypothesis of the configuration of an abuse of a dominant position in violation of Article 102, TFEU.  </w:t>
        <w:br/>
        <w:t>271. The scope of the object of this proceeding is centered on the evaluation of the Agreement between TIM and DAZN for the profiles described in the initiation of the proceeding of 6 July 2021, relating to a violation of Article 101 TFEU. Referring to the broader evaluations carried out subsequently, it is observed that this contract contains provisions that configure a violation of Article 101 TFEU regardless of the position held by TIM in any of the relevant markets for the configuration of a prerequisite for the application of Article 102 TFEU, represented by the existence of a dominant position. In any case, there are no elements in the records that</w:t>
      </w:r>
    </w:p>
    <w:p>
      <w:r>
        <w:rPr>
          <w:b/>
        </w:rPr>
        <w:t>[Pages 97–99]</w:t>
      </w:r>
    </w:p>
    <w:p>
      <w:r>
        <w:t xml:space="preserve">98 BULLETIN NO. 27 OF 17 JULY 2023  </w:t>
        <w:br/>
        <w:t xml:space="preserve">indicate the existence of unilateral conduct by Telecom that could be assessed independently of the Agreement.  </w:t>
        <w:br/>
        <w:t xml:space="preserve">272. These considerations also apply with regard to the precautionary requests presented pursuant to Article 14-bis of Law No. 287/1990 by some intervening operators in this proceeding concerning certain promotions carried out by TIM during the validity of the aforementioned Agreement. They are merely a consequence of the Agreement concluded between TIM and DAZN, and their assessment is therefore absorbed by the substantive considerations that will be subsequently addressed.  </w:t>
        <w:br/>
        <w:t xml:space="preserve">273. Regarding the failure to comply with the measures presented by TIM, as raised by some Parties during the proceedings, it is sufficient to note that, in addition to being voluntarily adopted, the measures are functional to the assessments made in measure number 29778, of 27 July 2021. As will be highlighted later, the competitive issues of the agreement of 27 January 2021 have been neutralized by the set of Voluntary Measures adopted by TIM and DAZN within the precautionary sub-procedure subsequently followed by the new agreement between the Parties, signed on 4 August 2022.  </w:t>
        <w:br/>
        <w:t xml:space="preserve">b) The TIM/DAZN agreement of 27 January 2021: the clauses of the Deal Memo  </w:t>
        <w:br/>
        <w:t xml:space="preserve">274. Article 101, paragraph 1, TFEU establishes that all agreements between undertakings that may affect trade between Member States and that have as their object or effect the prevention, restriction, or distortion of competition within the internal market are incompatible with the internal market and prohibited. In particular, Article 101, paragraph 1, letters b) and d) TFEU establishes that all agreements consisting of limiting or controlling production, outlets, technical development, or investments and applying, in commercial relations with other contracting parties, dissimilar conditions for equivalent performances, so as to place the latter at a competitive disadvantage, are prohibited.  </w:t>
        <w:br/>
        <w:t xml:space="preserve">275. The arguments of TIM and DAZN aimed at considering the Deal Memo as non-restrictive of competition, due to the absence of an unlawful agreement by object and/or of restrictive effects on competition, configuring possible exemptions under the VBER Regulation or the application of paragraph 3 of Article 101 TFEU, require identifying the scope of the assessment conducted in this measure.  </w:t>
        <w:br/>
        <w:t xml:space="preserve">276. It should first be emphasized that the subject of the dispute is not the Deal Memo signed on 27 January 2021 as a whole, but exclusively the clauses contained therein that commercially and technically limit DAZN in offering pay television services, and that hinder TIM's competing telecommunications operators from undertaking commercial initiatives with DAZN.  </w:t>
        <w:br/>
        <w:t xml:space="preserve">277. The restrictive clauses on competition are contained in particular in letter F) of the Deal Memo. They are the same ones contested in the initiation measure of 6 July 2021, within which the precautionary sub-procedure was initiated pursuant to Article 14-bis of Law No. 287/1990, which concluded with the resolution of 27 July 2021 not to adopt a measure due to the initiatives taken by TIM and DAZN. In this regard, it is worth noting that, in the aforementioned investigative phases, the Deal Memo as a whole was never subject to stigmatization.  </w:t>
        <w:br/>
        <w:t xml:space="preserve">278. In particular, the agreement provides for exclusivity in favor of TIM, through a detailed regulation contained in the provision of letter F - Exclusivity and, specifically:  </w:t>
        <w:br/>
        <w:t xml:space="preserve">˗ TIM will be the only telecommunications operator and audiovisual media operator authorized by DAZN to sell the DAZN service in a bundled manner (“hard bundle”) or with an à la carte offer.  </w:t>
        <w:br/>
        <w:t xml:space="preserve">˗ It is expressly provided that DAZN is prohibited from making offers in partnership with other competing operators for the entire duration of the contractual relationship, in particular, it is provided that DAZN may not, either directly or indirectly, authorize other telecommunications or audiovisual media operators to jointly or à la carte offer DAZN services. The operators are identified by name in Schedule 1 (audiovisual media operators) and Schedule 2 (telecommunications operators).  </w:t>
        <w:br/>
        <w:t xml:space="preserve">˗ The contract also establishes limits on DAZN's direct distribution of its services, stating that DAZN: (i) may not offer its service on platforms other than the internet or include it in other channels or services; (ii) may not sub-license sports rights except for three Serie A matches in co-exclusivity; (iii) may not allow, from 1 July 2021, the DAZN app and the DAZN 1 channel to be available on Sky Q devices of residential Sky users or in any other service or device for Sky customers (e.g., Now TV stick).  </w:t>
        <w:br/>
        <w:t xml:space="preserve">˗ With reference to a non-exclusive distribution contract of DAZN in force until August 2022, a specific regulation is provided aimed at reducing or completely eliminating the contractual relationship. In particular, DAZN must alternatively: (A) not renew or extend the contract and prevent [omitted] from promoting or offering DAZN services to new subscribers until expiration, allowing existing subscribers to use the service, permitting only these latter to access the DAZN app on [omitted] TV until August 2022; or (B) make available to [omitted] only an à la carte service, but in this option, there are economic penalties for DAZN, in particular, the guaranteed minimum is reduced by the same amount as the revenue billed by [omitted].  </w:t>
        <w:br/>
        <w:t xml:space="preserve">279. In the Agreement, the activities permitted to DAZN are then specifically described: (i) sell the DAZN service directly, (ii) distribute the DAZN service à la carte through authorized third parties (excluding telecommunications operators and audiovisual media service providers), but DAZN may not offer discounts on Amazon TV for more than 2 months or before 30 days from the start of each Serie A season, (iii) distribute the DAZN service in combination with other services and products through authorized third parties (excluding telecommunications operators and audiovisual media service providers); (iv) allow direct carrier billing mechanisms through authorized third parties. In the Agreement, it is specified that unauthorized parties may not make advertising references to DAZN services even indirectly (for example, if they sell products that are entitled to have DAZN installed).  </w:t>
        <w:br/>
        <w:t>280. In light of such commercial agreements, a minimum guarantee is provided that TIM will pay to DAZN (letter J – Fees and Minimum Guarantee). However, the Agreement expressly provides for the maintenance of its effectiveness even in the event that exclusivity ceases (letter F – Exclusivity). In this case, in the event that the minimum guarantee is not reached by TIM, a safeguard mechanism based on the total number of users reached by DAZN through operators other than TIM is provided.</w:t>
      </w:r>
    </w:p>
    <w:p>
      <w:r>
        <w:rPr>
          <w:b/>
        </w:rPr>
        <w:t>[Pages 100–102]</w:t>
      </w:r>
    </w:p>
    <w:p>
      <w:r>
        <w:t xml:space="preserve">BULLETIN NO. 27 OF 17 JULY 2023 101  </w:t>
        <w:br/>
        <w:t xml:space="preserve">281. With regard to technical solutions, the Agreement provides for the integration of DAZN with TIM's Content Delivery Network (CDN)173, in order to ensure the best possible quality, as well as obligations to cooperate in good faith between the Parties (Letter Q - Network and Piracy Services)174.  </w:t>
        <w:br/>
        <w:t xml:space="preserve">282. The clauses outlined above are characterized by a restrictive nature of competition due to the fact that they are primarily aimed at excluding OAO, with a selective objective, rendering entirely irrelevant the need to identify whether the agreement has a restrictive object or effect on competition. In this regard, it is noteworthy that the clauses are directed against a well-defined category of subjects, such as the telecommunications operators competing with TIM in the connectivity markets, expressly citing previous agreements with well-identified players.  </w:t>
        <w:br/>
        <w:t xml:space="preserve">c) The nature of the vertical agreement and the application of the VBER  </w:t>
        <w:br/>
        <w:t xml:space="preserve">283. During the proceedings, the Parties argued that the Deal Memo has the structure of a vertical agreement. This configuration, in addition to not allowing it to be qualified as a restrictive agreement by object, would allow it to benefit from the exemption under Regulation VBER No. 720/2022175 (and previously VBER 2010)176.  </w:t>
        <w:br/>
        <w:t xml:space="preserve">284. It is noted that the agreement in question with the clauses contained therein is not exempt due to the absence of the preconditions for the application of the regulations referred to by the Parties and because the clauses under evaluation do not pass the test of proportionality and appropriateness.  </w:t>
        <w:br/>
        <w:t xml:space="preserve">285. In particular, the competitive restrictions arising from the contested clauses contained in the Deal Memo of 27 January 2021 occur between subjects operating in the same supply chains for the provision of audiovisual content and are not essential for achieving the objective of the agreement.  </w:t>
        <w:br/>
        <w:t xml:space="preserve">286. In an attempt to deduce the application of the VBER, which should be excluded in this case, the parties instrumentally emphasize the vertical aspects of an agreement that instead occurs between operators who are directly competing even in the market for the purchase of premium sports audiovisual content and in the retail sale of audiovisual content. Furthermore, with the agreement in question, TIM effectively renounced to participate directly in the tender called by the LNPA, providing, as highlighted by the Parties themselves, a substantial economic contribution to DAZN so that it would emerge victorious from the tender itself, limiting TIM to managing the distribution phase of the product over the internet. The agreement therefore intervened between companies that are in fact competitors and thus also has a horizontal connotation of particular relevance.  </w:t>
        <w:br/>
        <w:t xml:space="preserve">average aggregate number of Global DAZN Subscribers over the Affected Period [omissis] or above, then DAZN shall reimburse TIM at the end of the contract year for the difference between the actual aggregate DAZN Fees for the Affected Period and the Annual MG attributable to the Affected Period”.  </w:t>
        <w:br/>
        <w:t xml:space="preserve">173 CDN or Content Delivery Network. This term refers to network infrastructures created to deliver or distribute static or multimedia content to users, on demand, with performance, in terms of access delay and bandwidth used, far superior to solutions that do not use them. CDNs - also called Enterprise Content Delivery Networks (ECDN) - are, in particular, additional transmission networks and servers, placed at points in the internet network with a higher likelihood of congestion, which allow for dedicated transmission capacity and space to copy and store information present on the original servers.  </w:t>
        <w:br/>
        <w:t xml:space="preserve">174 “Content Delivery Network (CDN) Services The Parties shall discuss in good faith the provision by TIM during the Period of CDN services to DAZN [omissis].  </w:t>
        <w:br/>
        <w:t xml:space="preserve">175 Regulation (EU) 2022/720 of the Commission of 10 May 2022 on the application of Article 101, paragraph 3, TFEU to categories of vertical agreements and concerted practices in OJUE 11 May 2022.  </w:t>
        <w:br/>
        <w:t>176 Regulation (EU) No. 330/2010 of the Commission of 20 April 2010 on the application of Article 101, paragraph 3, TFEU to categories of vertical agreements and concerted practices in OJUE 23 April 2010.</w:t>
      </w:r>
    </w:p>
    <w:p>
      <w:r>
        <w:t xml:space="preserve">102 BULLETIN NO. 27 OF 17 JULY 2023  </w:t>
        <w:br/>
        <w:t xml:space="preserve">287. The exclusivity provided for in the Deal Memo effectively excluded the possibility for competitors to replicate TIM's telecommunications service offerings, the only entity able to propose a bundle of TIMVision with the DAZN service, intended exclusively for TIM customers and at a discounted price, interested in purchasing football content.  </w:t>
        <w:br/>
        <w:t xml:space="preserve">288. In this perspective, we are faced with a rather peculiar contract, considering the context in which it was drafted, with mixed effects, both horizontal and vertical in nature, highlighted by TIM and DAZN in their defenses articulated in the final submissions and final hearing.  </w:t>
        <w:br/>
        <w:t xml:space="preserve">289. In particular, the clauses have a horizontal relevance, involving links in the service supply chain where both operators are present, as in the case of the clause that limits DAZN's ability to offer discounts177; at the same time, the exclusivity clauses and those that generally limit DAZN's ability to enter into partnerships with TIM's competing TLC operators have vertical effects, considering DAZN's absence in the connectivity markets.  </w:t>
        <w:br/>
        <w:t xml:space="preserve">290. That said, an analysis of the restrictiveness that tends to isolate vertical effects from horizontal ones and vice versa would fail to capture the overall restrictive scope of the contested agreements.  </w:t>
        <w:br/>
        <w:t xml:space="preserve">291. The horizontal aspect consists of the provisions that prohibit DAZN from offering discounts on Amazon TV for more than two months or before 30 days from the start of each Serie A season (“there shall be no more than 2 (two) promotions involving discounted rates and/or introductory offers in any contract year, and (b) such promotions shall not be live in the 30 (thirty) days immediately preceding or at the very start of any relevant Serie A Season.”). This clause, whose effectiveness was rendered void by the precautionary measures adopted by TIM and DAZN in the context of the related sub-procedure, is restrictive of competition to the extent that it limits DAZN's ability to formulate offers potentially capable of competing with those of one of the main players, such as TimVision.  </w:t>
        <w:br/>
        <w:t xml:space="preserve">292. Therefore, regarding the applicability of the VBER, it cannot be admitted considering that there are provisions that limit DAZN's ability to operate discounts, that is, of a competing operator in the same link of TIM's supply chain, as illustrated above, a provision that does not physiologically fall within the scope of application of the VBER and is expressly excluded from exemption under Article 2, point 4, of Regulation (EU) 2022/720 of the Commission of 10 May 2022178.  </w:t>
        <w:br/>
        <w:t xml:space="preserve">293. Furthermore, another horizontal element comes into play. In fact, with regard to the regulation of the relationship between the Parties at the time of the expiration of the contract, a profile that affects the freedom of action of both TIM and DAZN, it is noted that the clause regarding participation in the next three-year marketing of matches of the top Italian football league, underlying the possibility of renewing the contract for an additional three years, eliminated an essential aspect of uncertainty regarding the possible commercial strategies that should characterize the competition between the assignor of the previous marketing cycle, on one side, and one of the main telecommunications operators, on the other.  </w:t>
        <w:br/>
        <w:t xml:space="preserve">294. This is an element of artificial alteration of competitive play in a context, such as that of the assignment of TV rights, already characterized by the presence of few operators and by an endemic viscosity that the legislator also takes into account when, through the Melandri Decree, it adopted a special ad hoc regulation to ensure maximum competition to the benefit of the contracting entity.  </w:t>
        <w:br/>
        <w:t xml:space="preserve">295. In any case, it must be considered that the exclusivity also applied to telecommunications operators (vertical relationship) and that therefore TIM's market share should be considered, a vertically integrated operator that holds a share exceeding 30% in the retail broadband and ultra-broadband access market, specifically 42.2% as illustrated in the section of this measure dedicated to the definition of relevant markets.  </w:t>
        <w:br/>
        <w:t xml:space="preserve">Although the exclusivity does not concern the same market where TIM's market position exceeds 30%, the fact that the agreement allowed the bundling of audiovisual content and connectivity allows us to consider that this exclusion circumstance may also be relevant. Therefore, it is believed that the hypothesis of exclusion under Article 3, point 1, of Regulation (EU) 2022/720 of the Commission of 10 May 2022, regarding the "Market share threshold"179 may also apply.  </w:t>
        <w:br/>
        <w:t xml:space="preserve">d) The suitability of the agreement to restrict competition  </w:t>
        <w:br/>
        <w:t xml:space="preserve">i) the importance of TV rights related to Serie A matches  </w:t>
        <w:br/>
        <w:t xml:space="preserve">296. For the understanding of the restrictive nature of competition of the clauses on the various relevant markets arising from the agreement of 27 January 2021, it is necessary to consider that it is situated in a phase characterized by two parallel processes of particular relevance with repercussions on the methods of marketing and enjoyment of services, whose final impact is still far from being definitively appreciated.  </w:t>
        <w:br/>
        <w:t xml:space="preserve">297. First of all, as also emphasized by the Parties, there is an increasing adoption of the internet platform as a means of enjoying television services, in this case pay-TV services, where the particular value of the content, especially sports entertainment, represents a fundamental commercial lever for operators active in telecommunications. They now appear to be projected to associate the offer of internet connectivity services with premium entertainment content in order to make their commercial offer more appealing.  </w:t>
        <w:br/>
        <w:t xml:space="preserve">298. Regarding the particular relevance as a competitive lever of the content related to the viewing of the Serie A football championship, it is useful to recall what was noted by the Authority in the closure measure of case C12207-SKY Italia/R2, where in considering the particular importance of the presence of Serie A matches in a bouquet of premium content offerings, it was observed that: “To confirm the extreme relevance of live Serie A football matches, the results of the survey show that over half of the users who include such content...  </w:t>
        <w:br/>
        <w:t>179 “1. The exemption referred to in Article 2 applies provided that the market share held by the supplier does not exceed 30% of the relevant market on which it sells the goods or services subject to the contract and the market share held by the buyer does not exceed 30% of the relevant market on which it purchases the goods or services subject to the contract.”</w:t>
      </w:r>
    </w:p>
    <w:p>
      <w:r>
        <w:rPr>
          <w:b/>
        </w:rPr>
        <w:t>[Pages 103–105]</w:t>
      </w:r>
    </w:p>
    <w:p>
      <w:r>
        <w:t xml:space="preserve">104 BULLETIN NO. 27 OF 17 JULY 2023  </w:t>
        <w:br/>
        <w:t xml:space="preserve">in their subscription (specifically 56.9%) would lead to the cancellation of the entire subscription if Serie A were no longer available.”  </w:t>
        <w:br/>
        <w:t xml:space="preserve">299. In this regard, it should be noted that, contrary to what TIM represented in its defenses, it is not necessary to conduct a specific market analysis aimed at verifying whether the audiovisual content of Serie A for the three-year period 2021/2024 represents a fundamental competitive lever, updating the data contained in the survey conducted in the context of procedure C12207-SKY Italia/R2. On this point, the Party argues that the availability of Serie A Rights no longer represents a so-called killer application capable of influencing consumer choices and therefore the values of operators in the market.  </w:t>
        <w:br/>
        <w:t xml:space="preserve">300. First of all, it is noted that the results of the survey conducted in the aforementioned procedure are relevant and current with respect to the assessments to be made in this measure.  </w:t>
        <w:br/>
        <w:t xml:space="preserve">301. The three-year commercialization of the Serie A rights 2021/2024, awarded to DAZN and subject to the agreement containing the clauses under evaluation, was indeed the subject of the Guidelines prepared by the LNPA and approved by the Authority with the aforementioned measure of 21 January 2020, No. 28097 (case SR34-Lega calcio serie A/assignment of audiovisual rights for football championships 2021/2022 - 2022/2023 - 2023/2024).  </w:t>
        <w:br/>
        <w:t xml:space="preserve">302. These Guidelines expressly considered the outcomes of procedure C12207 mentioned in paragraph 22, and on this point, the Authority had the opportunity to observe that “the provisions relating to par. 22 of the Guidelines regarding the constraints imposed by the aforementioned Authority measure No. 27784 of 20 May 2019, acknowledge the fact that the LNPA aims to achieve “the best possible balance of the various interests at stake, taking into account the current constraints arising from the aforementioned AGCM decision in the Sky/R2 case [emphasis added] and it is noted that these objectives can be pursued in various ways that do not prejudice the participation and possible awarding of the packages to Sky Italia, such as, for example, the absence of exclusives for the internet platform or providing that the bidding and awarded party of a certain package may waive the exclusivity of that package for the sole internet platform.” (point 109).  </w:t>
        <w:br/>
        <w:t xml:space="preserve">303. The fact that the outcomes of procedure C12207 have constituted a reference for designing the tender for the three-year period 2021/2024 would already be sufficient to consider TIM's argument unfounded.  </w:t>
        <w:br/>
        <w:t xml:space="preserve">304. However, more generally, it is noted that, regardless of this consideration, the indications of the survey still hold relevance today, as it is undeniable that the availability of audiovisual content of the matches of the top national Championship still represents a fundamental driver in consumer choice and therefore its presence in the content bouquet of an OTT is crucial. Even more recent research confirms the absolute centrality of sports content for the competitiveness of the pay-TV service offering. In Italy, 68% of viewers who watch sports (and news) at least once a month subscribe to pay-TV compared to only 39% of non-viewers of sports and news180. In particular, the Serie A football championship in Italy, according to more recent research, continues to attract a large audience. The survey conducted for the sports newspaper Gazzetta dello Sport in August 2022 regarding the 2021-22 sports season shows that fans of clubs in the top league in Italy reach almost 25 million, with a consistent number compared to 2020-21.  </w:t>
        <w:br/>
        <w:t>180 See “Sports and news are critical to the future of pay-tv and OTT”, Altman Solon, 2020.</w:t>
      </w:r>
    </w:p>
    <w:p>
      <w:r>
        <w:t xml:space="preserve">BULLETIN NO. 27 OF 17 JULY 2023 105  </w:t>
        <w:br/>
        <w:t xml:space="preserve">305. TV rights for sports content, therefore, constitute an asset that ensures a significant competitive advantage over other television rights and that, in any case, guarantees a high level of competitiveness in the offering of pay-TV services.  </w:t>
        <w:br/>
        <w:t xml:space="preserve">306. One cannot overlook the assessments expressed by the European Commission regarding the joint sale of audiovisual sports rights for UEFA international competitions and, in particular, the UEFA Champions League181. On that occasion, the Commission authorized the joint sale of audiovisual sports rights by football associations on behalf of football clubs (as opposed to the sale of such rights by the clubs themselves), in application of the current Article 101.3 TFEU, provided that strict conditions were met, precisely to mitigate the risk of exclusionary effects in downstream markets, due to exclusivity and bundling of rights. Such conditions included, among others: the sale of audiovisual sports rights through open and transparent bidding procedures; a limitation on the duration of the rights (generally not exceeding three years); and the division of rights into different packages to allow multiple competitors to acquire the rights.  </w:t>
        <w:br/>
        <w:t xml:space="preserve">307. Following this precedent, Member States have regulated the commercialization of such rights mainly through two types of alternative interventions (see further below): an assessment of the criteria and conditions for centralized sales in application of the exemption criteria under Article 101.3 TFEU; or – alternatively and without prejudice to any subsequent interventions under competition law – through the establishment of a law that regulates the principles and introduces constraints for the commercialization of the aforementioned rights.  </w:t>
        <w:br/>
        <w:t xml:space="preserve">308. Such interventions are indicative of the relevance of the availability of rights related to matches of the top national championship regardless of a supposed decline in profitability in their commercialization.  </w:t>
        <w:br/>
        <w:t xml:space="preserve">309. Studies conducted over the years appear to align with the aforementioned indications to the extent that they show how the user base willing to pay for the enjoyment of sports content is a key element of the competitiveness of a pay-TV operator. In Italy, 68% of viewers who watch sports (and news) at least once a month subscribe to pay-TV compared to only 39% of non-viewers of sports and news. The audience of users interested in sports has a greater propensity to purchase a pay-TV subscription than the general television audience182.  </w:t>
        <w:br/>
        <w:t xml:space="preserve">ii) The content of the clauses of the agreement: the suitability of their formulation to exclude competitors.  </w:t>
        <w:br/>
        <w:t xml:space="preserve">310. Taking into account the aforementioned context, within the collaboration established for the provision of content for Packages 1 and 3 of the Rights for viewing matches of the Serie A football championship, it is believed that the provisions of the Agreement of 27 January 2021 signed by TIM and DAZN, due to their content, were suitable to produce harmful effects on the competitive dynamics in the relevant markets, considering the tenor of the clauses and the duration of the contract, as also noted by AGCOM in the opinion received on 16 June 2023, adhering to the scheme of the measure. The agreement was indeed susceptible of depriving TIM's competitors active in the electronic communications markets of the opportunity to associate high-value content, such as the rights to view matches of the Serie A Championship for the cycle 2021/2024, with their connectivity services, limiting their ability to exert effective competitive pressure against TIM itself. Some clauses were also suitable to limit DAZN's commercial options regarding the development of audiovisual content offerings on other technological platforms.  </w:t>
        <w:br/>
        <w:t xml:space="preserve">311. In particular, the agreement of 27 January 2021 was suitable to restrict competition under multiple profiles described below, with specific indication of the clauses susceptible to profiles of violation of Article 101 TFEU.  </w:t>
        <w:br/>
        <w:t xml:space="preserve">312. First, the agreement allowed only TIM to formulate a commercial offer that combined broadband connectivity with TimVision audiovisual content (which included Serie A content from DAZN). Such an offer, by its nature non-replicable by TIM's competitors, as they could not commercially associate the high-value audiovisual content of Serie A with their connectivity offering due to the exclusivity clauses contained in the Deal Memo of 27 January 2021, allowed the latter to further strengthen its position in the retail market for internet access services. The non-replicability was inherent in the fact that other telecom operators did not have the opportunity to commercially propose a combined offer of connectivity and television services as they could only impact their own connectivity offering to attract, only indirectly, customers interested in Serie A. Moreover, the agreement presented increasingly restrictive characteristics as the Parties had agreed to use only the internet platform as the mode of transmission of the content exclusively.  </w:t>
        <w:br/>
        <w:t xml:space="preserve">313. Therefore, alternative telecom operators were not allowed to propose an offer of connectivity and high-value audiovisual content in competition, and other media operators were excluded from both the internet platform and other traditional television platforms. Significant in this regard is the provision that, from 1 July 2021, the DAZN app and the DAZN 1 channel would not be available on the Sky Q devices of residential Sky users or any other service or device for Sky customers (e.g., Now TV stick).  </w:t>
        <w:br/>
        <w:t xml:space="preserve">314. Secondly, and in a connected manner, the agreement effectively prevented end customers of TIM's competing telecom operators from subscribing to TimVision audiovisual services without simultaneously subscribing to TIM's connectivity services. This situation further weakened TIM's competitors in the fixed and mobile connectivity markets.  </w:t>
        <w:br/>
        <w:t xml:space="preserve">315. It should be noted that the Agreement in question has an overall duration of six years starting from 1 July 2021, that is, three years, renewable for an additional three-year period. The parties reserved a right of early withdrawal [omitted]183.  </w:t>
        <w:br/>
        <w:t xml:space="preserve">316. The exclusivity clause is also noteworthy, which allows TIM to be the only entity able to offer discounts or temporary promotions on the DAZN service, contractually rendering  </w:t>
        <w:br/>
        <w:t xml:space="preserve">183 “Letter D) Effective date of this Deal Memo: […]  </w:t>
        <w:br/>
        <w:t xml:space="preserve">Launch date: 1 July 2021 (the “Launch Date”).  </w:t>
        <w:br/>
        <w:t xml:space="preserve">End date: 6 (six) years from Launch Date […].  </w:t>
        <w:br/>
        <w:t xml:space="preserve">[…]  </w:t>
        <w:br/>
        <w:t xml:space="preserve">The period from the Launch Date until the End Date being the “Period”. Each year from the Launch Date being a “contract year”.  </w:t>
        <w:br/>
        <w:t xml:space="preserve">This Deal Memo or the […] will automatically terminate at the end of the 3rd (third) contract year in the event the Condition Precedent under section C above is not achieved in respect of the Serie A Championship seasons 2024/25, 2025/26 and 2026/27 (the “Next Serie A Seasons”).  </w:t>
        <w:br/>
        <w:t xml:space="preserve">DAZN will have the right to terminate this Deal Memo […] at the end of the 3rd (third) contract year, by giving written notice to TIM no later than 31 August 2023, if, at no point in the last 3 (three) months of the 2nd (second) Serie A Season in the Period, the number of Total DAZN Subscribers (as defined below) was above 3,300,000 (three million three hundred thousand).  </w:t>
        <w:br/>
        <w:t>TIM will have the right to terminate this Deal Memo […] at the end of the 3rd (third) contract year, by giving written notice to DAZN no later than 31 August 2023, if, at no point in the last 3 (three) months of the 2nd (second) Serie A Season in the Period, the total number of the TIM New Bundle Customers (as defined below) and TIM New A La Carte Customers (as defined below) was [omitted].</w:t>
      </w:r>
    </w:p>
    <w:p>
      <w:r>
        <w:rPr>
          <w:b/>
        </w:rPr>
        <w:t>[Pages 106–108]</w:t>
      </w:r>
    </w:p>
    <w:p>
      <w:r>
        <w:t xml:space="preserve">BULLETIN NO. 27 OF 17 JULY 2023 107  </w:t>
        <w:br/>
        <w:t xml:space="preserve">it was impossible for competing operators to replicate such discounts, as well as being the only operator able to include the DAZN APP on its devices. In particular, the agreement of 27 January 2021 established that TIM would be the only telecommunications operator and audiovisual media operator authorized by DAZN to sell the DAZN service in a bundled manner (hard bundle) or with an à la carte offer184.  </w:t>
        <w:br/>
        <w:t xml:space="preserve">317. By virtue of this provision, DAZN – despite the contracts prior to the conclusion of the Agreement of 27 January 2021 and the commercial practices followed by this operator in Italy in the past, characterized by negotiations with other operators, and in general the practices followed by other OTTs – was contractually limited in its ability to distribute its service, with the aim of preventing the licensee of the Serie A TV rights from establishing commercial relationships with TIM's competing operators.  </w:t>
        <w:br/>
        <w:t xml:space="preserve">318. Therefore, from a commercial perspective, the agreement of 27 January 2021, with the aforementioned provisions, allows TIM to be the only entity, for a very long period, equal to three years of commercialization of the audiovisual rights of the Serie A championship, renewable for an additional three years, to market DAZN services, also excluding the possibility of preparing offers on platforms other than the internet. This complex of contractual norms is therefore perfectly attributable to the case of full exclusivity, with express contractual provisions prohibiting other possibilities for the distribution of content.  </w:t>
        <w:br/>
        <w:t xml:space="preserve">319. Thus, the exclusivity granted to TIM explicitly prevented DAZN from concluding promotional partnerships with TIM's competitors in the audiovisual services and connectivity markets.  </w:t>
        <w:br/>
        <w:t xml:space="preserve">320. In this regard, it should be noted that the limitations were directed at subjects identified nominally in two lists as TIM's competitors in the provision of audiovisual media services and telecommunications operators, also highlighting contractually the intent to selectively limit the competitive capacity of its competitors. The Agreement also provided for the obligation for DAZN to terminate existing contracts with TIM's competing telecommunications operators or to limit their scope, directly hindering them in the existing commercialization relationship with DAZN.  </w:t>
        <w:br/>
        <w:t xml:space="preserve">321. Regarding the identification of the subjects with whom the prohibition of entering into agreements applies, the contractual veto expressly prohibits DAZN from formulating partnership offers with other competing operators for the entire duration of the contractual relationship, in particular, based on the provision of Letter F) Exclusivity, it is stipulated that DAZN shall not, directly or indirectly, authorize other telecommunications or audiovisual media operators to jointly or à la carte offer the DAZN services185. [Omissis].  </w:t>
        <w:br/>
        <w:t xml:space="preserve">322. In particular, the contractual provision of Letter F. Exclusivity of the Agreement precisely describes the activities permitted to DAZN: (i) to sell the DAZN service directly, (ii) to distribute the DAZN service à la carte through authorized third parties (excluding telecommunications operators and audiovisual media service providers) but DAZN shall not be able to offer discounts on Amazon TV for more than two months or within thirty days before the start of each Serie A season, (iii) to distribute the DAZN service in combination with other services and products through authorized third parties (excluding telecommunications operators and audiovisual media service providers); (iv) to allow direct carrier billing mechanisms through authorized third parties186. The Agreement specifies that unauthorized parties may not make advertising references to DAZN services even indirectly (for example, if they sell products that are entitled to have DAZN installed)187.  </w:t>
        <w:br/>
        <w:t xml:space="preserve">323. With respect to the previous agreements that DAZN had in place, regarding a non-exclusive distribution contract of DAZN in force until August 2022, a specific regulation was provided aimed at reducing or completely eliminating the contractual relationship (Letter F. Exclusivity, page 5, penultimate paragraph). In particular, it was stipulated that DAZN would have to alternatively: (A) not renew or extend the contract and prevent [omissis] from promoting or offering DAZN services to new subscribers until expiration, allowing existing subscribers to use the service, permitting only these latter to access the DAZN app on [omissis] TV, until August 2022188; or (B) make available to [omissis] only an à la carte service189, but in this option there are economic penalties for DAZN, in particular, the guaranteed minimum is reduced by the same amount as the revenues billed by [omissis]190.  </w:t>
        <w:br/>
        <w:t xml:space="preserve">324. It is worth noting that, based on the clauses of the contract subject to this assessment, DAZN was limited in choosing the best individual economic (it is limited in offering discounts for certain services) and technical (it is limited in choosing the best technological solutions, distribution platforms, devices, and payment methodologies) modes for the provision of services. In particular, the contract also establishes limits on DAZN's direct distribution of its services, stipulating that DAZN: (i) could not offer its service on platforms other than the internet or include it in other channels or services; (ii) could not sub-license sports rights except for the three Serie A matches in co-exclusivity; (iii) could not allow, from 1 July 2021, the DAZN app and channel DAZN 1 to be available on Sky Q devices of residential Sky users or in any other service or device for Sky customers (for example, Now TV stick).  </w:t>
        <w:br/>
        <w:t xml:space="preserve">325. In particular, in the provision of Letter F) Exclusivity of the Deal memo of 27 January 2021, the following was established: “In respect of distribution to residential customers and without prejudice to any provision of the Non-Rights Service as described below, DAZN shall not distribute (i) the DAZN Service other than via the internet, or (ii) live sports events, which are available on the DAZN Service, on any other channel or service, save that (in both cases) DAZN shall be under no such restrictions in respect of any sub-licensing of any sports content (which for clarity will not apply to the Live Broadcast Rights in respect of the Rights).” Furthermore, regarding the availability of DAZN on other platforms, it is provided that “DAZN confirms that, as of the Launch Date, the DAZN app and the channel DAZN 1 respectively shall no longer be available on residential Sky Q devices and on any other residential Sky branded devices and services (e.g. NOW TV stick, NOW TV etc…)”.  </w:t>
        <w:br/>
        <w:t xml:space="preserve">326. Furthermore, the clauses of the agreement of 27 January 2021 were restrictive of competition from a technological perspective as they were likely to dilute DAZN's incentives to undertake investments to equip itself with the necessary technology to conclude direct interconnection agreements with TIM's competing operators, as most of its customers, due to the exclusivity clauses, would be contracted by TIM, which was proceeding independently in this regard.  </w:t>
        <w:br/>
        <w:t xml:space="preserve">327. As for the technical solutions, the clauses of the Agreement provide for the integration of DAZN with TIM's Content Delivery Network (CDN)191, in order to ensure the best possible quality, as well as obligations to cooperate in good faith between the Parties (Letter Q - Network and Piracy Services)192. Based on the information collected during the preliminary investigation, such integration solutions had not been simultaneously realized with respect to other operators other than TIM.  </w:t>
        <w:br/>
        <w:t xml:space="preserve">328. Telecommunications operators were therefore hindered by the Agreement in adopting their own technological solutions. This circumstance is the effect of various provisions that prevent DAZN, on the one hand, from allowing the integration of the DAZN app into the devices of telecommunications operators other than TIM (preventing them from developing technological improvement solutions, such as digital terrestrial backup or traffic management modes) and, on the other hand, reducing DAZN's incentives to invest. The content of the Agreement is also characterized by the effect of worsening the quality of DAZN services for users and benefiting TIM both in the retail market for fixed telecommunications and in the wholesale market, increasing the dependence of alternative operators on TIM's active services.  </w:t>
        <w:br/>
        <w:t xml:space="preserve">329. On this point, it is worth recalling once again the clause of the Agreement of Letter F Exclusivity which establishes limits on DAZN's direct distribution of its services, stipulating that DAZN: (i) could not offer its service on platforms other than the internet or include it in other channels or services; (ii) could not sub-license sports rights except for the 3 matches of Serie A in co-exclusivity193; (iii) could not allow, from 1 July 2021, that the app  </w:t>
        <w:br/>
        <w:t xml:space="preserve">191 CDN or Content Delivery Network. This term refers to network infrastructures created to deliver or distribute static or multimedia content to users, on demand, with performance, in terms of access delay and bandwidth used, far superior to solutions that do not use them. CDNs - also called Enterprise Content Delivery Networks (ECDNs) - are, in particular, additional transmission networks and servers, placed at points in the internet network with the highest likelihood of congestion, which allow benefiting from dedicated transmission capacity and space to copy and store information present on the original servers.  </w:t>
        <w:br/>
        <w:t xml:space="preserve">192 “Content Delivery Network (CDN) Services The Parties shall discuss in good faith the provision by TIM during the Period of CDN services to DAZN to enable DAZN [omissis].  </w:t>
        <w:br/>
        <w:t>193 “In respect of distribution to residential customers and without prejudice to any provision of the Non-Rights Service as described below, DAZN shall not distribute (i) the DAZN Service other than via the internet, or (ii) live sports events, which are available on the DAZN Service, on any other channel or service, save that (in both cases) DAZN shall be under no such restrictions in respect of any sub-licensing of any sports content (which for clarity will not apply to the Live Broadcast Rights in respect of the Rights).</w:t>
      </w:r>
    </w:p>
    <w:p>
      <w:r>
        <w:rPr>
          <w:b/>
        </w:rPr>
        <w:t>[Pages 109–111]</w:t>
      </w:r>
    </w:p>
    <w:p>
      <w:r>
        <w:t xml:space="preserve">110 BULLETIN NO. 27 OF 17 JULY 2023  </w:t>
        <w:br/>
        <w:t xml:space="preserve">DAZN and the channel DAZN 1 shall be available on the Sky Q devices of residential Sky users or on any other service or device for Sky customers (for example, Now TV stick)194.  </w:t>
        <w:br/>
        <w:t xml:space="preserve">330. It is considered that, from a technical standpoint, all operators must be placed in a position to develop technological improvement solutions and thus to implement all necessary technical initiatives to allow their users to access audiovisual content from the start of the championship.  </w:t>
        <w:br/>
        <w:t xml:space="preserve">331. Furthermore, the technical discrimination operated by TIM and the significant reduction of incentives for DAZN to invest in interconnection with telecommunications operators other than TIM, due to the Agreement, is likely to significantly influence the quality of the DAZN service, hindering the investment efforts of alternative operators to TIM to improve the network, increasing their dependence on TIM's active services and undermining competition based on investments and quality.  </w:t>
        <w:br/>
        <w:t xml:space="preserve">332. Overall, based on the considerations made, the provisions of the Agreement of 27 January 2021 subject to this assessment, contrary to what TIM and DAZN claimed in their defenses, do not appear justified and proportionate to the objective of ensuring the necessary technological support to operate the provision of the content assigned to DAZN or to provide essential economic support for the acquisition of audiovisual rights.  </w:t>
        <w:br/>
        <w:t xml:space="preserve">333. As for the potential limitations on competition for telecommunications operators, it is noted that the contract between TIM and DAZN is far from aiming for greater competitiveness in the pay-TV market, due to the maintenance of an exclusivity for the distribution of Serie A content assigned to a single vertically integrated entity that holds a dominant position in the connectivity services markets. In this respect, the exclusivity did not allow any form of competition between platforms other than the internet and is abstractly capable of distorting competition in markets related to those of pay-TV, namely the retail and wholesale fixed broadband and ultra-broadband telecommunications services markets.  </w:t>
        <w:br/>
        <w:t xml:space="preserve">334. In this regard, it is relevant that the declared objective of the agreement – as indicated in its text – is to achieve certain subscriber thresholds for TIM. In this regard, the parties reserved a right of early withdrawal if minimum subscriber levels are not reached in 2023 [omissis]195.  </w:t>
        <w:br/>
        <w:t xml:space="preserve">335. The aforementioned critical issues have been addressed and resolved with the set of voluntary measures adopted by the parties following the precautionary sub-procedure, described in section II, point 1.6 letter b) of this measure. The timely intervention of the Authority has averted the risk that the effects of market disturbances that would have resulted from the execution of the agreement actually manifested.  </w:t>
        <w:br/>
        <w:t xml:space="preserve">e) On the effects of the agreement in light of the Authority's intervention  </w:t>
        <w:br/>
        <w:t xml:space="preserve">336. As mentioned, it should be noted that the assessments of restrictiveness carried out concern the contractual arrangement designed by the Parties prior to the Authority's investigative intervention through the establishment of a precautionary sub-procedure. This is an assessment focused on the content of the adopted contractual clauses, examining their potential impact and taking into account the context of the affected markets. In this regard, given that Article 101 TFEU prohibits both actual and purely potential anti-competitive effects, it is worth emphasizing that the assessment of restrictiveness due to effect cannot be limited to cases where actual effects occur, but such assessment must also consider the potential effects of the agreement on competition in the common market196.  </w:t>
        <w:br/>
        <w:t xml:space="preserve">337. In this last regard, it is useful to consider that the effects of the agreement, particularly those arising from the exclusivity and the prohibition of partnerships with TIM's telecommunications competitors, have been neutralized by the initiation of the Authority's investigative procedure on 6 July 2021 and by the precautionary sub-procedure, which occurred close to the start of the first football season of the three-year period 2021/2024, namely the start of the commercialization of the rights assigned to DAZN, in August 2021.  </w:t>
        <w:br/>
        <w:t xml:space="preserve">338. These investigative initiatives, in addition to preventing the serious and irreparable harm to competition hypothesized at the start of the precautionary sub-procedure during the time necessary for the definition of the main procedure, particularly concerning aspects of possible pre-emption and the realization of discriminatory technological service offering conditions, have effectively neutralized the effects of the contested clauses.  </w:t>
        <w:br/>
        <w:t xml:space="preserve">339. In fact, although trend data for the period is not available, given its extreme limitation, these initiatives have ensured that the effects have been predominantly potential as the voluntary measures taken within the precautionary sub-procedure neutralized those potential effects that were emerging during the limited period of initial application of the agreement.  </w:t>
        <w:br/>
        <w:t xml:space="preserve">340. Consider the period starting from 1 July 2021, namely the period of initial application of the agreement, when the initiation of the procedure with the establishment of the precautionary sub-procedure had not yet occurred.  </w:t>
        <w:br/>
        <w:t xml:space="preserve">341. The following figure shows the total number of subscribers to TimVision on fixed line, also divided by the number of subscribers to TimVision on fixed line with packages that include197 DAZN and by the number of subscribers to TimVision on fixed line with packages that do not include DAZN. It has been prepared based on the data requested from TIM on 24 October 2022.  </w:t>
        <w:br/>
        <w:t xml:space="preserve">342. The total number of subscribers to the TimVision platform who are TIM customers on fixed line has remained virtually constant for about a year and is approximately [omissis] units, while the total number of subscribers to the TimVision platform with DAZN services who are TIM customers on fixed line is approximately [omissis].  </w:t>
        <w:br/>
        <w:t xml:space="preserve">343. The graph shows that from July 2021 to August 2021, namely in the first period of application of the Deal Memo TIM until the moment of implementation of the measures taken by the Parties within the precautionary sub-procedure, in just two months, it acquires a customer share of approximately [omissis] units, which is one-third of the total acquired in a year and represents a significant share of subscriptions compared to that of a medium-sized OAO.  </w:t>
        <w:br/>
        <w:t xml:space="preserve">344. The curve of the number of TIM fixed line subscribers with packages that include DAZN from August 2021, namely during the period of application of the measures and in the absence of TIM bundled offers, experiences a slowdown.  </w:t>
        <w:br/>
        <w:t>345. Subsequently, there is a sort of discontinuity starting from October 2021 and in the months of December 2021/January 2022 due to a promotion by TIM that occurred in November 2021 and December 2021, which offered the possibility to some TIM fixed line customers who already had TimVision active and who did not have any active Football and Sports offer to enjoy TimVision Football and Sports with DAZN for free for a limited period (until 12 January 2022). This promotion provided for the automatic deactivation of DAZN services without the need</w:t>
      </w:r>
    </w:p>
    <w:p>
      <w:r>
        <w:rPr>
          <w:b/>
        </w:rPr>
        <w:t>[Pages 112–114]</w:t>
      </w:r>
    </w:p>
    <w:p>
      <w:r>
        <w:t xml:space="preserve">BULLETIN NO. 27 OF 17 JULY 2023 113  </w:t>
        <w:br/>
        <w:t xml:space="preserve">of incurring any additional costs for TIM fixed network customers who are recipients of the offer. The number of those who subsequently subscribed to the paid offer at the end of the free trial period was very low.  </w:t>
        <w:br/>
        <w:t xml:space="preserve">346. It should also be noted that the Agreement of 27 January 2021 had favorable effects for TIM regarding the number of subscribers to the FTTH technology service, especially during periods when users were particularly interested in purchasing football content included in the DAZN offer.  </w:t>
        <w:br/>
        <w:t xml:space="preserve">347. More generally, it is observed that the monthly variations (between two consecutive months) in the number of subscribers to the TimVision platform with packages that include DAZN, who are also TIM fixed network consumer customers on FTTH technology, were practically equal to the monthly variations of TIM customers in the total fixed access market on FTTH technology for most of the period from July 2021 to December 2021 (except for the periods August/September 2021 and September/October 2021). Following the agreement, it is noted that there was a compensation for the reductions in subscribers to TimVision with packages that included only entertainment and/or movies with the new customers who subscribed to a package that included DAZN. Furthermore, it can be observed that some of the periods of greatest increase in the acquisition of new subscribers (months of October, November 2021) correspond temporally with some TIM offers that combined DAZN with the fiber access service (for example, the offer “fiber 0 euros until 31 December 2021 + Timvision Gold with DAZN” in October 2021).  </w:t>
        <w:br/>
        <w:t xml:space="preserve">Table 5: Monthly variation in the total number of consumer customers on TIM fixed network in FTTH technology (a) and the total number of consumer customers on TIM fixed network subscribed to TIM VISION with DAZN services (b) (Source: processing based on data provided by TIM)  </w:t>
        <w:br/>
        <w:t xml:space="preserve">set21/oct21  </w:t>
        <w:br/>
        <w:t xml:space="preserve">Variation jul21/aug21 aug21/sep21 oct21/nov21 nov21/dec21  </w:t>
        <w:br/>
        <w:t xml:space="preserve">1  </w:t>
        <w:br/>
        <w:t xml:space="preserve">a) [omissis] [omissis] [omissis] [omissis] [omissis]  </w:t>
        <w:br/>
        <w:t xml:space="preserve">b) [omissis] [omissis] [omissis] [omissis] [omissis]  </w:t>
        <w:br/>
        <w:t xml:space="preserve">348. As for the clause regarding the prohibition of discounts, it did not produce effects, despite its evident restrictive potential, solely because it was rendered ineffective by the Parties within the framework of the precautionary sub-procedure, as a result of which DAZN immediately regained the ability to operate discounts.  </w:t>
        <w:br/>
        <w:t xml:space="preserve">349. The exclusivity in favor of TIM and the selective prohibition for DAZN to establish partnerships with its OAO competitors had predominantly potential effects, as the precautionary measures/voluntary measures almost completely sterilized them, considering that they intervened a few weeks after the date of implementation of the agreement, as will be appreciated in the appropriate section.  </w:t>
        <w:br/>
        <w:t xml:space="preserve">350. The exclusivity present in the agreement could have determined a pre-emption effect, to the extent that it allowed only TIM to formulate joint offers of content and connectivity services that could not be replicated by competitors in the market for the same services. In particular, the Hard bundle, provided for in the agreement and consisting of a commercial offer of TIM telephony services combined inseparably with DAZN services, was suitable for providing a competitive advantage capable of altering competition in the connectivity services markets. TIM's competitors in the market for such services, in the presence of the described exclusivity, were indeed not in a position to replicate such an offer.  </w:t>
        <w:br/>
        <w:t xml:space="preserve">351. In particular, the exclusivity provided in the contract effectively precluded competitors from replicating TIM's telecommunications service offer, since under the clauses of the contract referred to in Letter F)198, TIM was the only entity authorized by DAZN to Hard Bundle and/or offer on an a la carte basis the DAZN Service in the Territory to residential customers during the Period. DAZN shall not directly or indirectly authorize any Telco Operator and/or VPD Operator to Hard Bundle and/or offer on an a la carte basis the DAZN Service in the Territory during the Period to residential customers. In respect of distribution to residential customers and without prejudice to any provision of the Non-Rights Service as described below, DAZN shall not distribute (i) the DAZN Service other than via the internet, or (ii) live sports events, which are available on the DAZN Service, on any other channel or service, save that (in both cases) DAZN shall be under no such restrictions in respect of any sub-licensing of any sports content (which for clarity will not apply to the Live Broadcast Rights in respect of the Rights.  </w:t>
        <w:br/>
        <w:t xml:space="preserve">A. (i) DAZN does not extend or renew such agreement (save to the extent (and only to such extent) required in order to achieve (ii) below); and (ii) [omissis] shall not be entitled to offer or promote (whether as part of a bundle and/or on an a la carte basis) the DAZN Service and/or accept any new subscriber of the DAZN Service during the Period, save that subscribers who will have already signed up to the DAZN Service via [omissis] prior to the Launch Date shall continue to have access to the DAZN Service (including via the [omissis] STB until 31 August 2022) for the duration of their subscription, with [omissis] being entitled to provide billing services to DAZN in respect of the same subscribers until and no later than 31 August 2022.”.  </w:t>
        <w:br/>
        <w:t xml:space="preserve">198 “TIM shall be the only Telco Operator (as defined below) and/or VPD Operator (as defined below) in the Territory authorized by DAZN to Hard Bundle and/or offer on an a la carte basis the DAZN Service in the Territory to residential customers during the Period.  </w:t>
        <w:br/>
        <w:t xml:space="preserve">199 “Article 30. sky agreement and term  </w:t>
        <w:br/>
        <w:t xml:space="preserve">30.1. In light of the fact that the SKY Agreement is to be executed simultaneously herewith, this Agreement will enter into force on the date hereof (the Effective Date).  </w:t>
        <w:br/>
        <w:t xml:space="preserve">30.2. From the Effective Date the Agreement shall remain effective and binding between the Parties until 30 June 2024. For avoidance of doubt, TIM will not be entitled to the Reliefs for MTRPSs migrated to Sky or VPD Operators for the period subsequent 30 June 2024”.  </w:t>
        <w:br/>
        <w:t xml:space="preserve">BULLETIN NO. 27 OF 17 JULY 2023 115  </w:t>
        <w:br/>
        <w:t xml:space="preserve">of the shared text, is signed simultaneously (“in respect of the Sky agreement: DAZN will grant TIM a relief (the Sky Relief) in relation to the number of MTRPSs (Migrated TIM Registered and Paying Subscribers) who will be migrated from TIM to Sky […]”).  </w:t>
        <w:br/>
        <w:t xml:space="preserve">f) On the application of Article 101, paragraph 3, TFEU  </w:t>
        <w:br/>
        <w:t xml:space="preserve">355. For the purposes of the assessments referred to in Article 101, paragraph 3, TFEU, the conditions referred to in letters a) and b) of the aforementioned provision are not found, contrary to what the Parties represented in a subordinate manner to the possibility of configuring an exemption pursuant to the VBER Regulations on vertical agreements.  </w:t>
        <w:br/>
        <w:t xml:space="preserve">356. In particular, in addition to noting the considerations made regarding the restrictive nature of the clauses so far discussed, the benefit of the indispensability of the restriction is not found. Contrary to what the Parties claimed, the exclusivity agreement was not indispensable for DAZN to procure the resources for the tender. In fact, a minimum guarantee without exclusivity (as provided for in the contract) could ensure the same (alleged) benefits. In this perspective, the fact that the contract was modified with the elimination of the exclusivity clause and is still in force is evidence that such an agreement can exist even without selective restrictions aimed at excluding certain categories of operators, such as TIM's competing OAOs.  </w:t>
        <w:br/>
        <w:t xml:space="preserve">357. On this point, the argument aimed at considering that the Melandri Decree inherently contains the exclusivity (which moreover concerns a prior phase, namely the awarding of the tender) in the terms articulated in the defenses of the Parties is not shareable. This argument by TIM and DAZN confuses different evaluation planes on which the procedure has not intervened. It concerns only the distribution agreement of 27 January 2021 signed between TIM and DAZN named Deal Memo and in particular only the clauses in the terms indicated above. The exclusive assignment of the TV Rights for the three-year period 2021/2024 in favor of DAZN is not subject to evaluation. In relation to this outcome of the tender, the distribution agreement is placed in a subsequent logical plane as it is an agreement downstream for the distribution of the rights.  </w:t>
        <w:br/>
        <w:t xml:space="preserve">358. Secondly, the considerations made by DAZN regarding the circumstance that the Melandri Decree would allow the rights to be assigned only exclusively are not shareable and are in contrast with the approach of said Decree. This regulation, by making it possible to award the sports rights exclusively for a three-year period (now five-year period200), says nothing about the competitive compatibility of the outcomes of the competitive confrontation, as well as the methods by which the assignee distributes such rights. Therefore, there is no trace in the aforementioned regulatory text of any passage according to which the aforementioned Decree allows to consider exclusivity as the only possible competitive arrangement resulting from the tender called by the LNPA.  </w:t>
        <w:br/>
        <w:t xml:space="preserve">359. These considerations are in line with what was represented by the Authority during the approval of the Guidelines for the three-year period 2021/2024 affected by the agreement between TIM and DAZN, namely in the measure of 21 January 2020, No. 28097 (case SR34-Lega calcio serie A/assignment of audiovisual rights for football championships 2021/2022 - 2022/2023 - 2023/2024).  </w:t>
        <w:br/>
        <w:t xml:space="preserve">30.3. In the event DAZN wishes to bid for, and/or enter into any cooperation or partnership agreement related to, the Rights in relation to the Serie A Championship seasons 2024/25, 2025/26 and 2026/27, the Parties shall negotiate in good faith and with adequate notice and time the prorogation of their partnership.”.  </w:t>
        <w:br/>
        <w:t>200 The Melandri Decree was amended by Law 13 January 2023, No. 6, converting Decree-Law 18 November 2022, No. 176, (containing “Urgent measures for support in the energy sector and public finance”, the so-called “Aid-four”), which, in particular, modified Article 10, paragraph 1, extending the maximum possible duration of license contracts from three to five years.</w:t>
      </w:r>
    </w:p>
    <w:p>
      <w:r>
        <w:rPr>
          <w:b/>
        </w:rPr>
        <w:t>[Pages 115–117]</w:t>
      </w:r>
    </w:p>
    <w:p>
      <w:r>
        <w:t xml:space="preserve">116 BULLETIN NO. 27 OF 17 JULY 2023  </w:t>
        <w:br/>
        <w:t xml:space="preserve">360. In particular, the considerations made in points 106-108 are relevant, where the Authority emphasized that “regarding the criteria identified to preserve a competitive balance, it is noted that these criteria must lead to the preparation of packages that comply with the principles of fairness, transparency, and non-discrimination, with specific reference to the actual balance among them, especially in qualitative terms and attractiveness of the events. In particular, the packages related to exclusive rights should be prepared in a balanced manner to promote competition among operators, allowing them to offer the public the events of greatest interest.”  </w:t>
        <w:br/>
        <w:t xml:space="preserve">361. On this occasion, as also noted in previous interventions201, the Authority deemed preferable “the preparation of packages that stimulate competition in the downstream pay-tv market, allowing more pay-tv operators to broadcast a significant part of Serie A, multiplying the distribution platforms, and enhancing the substitutability – and therefore competition – among pay-tv operators, to the benefit of users in terms of greater choice and lower prices [emphasis added]. This objective is also the basis for the evaluations and measures taken in measure No. 27784 of 20 May 2019, adopted at the conclusion of procedure C12207–Sky Italia/R2, also referenced in the contributions received during the public consultation.”  </w:t>
        <w:br/>
        <w:t xml:space="preserve">362. In preparing the invitations to offer, in the Authority's opinion, this objective could be achieved “by creating the largest number of packages that, due to their content, are capable of stimulating competition among multiple operators, especially new entrants [emphasis added]. In other words, the packages must be designed in such a way as to develop offers to end consumers that are competitive and not complementary. This, in particular, can be achieved through a limitation of exclusives, for example in platform sales, with packages that have a substantial part of shared events. To expand the number of operators, the preferential assignment to non-vertically integrated publishers or the obligation to prepare wholesale channel offers for the assignees is also relevant.”  </w:t>
        <w:br/>
        <w:t xml:space="preserve">363. These considerations have also been reiterated in the assessment of the Guidelines for the commercialization of Serie A rights 2021/2024 (case Guidelines of the National Professional League Serie A for the centralized commercialization of audiovisual rights in the sports seasons 2024/2025 - 2025/2026 - 2026/2027202) and, lastly, in the context of case SR43B-League Calcio Serie A/Audiovisual rights assignment for football championships - 2027/2028 - 2028/2029203, where the Authority deemed that “it seems appropriate for the LNPA to work to promote the provision of offers by multiple operators, through the removal of exclusivity conditions or other contractual mechanisms with similar content or effect [emphasis added], aggravated by multi-year constraints, in order to promote competition among different operators based on price, quality, and innovation of the service,” recalling the experience of other countries regarding the commercialization of rights for major national football competitions.  </w:t>
        <w:br/>
        <w:t xml:space="preserve">364. That said, due to their content, the clauses subject to this evaluation do not pass a test of adequacy and proportionality pursuant to paragraph 3 of Article 101 TFEU with respect to the objective of ensuring the necessary technological support to operate the provision of the contents assigned to DAZN or to provide economic support for the acquisition of audiovisual rights.  </w:t>
        <w:br/>
        <w:t xml:space="preserve">365. Furthermore, the fact that the agreement of 27 January 2021 excluded certain categories of competitors prevents the identification of the condition of non-application of paragraph 1 referred to in paragraph 3 of Article 101 TFEU, letter b). In this perspective, in fact, the exclusivity clauses contained in the Deal Memo offer the interested companies, and in particular Telecom, the possibility of eliminating competition for a substantial part of connectivity services, hindering the growth potential of competitors. In this regard, the existence of a benefit for consumers is to be excluded, as they are prevented from enjoying alternatives in the connectivity offers associated with the contents as well as the possibility of having alternative discount modalities from DAZN.  </w:t>
        <w:br/>
        <w:t xml:space="preserve">VII. CONCLUSIONS  </w:t>
        <w:br/>
        <w:t xml:space="preserve">366. Based on the considerations made in the previous points, the elements in the records indicate the existence of a restrictive agreement on competition established by TIM and DAZN in violation of Article 101, paragraph 1, TFEU. In particular, the information in the records indicates that the clauses of the agreement concluded between TIM and DAZN on 27 January 2021, named Deal Memo, which provide provisions that limit commercially and technologically DAZN's possibilities in relations with TIM's competing TLC operators, are potentially harmful to competition, with effects in the following markets (i) the market for wholesale access services to the fixed broadband and ultra-broadband network; (ii) the market for retail telecommunications services on the fixed broadband and ultra-broadband network; (iii) the retail market for pay television services (payTV market)204.  </w:t>
        <w:br/>
        <w:t xml:space="preserve">VIII. HARM TO INTRA-COMMUNITY TRADE  </w:t>
        <w:br/>
        <w:t xml:space="preserve">367. According to the Commission Communication 2004/C 101/07 – Guidelines on the notion of harm to trade between Member States under Articles 81 and 82 of the EC Treaty, published in OJ C 101/81 of 27 April 2004 [now Articles 101 and 102 TFEU], the concept of harm to trade within the European Union must be interpreted taking into account the direct or indirect, actual or potential influence on trade flows between Member States.  </w:t>
        <w:br/>
        <w:t xml:space="preserve">368. The agreement in question concerned the entire national territory and involved operators of a supranational dimension, also established in other countries within the European Economic Area. Therefore, the behaviors described above are potentially capable of harming trade between Member States of the European Union and constitute violations of Article 101 TFEU.  </w:t>
        <w:br/>
        <w:t xml:space="preserve">IX. SEVERITY AND DURATION OF THE INFRINGEMENT  </w:t>
        <w:br/>
        <w:t xml:space="preserve">369. Pursuant to Article 15, paragraph 1, of Law No. 287/1990, in cases of serious infringements, the Authority applies an administrative pecuniary sanction to the companies involved. According to community jurisprudence, to assess the severity of an infringement, a series of factors must be taken into account, the nature and importance of which vary depending on the type of infringement and its particular circumstances. Jurisprudence has also clarified that the severity of the infringement can be assessed by considering in particular the nature of the restriction of competition, the role and market representation of the companies involved, as well as the duration of the infringement205. These elements are summarized in the “Guidelines on the application of the criteria for quantifying the administrative pecuniary sanctions imposed by the Authority in application of Article 15, paragraph 1, of Law No. 287/1990” (hereinafter, Guidelines), adopted by the Authority on 22 October 2014.  </w:t>
        <w:br/>
        <w:t xml:space="preserve">370. In this case, it is noteworthy that, regarding the nature of the behaviors, the agreement of 27 January 2021 between TIM and DAZN is attributable to a serious agreement. The content of the clauses adopted and subject to this evaluation aims to limit or control production, outlets, technical development, or investments, thus determining a disadvantage in competition for the latter.  </w:t>
        <w:br/>
        <w:t xml:space="preserve">371. On this point, the considerations, already developed more extensively, in the section related to evaluations are relevant. In particular, in addition to diluting the incentives for technical investments with telecommunications operators other than TIM, the agreement only allowed the latter to formulate a commercial offer that combined broadband connectivity with the audiovisual contents of Tim Vision (which included Serie A contents from DAZN), not allowing alternative telecommunications operators to propose a competitive offer of connectivity and premium audiovisual contents. Furthermore, other media operators were effectively barred from the internet platform and other traditional television platforms. In this regard, the agreement effectively prevented the end customers of TIM's competing telecommunications operators from subscribing to TimVision audiovisual services without simultaneously subscribing to TIM's connectivity services.  </w:t>
        <w:br/>
        <w:t xml:space="preserve">372. The particular relevance of the audiovisual contents related to the matches of the Serie A championship for the three-year period 2021/2024 must also be considered, as well as the fact that the agreement was concretely implemented since the Parties formally concluded the agreement, implementing commercial promotions and sales strategies in line with its content.  </w:t>
        <w:br/>
        <w:t xml:space="preserve">373. Regarding the duration, the agreement in question spans a time frame from 1 July 2021, the date on which the commercialization of rights began based on the Deal Memo, until August 2021, the date on which the measures adopted spontaneously by TIM and DAZN within the precautionary sub-procedure were implemented. This is the time frame in which the described phenomenon of sterilization of the restrictive effects on competition arising from the content of the clauses subject to this evaluation is observed.  </w:t>
        <w:br/>
        <w:t xml:space="preserve">X. DETERMINATION OF THE SANCTION  </w:t>
        <w:br/>
        <w:t xml:space="preserve">a) General criteria  </w:t>
        <w:br/>
        <w:t xml:space="preserve">374. Article 15, paragraph 1, of Law No. 287/1990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 For the purpose of identifying the criteria for quantifying the sanction, it is necessary to take into account the provisions of Article 11 of Law No. 689/1981, as recalled by Article 31 of Law No. 287/1990, as well as the interpretative criteria outlined in the Guidelines on the application of the criteria for quantifying the administrative pecuniary sanctions imposed by the Authority in application of Article 15, paragraph 1, of Law No. 287/1990 (“Sanction Guidelines”).  </w:t>
        <w:br/>
        <w:t>375. Regarding the identification of the base and the reference year for calculating the sanctions, it is noted that point 8 of the Authority's Sanction Guidelines provides that “In order for</w:t>
      </w:r>
    </w:p>
    <w:p>
      <w:r>
        <w:rPr>
          <w:b/>
        </w:rPr>
        <w:t>[Pages 118–120]</w:t>
      </w:r>
    </w:p>
    <w:p>
      <w:r>
        <w:t xml:space="preserve">BULLETIN NO. 27 OF 17 JULY 2023 119  </w:t>
        <w:br/>
        <w:t xml:space="preserve">the penalty has an effective deterrent effect, it is at least necessary that it is not less than the benefits that the company expects to derive from the violation. Such benefits, depending on the type of infringement committed, are a function of the total value of the sales affected by the unlawful conduct. For this reason, the Authority believes that the penalties applicable to antitrust violations should be calculated based on the value of the sales of the goods or services that are the subject, directly or indirectly, of the infringement, made by the company in the relevant market(s) during the last full year of participation in the same infringement (hereinafter, sales value).  </w:t>
        <w:br/>
        <w:t xml:space="preserve">376. That said, in this specific case, regarding the identification of the reference year for calculating the basis of the penalty, it is believed that the penalties should be calculated with respect to the period coinciding with the 2021-22 championship season, thus from July 2021 to June 2022, during which the Parties achieved revenues from the commercialization of the rights for viewing the matches of the Serie A football championship for the three-year period 2021/2024 concerning the first season. Moreover, the commercialization of the offers to the end customer began in July 2021 and the subject of these commercial propositions concerned precisely the enjoyment of the audiovisual services of the 2021-22 championship, until June 2022.  </w:t>
        <w:br/>
        <w:t xml:space="preserve">377. The Authority's Guidelines on Penalties provide that “the percentage to be applied to the value of the sales to which the infringement refers will be determined based on the degree of severity of the violation. This percentage shall not exceed 30% of the value of the sales” (point 11).  </w:t>
        <w:br/>
        <w:t xml:space="preserve">378. Referring to what was stated in the previous paragraph regarding the severity of the infringement, it is noted that the agreement in question is serious as it aims to limit or control production, outlets, technical development, or investments, thereby creating a disadvantage in competition for the latter. In this regard, the particular relevance of the audiovisual content related to the matches of the Serie A championship for the three-year period 2021/2024 must be considered, as well as the fact that the agreement has been concretely implemented since the Parties have formally entered into the agreement, carrying out commercial promotions and sales strategies in line with its content.  </w:t>
        <w:br/>
        <w:t xml:space="preserve">379. It is also noted that the conduct in question has been carried out by the main companies operating in the market for the purchase and commercialization of audiovisual rights, in a constantly evolving context characterized by the increasingly widespread adoption of the internet platform as a means of enjoying television services, in this case, pay-tv services, where the particular value of the content, especially sports entertainment, represents a fundamental commercial lever for operators active in telecommunications. They now appear to be focused on associating the offer of internet connectivity services with premium entertainment content in order to make their commercial offer more attractive.  </w:t>
        <w:br/>
        <w:t xml:space="preserve">380. In light of these elements, it is deemed appropriate to set the percentage of the sales value for calculating the infringement at 15% as it is a horizontal agreement in violation of Article 101 TFEU.  </w:t>
        <w:br/>
        <w:t xml:space="preserve">381. According to the Guidelines, the duration of the infringement impacts the detrimental consequences of the infringement and, therefore, is worthy of consideration in determining the appropriate amount of the penalty.  </w:t>
        <w:br/>
        <w:t xml:space="preserve">382. Regarding the duration, the agreement in question falls within a time frame that runs from 1 July 2021, the date on which the commercialization of the rights began based on the Deal Memo, until August 2021, the date on which the measures spontaneously adopted by TIM and DAZN in the context of the precautionary sub-procedure were implemented. As previously mentioned, this is the time frame in which the described phenomenon of sterilization of the restrictive effects on competition arising from the content of the clauses subject to this assessment is observed.  </w:t>
        <w:br/>
        <w:t xml:space="preserve">383. Finally, it is noted that DAZN Limited and DAZN Media Services S.r.l. are part of the same DAZN group. Therefore, pursuant to point 32 of the Guidelines on Penalties, the two companies belonging to a single entity are jointly liable for the imposed penalty.  </w:t>
        <w:br/>
        <w:t xml:space="preserve">b) Mitigating circumstances  </w:t>
        <w:br/>
        <w:t xml:space="preserve">384. Based on point 19 of the Authority's Guidelines on Penalties, the base amount of the penalty, determined as described in the preceding paragraphs, may be increased to take into account specific circumstances that aggravate (aggravating circumstances) or mitigate (mitigating circumstances) the responsibility of the author of the violation, with particular reference to the role played by the company in the infringement, the conduct it maintained during the investigation, as well as the efforts made by the agent to eliminate or mitigate the consequences of the violation and the personality of the same, also in light of what is provided for by Article 11 of Law No. 689/1981.  </w:t>
        <w:br/>
        <w:t xml:space="preserve">385. According to point 23 of the Authority's Guidelines on Penalties, mitigating circumstances include, by way of example, having promptly adopted appropriate initiatives to mitigate the effects of the violation, particularly by restoring the conditions of competition that existed prior to the infringement and/or providing and implementing, spontaneously or in the context of a consensual settlement concluded prior to the decision establishing the infringement, compensatory measures in favor of those harmed by the unlawful act. The mere cessation of unlawful behavior after the initiation of the investigation does not constitute a mitigating circumstance.  </w:t>
        <w:br/>
        <w:t xml:space="preserve">386. That said, it is believed that a mitigating circumstance exists in this specific case both for TIM and for DAZN, represented by the conclusion of the agreement of 4 August 2022, as the contractual modifications have fundamentally eliminated the competitive concerns underlying the existence of the exclusive distribution. It is deemed appropriate to apply a reduction of the penalty of 30% for this circumstance.  </w:t>
        <w:br/>
        <w:t xml:space="preserve">c) Final quantification of the penalty  </w:t>
        <w:br/>
        <w:t xml:space="preserve">387. In light of the criteria and assessments carried out in the previous letters a) to c) of this paragraph, the penalties are determined in the terms summarized in the following tables.  </w:t>
        <w:br/>
        <w:t xml:space="preserve">Table 6 - Summary of the constitutive elements of the penalty.  </w:t>
        <w:br/>
        <w:t xml:space="preserve">Party Specific turnover 2021 % severity Duration Base amount Mitigating  </w:t>
        <w:br/>
        <w:t xml:space="preserve">[50,000,000 – 100,000,000]  </w:t>
        <w:br/>
        <w:t xml:space="preserve">TIM S.p.a. 15% 32 days 1,086,824.04 30%  </w:t>
        <w:br/>
        <w:t xml:space="preserve">DAZN  </w:t>
        <w:br/>
        <w:t xml:space="preserve">Limited/DAZN  </w:t>
        <w:br/>
        <w:t xml:space="preserve">[500,000,000 – 1,000,000,000] 15% 32 days 10,343,215.49 30%  </w:t>
        <w:br/>
        <w:t xml:space="preserve">Media Services  </w:t>
        <w:br/>
        <w:t xml:space="preserve">S.r.l.  </w:t>
        <w:br/>
        <w:t>388. Below is the final penalty.</w:t>
      </w:r>
    </w:p>
    <w:p>
      <w:r>
        <w:t xml:space="preserve">BULLETIN NO. 27 OF 17 JULY 2023 121  </w:t>
        <w:br/>
        <w:t xml:space="preserve">Table 7 - Final penalty imposed on TIM S.p.A. and DAZN Limited and DAZN Media Services S.r.l.  </w:t>
        <w:br/>
        <w:t xml:space="preserve">Parties Sanction imposed  </w:t>
        <w:br/>
        <w:t xml:space="preserve">TIM S.p.a. € 760,776.82  </w:t>
        <w:br/>
        <w:t xml:space="preserve">DAZN Limited/DAZN Media Services S.r.l. € 7,240,250.84  </w:t>
        <w:br/>
        <w:t xml:space="preserve">All of the above being stated and considered:  </w:t>
        <w:br/>
        <w:t xml:space="preserve">IT IS DEEMED that TIM S.p.A. and DAZN Limited and DAZN Media Services S.r.l. have engaged in a restrictive agreement on competition, in violation of Article 101 TFEU, consisting of the adoption of certain clauses of the agreement entered into between TIM and DAZN on 27 January 2021, named Deal Memo;  </w:t>
        <w:br/>
        <w:t xml:space="preserve">RESOLVES  </w:t>
        <w:br/>
        <w:t xml:space="preserve">a) that the conduct engaged in by TIM S.p.A. and DAZN Limited and DAZN Media Services S.r.l., consisting of the adoption of certain clauses of the agreement entered into between TIM and DAZN on 27 January 2021, named Deal Memo, constitutes, in the terms described in the motivation, a restrictive agreement on competition in violation of Article 101 TFEU;  </w:t>
        <w:br/>
        <w:t xml:space="preserve">b) that TIM S.p.A. and DAZN Limited and DAZN Media Services S.r.l. shall refrain in the future from engaging in conduct similar to that which is the subject of the infringement established in the previous point;  </w:t>
        <w:br/>
        <w:t xml:space="preserve">c) that, based on what is indicated in the motivation, administrative monetary penalties shall be applied to:  </w:t>
        <w:br/>
        <w:t xml:space="preserve">Parties Sanction imposed  </w:t>
        <w:br/>
        <w:t xml:space="preserve">TIM S.p.a. € 760,776.82  </w:t>
        <w:br/>
        <w:t xml:space="preserve">DAZN Limited/DAZN Media Services S.r.l. € 7,240,250.84  </w:t>
        <w:br/>
        <w:t xml:space="preserve">The administrative penalties referred to in the previous letter c) must be paid within ninety days from the notification of this measure, using the tax codes indicated in the attached model F24 with identifying elements, pursuant to Legislative Decree No. 241/1997.  </w:t>
        <w:br/>
        <w:t xml:space="preserve">Payment must be made electronically, with a debit from one's bank or postal account, through the home banking and CBI services provided by banks or by Poste Italiane S.p.A., or by using the electronic services of the Revenue Agency, available on the website www.agenziaentrate.gov.it.  </w:t>
        <w:br/>
        <w:t xml:space="preserve">Pursuant to Article 37, paragraph 49, of Decree-Law No. 223/2006, VAT-registered persons are required to submit the F24 model electronically.  </w:t>
        <w:br/>
        <w:t>After the aforementioned deadline, for a delay period of less than six months, late payment interest must be paid at the legal rate starting from the day following the expiration of the payment deadline until the date of payment. In case of further delay in compliance, pursuant to Article 27, paragraph 6, of Law No. 689/1981, the amount due for the imposed penalty is increased by one-tenth for each semester starting from the day following</w:t>
      </w:r>
    </w:p>
    <w:p>
      <w:r>
        <w:rPr>
          <w:b/>
        </w:rPr>
        <w:t>[Pages 121–123]</w:t>
      </w:r>
    </w:p>
    <w:p>
      <w:r>
        <w:t xml:space="preserve">122 BULLETIN NO. 27 OF 17 JULY 2023  </w:t>
        <w:br/>
        <w:t xml:space="preserve">upon the expiration of the payment deadline and until the date on which the role is transmitted to the concessionaire for collection; in this case, the increase absorbs the late payment interest accrued during the same period.  </w:t>
        <w:br/>
        <w:t xml:space="preserve">Notification of the payments made must be immediately communicated to the Authority, by sending a copy of the form certifying the payment made.  </w:t>
        <w:br/>
        <w:t xml:space="preserve">Pursuant to Article 26 of the same law, companies in economically disadvantaged conditions may request the installment payment of the penalty.  </w:t>
        <w:br/>
        <w:t xml:space="preserve">This measure will be notified to the interested parties and published in the Bulletin of the Competition and Market Authority.  </w:t>
        <w:br/>
        <w:t xml:space="preserve">Against this measure, an appeal may be filed with the TAR of Lazio, pursuant to Article 135, paragraph 1, letter b), of the Code of Administrative Procedure (Legislative Decree No. 104 of 2 July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 1199 of 24 November 1971, within the term of one hundred and twenty days from the date of notification of the measure itself.  </w:t>
        <w:br/>
        <w:t xml:space="preserve">THE SECRETARY GENERAL THE PRESIDENT  </w:t>
        <w:br/>
        <w:t>Guido Stazi Roberto Rustichelli</w:t>
      </w:r>
    </w:p>
    <w:p>
      <w:r>
        <w:t xml:space="preserve">BULLETIN NO. 27 OF 17 JULY 2023 123  </w:t>
        <w:br/>
        <w:t xml:space="preserve">I858 - MUNICIPALITY OF LIVIGNO/FUEL PRICES FOR ROAD TRANSPORT  </w:t>
        <w:br/>
        <w:t xml:space="preserve">Measure No. 30675*  </w:t>
        <w:br/>
        <w:t xml:space="preserve">THE COMPETITION AND MARKET AUTHORITY  </w:t>
        <w:br/>
        <w:t xml:space="preserve">IN ITS MEETING of 19 June 2023;  </w:t>
        <w:br/>
        <w:t xml:space="preserve">HEARD the Rapporteur, President Roberto Rustichelli;  </w:t>
        <w:br/>
        <w:t xml:space="preserve">HAVING REGARD to Law No. 287 of 10 October 1990, and subsequent amendments;  </w:t>
        <w:br/>
        <w:t xml:space="preserve">HAVING REGARD to Presidential Decree No. 217 of 30 April 1998;  </w:t>
        <w:br/>
        <w:t xml:space="preserve">HAVING REGARD to its own resolution of 29 March 2022, which initiated an investigation, pursuant to Article 14, of Law No. 287/90, against the companies Cus.Car. S.r.l., Tre.Car. S.r.l., Ges.Car. S.r.l., Cu.Ba. S.r.l., Fibo S.r.l., C-Energia S.r.l., Market S-Anton di Compagnoni Virgilio &amp; C. SAS, G.M.F. S.r.l., Bondi Carburanti di Bormolini Luigi S.r.l., Silroc S.r.l., Global Service S.r.l. or more briefly Global S.r.l., to ascertain the existence of possible violations of Article 2 of Law No. 287/1990;  </w:t>
        <w:br/>
        <w:t xml:space="preserve">HAVING REGARD to the Communication of Investigative Results, sent to the Parties on 24 January 2023, pursuant to Article 14 of Presidential Decree No. 217 of 30 April 1998;  </w:t>
        <w:br/>
        <w:t xml:space="preserve">HAVING REGARD to the documentation in the records;  </w:t>
        <w:br/>
        <w:t xml:space="preserve">CONSIDERING the following:  </w:t>
        <w:br/>
        <w:t xml:space="preserve">I. THE PARTIES  </w:t>
        <w:br/>
        <w:t xml:space="preserve">1. Cus.Car. S.r.l. (“Cuscar”) is a company controlled by individuals active in the distribution of fuels for road transport in the territory of Livigno, through a distributor using the Q8 brand.  </w:t>
        <w:br/>
        <w:t xml:space="preserve">The total turnover achieved by Cuscar in 2021 is €2,458,911.  </w:t>
        <w:br/>
        <w:t xml:space="preserve">2. Tre.Car. S.r.l. (“Trecar”) is a company controlled by individuals active in the distribution of fuels for road transport in the territory of Livigno, through a distributor using the Q8 brand.  </w:t>
        <w:br/>
        <w:t xml:space="preserve">The total turnover achieved by Trecar in 2021 is €12,944.74.  </w:t>
        <w:br/>
        <w:t xml:space="preserve">3. Ges.Car. SAS di Cusini Bernardo &amp; C. (“Gescar”) is a company controlled by individuals active in the distribution of fuels for road transport in the territory of Livigno, through a distributor using the Eni-Agip brand.  </w:t>
        <w:br/>
        <w:t xml:space="preserve">The total turnover achieved by Gescar in 2021 is €1,740,926.  </w:t>
        <w:br/>
        <w:t xml:space="preserve">4. Cu.Ba. S.r.l. (“Cuba”) is a company controlled by individuals active in the retail sale of foodstuffs and in the distribution of fuels for road transport in the territory of Livigno, through a distributor using the Eni-Agip brand.  </w:t>
        <w:br/>
        <w:t xml:space="preserve">The total turnover achieved by Cuba in 2021 is €4,314,444.  </w:t>
        <w:br/>
        <w:t>* This version of the measure includes the correction following resolution No. 30704 of 11 July 2023, published in this same Bulletin.</w:t>
      </w:r>
    </w:p>
    <w:p>
      <w:r>
        <w:t xml:space="preserve">124 BULLETIN NO. 27 OF 17 JULY 2023  </w:t>
        <w:br/>
        <w:t xml:space="preserve">5. Fibo S.r.l. (“Fibo”) is a company controlled by individuals active in the wholesale trade of petroleum products and, until the end of 2021, in the retail distribution of fuels for road transport in the territory of Livigno, through a distributor.  </w:t>
        <w:br/>
        <w:t xml:space="preserve">The total turnover achieved by Fibo in 2021 is €5,391,675.  </w:t>
        <w:br/>
        <w:t xml:space="preserve">6. The five companies mentioned, Cuscar, Trecar, Gescar, Cuba, and Fibo, [omitted]*. In light of the further information collected during the investigation (see infra) – for which, for example, they are subject to unified commercial policies – these companies can be framed, for the purposes of the conduct under investigation, as a single center of interest, akin to a group of companies (hereinafter also referred to as the “Cusini group”).  </w:t>
        <w:br/>
        <w:t xml:space="preserve">The total turnover achieved worldwide by the Cusini Fibo group in 2021 is €26,875,042.  </w:t>
        <w:br/>
        <w:t xml:space="preserve">7. Bondi Carburanti di Bormolini Luigi S.r.l. (“Bondi”) is a company controlled by individuals active in the distribution of fuels for road transport in the territory of Livigno, through two distributors using the IP brand (one of which was previously TotalErg).  </w:t>
        <w:br/>
        <w:t xml:space="preserve">The total turnover achieved by Bondi in 2021 is €2,333,532.  </w:t>
        <w:br/>
        <w:t xml:space="preserve">8. Silroc S.r.l. (“Silroc”) is a company controlled by individuals active in the retail sale of various types of products and in the distribution of fuels for road transport in the territory of Livigno, through a distributor using the Q8 brand.  </w:t>
        <w:br/>
        <w:t xml:space="preserve">The total turnover achieved by Silroc in 2021 is €67,104.81.  </w:t>
        <w:br/>
        <w:t xml:space="preserve">9. Global Service S.r.l. or more briefly Global S.r.l. (“Global Service”) is a company controlled by Sigigroup S.r.l. active in the distribution of fuels for road transport in the territory of Livigno, through a distributor using the Q8 brand.  </w:t>
        <w:br/>
        <w:t xml:space="preserve">The total turnover achieved worldwide by Global Service in 2021 is €6,952,814.  </w:t>
        <w:br/>
        <w:t xml:space="preserve">10. C-Energia S.r.l. (“C-Energia”) is a company controlled by individuals active in the distribution of fuels for road transport in the territory of Livigno, through a distributor using the Eni-Agip brand.  </w:t>
        <w:br/>
        <w:t xml:space="preserve">11. Market S-Anton di Compagnoni Virgilio &amp; C. SAS (“Market S.Anton”) is a company controlled by individuals active in the retail trade of various types of products and in the distribution of fuels for road transport in the territory of Livigno, through a distributor using the IP brand.  </w:t>
        <w:br/>
        <w:t xml:space="preserve">12. G.M.F. S.r.l. (“GMF”) is a company controlled by individuals active in the distribution of fuels for road transport in the territory of Livigno, through a distributor using the IP brand (formerly TotalErg).  </w:t>
        <w:br/>
        <w:t>* In this version, some data are omitted, as elements of confidentiality or secrecy of the information were deemed to exist.</w:t>
      </w:r>
    </w:p>
    <w:p>
      <w:r>
        <w:rPr>
          <w:b/>
        </w:rPr>
        <w:t>[Pages 124–126]</w:t>
      </w:r>
    </w:p>
    <w:p>
      <w:r>
        <w:t xml:space="preserve">BULLETIN NO. 27 OF 17 JULY 2023 125  </w:t>
        <w:br/>
        <w:t xml:space="preserve">II. THE INSTRUCTIONAL PROCEDURE  </w:t>
        <w:br/>
        <w:t xml:space="preserve">13. On 10 December 2021, a report was received (subsequently supplemented on 17 December) from the Special Antitrust Unit of the Guardia di Finanza (hereinafter also "NSA") regarding a possible restrictive agreement in the sector of fuel distribution for motor vehicles in Northern Italy and, in particular, in the area of the Municipality of Livigno (SO). The NSA's report originated from a report received by it from the Tenenza of the Guardia di Finanza of Bormio (hereinafter also "GDFB"), transmitted by the NSA as an attachment along with further information independently obtained by the NSA. The report concerned the possible existence of an agreement among twelve operators, owners of the twelve sales points (thirteen, until the recent closure of one of them) in the Livigno area, supported by evidence, both factual (in terms of persistent price homogeneity) and documentary (emails regarding the indication of fuel prices to be applied weekly)1, of an explicit price coordination and, at the same time, an absolute and persistent parity of pump prices practiced.  </w:t>
        <w:br/>
        <w:t xml:space="preserve">14. The local market considered corresponds to a duty-free zone under a tax relief regime on all goods subject to excise duty. In fact, the Municipality of Livigno enjoys, pursuant to Law No. 516 of 17 July 1910, the status of a duty-free zone. Therefore, with specific reference to the price of fuels (which, of course, are not the only products benefiting from tax advantages), it is devoid of the tax component (which, as is known, historically constitutes a large part of the final price of fuels), represented by excise duties and value-added tax (VAT). Both excise duties (fixed consumption taxes) and VAT do not apply in the Livigno area: the only cost component that adds to the so-called industrial cost of fuel is represented by a item called "special rights," amounting to €0.25 per liter of gasoline and €0.155 per liter of diesel for motor vehicles2.  </w:t>
        <w:br/>
        <w:t xml:space="preserve">15. In more detail, the GDFB officers, since 2021, during administrative police actions, had noticed the identical prices of gasoline and diesel for all the involved distributors, even though they belonged to different companies and were, in many cases, affiliated with different oil companies. The officers then confirmed this phenomenon by conducting sample checks at different times through the "Fuel Price Observatory" portal of the then Ministry of Economic Development ("MISE," now renamed the Ministry of Enterprises and Made in Italy or "MIMIT") and consulting the local website www.valtellinamobile.it which, on the page "Livigno gasoline diesel GPL price," indicated unique values for the prices of gasoline and diesel (as well as liquefied petroleum gas, "GPL").  </w:t>
        <w:br/>
        <w:t xml:space="preserve">16. At the same time, the GDFB provided the Offices with a description – with relevant examples – of substantial documentation regarding contacts between distributors in the Livigno area, obtained in the context of a criminal proceeding. This documentation, acquired from two different companies linked to some of the fuel distributors in Livigno, consisted, as mentioned, of numerous emails containing evidence of systematic exchanges of information regarding future fuel prices.  </w:t>
        <w:br/>
        <w:t xml:space="preserve">17. On 2 February 2022, the Authority requested the NSA to provide the historical series of prices practiced by the reported distributors using data extractable from the MISE fuel price database to which the NSA itself has access. This request, responded to by the NSA on 14 February 2022, allowed for the reconstruction of the price trends of the reported distributors starting from 2014 and up to the end of January 2022. This in-depth analysis enabled the Authority to identify a perfect parallelism of the prices practiced by the Livigno distributors over a much longer period than that initially provided by the NSA's report.  </w:t>
        <w:br/>
        <w:t xml:space="preserve">18. Based on the reports received and subsequent investigations, the Authority, in its meeting on 29 March 2022, therefore initiated an instructional procedure, pursuant to Article 14 of Law No. 287/1990, against Cus.Car. S.r.l., Tre.Car. S.r.l., Ges.Car. S.r.l., Cu.Ba. S.r.l., Fibo S.r.l., C-Energia S.r.l., Market S-Anton di Compagnoni Virgilio &amp; C. SAS, G.M.F. S.r.l., Bondi Carburanti di Bormolini Luigi S.r.l., Silroc S.r.l., Global Service S.r.l. or more briefly Global S.r.l. (jointly also, the "Parties"), in order to verify whether the reported conduct constituted a restrictive agreement on competition, in violation of Article 2 of Law No. 287/1990, under the guise of explicit coordination regarding the determination of future prices practiced by the companies.  </w:t>
        <w:br/>
        <w:t xml:space="preserve">19. On 5 April 2022, inspections were carried out at the premises of the companies CEDA S.a.s. di Cusini Bernardo &amp; C. (a company providing administrative services to Cuscar, Trecar, Gescar, Cuba, and Fibo) and Global Service, in order to acquire documentation useful for the investigation.  </w:t>
        <w:br/>
        <w:t xml:space="preserve">20. During the procedure, the Parties requested and obtained the right to access the documentation of the file3.  </w:t>
        <w:br/>
        <w:t xml:space="preserve">21. During the procedure, the Parties expressed interest in obtaining an extension of the deadline for submitting commitments aimed at removing the anticompetitive profiles of the alleged infringement, pursuant to Article 14-ter of Law No. 287 of 10 October 1990. This request, also considering the nature of the contested case, consisting of the explicit setting of prices among competing companies, was rejected by the Authority on 21 June 2022.  </w:t>
        <w:br/>
        <w:t xml:space="preserve">22. The Parties did not express interest in being heard in a final hearing, although in some cases they reserved the right to make such a request during the procedure or had previously requested an extension of the deadline to formulate a possible request in this regard4.  </w:t>
        <w:br/>
        <w:t xml:space="preserve">23. During the procedure, information was also requested from a local labor consultancy firm and from the company Fibo. These requests were responded to, respectively, on 5 October 2022 and 5 December 20225.  </w:t>
        <w:br/>
        <w:t xml:space="preserve">24. On 16 and 23 January 2023, defensive memoranda were received, respectively, from the companies GMF and Bondi Carburanti.  </w:t>
        <w:br/>
        <w:t xml:space="preserve">25. On 24 January 2023, the Communication of the Instructional Findings (submitted to the Authority's attention on 17 January, hereinafter also "CRI") was sent to the Parties, in which a restrictive agreement on competition, pursuant to Article 2 of Law No. 287/1990, was contested against the companies Cuscar, Trecar, Gescar, Cuba, Fibo, Bondi, Global Service, and Silroc.  </w:t>
        <w:br/>
        <w:t xml:space="preserve">26. On 2 February 2023, the company Silroc requested an extension of the deadline for submitting memoranda, pursuant to Article 14, paragraph 4, of Presidential Decree No. 217 of 1998. The Authority then granted an extension of the aforementioned deadline with a specific communication sent to the Parties on 20 February 2023.  </w:t>
        <w:br/>
        <w:t xml:space="preserve">3 See docs. 81, 82, 83, 90, 91, 97, 117, 120, 151, 152, 153, 154, 156, 167, 207, 208.  </w:t>
        <w:br/>
        <w:t xml:space="preserve">4 See, for example, docs. 40 and 42.  </w:t>
        <w:br/>
        <w:t>5 See docs. 103 and 107.</w:t>
      </w:r>
    </w:p>
    <w:p>
      <w:r>
        <w:t xml:space="preserve">BULLETIN NO. 27 OF 17 JULY 2023 127  </w:t>
        <w:br/>
        <w:t xml:space="preserve">27. On 22 March 2023, the company Bondi Carburanti submitted a final defensive memorandum. Similarly, the companies Cuscar, Trecar, Gescar, Cuba, Fibo, Global Service, and Silroc submitted a concluding memorandum on 23 March 2023.  </w:t>
        <w:br/>
        <w:t xml:space="preserve">28. None of the Parties requested to be heard in a final hearing before the Board.  </w:t>
        <w:br/>
        <w:t xml:space="preserve">III. THE INSTRUCTIONAL FINDINGS  </w:t>
        <w:br/>
        <w:t xml:space="preserve">III.1 The sector of fuel distribution for motor vehicles in the territory of Livigno  </w:t>
        <w:br/>
        <w:t xml:space="preserve">III.1.1 The distribution of fuel for motor vehicles in Livigno  </w:t>
        <w:br/>
        <w:t xml:space="preserve">29. The retail distribution of fuel for motor vehicles on ordinary road networks (distinguished in the Authority's practice from that of fuel distribution for motor vehicles on motorway networks) does not present, in the constant practice of the Authority, an internal segmentation based on the type of fuels offered. This approach is also motivated by the fact that almost all distributors offer all the main fuels for motor vehicles. This is all the more confirmed in the specific case concerning the territory of Livigno, as the reported conduct relates to the two most common products, namely gasoline and diesel (see infra).  </w:t>
        <w:br/>
        <w:t xml:space="preserve">30. Only one of the distributors in the area is also active in the sale of LPG for motor vehicles, and none in the sale of methane. As for the prices of so-called "special products," i.e., specific types of fuels produced by certain oil companies, the GDFB, in its sample checks, found their identity among the different Livigno distributors affiliated with the same brand6.  </w:t>
        <w:br/>
        <w:t xml:space="preserve">31. The sales points subject to the GDFB's report are all relatively close to each other, as the distances between them are in any case less than 15 km and, indeed, they are largely concentrated near the small town of Livigno. The distributors located in the nearby Municipality of Bormio, which represent, according to the GDFB, the only other two plants located in the area, are about 37 km from Livigno with an estimated travel time of about 55 minutes.  </w:t>
        <w:br/>
        <w:t xml:space="preserve">32. As already illustrated (see supra, paragraph 14), the fuel distribution service carried out in the territory of Livigno enjoys a particular tax regime that makes it, ceteris paribus, much more competitive compared to the distribution activities of the same products in other territories, even neighboring ones, that do not enjoy such tax advantages7.  </w:t>
        <w:br/>
        <w:t xml:space="preserve">33. Due to this tax regime, the GDFB hypothesized that the much lower net prices that can be obtained at the fuel distributors in Livigno due to the reduced taxation may attract other residents of the area, particularly those from the Alta Valtellina district (municipalities of Valdidentro, Bormio, Valfurva, and Valdisotto), as well as the numerous tourists who frequent the area (and who could in turn be attracted by the favorable customs regime of the territory, which could thus benefit, in addition to the typical tourist attractiveness of the mountainous environment, from the phenomenon of so-called "commercial tourism"). Such hypotheses would be  </w:t>
        <w:br/>
        <w:t xml:space="preserve">6 More specifically, in its sample checks, the GDFB had also noted the equality of prices of special products ("Hi – Q Perform+" and "Hi – Q Diesel" for Q8-branded distributors and "Blue Super" and "Blue Diesel" for Eni-branded distributors) among the different Livigno distributors affiliated with the same brand, even if belonging to different companies.  </w:t>
        <w:br/>
        <w:t>7 For example, a price difference of 60 cents per liter would result, for a full tank of 50 liters (like that of a normal segment B car), in a savings of about 30 euros, which could well justify consumers' decisions to refuel at the Livigno distributors, even if located at a certain distance from their residence, or to plan their refueling during moments of passing near such distributors.</w:t>
      </w:r>
    </w:p>
    <w:p>
      <w:r>
        <w:rPr>
          <w:b/>
        </w:rPr>
        <w:t>[Pages 127–129]</w:t>
      </w:r>
    </w:p>
    <w:p>
      <w:r>
        <w:t xml:space="preserve">128 BULLETIN NO. 27 OF 17 JULY 2023  </w:t>
        <w:br/>
        <w:t xml:space="preserve">consistent with the fact that in a municipality of about 6,900 inhabitants like Livigno, there are currently twelve fuel distributors operating (which until recently amounted to thirteen, see below), while, for example, in the nearby town of Bormio, which has a population of about 4,000 inhabitants, there are only two distributors that, not enjoying tax privileges, tend to set prices comparable to those of the rest of the country (and which, as mentioned, are the only other two facilities in the entire area).  </w:t>
        <w:br/>
        <w:t xml:space="preserve">III.1.2. The active operators  </w:t>
        <w:br/>
        <w:t xml:space="preserve">34. As mentioned, the report from the GDFB concerns thirteen sales points, owned by twelve different companies bearing the colors of four different oil company brands (Eni-Agip, Q8, Total Erg, and IP; see Table 1), which have recently been reduced to three brands, following the conversion of some Total Erg sales points into IP affiliated sales points8. One of the companies, Bondi Carburanti di Bormolini Luigi S.r.l., manages two distinct distributors.  </w:t>
        <w:br/>
        <w:t xml:space="preserve">Table 1 - List of distributors reported by the GDFB  </w:t>
        <w:br/>
        <w:t xml:space="preserve">Company Fuel brand  </w:t>
        <w:br/>
        <w:t xml:space="preserve">Total Erg/IP  </w:t>
        <w:br/>
        <w:t xml:space="preserve">BONDI CARBURANTI DI BORMOLINI LUIGI S.R.L. (2 distributors)  </w:t>
        <w:br/>
        <w:t xml:space="preserve">IP  </w:t>
        <w:br/>
        <w:t xml:space="preserve">CUS.CAR. S.R.L. Q8  </w:t>
        <w:br/>
        <w:t xml:space="preserve">GES.CAR. S.A.S. DI CUSINI BERNARDO &amp; C. Eni - Agip  </w:t>
        <w:br/>
        <w:t xml:space="preserve">CU.BA. S.R.L. Eni - Agip  </w:t>
        <w:br/>
        <w:t xml:space="preserve">TRE.CAR. S.R.L. Q8  </w:t>
        <w:br/>
        <w:t xml:space="preserve">G.M.F. DI BORMOLINI BARBARA E RODIGARIORESTE S.N.C. Total Erg/IP  </w:t>
        <w:br/>
        <w:t xml:space="preserve">MARKET S.ANTON DI COMPAGNONI VIRGILIO &amp; C. S.A.S. IP  </w:t>
        <w:br/>
        <w:t xml:space="preserve">C-ENERGIA S.R.L. Eni - Agip  </w:t>
        <w:br/>
        <w:t xml:space="preserve">GLOBAL SERVICE S.R.L. Q8  </w:t>
        <w:br/>
        <w:t xml:space="preserve">SILROC S.R.L. Q8  </w:t>
        <w:br/>
        <w:t xml:space="preserve">LIVIGNO-PARROCCHIA S.ANNA Eni - Agip  </w:t>
        <w:br/>
        <w:t xml:space="preserve">FIBO S.R.L. (no longer active) N.D.  </w:t>
        <w:br/>
        <w:t xml:space="preserve">35. It is also noted that four of these companies (Trecar, Cuscar, Gescar, and Cuba) are owned by the same individuals [omitted]. There is also a fifth company, Fibo, which is owned [omitted] by the same individuals who own the four aforementioned companies. Furthermore, as already mentioned by the GDFB – and subsequently confirmed during the investigations – these companies utilize the same administrative structure, contained within the company CEDA S.a.s. di Cusini Bernardo &amp; C. (“CEDA”), which is also owned by the same individuals to whom Trecar, Cuscar, Gescar, Cuba, and Fibo belong9. The receipt of price communications, which will be discussed in more detail later, is therefore carried out in a centralized and shared manner for all five companies Trecar, Cuscar, Gescar, Cuba, and Fibo, by some employees of the service company CEDA. In this regard, it is noted that the email addresses of these company representatives are designated using the extension “@gruppocusini.it”, further confirming the unified management of the five mentioned companies and the fact that these companies perceive and act as a single group10. In conclusion, the ownership structure and the other characteristics illustrated lead to the conclusion that the five companies Trecar, Cuscar, Gescar, Cuba, and Fibo can be traced back to a single center of interests and have a centralized commercial policy such that, for the purposes of evaluating the conduct subject to this proceeding, they should be considered jointly (“Cusini group”).  </w:t>
        <w:br/>
        <w:t xml:space="preserve">36. As for the relationships between the distributors in Livigno and the oil companies, based on the documentation acquired, they consist of supply contracts similar to those normally used by companies to affiliate (“color”) the distributors, providing for the use of the company’s brand in exchange for the affiliated distributor’s compliance with minimum supply percentages in favor of the company itself. The oil company has no authority to define the level of the retail sale price.  </w:t>
        <w:br/>
        <w:t xml:space="preserve">37. As mentioned, Fibo S.r.l., in addition to having been the owner of a distribution facility (currently closed), is active in the wholesale market, particularly purchasing products from fuel suppliers (such as oil companies) and reselling them to retail-active companies, including other companies in the Cusini group. Furthermore, during the inspection, [omitted] were found.  </w:t>
        <w:br/>
        <w:t xml:space="preserve">[Omitted].  </w:t>
        <w:br/>
        <w:t xml:space="preserve">38. Finally, one of the distributors in Livigno, located in the Trepalle fraction, appears to be attributable to the Parish of S. Anna of that fraction.  </w:t>
        <w:br/>
        <w:t xml:space="preserve">III.2 The conduct of the Parties  </w:t>
        <w:br/>
        <w:t xml:space="preserve">III.2.1 The emails communicating future prices  </w:t>
        <w:br/>
        <w:t xml:space="preserve">39. The information transmitted by the GDFB includes a substantial amount of documentation obtained in the context of the criminal proceeding (R.G.N.R. 1692/2019) initiated at the Public Prosecutor's Office of Sondrio. In the investigation file of this proceeding, numerous pieces of evidence of systematic email exchanges between the former head of the tax office of the Municipality of Livigno (who is currently a retiree and is not an employee or owner of any of the companies involved) and the fuel distribution companies in the area were found, within a time frame ranging from 2012 to 2019 (the date on which this documentation was acquired), in which the former municipal employee indicated to the recipients, on a weekly basis, the prices to be applied to the sale of fuels in the area.  </w:t>
        <w:br/>
        <w:t xml:space="preserve">9 As mentioned, CEDA was the recipient, in addition to the GDF's investigations in the context of the different proceeding in which it obtained the documentation, of an inspection by the Authority. This investigation confirmed that CEDA performs administrative services on behalf of the companies owned by the aforementioned individuals. See docs. 6 and 15.  </w:t>
        <w:br/>
        <w:t xml:space="preserve">10 However, the same CEDA, being merely a provider of administrative services and not engaged in the sale of fuels, is not considered to be included among the Parties in this proceeding.  </w:t>
        <w:br/>
        <w:t xml:space="preserve">11 [Omitted].  </w:t>
        <w:br/>
        <w:t xml:space="preserve">130 BULLETIN NO. 27 OF 17 JULY 2023  </w:t>
        <w:br/>
        <w:t xml:space="preserve">40. The recipients of the price communications appear to be many of the managers of the thirteen sales points in Livigno, belonging to twelve different companies (some of which are partially owned by the same individuals, see above, paragraph 34) and bearing the colors of different oil company brands (Eni-Agip, Q8, IP).  </w:t>
        <w:br/>
        <w:t xml:space="preserve">41. Following the initiation of the proceeding, the GDFB sent the Authority the files acquired during the checks carried out in the original proceeding, containing all the documentation subject to reporting.  </w:t>
        <w:br/>
        <w:t xml:space="preserve">42. Furthermore, additional evidence of similar email exchanges was acquired by the Authority's officials during the inspection investigations conducted at the beginning of this proceeding, which demonstrated that the same communications continued to take place, at least until the date of the inspections themselves. In this regard, it is noted that the officials were able to acquire one of the emails containing the weekly prices precisely during the inspection, dated 5 April 2022.  </w:t>
        <w:br/>
        <w:t xml:space="preserve">43. In light of all the documentation on file, it can therefore be stated that price communications took place regularly from 12 October 2012 and, at least, until 5 April 202212. These documents particularly attest how the sender, using a personal address (gmail), made regular communications of fuel prices by sending a weekly email to a group of addresses, attributable in most cases to representatives of the fuel distribution companies (some of these addresses, moreover, directly bear the name of the company). As evidenced by the numerous emails found at some of the companies, the mailing list was fully visible to the recipients.  </w:t>
        <w:br/>
        <w:t xml:space="preserve">44. This email, characterized by a standard structure, has as its subject “fuel prices from [effective date]” and contains a very brief text, in which the sender announces to the recipients any changes in the prices to be applied in the Livigno area during the period of interest (or, conversely, the invariance of the same prices during the period of interest), generally effective from the day following the date of sending the email. This text is then followed by a summary table (see Figure 3), in which the “updated” prices, the “previous” prices (referring to the previous week), and the variation deducible from the comparison between these two values are indicated for each product (gasoline and diesel) (see Figure 3)13.  </w:t>
        <w:br/>
        <w:t xml:space="preserve">12 The numerous emails containing price communications during the period of interest are included in docs. 2.1, 11, 16, 38, and 46.  </w:t>
        <w:br/>
        <w:t>13 See doc. 2.1, sub annex 7.</w:t>
      </w:r>
    </w:p>
    <w:p>
      <w:r>
        <w:rPr>
          <w:b/>
        </w:rPr>
        <w:t>[Pages 130–132]</w:t>
      </w:r>
    </w:p>
    <w:p>
      <w:r>
        <w:t xml:space="preserve">BULLETIN NO. 27 OF 17 JULY 2023 131  </w:t>
        <w:br/>
        <w:t xml:space="preserve">Figure 3 – Exemplary email of price communications to companies  </w:t>
        <w:br/>
        <w:t xml:space="preserve">45. The address list of the subjects receiving the communications remained largely unchanged during the relevant time frame. In particular, it includes, for the entire period, addresses associated with corporate representatives of the Cusini group (and thus the companies Cuscar, Trecar, Gescar, Cuba, and Fibo, see above), Bondi, Global Service, and Silroc, as detailed in the table that follows (see Table 2). However, there are no addresses attributable to the companies C-Energia, Market S.Anton, and GMF. There are also other addresses, traceable to individuals or professionals14.  </w:t>
        <w:br/>
        <w:t>14 In particular, the address of a labor consultancy firm can be found, and, starting from December 2020, a second address that appears to be attributable to a different professional firm. However, they do not seem to be uniquely traceable to corporate representatives of the companies. Furthermore, the email was sent to two addresses that – following the indication of the GDFB – appear to be associated with individuals from the area linked to companies active in other markets.</w:t>
      </w:r>
    </w:p>
    <w:p>
      <w:r>
        <w:t xml:space="preserve">132 BULLETIN NO. 27 OF 17 JULY 2023  </w:t>
        <w:br/>
        <w:t xml:space="preserve">Table 2 – Identification of email addresses of corporate representatives receiving price communications  </w:t>
        <w:br/>
        <w:t xml:space="preserve">Email Address Company  </w:t>
        <w:br/>
        <w:t xml:space="preserve">Cusini Group (Cuscar,  </w:t>
        <w:br/>
        <w:t xml:space="preserve">[omissis]@gruppocusini.it  </w:t>
        <w:br/>
        <w:t xml:space="preserve">Trecar, Gescar, Cuba, Fibo)  </w:t>
        <w:br/>
        <w:t xml:space="preserve">Cusini Group (Cuscar,  </w:t>
        <w:br/>
        <w:t xml:space="preserve">[omissis]@gruppocusini.it  </w:t>
        <w:br/>
        <w:t xml:space="preserve">Trecar, Gescar, Cuba, Fibo)  </w:t>
        <w:br/>
        <w:t xml:space="preserve">bondicarburanti@borfin.it Bondi  </w:t>
        <w:br/>
        <w:t xml:space="preserve">[omissis] Global Service  </w:t>
        <w:br/>
        <w:t xml:space="preserve">Global Livigno [omissis] (corresponding to info@globallivigno.com) Global Service  </w:t>
        <w:br/>
        <w:t xml:space="preserve">[omissis] Global Service  </w:t>
        <w:br/>
        <w:t xml:space="preserve">[omissis] Silroc  </w:t>
        <w:br/>
        <w:t xml:space="preserve">[omissis] Silroc  </w:t>
        <w:br/>
        <w:t xml:space="preserve">III.2.2. Price Parallelism in the Market  </w:t>
        <w:br/>
        <w:t xml:space="preserve">46. As previously mentioned, during the investigation, the NSA was requested, on 2 February 2022, to provide the historical series of prices charged by the reported distributors using data extractable from the “Osservaprezzi carburanti” database of the MISE to which the NSA itself has access. This request, responded to by the NSA on 14 February 2022, allowed for the reconstruction of the price trends of the reported distributors from 2014 until the end of January 2022, totaling nearly 3,000 daily price observations15.  </w:t>
        <w:br/>
        <w:t xml:space="preserve">47. The analysis of the data provided by the NSA allowed the Offices to extensively confirm what had already been observed, with sample checks, by the military of the GDFB, the NSA, and the Offices on the MISE portal. As can be seen in the following figures (see Figures 1 and 2), despite the natural variability of prices over time (due, among other things, to the evolution of variables that can affect the industrial cost of fuels and demand), there is an absence of variability among the prices of the distributors (standard deviation equal to zero from 2014 to 2022) which, in fact, present exactly the same prices, corresponding to those communicated, or, at most, negligible deviations. It is, therefore, possible to conclude with certainty regarding the presence of a perfect price parallelism among the thirteen sales points throughout the entire period 2014/2022.  </w:t>
        <w:br/>
        <w:t>15 See doc. 4. In this regard, it is noted that in the early years of observation only some of the distributors were active or, in any case, communicated their prices to the Osservaprezzi carburanti of the MISE.</w:t>
      </w:r>
    </w:p>
    <w:p>
      <w:r>
        <w:t xml:space="preserve">BULLETIN NO. 27 OF 17 JULY 2023 133  </w:t>
        <w:br/>
        <w:t xml:space="preserve">Figure 1: Average price and standard deviation of gasoline in Livigno 2014-2022  </w:t>
        <w:br/>
        <w:t xml:space="preserve">Figure 2: Average price and standard deviation of diesel in Livigno 2014-2022  </w:t>
        <w:br/>
        <w:t xml:space="preserve">IV. THE ARGUMENTS OF THE PARTIES  </w:t>
        <w:br/>
        <w:t>48. As indicated in the introduction, the Parties in this proceeding, despite having accessed the documents, did not consider it necessary during the proceeding to request to be heard in a hearing by the Offices of the Authority regarding the allegations raised at the outset. The company GMF submitted a brief procedural memorandum, which was noted in the communication of the investigative findings, in which it emphasized that the company does not appear among the recipients of the price communications. Bondi also sent, shortly before the transmission of the CRI (but after its preparation and the examination of the investigative findings by the Authority), its own procedural memorandum. The company Global Service had released</w:t>
      </w:r>
    </w:p>
    <w:p>
      <w:r>
        <w:rPr>
          <w:b/>
        </w:rPr>
        <w:t>[Pages 133–135]</w:t>
      </w:r>
    </w:p>
    <w:p>
      <w:r>
        <w:t>liberalizzazione del 1993, esercitava un controllo sui prezzi, e anche dopo tale data, le comunicazioni di prezzo continuavano a essere utilizzate per informare gli operatori sul mercato. Silroc ha sottolineato che, nonostante le comunicazioni di prezzo, il mercato di Livigno è caratterizzato da una forte trasparenza, e che i prezzi tendono a convergere naturalmente a causa delle specifiche condizioni economiche e fiscali della zona. La società ha anche evidenziato che le comunicazioni di prezzo non avevano l'effetto di limitare la concorrenza, ma piuttosto riflettevano una realtà di mercato in cui i prezzi erano già influenzati da fattori esterni e pubblici.</w:t>
      </w:r>
    </w:p>
    <w:p>
      <w:r>
        <w:t>59. Silroc ha quindi sostenuto che non vi è stata alcuna intesa restrittiva della concorrenza, poiché le dinamiche di mercato sono state influenzate da fattori oggettivi e non da accordi tra le parti. La società ha anche fatto riferimento alla mancanza di prove concrete di collusione tra i distributori e ha affermato che le comunicazioni di prezzo non hanno avuto alcun impatto significativo sulle decisioni di prezzo individuali.</w:t>
      </w:r>
    </w:p>
    <w:p>
      <w:r>
        <w:t>60. Infine, Silroc ha concluso che, in assenza di prove di un'intesa restrittiva, le accuse mosse dall'Autorità non sono sostenibili e che le pratiche di prezzo nel mercato di Livigno devono essere considerate nel contesto delle specifiche condizioni economiche e normative della zona.</w:t>
      </w:r>
    </w:p>
    <w:p>
      <w:r>
        <w:rPr>
          <w:b/>
        </w:rPr>
        <w:t>[Pages 136–138]</w:t>
      </w:r>
    </w:p>
    <w:p>
      <w:r>
        <w:t xml:space="preserve">BULLETIN NO. 27 OF 17 JULY 2023 137  </w:t>
        <w:br/>
        <w:t xml:space="preserve">prior to the liberalization of prices, stated the principle (to moderate such prices and avoid reducing consumption and thus its tax revenues) that the prices in Livigno should not exceed the national average net of the different (and more advantageous) tax component18. The communications would be a continuation of this municipal indication as a practice. The consequence of this, argues Silroc, would be “the passive alignment of prices to the only objective reference – namely the national average prices – by all operators.” These concerned, continues Silroc, public information (national average prices), sent by a third party with respect to the distributors, which had not been solicited by the company and it has not been demonstrated either that they were used to determine prices or that they were transmitted to individuals who held decision-making powers within Silroc. Regarding this last point, the company claims that the first of the two email addresses receiving the price communications was managed directly by the computer located at the distributor and by the employees there, while the address bearing the name of a partner of Silroc was provided to the latter by a third company. Silroc also notes that the role of the communications as a tool of the agreement appears contradicted by the fact that the parallelism also involved companies that did not receive such communications.  </w:t>
        <w:br/>
        <w:t xml:space="preserve">59. Furthermore, Silroc argued that, based on the documentation in the records, the time frame in which the company would have practiced the contested prices ranges from 8 October 2021 to 31 January 2022 and, therefore, concerns only a few months19. During this period, the company continues, Silroc would have, moreover, practiced a price different from other operators every time it decided to change the price and the MISE database shows that it modified the price before other operators. The pricing decision, claims Silroc, was moreover prior to the receipt of the price emails. The emails, in other words, at least in the case of Silroc, followed the determination of prices (which typically occurred on Fridays based on national prices) and did not constitute the cause or premise for them. Other operators, therefore, appear to have passively aligned to a conduct decided independently by Silroc. The observed parallelism, therefore, would be entirely lawful and similar to that, recognized by the Authority itself, for distributors who did not receive the price emails.  </w:t>
        <w:br/>
        <w:t xml:space="preserve">60. Finally, the company requested, in the denied hypothesis that the Authority decides to impose a sanction, to reduce the amount of the same considering the difficulties that have affected the sector during the pandemic period.  </w:t>
        <w:br/>
        <w:t xml:space="preserve">IV.4 The position of Bondi  </w:t>
        <w:br/>
        <w:t xml:space="preserve">61. In its procedural memorandum, Bondi informed the Authority that it had formally requested the sender of the emails to exclude the name of the company from its mailing list and that, at the time of sending the memorandum, differentiated prices were in effect in the Livigno market. Bondi's memorandum, while not denying the existence of systematic price communications nor their suitability to configure, in abstract, an antitrust violation, argues that, in this case, there is no causal link between such communications and the actual pricing policies of the companies and that these latter have been, in any case, favorable to consumers. In particular, Bondi emphasizes, like other companies, that the price, initially attributable to the initiative of the Municipality of Livigno, was set at a level equal to the national average reduced by the tax advantage that characterizes the area. According to Bondi, this level would essentially be interpretable as a cap (maximum ceiling) to prevent the prices of distributors from exceeding this threshold, penalizing citizens and the Municipality of Livigno. This type of practice would be similar, according to the company, to what was provided by the government in the decree-law of 14 January 2023, No. 5, which established obligations for the publication of the arithmetic average of resale prices on a regional basis with the declared purpose of avoiding “speculative phenomena.”  </w:t>
        <w:br/>
        <w:t xml:space="preserve">Similarly to Silroc, the company then argued that, contrary to what was hypothesized by the GDFB and the Authority, due to the limited accessibility of the Livigno area, there are not many residents from neighboring areas who resort to Livigno distributors, tourists' refueling decisions are not very price-sensitive, and finally, distributors would not have reduced prices to increase the volumes sold to residents both because they represent a small percentage of revenues and because this would have caused congestion and tested the capacity constraints of the companies: for these reasons, the company concludes, there would have been no reason for distributors to offer at a price lower than the cap indicated in the price emails.  </w:t>
        <w:br/>
        <w:t xml:space="preserve">62. Bondi then confirmed these theses in its final memorandum, sent in reply to the CRI. In it, Bondi reiterated that the price communications would originate from the Municipality of Livigno's interest in a mechanism to moderate fuel prices in the area, as this would benefit resident consumers and, by increasing the liters sold, also municipal revenues (which, Bondi notes, do not depend on the selling price). This municipal practice would have been, according to Bondi, approved primarily within the framework of the price monitoring regime of the CIP measure of 31 July 1991 and subsequently “confirmed the day after the liberalization of 1 May 1994, transforming into a municipal practice continued informally, through a ‘round of phone calls’ on a weekly basis” until the retirement of the municipal employee who authored the price email (2011). During this period, Bondi observes, the municipal practice persisted even though Law No. 287/1990 was already in force. According to the company, finally, what occurred after this date is a continuation of this practice by the same person, who had since retired, this time through the sending of emails instead of the round of phone calls. The Authority would have, according to Bondi, “instrumentally” narrowed its scope of investigation to the period after 2011, thus failing to recognize, in the subsequent sending of price communications, a continuation of this municipal practice (without any sanctioning repercussions, considering the duration of the violation and the application of the maximum penalty). The company also argues that the retirement of the municipal employee who sent the price emails would not be sufficient to cause, in the absence of an act of discontinuity, an interruption of the aforementioned municipal practice. In any case, Bondi argues that, even in the absence of the “municipal practice” of indicating selling prices, the company would have had no incentive to further reduce its prices, for the reasons already stated in the procedural memorandum (see above).  </w:t>
        <w:br/>
        <w:t xml:space="preserve">63. Bondi also argued that it is not possible to qualify the alleged violation as an agreement, as the exchange of communications on prices was, on the one hand, devoid of binding expressions of will from the Parties, and on the other hand, involved some subjects not active in the sector and, finally, it coincided with the previous system of administered or monitored prices. The contested conduct, continues Bondi, would not even be qualifiable as a coordinated practice, as the observed parallelism, involving all operators (and not just those who received the price communications) cannot be defined as anomalous nor can it be considered the result of the aforementioned communications. For the same reason, Bondi argues, there would be no causal link between the contested contact (the weekly price communications) and the observed prices, also due to the pre-existing municipal practice.  </w:t>
        <w:br/>
        <w:t xml:space="preserve">BULLETIN NO. 27 OF 17 JULY 2023 139  </w:t>
        <w:br/>
        <w:t xml:space="preserve">64. In its final memorandum, Bondi also complained of a violation of the right of defense arising, in its view, from the circumstance that the CRI was sent pending a request for access and that it would not have taken into account the aforementioned procedural memorandum (sent to the Authority, as mentioned, before the sending of the CRI to the Parties, but after its preparation and examination by the Authority), due to an unnecessary “sudden acceleration” of the investigation times, which resulted in the CRI being drafted substantially unheard. Bondi argues that the circumstance that its arguments, drafted with a view to a procedural memorandum, are considered only after the sending of the CRI, would contradict the provisions of Presidential Decree No. 217/1998.  </w:t>
        <w:br/>
        <w:t xml:space="preserve">V. EVALUATIONS  </w:t>
        <w:br/>
        <w:t xml:space="preserve">V.1 The relevant market  </w:t>
        <w:br/>
        <w:t xml:space="preserve">65. In the event of a challenge to a restrictive agreement on competition, the product and geographical scope of the relevant market is, according to constant national and community jurisprudence, primarily determined by the extent of the coordination itself, as this extent shows the breadth of the market that the participants deemed possible and profitable to monopolize in a restrictive agreement on competition. Consequently, in such cases of violation, the definition of the relevant market is directly related to the context in which the collusive behavior of the involved companies is situated20.  </w:t>
        <w:br/>
        <w:t xml:space="preserve">66. Due to the contested conduct, consisting of regular exchanges of emails between competitors (through a single intermediary) regarding the future prices of fuels applicable by the distributors of Livigno (the territorial reference unequivocally indicated in the same price emails) and a marked price parallelism among the same distributors, the product involved in the investigation is thus that of the distribution of fuels for motor vehicles on ordinary road networks in the territory of Livigno. In this market, on the supply side, there are the owners of the distributors and, on the demand side, consumers – residents of Livigno, tourists, and possibly residents of neighboring areas – who refuel their vehicles at these distributors.  </w:t>
        <w:br/>
        <w:t xml:space="preserve">67. This definition is, in any case, consistent with the definition adopted by the Authority in its practice to define the relevant markets related to the economic activities in question. As is known, in fact, the retail distribution of fuels for motor vehicles on ordinary road networks (distinguished in the Authority's practice from that of the distribution of fuels for motor vehicles on motorway networks) does not present, in the Authority's constant practice, a segmentation within itself based on the type of fuels offered, at least with respect to the most widely used products, namely gasoline and diesel (also because almost all distributors offer both main fuels for motor vehicles). This approach is all the more confirmed, in the case at hand, relating to the territory of Livigno, as the reported conduct concerns only the two most common products, namely gasoline and diesel21.  </w:t>
        <w:br/>
        <w:t xml:space="preserve">20 See, among others, Council of State, 21 June 2017, Nos. 3057 and 3016, I782 - Tenders for the remediation and disposal of polluting and/or hazardous materials at the arsenals of Taranto, La Spezia, and Augusta: “The definition of the relevant market is not merely geographically or spatially connoted, but is also and above all related to the area in which the anticompetitive intent has, or would have, the capacity to impact, so that ‘in cases of restrictive agreements on competition, the definition of the relevant market is directly related to the context in which the collusive behavior of the involved companies is framed’ and is subsequent to the identification of the agreement in its objective elements.”  </w:t>
        <w:br/>
        <w:t>21 On the other hand, only one of the distributors in the area is also active in the sale of LPG for motor vehicles, while none of them operates in the sale of methane. As for the prices of so-called “special products,” they are also outside the coordination subject to this proceeding as such products are sold only by a subset of the involved distributors and are not, in any case, the subject of the price communications which instead concerned only the prices of standard gasoline and diesel.</w:t>
      </w:r>
    </w:p>
    <w:p>
      <w:r>
        <w:rPr>
          <w:b/>
        </w:rPr>
        <w:t>[Pages 139–141]</w:t>
      </w:r>
    </w:p>
    <w:p>
      <w:r>
        <w:t xml:space="preserve">140 BULLETIN NO. 27 OF 17 JULY 2023  </w:t>
        <w:br/>
        <w:t xml:space="preserve">68. As for the geographical extension of the market, according to the most recent practice of the Authority22, it is identified through a substantial criterion that provides for the construction of so-called catchment areas, that is, hypothetical user basins that can be traced around each sales outlet and inclusive of all sales points that, due to distance or travel time, can be considered sufficiently substitutable by consumers with the sales outlet around which the catchment area is traced.  </w:t>
        <w:br/>
        <w:t xml:space="preserve">69. Applying this methodology to the case of Livigno, it can be noted that the sales points subject to the report from the GDFB would indeed all be in competition with each other in the same local market (that is, more precisely, they would all be included in the catchment areas traceable around each of them), as they are substantially concentrated near the inhabited center of Livigno and in the immediate vicinity.  </w:t>
        <w:br/>
        <w:t xml:space="preserve">70. Furthermore, as mentioned, the closest facilities outside the Municipality of Livigno appear to be located at significantly greater distances compared to those typically adopted to delineate catchment areas (which, in mountainous areas like the one in question, also correspond to relatively high travel times, see supra)23 and, therefore, should not be included in the relevant geographical market based on the aforementioned method.  </w:t>
        <w:br/>
        <w:t xml:space="preserve">71. Moreover, in this specific case, the size of the relevant geographical market could be affected by the effects of the particular tax regime (related to the status of the extra-customs zone of the Municipality of Livigno) enjoyed by fuel sales activities (and many other products) in the Livigno territory (see supra §14)24. In particular, the tax regime benefiting the facilities in Livigno contributes to further characterize and delineate the geographical market in this case. Indeed, it determines, at the same industrial price, an undeniable price advantage net of taxes for the distributors in Livigno, contributing to further isolate these distributors from hypothetical competition that might come from neighboring locations (which, as mentioned, are located at reasonably high distances anyway)25. On the other hand, the tax advantage compared to competitors located in neighboring areas likely allows Livigno distributors to attract a user base even larger than that deducible based on the radius typically adopted in identifying catchment areas for the road fuel distribution sector26.  </w:t>
        <w:br/>
        <w:t xml:space="preserve">72. In conclusion, therefore, the relevant market affected by this investigation is that of the distribution of fuel for motor vehicles on ordinary road networks carried out in the territory of Livigno.  </w:t>
        <w:br/>
        <w:t xml:space="preserve">22 See, for example, C12131 – Anonima Petroli Italiana/TotalErg, measure No. 26909 of 20 December 2017, in Bulletin No. 51/2017 and C12386 - Tamoil/Repsol, measure No. 29824 of 14 September 2021 in Bulletin No. 39/2021.  </w:t>
        <w:br/>
        <w:t xml:space="preserve">23 In particular, it is noted that the two distributors in the nearby Municipality of Bormio are about 37 km away with an estimated travel time of about 55 minutes.  </w:t>
        <w:br/>
        <w:t xml:space="preserve">24 It should be noted that the taxation referred to, for which the facilities in Livigno have an advantage over ordinary distributors, consists of taxes based on quantities (excise duties) or revenues (VAT) and is not a generic taxation of business income or other variables possibly independent of market decisions. Therefore, it is certainly suitable to influence the level of prices and the conditions of competition.  </w:t>
        <w:br/>
        <w:t xml:space="preserve">25 In other words, precisely because of the tax advantage enjoyed by the Livigno facilities on every liter of fuel sold, even hypothetical facilities relatively close to the facilities of the Parties (and therefore abstractly includable in the catchment areas traceable around them) but outside the extra-customs area of Livigno could actually prove unsuitable to constitute an effective competitive constraint for the Livigno facilities.  </w:t>
        <w:br/>
        <w:t>26 Moreover, it is the very uniformity of prices among the distributors in Livigno, set at a level entirely different from those of other national distributors, that provides further clear evidence of the geographical delimitation of the market.</w:t>
      </w:r>
    </w:p>
    <w:p>
      <w:r>
        <w:t xml:space="preserve">BULLETIN NO. 27 OF 17 JULY 2023 141  </w:t>
        <w:br/>
        <w:t xml:space="preserve">V.2 Collusive Conduct  </w:t>
        <w:br/>
        <w:t xml:space="preserve">73. From the evidence gathered, it emerged that, during the period from at least 12 October 2012 to 5 April 2022, most distributors received emails containing specific indications of the prices to be applied for diesel and gasoline at their retail distribution facilities. The emails came from an individual, a former municipal employee, and were sent to a mailing list visible to all recipients, containing the addresses of at least four fuel distribution companies on the road in Livigno, representing eight of the eleven Parties in this proceeding and nine of the thirteen distributors present in the territory during the period of interest27. The Parties have objected that attributing an agreement solely to these eight Parties would imply that such an agreement would have been established only by 50% of the market and, therefore, would be difficult to sustain. However, this calculation is obtained only by grouping five of the aforementioned eight Parties into a single company and ignoring the fact that some of them own multiple distributors and, therefore, not taking into account the company size and their actual presence in the market. In particular, the companies of the "Cusini group" held, during the period of interest, five active distributors in the territory of Livigno (which became four after the closure of the Fibo distributor, which also reduced the total number of distributors to twelve) in addition to engaging in wholesale distribution, [omissis]. Furthermore, Bondi owns two separate distributors. The objection of the Parties, therefore, appears to be pretextual and misleading.  </w:t>
        <w:br/>
        <w:t xml:space="preserve">74. Such communications were made regularly and systematically, on a weekly basis, throughout the entire period considered, lasting almost a decade. Although there is no evidence regarding the motivations that led the individual in question (who, as stated by the Parties, had personal relationships with the owners of the distributors) to take on this coordination activity, the systematic indication of prices unequivocally determined the elimination of any form of price competition among the distributors (or, at least, among those included in the mailing list) that could have benefited customers, eroding profitability for the businesses. In any case, as stated by Global Service, the individual in question would have started this activity once they ceased their role as a municipal employee, following an explicit request from at least some of the distributors. The arguments of the Parties that such submissions could be framed as a continuation of an alleged municipal practice prior to 1991 (although they did not provide specific indications regarding the existence of a resolution from the Entity) have no legal relevance. In fact, even if hypothetically such conduct had begun at the initiative of the municipality and even if they had been, at that different time, hypothetically framed as lawful, they have been continuously reiterated, with extreme regularity (on a weekly basis), at least since 2012 and at least until the start of the proceeding (2022) and, therefore, in full force of the current legislation protecting competition and, in any case, outside of any possible framing within the scope of a supposed municipal action (the sender having ceased all employment relationships with the Municipality in 2011) and indeed, as stated by the representative of Global Service, precisely as a result of an explicit request from some representatives of the companies.  </w:t>
        <w:br/>
        <w:t xml:space="preserve">The insinuation that the Authority would have artificially reduced the duration of the agreement to avoid considering the alleged municipal genesis of the practice, which, it is reiterated, has no relevance concerning subsequent and continuously reiterated conduct and that could, instead, have ceased at any moment in compliance with the current antitrust legislation (as, indeed, some companies have stated they did following the initiation of this proceeding) is also without merit for the same reason.  </w:t>
        <w:br/>
        <w:t xml:space="preserve">75. With regard to the methods of price determination, what Global Service claims, namely that they would have been determined based on unspecified "national average prices" taking into account the tax advantage enjoyed by the Livigno facilities, confirms that the level set was, in any case, considered "sufficient" in relation to the costs of the businesses.  </w:t>
        <w:br/>
        <w:t xml:space="preserve">76. The arguments of the Parties, that the values of the prices transmitted with the communications originated from the reprocessing of data published by the competent Ministry through simple operations (that is, through a specific adjustment that took into account the tax regime of Livigno), are irrelevant. First of all, it should be noted that neither the Ministry nor other public entities, as far as known, published the value of the average national price adjusted for the specific taxation of Livigno, but that this was, instead, an indicator constructed and used solely for the price communications subject to the contested emails. Furthermore – and most importantly – what matters is the continuous and systematic proposition of such values – however obtained or determined – as the focal point for the prices to be applied (and which was then actually applied from the day of the communication or the following day). The Parties themselves, moreover, extensively state in their submissions that the price indication they insist on defining as "municipal" has functioned as a focal point and none of them has denied the clear correspondence between the prices contained in the communications and those actually practiced by the distributors.  </w:t>
        <w:br/>
        <w:t xml:space="preserve">77. In addition to the evident factual data, a further definitive and irrefutable confirmation that such price communications consisted of indications of future prices and not in the dissemination of mere statistics on national data (for which, in any case, the Parties could not indicate any possible utility for the businesses other than, indeed, that of representing a focal point for the prices practiced) is the use in the communications (see supra, figure 3) of the wording "from" in the subject of the email and "effective date" in the text of the same reporting the price values – typically followed by the date subsequent to that of sending the emails – which, as reflected in the analysis of the database transmitted by the MISE, was perfectly respected in the prices actually practiced by the Parties28.  </w:t>
        <w:br/>
        <w:t xml:space="preserve">78. The factual evidence available for the time frame concerned by the communications, namely the extraction of the database of prices communicated to the MISE, relating to the period 2014-2022 and the sample checks carried out by the GDFB and the NSA on the Ministry's portal and on the website www.valtellinamobile.it (which reported, on its page related to fuel prices in Livigno, the wording "Livigno price gasoline diesel GPL", indicating in fact a single price value) unambiguously suggests that such indications, already explicit in themselves, were faithfully implemented. Furthermore, the awareness that the price in the area should be uniform is also evident from the words used [omissis].  </w:t>
        <w:br/>
        <w:t xml:space="preserve">79. The argument put forward by Global Service and Silroc, that the infringement would only be proven from the relatively recent moment when they began to communicate their prices to the Ministry (and, therefore, when the prices of those companies appear in the database extracted from that Entity) is not shareable as, on the one hand, the type of conduct contested – explicit communications regarding future prices – is restrictive by object and does not therefore require proof of its implementation and, on the other hand, from the circumstance for  </w:t>
        <w:br/>
        <w:t>28 The circumstance raised by Silroc that it, unlike the other companies, communicated to the MISE the modification of its price already on the date of receipt of the emails and not starting from the following day is not decisive as it does not contradict in any way the effectiveness of the price indications communicated via email nor the fidelity of the prices applied (by Silroc and the other companies) in the week of effectiveness.</w:t>
      </w:r>
    </w:p>
    <w:p>
      <w:r>
        <w:rPr>
          <w:b/>
        </w:rPr>
        <w:t>[Pages 142–144]</w:t>
      </w:r>
    </w:p>
    <w:p>
      <w:r>
        <w:t xml:space="preserve">BULLETIN NO. 27 OF 17 JULY 2023 143  </w:t>
        <w:br/>
        <w:t xml:space="preserve">to which all available evidence supports a full implementation of the indications also for these two companies29. More generally, for the same reasons, the infringement must be considered to exist from the first price communications in the records (dating back to November 2012), although the MISE database contains data starting only from 2014 and sample checks were carried out only from 2021.  </w:t>
        <w:br/>
        <w:t xml:space="preserve">80. As for the distributors whose owners or company representatives are not included in the address book of price communications, it is believed, however, considering the specific characteristics of the market, that there is insufficient evidence to attribute the collusive conduct to such companies as well. Although they also essentially practiced the same prices indicated in the emails, it cannot be excluded, due to the absence of supporting documentary evidence, that the observed parallelism may have a plausible alternative explanation. Therefore, as already anticipated in the CRI, it is believed that the agreement in question, based on the available evidence, cannot be attributed to the companies Market S.Anton, C-Energia, and GMF. The agreement, on the other hand, would certainly be attributable to the companies of the so-called Cusini group (composed, as mentioned, of the companies Cuscar, Trecar, Gescar, Cuba, and Fibo), Bondi, Global Service, and Silroc, whose company representatives regularly received the price communications throughout the period of interest.  </w:t>
        <w:br/>
        <w:t xml:space="preserve">81. In the same direction, Global Service stated that, following the news of the transmission to the Authority of the documentation related to the email exchanges on prices – obtained prior to the initiation of the Authority's investigation through access to the records of another proceeding – there were consultations among Livigno distributors regarding the situation, also in order to assess the possibility of a legal defense line. The scope of the subjects indicated by Global Service concerning such consultations includes, in fact, representatives of the Cusini group, Bondi, Silroc, as well as Global Service itself.  </w:t>
        <w:br/>
        <w:t xml:space="preserve">82. Regarding this aspect, the considerations of the Parties that the identity of behavior in the market between companies that received the communications and companies that did not receive them would demonstrate the irrelevance of the communications themselves are not shareable. The commercial behavior observed for some minority companies in a context where the majority of companies behave in an explicitly coordinated manner does not constitute in any way a counterfactual for what would happen in the market in the absence of any coordination. In other words, the circumstance that the companies that did not receive the communications practiced the same prices as the companies that received them (which coincided with the communicated prices) is in no way suitable to demonstrate that the companies would have practiced such prices even in the absence of any communication. It is, in fact, natural for minority companies to follow the commercial policies decided by the majority of companies.  </w:t>
        <w:br/>
        <w:t xml:space="preserve">Regarding this point, it is noted, in any case, that the Authority did not assert that the prices of the distributors GMF, Market S.Anton, C-Energia, and Parrocchia S.Anna di Trepalle were certainly determined independently, but only that it did not have sufficient evidence to involve such companies in the proceeding. Moreover, the jurisprudence has clarified that the principle of equal treatment does not operate in favor of a subject for whom the conditions for the exercise of the sanctioning power exist30.  </w:t>
        <w:br/>
        <w:t xml:space="preserve">83. Still regarding this aspect, Silroc argued that, in analogy to the approach taken by the Authority for the Parrocchia S.Anna di Trepalle, its position should be archived29. It would be paradoxical to absolve such companies from participation in the agreement solely because they did not make their prices available to the Ministry.  </w:t>
        <w:br/>
        <w:t>30 See Council of State, 2837/2014, I722-International logistics.</w:t>
      </w:r>
    </w:p>
    <w:p>
      <w:r>
        <w:t xml:space="preserve">144 BULLETIN NO. 27 OF 17 JULY 2023  </w:t>
        <w:br/>
        <w:t xml:space="preserve">in that it has not been demonstrated that the company representatives managing the email addresses that received the price communications had actual decision-making power over the prices. One of such addresses, in fact, was managed directly by employees located at the distributor (who are claimed by Silroc to lack such power), and the other, although belonging to a physical person who is a partner of the company, was provided by a third company in which that partner of Silroc held positions. This argument is entirely irrelevant as the company received communications directly at two distinct email addresses, both directly managed by its company representatives (respectively, as employees – at the workplace at the distributor – and as a partner). The circumstance that the email used by the partner was provided by another company does not make the connection between that subject – certainly a representative of Silroc – and Silroc itself more indirect (especially considering that, simultaneously, the same email was sent to the fuel distributor of Silroc)31.  </w:t>
        <w:br/>
        <w:t xml:space="preserve">84. As for the arguments of the Parties that distributors would have no incentive to practice prices lower than the value indicated in the emails, it is noted that they are not supported by any data, analysis, or factual element and constitute mere speculations, not devoid of contradictions even in the abstract32. Accessing such hypotheses would also make it inexplicable, in the absence of any coordination or municipal interest (as has been the case at least since the retirement of the sender in 2011 and, therefore, for the entire time frame in which the emails in the records are situated), why companies would have had to organize for over a decade and with unchanging weekly frequency a systematic and meticulous coordination activity to ensure that they practiced “not too high” prices – and, specifically, lower than those that each of them would find convenient to practice based on autonomous evaluations – in the name of a no longer existing (if it ever existed) municipal practice of indicating maximum prices and in open conflict with their own interest33.  </w:t>
        <w:br/>
        <w:t xml:space="preserve">85. In any case, there is a clear contradiction between two opposing theses contained in the Parties' submissions which, on the one hand, argue that the level of prices (although substantially identical to them) does not depend at all on the price communications and, on the other hand, that it has aligned itself to the level indicated in the price communications themselves, which indeed constituted a focal point (even representing, in the reconstruction of the Parties, a maximum ceiling on prices in the intentions attributed to them in a distant past to the Municipality of Livigno)34. Indicative is Silroc's own statement that what occurred is “the passive alignment of prices to the only objective reference – namely the average of national prices – by all operators,” failing to note that, evidently, such “objective reference” was not a natural market data and did not exist even as such but, on the contrary, was specifically produced in order to send the price communications in question (the national average, which, as is known, has no particular informational value in a typically local commercial context - even more so in a duty-free area - was rather proposed in the communications in a version specifically “corrected” for Livigno) which had the declared function of ensuring that it was, indeed, effectively a “reference” for the prices practiced in the week of validity. In summary, this is a conduct of explicit collusion.  </w:t>
        <w:br/>
        <w:t xml:space="preserve">86. Overall, in light of the preceding considerations, it must be deemed that the described conduct can be framed within a single and continuous agreement, contrary to the legislation protecting competition and aimed at the total and explicit elimination of competition among the distributors receiving the price communications and at a full coordination of their respective commercial policies. This overall plan is, moreover, suitable to explain the substantial identity of prices found in the last decade in the territory of Livigno.  </w:t>
        <w:br/>
        <w:t xml:space="preserve">87. Finally, it is noted that the procedural objections raised by Bondi are entirely pretextual: like the other Parties, the company did not exercise the right to be heard in a hearing (neither with the Offices nor before the College) communicated in the measure initiating the present proceeding, and was silent for most of the proceeding. That said, the drafting of the CRI was not the result of any sudden and unjustified acceleration of the investigative procedure, but was consistent with the collection of the elements deemed sufficient to formulate the assessment contained therein. The failure to consider within the CRI the intra-procedural memorandum (received before the sending of the CRI to the Parties, but after its preparation and examination by the Authority) reflects the technical times for the preparation and processing of the document and, in any case, such failure to include has in no way reduced the right of the Party to have its arguments considered, nor has it otherwise compressed the right of defense of that company, as it was able to fully exercise that right pursuant to Article 14 of Presidential Decree No. 217/1998.  </w:t>
        <w:br/>
        <w:t xml:space="preserve">V.3 The legal framework of the case  </w:t>
        <w:br/>
        <w:t xml:space="preserve">V.3.1 The qualification of the infringement  </w:t>
        <w:br/>
        <w:t xml:space="preserve">88. From the behaviors of the Parties, it emerges incontrovertibly that they have engaged in a single, complex, and continuous agreement restrictive of competition aimed at the concerted determination of future prices for a time horizon of almost a decade.  </w:t>
        <w:br/>
        <w:t xml:space="preserve">89. In this regard, the jurisprudence has recognized that the cases of agreement and of concerted practice can well coexist in a single agreement, as the Authority is not required to precisely distinguish between the constitutive elements that integrate one or the other type of infringement. In particular, a series of behaviors by multiple companies having the same anticompetitive object can be considered an expression of a single infringement, attributable in part to the concept of agreement and in part to that of concerted practice, as the two notions share the same nature and differ only in their intensity and in the forms in which they manifest35. In other words, from the point of view of the qualification of the case, the focal point of the assessment entrusted to  </w:t>
        <w:br/>
        <w:t>35 See, inter alia, judgment of the Court of Justice, 8 July 1999, Case C-49/92 P- Anic.</w:t>
      </w:r>
    </w:p>
    <w:p>
      <w:r>
        <w:rPr>
          <w:b/>
        </w:rPr>
        <w:t>[Pages 145–147]</w:t>
      </w:r>
    </w:p>
    <w:p>
      <w:r>
        <w:t xml:space="preserve">146 BULLETIN NO. 27 OF 17 JULY 2023  </w:t>
        <w:br/>
        <w:t xml:space="preserve">to the Authority consists exclusively in “distinguishing between forms of collusion that fall under antitrust prohibitions and simple parallel behaviors lacking elements of coordination”36.  </w:t>
        <w:br/>
        <w:t xml:space="preserve">90. That said, in light of the principles expressed by the case law, the behaviors adopted by the Parties can only be read in a unified manner, constituting an expression of a single “overall plan,” or a unique and ongoing restrictive agreement on competition, resulting from a conscious collaboration of all the companies involved in the price communications, which undoubtedly constitutes a form of collusion contrary to antitrust regulations, particularly – in its main characteristics – attributable to the cases of illicit agreement and coordinated practice. The fact that the communications contained indications of future prices, specifying the start date – and which were, moreover, based on all available factual evidence, closely monitored – to a common mailing list demonstrates that the constitutive elements of the agreement and/or coordinated practice exist in this case.  </w:t>
        <w:br/>
        <w:t xml:space="preserve">The objection raised by the Parties, that the communicated price values would originate from elaborations of public data and therefore would not represent an exchange of commercially sensitive information, is not in any way shareable. Such communications, even if they did not contain trade secrets of any other kind (because they reported values hypothetically obtained from elaborations based on public data), had full and total capacity to reduce, for each company, the uncertainty regarding the future behaviors of their competitors, as they themselves constituted an explicit indication of future prices with explicit indication of the future period of validity.  </w:t>
        <w:br/>
        <w:t xml:space="preserve">V.3.2 The Restrictiveness of the Agreement by Object  </w:t>
        <w:br/>
        <w:t xml:space="preserve">91. The agreement in question among the Parties also appears to be restrictive by object, as it is dedicated to the setting of prices and the conditions for the operation of the services provided by the companies. In this regard, it should be noted that the case law has clarified that “with regard to what is provided for by Article 101 (TFEU), it is necessary to distinguish between ‘agreements by object’ and ‘agreements by effect.’ The former are characterized by the fact that ‘certain forms of coordination between companies can be considered, by their very nature, harmful to the proper functioning of normal competition.’ It is undisputed that ‘the likelihood that certain collusive behaviors, such as those leading to horizontal price fixing by cartels, have negative effects, in particular, on the price, quantity, or quality of products and services, is so high that it can be deemed unnecessary […] to demonstrate that such behaviors have concrete effects on the market.’ To ascertain whether there is an ‘agreement by object,’ regard must be had to the content of the provisions of the agreement itself, the objectives intended to be achieved, and the economic and legal context in which the agreement is situated. In evaluating this context, ‘it is necessary to also consider the nature of the goods or services involved and the actual conditions of operation and structure of the market or markets in question’ (judgment of 11 September 2014, in case C-67/13 P). […]”37.  </w:t>
        <w:br/>
        <w:t xml:space="preserve">92. Based on the case law, there is therefore no need to demonstrate the effects of an agreement such as that established by the distributors of Livigno through weekly email exchanges on the future prices to be applied in retail distribution facilities.  </w:t>
        <w:br/>
        <w:t xml:space="preserve">36 See Council of State, 13 June 2014, No. 3032, I731 – Campania Tenders; Council of State, 3 June 2014, Nos. 2837 and 2838, I722 – International Logistics; Council of State, 27 June 2014, No. 3252, 23 June 2014, Nos. 3167, 3168, and 3170.  </w:t>
        <w:br/>
        <w:t>37 See Council of State, VI, 16 March 2020, Nos. 1844 and 1845.</w:t>
      </w:r>
    </w:p>
    <w:p>
      <w:r>
        <w:t xml:space="preserve">BULLETIN NO. 27 OF 17 JULY 2023 147  </w:t>
        <w:br/>
        <w:t xml:space="preserve">93. For reasons already extensively articulated, the thesis advanced by the Parties that the agreement would not be suitable to constitute a restriction by object, consisting of a transmission of publicly sourced data, is not shareable. As stated, in fact, the communications did not constitute a mere transmission of statistics (in any case unavailable in the specific form used in the communications), but explicit price indications with a corresponding indication of the future period of validity. Moreover, in any case, the available factual evidence is unanimous in indicating that the agreement was fully implemented.  </w:t>
        <w:br/>
        <w:t xml:space="preserve">94. For the same reasons mentioned above, the manner of conducting the agreement, through email communications to a private mailing list containing future price indications (through values that, moreover, even if obtained from public data, were not publicly available in other ways and were specifically calculated for the territory of Livigno to constitute the subject of the communications), also indicates that the agreement itself can be attributed a character of secrecy, contrary to what some of the Parties requested. The feared role of the Municipality in sending such communications prior to 2011 (or 1994) is, on the other hand, irrelevant in assessing the secrecy of a conduct that did not involve any municipal activity and, in the form under discussion, originated from the request of the companies themselves.  </w:t>
        <w:br/>
        <w:t xml:space="preserve">V.4 Conclusions  </w:t>
        <w:br/>
        <w:t xml:space="preserve">95. In light of the documentary evidence described and the arguments made, the agreement established by the Cusini group (understood as the set, attributable to a single center of interest, of the companies Cuscar, Trecar, Gescar, Cuba, and Fibo), Bondi, Global Service, and Silroc represents an infringement by object of the regulations protecting competition and, in particular, of Article 2 of Law No. 287/1990, which has been fully implemented and has resulted in a continued restriction of competition in the market, to the detriment of final consumers.  </w:t>
        <w:br/>
        <w:t xml:space="preserve">VI. GRAVITY AND DURATION OF THE INFRINGEMENTS  </w:t>
        <w:br/>
        <w:t xml:space="preserve">96. According to established EU and national case law, to assess the gravity of an infringement, a large number of factors must be taken into account, the nature and importance of which vary depending on the type and specific circumstances of the infringement. Among these factors, the nature of the restriction on competition, as well as the role and market representation of the companies involved, are particularly relevant38.  </w:t>
        <w:br/>
        <w:t xml:space="preserve">97. As for the nature of the agreement in question, based on the investigative findings, it has been established that the Parties to the proceeding have engaged in a secret, unique, and ongoing agreement aimed at setting the level of prices charged for the retail sale of fuels for motor vehicles in the reference territory.  </w:t>
        <w:br/>
        <w:t xml:space="preserve">98. It is noted that the explicit agreement involved most operators and facilities active in the reference market and resulted in the full implementation of the pricing policies defined through communications by all operators and all distributors in the area.  </w:t>
        <w:br/>
        <w:t xml:space="preserve">99. Therefore, the behaviors engaged in by the Parties constitute very serious violations of the regulations protecting competition, representing, in particular, hard-core restrictions of antitrust regulations, with the characteristics of restrictiveness by object.  </w:t>
        <w:br/>
        <w:t xml:space="preserve">100. With regard to the duration of the agreement, the evidence on record shows that the weekly communications regarding future fuel prices began at least from 12 October 2012 and lasted at least until 5 April 2022, the date of the inspection findings. The fact that Fibo was active in retail sales only until 26 September 2021 (the date of the last price communication made to the MISE) is irrelevant for the purpose of calculating the duration of the penalty, as it is jointly attributed to the Cusini group.  </w:t>
        <w:br/>
        <w:t xml:space="preserve">VI.1 The Determination of the Penalty  </w:t>
        <w:br/>
        <w:t xml:space="preserve">101. Article 15, paragraph 1, of Law No. 287/1990 provides that the Authority, in cases of serious infringements, taking into account their gravity and duration, shall impose an administrative pecuniary penalty of up to ten percent of the turnover achieved by each company or entity in the last financial year closed prior to the notification of the warning, adopted as a result of an investigative proceeding.  </w:t>
        <w:br/>
        <w:t xml:space="preserve">102. In order to quantify the penalty, it is necessary to take into account what is provided for by Article 11 of Law No. 689/1981, as recalled by Article 31 of Law No. 287/1990, as well as the interpretative criteria outlined in the “Guidelines on the application of the criteria for quantifying the administrative pecuniary penalties imposed by the Authority in application of Article 15, paragraph 1, of Law No. 287/90” (hereinafter, Guidelines), adopted by the Authority on 22 October 2014.  </w:t>
        <w:br/>
        <w:t xml:space="preserve">103. Following points 7 and following of the Guidelines, the base amount of the penalty is obtained by multiplying a percentage of the value of sales, determined based on the level of gravity of the infringement to the duration of each company's participation in the infringement.  </w:t>
        <w:br/>
        <w:t xml:space="preserve">104. Based on points 7 and following of the Guidelines, to calculate the base amount of the penalty, the value of sales of the services involved by the companies to which the infringement is contested, namely the turnover derived from the sale of gasoline and diesel for motor vehicles through their facilities on the road network located in the territory of Livigno, is taken as a reference. The value of sales also takes into account any sales made in the relevant market through controlled companies.  </w:t>
        <w:br/>
        <w:t xml:space="preserve">105. For the purpose of determining the base amount of the penalty, a specific percentage may be applied to the base value as determined above, based on the severity of the violation. According to the Guidelines, in particular, the proportion considered must be set at a level that can reach 30% of the value of sales, “based on the degree of severity of the violation” (point 11). In relation to the case at hand, it should be noted that the manner of conducting the agreement, through email communications to a private mailing list containing future price indications, indicates that the agreement itself can be attributed a character of secrecy. In these cases, pursuant to point 12 of the Guidelines, the percentage of the value of sales considered for the calculation of the base amount “will generally not be less than 15%.”  </w:t>
        <w:br/>
        <w:t xml:space="preserve">106. That said, in relation to the case at hand, taking into account the nature and gravity of the agreement, the percentage of the value of sales considered for the calculation has been set for all parties at 15%.  </w:t>
        <w:br/>
        <w:t>107. The resulting value is then multiplied by the duration of participation in the infringement, expressed in number of years and also counting the actual months and days of participation. Regarding the duration of the agreement for the economic entities that constitute a corporate group, subject, therefore, to the same coordination and control, it will be considered, as stated, the first and last date of participation in the infringement among those of the different companies that make it up. The evidence on record shows, in fact, that the weekly communications regarding future fuel prices began at least from 12 October 2012 and lasted at least until 5 April 2022, the date of the inspection findings. The fact that Fibo was active in retail sales only until 26 September 2021 (the date of the last price communication made to the MISE) is irrelevant.</w:t>
      </w:r>
    </w:p>
    <w:p>
      <w:r>
        <w:rPr>
          <w:b/>
        </w:rPr>
        <w:t>[Pages 148–150]</w:t>
      </w:r>
    </w:p>
    <w:p>
      <w:r>
        <w:t xml:space="preserve">BULLETIN NO. 27 OF 17 JULY 2023 149  </w:t>
        <w:br/>
        <w:t xml:space="preserve">for the purpose of calculating the duration of the penalty, as it is jointly attributed to the Cusini group.  </w:t>
        <w:br/>
        <w:t xml:space="preserve">The Cusini Group includes five companies: Cus.Car. S.r.l., Fibo S.r.l., Ges.Car. S.r.l. di Cusini Bernardo &amp; C., Tre.Car. S.r.l., and CU.BA. S.r.l., whose shares are held by the same individuals. The penalty is imposed jointly on the aforementioned companies based on Article 32 of the Guidelines, which provides that “in cases where multiple companies belonging to the same group have participated in the infringement, the Authority may impose the penalty jointly on those companies.” The base amount for each party is, therefore, indicated in the table below, in which the specific turnover for the Cusini group is obtained from the sum of the turnovers of the five companies that are parties to the proceedings39.  </w:t>
        <w:br/>
        <w:t xml:space="preserve">108. Since there are no aggravating or mitigating circumstances in this case, the value of the penalty coincides with the base amount indicated in the preceding table.  </w:t>
        <w:br/>
        <w:t xml:space="preserve">109. Pursuant to Article 15 of Law No. 287/1990, the Authority, “[i]n cases of serious infringements, taking into account the seriousness and duration of the infringement, also orders the application of an administrative pecuniary penalty of up to ten percent of the turnover achieved by each company or entity in the last financial year closed prior to the notification of the warning.” In this regard, point 29 of the Guidelines specifies that “[t]he calculation base for the maximum penalty is represented, in accordance with national jurisprudence, by the total turnover achieved worldwide in the last financial year closed prior to the notification of the warning, by each company participating in the infringement.”  </w:t>
        <w:br/>
        <w:t xml:space="preserve">110. Considering that the penalties as determined above exceed, for most of the companies involved, the maximum limit provided for in Article 15, paragraph 1, of Law No. 287/1990, they must be reduced to within that limit, as indicated in the table below.  </w:t>
        <w:br/>
        <w:t xml:space="preserve">* Reference is made to the total turnover of the Parties as none of them currently have approved turnover data for 2022.  </w:t>
        <w:br/>
        <w:t xml:space="preserve">111. It should be emphasized here that the adjustment of the penalty to the statutory limit for each of the Parties does not in any way prejudice the observance of the principles of proportionality and individualization of the penalties imposed, as these are respected through the identification of the specific turnover subject to the infringement for each of the participants and the subsequent quantification of the fine with a resulting gradation of the same, for each individual company, based on the elements identified for its correct determination, namely the seriousness of the conduct, the duration of participation, and the existence of aggravating or mitigating circumstances, regardless of the mere accounting data relating to the weight on the statutory limit.  </w:t>
        <w:br/>
        <w:t xml:space="preserve">As for the case at hand, it is noted in any case that the penalties, despite the high severity of the conduct, have all been subject to a significant reduction in order to comply with the legally prescribed statutory limit, which has not resulted in any leveling of the penalties in relation to the contribution made to the agreement since the different Parties participating in the cartel contributed homogeneously to it, that no aggravating or mitigating circumstances were found for any of them, and that their participation in the agreement had a similar duration.  </w:t>
        <w:br/>
        <w:t xml:space="preserve">IT IS DEEMED that Cus.Car. S.r.l., Tre.Car. S.r.l., Ges.Car. SAS di Cusini Bernardo &amp; C., Cu.Ba. S.r.l., Fibo S.r.l., Bondi Carburanti di Bormolini Luigi S.r.l., Silroc S.r.l., Global Service S.r.l. or more briefly Global S.r.l. have engaged in a single, complex, and continuous agreement, in violation of Article 2 of Law No. 287/1990, aimed at fixing the level of the prices requested for the retail sale of fuels for motor vehicles in the reference territory;  </w:t>
        <w:br/>
        <w:t xml:space="preserve">IT IS DEEMED that in light of the documentary evidence on file, there are no grounds to contest the companies C-Energia S.r.l., Market S-Anton di Compagnoni Virgilio &amp; C. SAS, G.M.F. S.r.l., for participation in an anti-competitive agreement in the retail market for fuels for motor vehicles in the territory of Livigno;  </w:t>
        <w:br/>
        <w:t xml:space="preserve">RESOLVES  </w:t>
        <w:br/>
        <w:t xml:space="preserve">a) that the companies Cus.Car. S.r.l., Tre.Car. S.r.l., Ges.Car. SAS di Cusini Bernardo &amp; C., Cu.Ba. S.r.l., Fibo S.r.l., Bondi Carburanti di Bormolini Luigi S.r.l., Silroc S.r.l., Global Service S.r.l. or more briefly Global S.r.l. have engaged in a single, complex, and continuous restrictive agreement on competition, in violation of Article 2 of Law No. 287/1990, consisting of the concerted fixing of future retail prices for fuels for motor vehicles on ordinary road networks in the territory of Livigno;  </w:t>
        <w:br/>
        <w:t xml:space="preserve">b) that the subjects mentioned in the previous point a) immediately cease the aforementioned behaviors and refrain in the future from engaging in similar behaviors to those subject to the infringement established in the previous point;  </w:t>
        <w:br/>
        <w:t xml:space="preserve">c) that, based on what is indicated in the reasoning, the subjects referred to in point a) be imposed the following administrative pecuniary penalties:  </w:t>
        <w:br/>
        <w:t xml:space="preserve">Party Penalty  </w:t>
        <w:br/>
        <w:t xml:space="preserve">Cus.Car. S.r.l., Tre.Car. S.r.l., Ges.Car. S.r.l., Cu.Ba. S.r.l., Fibo S.r.l. in  </w:t>
        <w:br/>
        <w:t xml:space="preserve">€ 2,687,504.20  </w:t>
        <w:br/>
        <w:t>jointly (Cusini Group)</w:t>
      </w:r>
    </w:p>
    <w:p>
      <w:r>
        <w:t xml:space="preserve">BULLETIN NO. 27 OF 17 JULY 2023 151  </w:t>
        <w:br/>
        <w:t xml:space="preserve">*Bormolini Luigi S.r.l. € 233,353.20  </w:t>
        <w:br/>
        <w:t xml:space="preserve">Global S.r.l. € 695,281.40  </w:t>
        <w:br/>
        <w:t xml:space="preserve">Sirloc S.r.l. € 671,048.17  </w:t>
        <w:br/>
        <w:t xml:space="preserve">The administrative penalties referred to in the previous letter c) must be paid within ninety days from the notification of this measure, using the tax codes indicated in the attached model F24 with identifying elements, pursuant to Legislative Decree No. 241/1997. Payment must be made electronically with a debit from one's bank or postal account, through the home banking and CBI services provided by banks or Poste Italiane S.p.A., or by using the telematic services of the Revenue Agency, available on the website www.agenziaentrate.gov.it.  </w:t>
        <w:br/>
        <w:t xml:space="preserve">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689/1981, the amount due for the imposed penalty is increased by one-tenth for each semester starting from the day after the payment deadline until the date on which the role is transmitted to the collection agent; in this case, the increase absorbs the late payment interest accrued during the same period.  </w:t>
        <w:br/>
        <w:t xml:space="preserve">Notification of the payments made must be immediately communicated to the Authority, by sending a copy of the model certifying the payment made.  </w:t>
        <w:br/>
        <w:t xml:space="preserve">Pursuant to Article 26 of the same law, companies in economically disadvantaged conditions may request the installment payment of the penalty.  </w:t>
        <w:br/>
        <w:t xml:space="preserve">This measure will be notified to the interested parties and published in the Bulletin of the Competition and Market Authority.  </w:t>
        <w:br/>
        <w:t xml:space="preserve">Against this measure, an appeal may be filed with the TAR of Lazio, pursuant to Article 135, paragraph 1, letter b), of the Code of Administrative Procedure (Legislative Decree 2 July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24 November 1971, No. 1199, within the term of one hundred and twenty days from the date of notification of the measure itself.  </w:t>
        <w:br/>
        <w:t xml:space="preserve">THE SECRETARY GENERAL THE PRESIDENT  </w:t>
        <w:br/>
        <w:t xml:space="preserve">Guido Stazi Roberto Rustichelli  </w:t>
        <w:br/>
        <w:t>*[Ed. Note] Read “Bondi Carburanti di Bormolini Luigi S.r.l.”.</w:t>
      </w:r>
    </w:p>
    <w:p>
      <w:r>
        <w:rPr>
          <w:b/>
        </w:rPr>
        <w:t>[Pages 151–153]</w:t>
      </w:r>
    </w:p>
    <w:p>
      <w:r>
        <w:t>152 BULLETIN NO. 27 OF 17 JULY 2023</w:t>
      </w:r>
    </w:p>
    <w:p>
      <w:r>
        <w:t xml:space="preserve">BULLETIN NO. 27 OF 17 JULY 2023 153  </w:t>
        <w:br/>
        <w:t xml:space="preserve">I858 - MUNICIPALITY OF LIVIGNO/FUEL PRICES FOR ROAD TRANSPORT  </w:t>
        <w:br/>
        <w:t xml:space="preserve">Measure No. 30704  </w:t>
        <w:br/>
        <w:t xml:space="preserve">THE COMPETITION AND MARKET AUTHORITY  </w:t>
        <w:br/>
        <w:t xml:space="preserve">IN ITS MEETING of 11 July 2023;  </w:t>
        <w:br/>
        <w:t xml:space="preserve">HEARD the Rapporteur, President Roberto Rustichelli;  </w:t>
        <w:br/>
        <w:t xml:space="preserve">HAVING REGARD to Article 101 of the Treaty on the Functioning of the European Union (TFEU);  </w:t>
        <w:br/>
        <w:t xml:space="preserve">HAVING REGARD to Regulation (EC) No. 1/2003 of the Council of 16 December 2002, concerning the application of the competition rules laid down in Articles 81 and 82 of the EC Treaty (now Articles 101 and 102 TFEU);  </w:t>
        <w:br/>
        <w:t xml:space="preserve">HAVING REGARD to Law No. 287 of 10 October 1990;  </w:t>
        <w:br/>
        <w:t xml:space="preserve">HAVING REGARD to Presidential Decree No. 217 of 30 April 1998;  </w:t>
        <w:br/>
        <w:t xml:space="preserve">HAVING REGARD to its own measure of 19 June 2023, No. 30675 (hereinafter also referred to as the Measure), with which the Authority established that the companies Cus.Car. S.r.l., Tre.Car. S.r.l., Ges.Car. SAS di Cusini Bernardo &amp; C., Cu.Ba. S.r.l., Fibo S.r.l., Bondi Carburanti di Bormolini Luigi S.r.l., Silroc S.r.l., Global Service S.r.l. or more briefly Global S.r.l. have engaged in a unique, complex, and continuous restrictive agreement on competition, in violation of Article 2 of Law No. 287/1990, consisting of the concerted fixing of future retail prices of fuels for road transport on the ordinary road network in the territory of Livigno;  </w:t>
        <w:br/>
        <w:t xml:space="preserve">CONSIDERING that, due to a mere clerical error, in the table reported in letter c) of the resolution of the Measure, in identifying the overall sanctions to be imposed on Bondi Carburanti di Bormolini Luigi S.r.l. and Global S.r.l., the company names of Bondi Carburanti di Bormolini Luigi S.r.l. and Global S.r.l. were erroneously reversed;  </w:t>
        <w:br/>
        <w:t xml:space="preserve">CONSIDERING that the clerical error only concerned the table reported in letter c) of the resolution of the Measure, since the table referred to in point 110 of the Measure correctly reports the values of the imposed sanctions, corresponding, for both companies, to the maximum penalty provided for in Article 15 of Law No. 287/1990, amounting to €233,353.20 for Bondi Carburanti di Bormolini Luigi S.r.l. and €695,281.40 for Global S.r.l.;  </w:t>
        <w:br/>
        <w:t xml:space="preserve">IT IS DEEMED, therefore, necessary to proceed with the correction of the clerical error contained in the table reported in letter c) of the resolution of the Measure;  </w:t>
        <w:br/>
        <w:t xml:space="preserve">RESOLVES  </w:t>
        <w:br/>
        <w:t>to correct the measure of 19 June 2023, No. 30675, by replacing the two lines of the table in letter c) of the resolution relating to the parties Bondi Carburanti di Bormolini Luigi S.r.l. and Global S.r.l., with the following:</w:t>
      </w:r>
    </w:p>
    <w:p>
      <w:r>
        <w:t xml:space="preserve">154 BULLETIN NO. 27 OF 17 JULY 2023  </w:t>
        <w:br/>
        <w:t xml:space="preserve">*Bormolini Luigi S.r.l. €233,353.20  </w:t>
        <w:br/>
        <w:t xml:space="preserve">Global S.r.l. €695,281.40  </w:t>
        <w:br/>
        <w:t xml:space="preserve">This measure will be notified to the interested parties and published in the Bulletin of the Competition and Market Authority.  </w:t>
        <w:br/>
        <w:t xml:space="preserve">Against this Measure, an appeal may be submitted to the TAR of Lazio, pursuant to Article 135, paragraph 1, letter b), of the Code of Administrative Procedure (Legislative Decree No. 104 of 2 July 2010), within sixty days from the date of communication of the Measure itself, without prejudice to the longer terms provided for in Article 41, paragraph 5, of the Code of Administrative Procedure, or an extraordinary appeal may be proposed to the President of the Republic, pursuant to Article 8 of the Presidential Decree No. 1199 of 24 November 1971, within the term of one hundred and twenty days from the date of notification of the Measure itself.  </w:t>
        <w:br/>
        <w:t xml:space="preserve">THE SECRETARY GENERAL THE PRESIDENT  </w:t>
        <w:br/>
        <w:t xml:space="preserve">Guido Stazi Roberto Rustichelli  </w:t>
        <w:br/>
        <w:t>*[NdR] Read as “Bondi Carburanti di Bormolini Luigi S.r.l.”.</w:t>
      </w:r>
    </w:p>
    <w:p>
      <w:r>
        <w:rPr>
          <w:b/>
        </w:rPr>
        <w:t>[Pages 154–156]</w:t>
      </w:r>
    </w:p>
    <w:p>
      <w:r>
        <w:t xml:space="preserve">BULLETIN NO. 27 OF 17 JULY 2023 155  </w:t>
        <w:br/>
        <w:t xml:space="preserve">CONCENTRATION OPERATIONS  </w:t>
        <w:br/>
        <w:t xml:space="preserve">C12547 – ACCIAIERIE BERTOLI SAFAU/ROTT-FERR  </w:t>
        <w:br/>
        <w:t xml:space="preserve">Measure No. 30680  </w:t>
        <w:br/>
        <w:t xml:space="preserve">THE COMPETITION AND MARKET AUTHORITY  </w:t>
        <w:br/>
        <w:t xml:space="preserve">IN ITS MEETING of 28 June 2023;  </w:t>
        <w:br/>
        <w:t xml:space="preserve">HEARD the Rapporteur Professor Elisabetta Iossa;  </w:t>
        <w:br/>
        <w:t xml:space="preserve">HAVING REGARD to Regulation (EC) No. 139/2004 of the Council, of 20 January 2004, concerning the control of concentrations between undertakings;  </w:t>
        <w:br/>
        <w:t xml:space="preserve">HAVING REGARD to Law No. 287 of 10 October 1990;  </w:t>
        <w:br/>
        <w:t xml:space="preserve">HAVING REGARD to Presidential Decree No. 217 of 30 April 1998;  </w:t>
        <w:br/>
        <w:t xml:space="preserve">HAVING REGARD to the act of the company Acciaierie Bertoli Safau S.p.A., received on 9 June 2023;  </w:t>
        <w:br/>
        <w:t xml:space="preserve">HAVING REGARD to the documentation on file;  </w:t>
        <w:br/>
        <w:t xml:space="preserve">CONSIDERING the following:  </w:t>
        <w:br/>
        <w:t xml:space="preserve">I. THE PARTIES  </w:t>
        <w:br/>
        <w:t xml:space="preserve">1. Acciaierie Bertoli Safau S.p.A. (hereinafter, ABS) is a company active in the production and marketing of special steels, which purchases part of the raw material it uses from Rott-Ferr S.r.l.  </w:t>
        <w:br/>
        <w:t xml:space="preserve">2. ABS is controlled by Danieli &amp; C. Officine Meccaniche S.p.A., the parent company of the eponymous Danieli Group, which is in turn controlled by SIND International S.r.l.; the ownership of SIND International S.r.l. can be traced back to the Mareschi Danieli family and the Benedetti family.  </w:t>
        <w:br/>
        <w:t xml:space="preserve">3. In 2022, the Danieli Group achieved a consolidated worldwide turnover of approximately €3.6 billion, of which approximately [1-2]* billion euros were from sales in the European Union and approximately [1-2] billion euros from sales in Italy.  </w:t>
        <w:br/>
        <w:t xml:space="preserve">4. Rott-Ferr S.r.l. (hereinafter, Rott-Ferr or the Company) is a company active in the retail and wholesale trade, import and export of steel products and goods and materials resulting from its processing, and manages, on its own behalf or on behalf of private individuals and public entities, facilities for the temporary storage of ferrous and non-ferrous scrap.  </w:t>
        <w:br/>
        <w:t xml:space="preserve">5. The share capital of Rott-Ferr is held 80% by 3D Immobiliare S.r.l. and 20% by a natural person (hereinafter, the sellers).  </w:t>
        <w:br/>
        <w:t xml:space="preserve">6. Rott-Ferr, in 2022, achieved a worldwide turnover of approximately €34.2 million, of which approximately [32-100] million euros were from sales in the European Union and approximately [32-100] million euros from sales in Italy.  </w:t>
        <w:br/>
        <w:t xml:space="preserve">II. DESCRIPTION OF THE OPERATION  </w:t>
        <w:br/>
        <w:t xml:space="preserve">7. The notified operation concerns the acquisition, by ABS, of the entire share capital of Rott-Ferr.  </w:t>
        <w:br/>
        <w:t>* In this version, some data are omitted, as elements of confidentiality or secrecy of the information were deemed to exist.</w:t>
      </w:r>
    </w:p>
    <w:p>
      <w:r>
        <w:t xml:space="preserve">156 BULLETIN NO. 27 OF 17 JULY 2023  </w:t>
        <w:br/>
        <w:t xml:space="preserve">8. In particular, the preliminary sale contract concluded between the parties, subject to the occurrence of (or waiver of) certain suspensive conditions, including the unconditional approval of the operation by the Authority, provides that ABS acquires from the two partners of Rott-Ferr – namely, the company 3D Immobiliare S.r.l. and a natural person – 80% and 20% of the share capital of Rott-Ferr, respectively.  </w:t>
        <w:br/>
        <w:t xml:space="preserve">9. In order to preserve the value of the acquired company following the completion of the operation, and considering that it involves, among other things, the transfer of goodwill and know-how, the preliminary contract also provides for a non-competition agreement lasting three years from the completion of the operation, whereby the sellers undertake not to engage directly or indirectly in activities in competition with Rott-Ferr. The scope of the agreement, which also includes a non-solicitation clause for Rott-Ferr's customers, suppliers, employees, agents, or consultants, is limited based on the material and geographical scope of Rott-Ferr's activities.  </w:t>
        <w:br/>
        <w:t xml:space="preserve">III. QUALIFICATION OF THE OPERATION  </w:t>
        <w:br/>
        <w:t xml:space="preserve">10. The notified operation, as it involves the acquisition of exclusive control of a company, constitutes a concentration within the meaning of Article 5, paragraph 1, letter b), of Law No. 287/1990.  </w:t>
        <w:br/>
        <w:t xml:space="preserve">11. It falls within the scope of application of Law No. 287/1990, as the conditions set out in Article 1 of Regulation (EC) No. 139/2004 do not apply, and is subject to the obligation of prior notification provided for by Article 16, paragraph 1, of the same law, as the total turnover achieved in the last financial year at the national level by the group of companies involved was over €532 million and the turnover achieved individually at the national level by at least two of the companies involved was over €32 million.  </w:t>
        <w:br/>
        <w:t xml:space="preserve">12. The non-competition agreement signed by the parties and described in the previous paragraph can be considered directly connected and necessary for the realization of the concentration operation in question, as it is functional to safeguarding the value of the acquired company, provided that it does not prevent the sellers from acquiring or holding shares solely for financial investment purposes1.  </w:t>
        <w:br/>
        <w:t xml:space="preserve">13. The non-solicitation agreement signed by the parties and described in the previous paragraph can be considered directly connected and necessary for the realization of the concentration operation in question, as it is functional to safeguarding the value of the acquired company2.  </w:t>
        <w:br/>
        <w:t xml:space="preserve">IV. EVALUATION OF THE CONCENTRATION  </w:t>
        <w:br/>
        <w:t xml:space="preserve">The relevant market  </w:t>
        <w:br/>
        <w:t xml:space="preserve">14. Considering the activity of the company subject to acquisition, the operation concerns the market for the collection, treatment, and trade of ferrous and non-ferrous metal waste3. Regarding the geographical dimension of this market, in its previous decisions, the Authority has hypothesized that it could also be supranational, considering the significant import flows into Italy, while leaving the definition open in such cases4. However, for the purposes of the present operation, it does not seem necessary to arrive at an exact definition of the geographical market as the competitive assessment of the operation would not change.  </w:t>
        <w:br/>
        <w:t xml:space="preserve">Effects of the operation  </w:t>
        <w:br/>
        <w:t xml:space="preserve">15. In the market for the collection, treatment, and trade of ferrous and non-ferrous metal waste, at the national level, Rott-Ferr holds a share of [less than 1%] approximately5.  </w:t>
        <w:br/>
        <w:t xml:space="preserve">16. ABS (and more generally the Danieli Group) does not operate in the market for the collection, treatment, and trade of ferrous and non-ferrous metal waste. The Danieli Group operates in the downstream market of the production and marketing of steel products. The two markets are vertically integrated as metal scrap is one of the raw materials used to produce steel material. Specifically, the buyer, the Danieli Group, is active in the markets of (i) production and marketing of semi-finished products, (ii) production and marketing of finished long products in carbon steel, and (iii) production of special steel products, with a supranational geographical dimension that coincides with the EEA (European Economic Area) or with the territory of the European Union6, in each of which it holds shares of less than 5%.  </w:t>
        <w:br/>
        <w:t xml:space="preserve">17. Numerous and qualified competitors are present in these markets.  </w:t>
        <w:br/>
        <w:t xml:space="preserve">18. In light of the above considerations, the concentration in question does not appear to be capable of significantly hindering effective competition in the relevant markets or of resulting in the establishment or strengthening of a dominant position.  </w:t>
        <w:br/>
        <w:t xml:space="preserve">IT IS DEEMED that the non-competition agreements can be considered ancillary to the present operation only within the limits indicated above and that the Authority reserves the right to evaluate, where the conditions exist, the aforementioned agreements if they exceed those limits;  </w:t>
        <w:br/>
        <w:t xml:space="preserve">IT IS DEEMED, therefore, that the operation in question does not significantly hinder effective competition in the relevant markets, pursuant to Article 6, paragraph 1, of Law No. 287/1990, and does not result in the establishment or strengthening of a dominant position;  </w:t>
        <w:br/>
        <w:t xml:space="preserve">RESOLVES  </w:t>
        <w:br/>
        <w:t xml:space="preserve">not to initiate the investigation referred to in Article 16, paragraph 4, of Law No. 287/1990.  </w:t>
        <w:br/>
        <w:t xml:space="preserve">The above conclusions will be communicated, pursuant to Article 16, paragraph 4, of Law No. 287/1990, to the companies involved and to the Minister of Enterprises and Made in Italy.  </w:t>
        <w:br/>
        <w:t xml:space="preserve">This measure will be published in the Bulletin of the Competition and Market Authority.  </w:t>
        <w:br/>
        <w:t xml:space="preserve">THE SECRETARY GENERAL THE PRESIDENT  </w:t>
        <w:br/>
        <w:t xml:space="preserve">Guido Stazi Roberto Rustichelli  </w:t>
        <w:br/>
        <w:t xml:space="preserve">4 See ibidem.  </w:t>
        <w:br/>
        <w:t xml:space="preserve">5 It is specified that, according to what was communicated by the Parties, the share refers only to the collection activity and not also to the marketing activity, as there is no official data at the EU level.  </w:t>
        <w:br/>
        <w:t>6 See measure No. 30309 of 30 September 2022, C12484 – Riva Acier/Asset di Derichebourg Environnement, cited.</w:t>
      </w:r>
    </w:p>
    <w:p>
      <w:r>
        <w:rPr>
          <w:b/>
        </w:rPr>
        <w:t>[Pages 157–159]</w:t>
      </w:r>
    </w:p>
    <w:p>
      <w:r>
        <w:t>158 BULLETIN NO. 27 OF 17 JULY 2023</w:t>
      </w:r>
    </w:p>
    <w:p>
      <w:r>
        <w:t xml:space="preserve">BULLETIN NO. 27 OF 17 JULY 2023 159  </w:t>
        <w:br/>
        <w:t xml:space="preserve">UNFAIR COMMERCIAL PRACTICES  </w:t>
        <w:br/>
        <w:t xml:space="preserve">IP363 - E-COMMERCE SPECIALIST-HWONLINE/ONLINE SALES  </w:t>
        <w:br/>
        <w:t xml:space="preserve">Measure No. 30700  </w:t>
        <w:br/>
        <w:t xml:space="preserve">THE COMPETITION AND MARKET AUTHORITY  </w:t>
        <w:br/>
        <w:t xml:space="preserve">IN ITS MEETING of 28 June 2023;  </w:t>
        <w:br/>
        <w:t xml:space="preserve">HEARD the Rapporteur, Professor Elisabetta Iossa;  </w:t>
        <w:br/>
        <w:t xml:space="preserve">HAVING REGARD to Part II, Title III, of Legislative Decree No. 206 of 6 September 2005, containing the “Consumer Code” and subsequent amendments (hereinafter, Consumer Code);  </w:t>
        <w:br/>
        <w:t xml:space="preserve">HAVING REGARD, in particular, to Article 27, paragraph 12, of the Consumer Code, as last amended by Article 1, paragraph 7, of Legislative Decree No. 26 of 7 March, which came into force on 2 April 2023, pursuant to which in the event of non-compliance with urgent measures or those prohibiting or removing effects, the Authority applies an administrative pecuniary sanction from €10,000 to €10,000,000 and, in cases of repeated non-compliance, the Authority may order the suspension of business activities for a period not exceeding thirty days;  </w:t>
        <w:br/>
        <w:t xml:space="preserve">HAVING REGARD to Law No. 689 of 24 November 1981;  </w:t>
        <w:br/>
        <w:t xml:space="preserve">HAVING REGARD to its own resolution of 18 October 2022, No. 30349 (PS12240), with which the Authority established the unfairness of the commercial practices carried out by the company E-Commerce Specialist S.r.l. (hereinafter also “ECS,” the “Professional” or the “Company”) consisting of: (a) the dissemination of misleading information regarding the characteristics and delivery times of products sold through its website, as well as the adoption of unfair methods in the online sales process (hereinafter also “Practice A”) and (b) the delayed/failure to deliver products sold online, the omission or inadequate provision of post-sale assistance services, and the obstruction of consumers' rights of withdrawal and refund (hereinafter also “Practice B”);  </w:t>
        <w:br/>
        <w:t xml:space="preserve">HAVING REGARD to its own resolution of 28 February 2023, No. 30502, with which the Authority contested to the company E-Commerce Specialist S.r.l. the violation of Article 27, paragraph 12, of the Consumer Code, for failing to comply with the aforementioned resolution of 18 October 2022, No. 30349;  </w:t>
        <w:br/>
        <w:t xml:space="preserve">HAVING REGARD to the documents of the procedure;  </w:t>
        <w:br/>
        <w:t xml:space="preserve">CONSIDERING the following:  </w:t>
        <w:br/>
        <w:t xml:space="preserve">I. PREMISE  </w:t>
        <w:br/>
        <w:t xml:space="preserve">1. By measure of 18 October 2022, No. 30349 (hereinafter also “Measure”), closing the PS12240 procedure, the Authority established that the Professional engaged in two unfair commercial practices in the context of online sales through the website hwonline.it, consisting of:  </w:t>
        <w:br/>
        <w:t xml:space="preserve">Practice A) unfairness of the information regarding the characteristics of the offers as well as the online sales process, in violation of Articles 20, 21, 22, 24, and 25 of the Consumer Code;  </w:t>
        <w:br/>
        <w:t xml:space="preserve">Practice B) adoption of unlawful methods of managing the phase following the online purchase, in violation of Articles 20, 22, 24, and 25 of the Consumer Code.  </w:t>
        <w:br/>
        <w:t xml:space="preserve">2. Specifically regarding the conduct, with reference to Practice A, the unfairness of a set of behaviors carried out by the Professional during the promotion of products online and at the moment of concluding the related purchase contract was established. The omission of information and/or the dissemination of misleading indications regarding the actual availability of products was criticized, as the goods presented as available were not physically present in the Company’s warehouses or stores, and regarding the sales method through dropshipping, as well as the misleading representation of the delivery times of the products purchased online, which, in many cases, turned out to be unreliable and inaccurate, where they were not entirely omitted in the fundamental phase of the first contact with consumers, at the moment prior to the conclusion of the contract1.  </w:t>
        <w:br/>
        <w:t xml:space="preserve">3. Within the same practice, the methods of managing the online sales process were also considered unfair, specifically regarding the immediate charge of payment for products purchased online by consumers and/or the blocking of the amount of the price on the spending limit on their credit cards at the time of the online order and, therefore, before the contract was perfected, frequently resorting to the unilateral cancellation of purchase orders2.  </w:t>
        <w:br/>
        <w:t xml:space="preserve">4. As for Practice B, the Authority established the unfairness of a series of behaviors carried out by the Professional in the phase following the online purchase, which consisted of the failure to deliver products sold on the aforementioned website and already paid for by consumers, as well as the omission of information regarding tracking and the status of shipment of orders.  </w:t>
        <w:br/>
        <w:t xml:space="preserve">5. Within the same unfair commercial practice, further conduct was also criticized, consisting of obstructing the exercise of consumers' rights of withdrawal and/or refund following the delayed/failure to deliver products and/or unilaterally canceling the order3. The issues inherent in the management of orders and internal procedures for withdrawal and refund also assumed obstructive significance, as well as the inadequacy of ECS's business processes that do not allow for a complete and effective handling of data, determining the impossibility of monitoring the entire refund process and establishing the time elapsed between the customer's request for order cancellation and the actual reversal of payment. Specifically, the insufficient level of automation of internal management procedures was noted, with the consequent need to manually carry out complex activities that, regarding refunds, were performed directly by some company employees, effectively entrusting the management of refunds to some company employees, which were scheduled according to the Company's cash availability and executed manually, prioritizing the most recent requests, since for older requests the reputational damage was considered already consumed4.  </w:t>
        <w:br/>
        <w:t xml:space="preserve">6. In this context, the omission or inadequate provision of post-sale assistance services was also noted, which consisted of the extreme difficulty of contacting the Professional, the unjustified extension of waiting times, and the failure to respond to consumers' requests5.  </w:t>
        <w:br/>
        <w:t xml:space="preserve">7. In light of the above, the Authority prohibited the further dissemination and continuation of the described unfair commercial practices, ordering the Professional to communicate, within  </w:t>
        <w:br/>
        <w:t xml:space="preserve">1 See paragraphs 119-122 of the measure.  </w:t>
        <w:br/>
        <w:t xml:space="preserve">2 See paragraphs 130-132 of the measure.  </w:t>
        <w:br/>
        <w:t xml:space="preserve">3 See paragraphs 141-142 of the measure.  </w:t>
        <w:br/>
        <w:t xml:space="preserve">4 See paragraph 149 of the measure.  </w:t>
        <w:br/>
        <w:t>5 See paragraph 154 of the measure.</w:t>
      </w:r>
    </w:p>
    <w:p>
      <w:r>
        <w:rPr>
          <w:b/>
        </w:rPr>
        <w:t>[Pages 160–162]</w:t>
      </w:r>
    </w:p>
    <w:p>
      <w:r>
        <w:t xml:space="preserve">BULLETIN NO. 27 OF 17 JULY 2023 161  </w:t>
        <w:br/>
        <w:t xml:space="preserve">sixty days from the notification of the measure – which took place on 24 October 2022 – the initiatives taken in compliance with the warning referred to in points a) and b) of Measure No. 30349/20226.  </w:t>
        <w:br/>
        <w:t xml:space="preserve">II. THE INITIATIVES TAKEN IN COMPLIANCE WITH THE WARNING  </w:t>
        <w:br/>
        <w:t xml:space="preserve">8. ECS has not submitted any compliance report regarding the measures taken to eliminate the censured and sanctioned unfair commercial practices. Furthermore, from official investigations carried out, it appears that the Professional has not modified the Hwonline website7 and has not ceased the conduct related to missed deliveries, missed refunds, and, more generally, the lack of customer assistance. In this regard, it is noted that the aforementioned website continued to display the same indications regarding the availability of products and their delivery times that were deemed incorrect and likely to mislead consumers; it was also found that the management of the online purchasing process continued to be conducted in an unfair manner. Complaints and criticisms regarding ECS's behavior continued to appear on consumer experience review websites (see, for example, Trustpilot, Eshoppingadvisor)8, where consumers reported that, despite having purchased products that were regularly paid for, they did not receive the products months after the purchase and did not receive refunds for the amounts paid.  </w:t>
        <w:br/>
        <w:t xml:space="preserve">III. THE INITIATION AND PROCESS OF THE CURRENT NON-COMPLIANCE PROCEDURE  </w:t>
        <w:br/>
        <w:t xml:space="preserve">9. In light of the above, the Authority, with Measure No. 30502 of 28 February 2023, contested to E-Commerce Specialist S.r.l. the violation of Article 27, paragraph 12, of the Consumer Code, for failing to comply with the aforementioned resolution of 18 October 2022, No. 30349.  </w:t>
        <w:br/>
        <w:t xml:space="preserve">10. In particular, with specific reference to the conduct deemed unfair within Practice A, the following repeated behaviors emerged: i) use of unfair methods to indicate the availability of products, without adequately informing consumers that the products are not available at the Professional's warehouses and must be supplied by third-party operators; ii) omission of correct information regarding the delivery times of products sold online.  </w:t>
        <w:br/>
        <w:t xml:space="preserve">11. Regarding the unlawful behaviors attributable to Practice B, some documentary evidence acquired after the notification of the measure indicates the possible repetition by ECS of conduct characterized by the same profiles of unlawfulness already censured in the Measure, particularly with reference to the cases of non-delivery and obstruction to the exercise of consumers' rights of withdrawal and refund.  </w:t>
        <w:br/>
        <w:t xml:space="preserve">12. The measure initiating the current non-compliance procedure (IP363) regarding the resolution of 18 October 2022, No. 30349, was notified to ECS via Certified Email on 9 March 2023, in order to allow it to fully exercise its right of defense.  </w:t>
        <w:br/>
        <w:t xml:space="preserve">13. On 12 April 2023, the Company was notified of the summons for a hearing on 27 April 2023, but the Professional neither appeared at the hearing nor submitted responses or justifications for the absence. Similarly, ECS did not submit any defenses or documents throughout the entire procedure.  </w:t>
        <w:br/>
        <w:t xml:space="preserve">6 With order No. 520 of 26 January 2023, the Lazio TAR rejected, in a precautionary manner, the appeal against the measure for lack of both periculum in mora and fumus boni iuris.  </w:t>
        <w:br/>
        <w:t xml:space="preserve">7 See the minutes of the acquisition of the pages of the Hwonline website on 15 January 2023 and 20 February 2023.  </w:t>
        <w:br/>
        <w:t>8 See the minutes of the acquisition of the pages of the TrustPilot website and the Eshoppingadvisor website on 20 February 2023.</w:t>
      </w:r>
    </w:p>
    <w:p>
      <w:r>
        <w:t xml:space="preserve">162 BULLETIN NO. 27 OF 17 JULY 2023  </w:t>
        <w:br/>
        <w:t xml:space="preserve">14. On 7 May 2023, the Company was sent a communication regarding the deadline for submitting concluding statements and the conclusion of the investigative phase, but, even following this communication, it did not send any statements or defenses.  </w:t>
        <w:br/>
        <w:t xml:space="preserve">IV. THE OUTCOMES OF THE PROCEDURE  </w:t>
        <w:br/>
        <w:t xml:space="preserve">15. From the official investigations carried out during the procedure, it emerged that ECS has repeated the conduct identified as unlawful in Measure No. 30349/2022, attributable to Practice A and, in particular, related to the dissemination of misleading information about the characteristics of commercial offers, specifically regarding the availability and delivery times of products, as well as the unfair management of the online purchasing process9. Regarding the behaviors related to Practice B, concerning the management of the post-sale phase, elements have emerged from official investigations that configure a repetition by the Professional of the conduct identified as unlawful in Measure No. 30349/202210.  </w:t>
        <w:br/>
        <w:t xml:space="preserve">16. From the evidence on record, it appears, first of all, that the Hwonline website has not adopted suitable measures to comply with the warning contained in Measure No. 30349/2022, deemed necessary to inform consumers about the sales conditions and the actual delivery times of the products, continuing instead to use ambiguous and unfair methods to indicate the availability of products.  </w:t>
        <w:br/>
        <w:t xml:space="preserve">17. Furthermore, on the product pages present on the site, next to the wording "available," there is an indication of the days required for delivery (for example, seven days) and a generic reference to the fact that shipping occurs "from our internal logistics" or "from an external supplier." Nowhere on the website is there a description of the methods of replenishing the goods, nor is it clearly and adequately indicated that the goods are not physically present in the central warehouse and that it is necessary to check availability with third-party suppliers.  </w:t>
        <w:br/>
        <w:t xml:space="preserve">18. The unfairness of the aforementioned informational methods is aggravated by the fact that ECS has continued to perpetuate the omission of information regarding the fact that it operates in dropshipping and, therefore, does not hold the physical availability of the goods marketed on its Site (indicating them as "available"), but must instead procure them from third-party suppliers who fulfill the orders. This method of supplying goods does not appear to have been modified following the aforementioned Measure No. 30349/2022 of the Authority.  </w:t>
        <w:br/>
        <w:t xml:space="preserve">19. The Professional has persisted in the omission of information regarding the delivery times of products sold online, continuing to omit - both on the homepage and on the product pages - the delivery date of the order, limiting itself to providing a standard timeframe.  </w:t>
        <w:br/>
        <w:t xml:space="preserve">20. There has been no change, after the notification of the aforementioned Measure, regarding the immediate blocking of the ceiling, resulting in the freezing of the amount corresponding to the purchase price at the time of the online order and before the conclusion of the contract, reserving the right to exercise the option to cancel orders still governed by the general sales conditions.  </w:t>
        <w:br/>
        <w:t xml:space="preserve">21. Similarly, there has been no change in the conduct already censured in the previous Measure regarding the non-delivery of products purchased and regularly paid for by consumers and the lack of assistance in the post-sale management phase. In this regard, the reviews and complaints present on review sites, acquired in the official records, are noteworthy.  </w:t>
        <w:br/>
        <w:t xml:space="preserve">22. In particular, on the Eshoppingadvisor site, of the seventy reports listed there, 89% have a "poor" rating, as demonstrated by the experience of some consumers who complain of having purchased products on the Hwonline website (refrigerator, workstation, etc.) but never received the paid goods and are unable to obtain a refund for the amounts paid. Also, on Trustpilot, out of 1,089 reviews, about 70% report a negative value; for example, a consumer reported in May 2023: "this seller [...] does not ship the products and does not refund you, you just have to report to get your money back." Also in May 2023, another consumer stated that they purchased a phone but, three weeks after the purchase and payment, had no news of their order.11  </w:t>
        <w:br/>
        <w:t xml:space="preserve">V. EVALUATIONS  </w:t>
        <w:br/>
        <w:t xml:space="preserve">23. In light of the overall elements acquired officially during the investigative phase of the procedure, it is believed that the behavior exhibited by ECS constitutes non-compliance with letters a) and b) of the device of the resolution of 18 October 2022, No. 30349, as based on the evidence acquired in the records, the Professional – in addition to having submitted no compliance report regarding the measures taken to eliminate the identified and sanctioned unfair commercial practices with the Measure – appears to have repeated the conduct already identified as unlawful by the Authority, pursuant to Articles 20, 21, 22, 24, and 25 of the Consumer Code, in violation of the warning contained in the aforementioned Measure.  </w:t>
        <w:br/>
        <w:t xml:space="preserve">24. In particular, as indicated in the initiation measure of the current procedure IP363 and illustrated in the paragraphs of this measure relating to the outcomes of the procedure, from the documentary evidence on record, it emerged that after the notification of the aforementioned Measure No. 30349/2022, the company did not make those changes to its website deemed necessary to provide consumers with clear and explicit information regarding the dropshipping method used to acquire the physical availability of the marketed goods and continued to provide misleading indications about the availability of products, qualifying all goods offered for sale online as "available" even though they were not physically present in the Company's warehouses.  </w:t>
        <w:br/>
        <w:t xml:space="preserve">25. Furthermore, the Professional has persisted in omitting to inform consumers about the delivery times of the products offered for sale online, reiterating the informational deficit already sanctioned for having omitted a relevant piece of information that the average consumer needs from the first contact to make an informed purchasing decision.  </w:t>
        <w:br/>
        <w:t xml:space="preserve">26. Finally, ECS has continued its e-commerce activity through unfair methods of managing the online sales process, imposing the immediate blocking of the ceiling/charge for the amount corresponding to the purchase price of the good at the time of the online order (and therefore at a stage prior to the conclusion of the contract).  </w:t>
        <w:br/>
        <w:t xml:space="preserve">27. Lastly, as also evidenced by consumer complaints, the Professional has continued the conduct consisting of the non-delivery of products already regularly paid for by consumers and obstructive behaviors in response to requests for refunds of the amounts paid.  </w:t>
        <w:br/>
        <w:t xml:space="preserve">28. In light of the above, it is believed that the overall behavior exhibited by ECS subsequent to the Authority's measure of 18 October 2022, No. 30349, constitutes non-compliance with the warning of the aforementioned Measure, in violation of Article 27, paragraph 12, of the Consumer Code.  </w:t>
        <w:br/>
        <w:t>11 See the minutes of acquisition in the records of 7 June 2023.</w:t>
      </w:r>
    </w:p>
    <w:p>
      <w:r>
        <w:rPr>
          <w:b/>
        </w:rPr>
        <w:t>[Pages 163–165]</w:t>
      </w:r>
    </w:p>
    <w:p>
      <w:r>
        <w:t xml:space="preserve">164 BULLETIN NO. 27 OF 17 JULY 2023  </w:t>
        <w:br/>
        <w:t xml:space="preserve">VI. QUANTIFICATION OF THE PENALTY  </w:t>
        <w:br/>
        <w:t xml:space="preserve">29. Pursuant to Article 27, paragraph 12, of the Consumer Code - as last amended by Article 1, paragraph 7, of Legislative Decree No. 26 of 7 March, which came into force on 2 April 2023 - in the event of non-compliance with urgent measures and those prohibiting or removing the effects referred to in paragraphs 3, 8, and 10 of the same Article 27, and in the event of failure to comply with the commitments undertaken pursuant to paragraph 7, the Authority applies an administrative pecuniary sanction ranging from €10,000 to €10,000,000, also taking into account the economic and asset conditions of the professional.  </w:t>
        <w:br/>
        <w:t xml:space="preserve">30. Regarding the quantification of the penalty, account must be taken, where applicable, of the criteria identified by Article 11 of Law No. 689/1981, by virtue of the reference provided in Article 27, paragraph 13, of the Consumer Code: in particular, the severity of the violation, the efforts made by the company to eliminate or mitigate the infringement, as well as the economic conditions of the company itself.  </w:t>
        <w:br/>
        <w:t xml:space="preserve">31. From the perspective of the severity of the violation, the following elements are relevant for the Professional: i) the economic size of E-Commerce Specialist S.r.l., which in the last available financial statement, closed on 31 December 2020, recorded a turnover of over €4 million12; ii) the specificity of the e-commerce sector, which places the purchasing consumer in a position of inevitable informational asymmetry compared to online sellers; iii) the extensive repetition of unlawful conduct, due to the information conveyed via the internet and the online sales methods, which have the capacity to quickly reach a very high number of consumers located throughout the national territory; iv) the plurality of repeated profiles of unlawfulness and the specific type of infringements, which pertain to a very delicate phase of the consumer relationship, that of the first advertising contact in which the "hook" effect on the consumer occurs based on the presentation of the characteristics of the commercial offer, and are also characterized by a significant degree of offensiveness due to the unfair and insidious methods of the overall online purchasing process, given the immediate charge/block of the payment regardless of the actual conclusion of the distance purchase contract.  </w:t>
        <w:br/>
        <w:t xml:space="preserve">32. As for the duration, the elements acquired in the records show that the non-compliance with the warning referred to in the Measure has been continuously perpetrated by the Professional since 24 October 2022, the date of notification of the Resolution of 18 October 2022, No. 30349, and has not yet ceased.  </w:t>
        <w:br/>
        <w:t xml:space="preserve">33. Based on these elements, it is deemed appropriate to impose on E-Commerce Specialist S.r.l. an administrative pecuniary sanction, in total, of €360,000 (three hundred sixty thousand euros), taking into account the unitary nature of the conduct engaged in by the Professional in the repeated violation of the warning contained in the Resolution of 18 October 2022, No. 30349. In light of the aforementioned considerations, this amount is, on the one hand, fully proportionate also considering the maximum penalty provided for even prior to the aforementioned legislative amendment (being less than 1/10 of it); on the other hand, the aforementioned amount appears necessary to ensure that the penalty has an adequate deterrent function, both general and specific.  </w:t>
        <w:br/>
        <w:t xml:space="preserve">All of the above being stated and considered;  </w:t>
        <w:br/>
        <w:t>12 Last financial statement filed and available in the Telemaco database of the Chambers of Commerce.</w:t>
      </w:r>
    </w:p>
    <w:p>
      <w:r>
        <w:t xml:space="preserve">BULLETIN NO. 27 OF 17 JULY 2023 165  </w:t>
        <w:br/>
        <w:t xml:space="preserve">RESOLVES  </w:t>
        <w:br/>
        <w:t xml:space="preserve">a) that the behavior of the company E-Commerce Specialist S.r.l., consisting of having violated the resolution of 18 October 2022, No. 30349, constitutes non-compliance with the latter;  </w:t>
        <w:br/>
        <w:t xml:space="preserve">b) to impose on the company E-Commerce Specialist S.r.l. an administrative pecuniary sanction of €360,000 (three hundred sixty thousand euros).  </w:t>
        <w:br/>
        <w:t xml:space="preserve">The administrative penalties imposed must be paid within thirty days from the notification of this measure, using the tax codes indicated in the attached F24 model with identifying elements, pursuant to Legislative Decree No. 241/1997.  </w:t>
        <w:br/>
        <w:t xml:space="preserve">Payment must be made electronically with a debit from one's bank or postal account, through the home banking and CBI services provided by banks or by Poste Italiane S.p.A., or by using the telematic services of the Revenue Agency, available on the website www.agenziaentrate.gov.it.  </w:t>
        <w:br/>
        <w:t xml:space="preserve">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689/1981, the amount due for the imposed penalty is increased by one-tenth for each semester starting from the day following the expiration of the payment deadline until the role is transmitted to the collection agent; in this case, the increase absorbs the late interest accrued in the same period.  </w:t>
        <w:br/>
        <w:t xml:space="preserve">Immediate notification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the event of non-compliance with the measure, the Authority applies an administrative pecuniary sanction ranging from €10,000 to €10,000,000. In cases of repeated non-compliance, the Authority may order the suspension of business activity for a period not exceeding thirty days.  </w:t>
        <w:br/>
        <w:t xml:space="preserve">Against this measure, an appeal may be submitted to the TAR of Lazio, pursuant to Article 135, paragraph 1, letter b), of the Administrative Procedure Code (Legislative Decree No. 104 of 2 July 2010), within sixty days from the date of notification of the measure itself, without prejudice to the longer terms referred to in Article 41, paragraph 5, of the Administrative Procedure Code, or an extraordinary appeal may be proposed to the President of the Republic, pursuant to Article 8 of the Decree of the President of the Republic No. 1199 of 24 November 1971, within one hundred twenty days from the date of notification of the measure itself.  </w:t>
        <w:br/>
        <w:t xml:space="preserve">THE SECRETARY GENERAL THE PRESIDENT  </w:t>
        <w:br/>
        <w:t>Guido Stazi Roberto Rustichelli</w:t>
      </w:r>
    </w:p>
    <w:p>
      <w:r>
        <w:t>166 BULLETIN NO. 27 OF 17 JULY 2023</w:t>
      </w:r>
    </w:p>
    <w:p>
      <w:r>
        <w:rPr>
          <w:b/>
        </w:rPr>
        <w:t>[Pages 166–168]</w:t>
      </w:r>
    </w:p>
    <w:p>
      <w:r>
        <w:t xml:space="preserve">BULLETIN NO. 27 OF 17 JULY 2023 167  </w:t>
        <w:br/>
        <w:t xml:space="preserve">PS12313 - ETORO/ADVERTISING WITHOUT COMMISSIONS  </w:t>
        <w:br/>
        <w:t xml:space="preserve">Measure No. 30701  </w:t>
        <w:br/>
        <w:t xml:space="preserve">THE COMPETITION AND MARKET AUTHORITY  </w:t>
        <w:br/>
        <w:t xml:space="preserve">IN ITS MEETING of 28 June 2023;  </w:t>
        <w:br/>
        <w:t xml:space="preserve">HEARD the Rapporteur, Professor Elisabetta Iossa;  </w:t>
        <w:br/>
        <w:t xml:space="preserve">HAVING REGARD to Part II, Title III, of Legislative Decree No. 206 of 6 September 2005, containing the “Consumer Code”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  </w:t>
        <w:br/>
        <w:t xml:space="preserve">HAVING REGARD to the communication of 12 April 2022, which initiated procedure PS/12313 against the company eToro Europe Ltd;  </w:t>
        <w:br/>
        <w:t xml:space="preserve">HAVING REGARD to its own decision of 19 July 2022, which, pursuant to Article 7, paragraph 3, of the Regulation, ordered the extension of the deadline for concluding the procedure, due to the need to examine the findings in the documents for the assessment of the cases subject to the procedure in question;  </w:t>
        <w:br/>
        <w:t xml:space="preserve">HAVING REGARD to its own decisions of 20 December 2022 and 28 February 2023, which, pursuant to Article 7, paragraph 3, of the Regulation, ordered the extension of the deadline for concluding the procedure, due to the need to examine the findings in the documents for the assessment of the cases subject to the procedure in question, as well as its own decision of 18 April 2023, which, pursuant to Article 7, paragraph 3, of the Regulation, ordered the extension of the deadline for concluding the procedure, in order to carry out the necessary actions aimed at concluding the procedure;  </w:t>
        <w:br/>
        <w:t xml:space="preserve">HAVING REGARD to the documents of the procedure;  </w:t>
        <w:br/>
        <w:t xml:space="preserve">I. THE PARTIES  </w:t>
        <w:br/>
        <w:t xml:space="preserve">1. eToro Europe Ltd (hereinafter also eToro, the Professional or the Company), as a Professional, pursuant to Article 18, letter b), of the Consumer Code, having its registered office in Cyprus. The company is a multinational that engages in financial intermediation and provides investment/online trading services.  </w:t>
        <w:br/>
        <w:t xml:space="preserve">2. FinecoBank S.p.A. (hereinafter also Fineco), as the reporting and intervening party in the procedure.  </w:t>
        <w:br/>
        <w:t xml:space="preserve">II. THE COMMERCIAL PRACTICE  </w:t>
        <w:br/>
        <w:t xml:space="preserve">3. The procedure concerns a commercial practice carried out by eToro, regarding the offer of financial instruments and investment services, disseminated through its online platform.  </w:t>
        <w:br/>
        <w:t xml:space="preserve">4. The company eToro is a financial intermediary that develops and manages an online investment platform in various types of assets, in order to offer its clients the possibility to invest and trade in multiple types of products, under a free provision regime. The Professional, also referred to as a stockbroker and/or online broker, operates, upon authorization, in the financial markets on behalf of investors, carrying out electronic trading of financial products.  </w:t>
        <w:br/>
        <w:t xml:space="preserve">5. The Professional, through the dissemination of messages on the website www.etoro.com/it, has promoted its stock investment services, presenting them as commission-free, using expressions on the Italian homepage of the site such as “Invest in stocks with commissions equal to 0%”, “100% stocks, 0% commissions”, thereby providing unclear information regarding the characteristics of the products/services offered and the economic conditions provided for them, on issues deemed essential at the time of making the commercial decision.  </w:t>
        <w:br/>
        <w:t xml:space="preserve">III. THE FINDINGS OF THE PROCEDURE  </w:t>
        <w:br/>
        <w:t xml:space="preserve">1) The course of the procedure  </w:t>
        <w:br/>
        <w:t xml:space="preserve">6. With reference to the conduct described above, by act of 12 April 2022, subsequently published in the Authority's Official Bulletin on 6 June 2022, the initiation of investigative procedure No. PS12313 was communicated to eToro, for the alleged violation of Articles 20, 21, and 22 of the Consumer Code in relation to the offer of financial instruments and investment services through its online platform1.  </w:t>
        <w:br/>
        <w:t xml:space="preserve">7. On 16 June 2022, a request for access to documents2 was received from the Company, accepted with communication of 21 June 20223.  </w:t>
        <w:br/>
        <w:t xml:space="preserve">8. On 24 June 2022, a request for an extension of the deadline assigned for the response to the request for information made at the start of the investigation and for the submission of the defense brief4 was received from eToro, accepted with communication of 27 June 20225.  </w:t>
        <w:br/>
        <w:t xml:space="preserve">9. On 1 July 2022, a request for participation in the procedure was received from FinecoBank S.p.A., pursuant to Article 10 of the Regulation6, accepted on 6 July 20227; the communication of this decision to eToro took place on 11 July 20228.  </w:t>
        <w:br/>
        <w:t xml:space="preserve">10. On 20 July 2022, the Parties were informed of the extension of the deadline for concluding the procedure9.  </w:t>
        <w:br/>
        <w:t xml:space="preserve">11. On 22 July 202210, eToro's response to the request for information made at the start of the investigation was received, along with a proposal for commitments.  </w:t>
        <w:br/>
        <w:t xml:space="preserve">12. On 20 September 2022, the Professional was informed of the acceptance of the request for a hearing, scheduled for 29 September 202211.  </w:t>
        <w:br/>
        <w:t xml:space="preserve">13. On 17 October 2022, eToro submitted its response to the request for information made during the hearing12.  </w:t>
        <w:br/>
        <w:t xml:space="preserve">1 See doc. No. 3 of 12/04/2022.  </w:t>
        <w:br/>
        <w:t xml:space="preserve">2 See doc. No. 8 of 16/06/2022.  </w:t>
        <w:br/>
        <w:t xml:space="preserve">3 See doc. No. 9 of 21/06/2022.  </w:t>
        <w:br/>
        <w:t xml:space="preserve">4 See doc. No. 11 of 24/06/2022.  </w:t>
        <w:br/>
        <w:t xml:space="preserve">5 See doc. No. 12 of 27/06/2022.  </w:t>
        <w:br/>
        <w:t xml:space="preserve">6 See doc. No. 13 of 1/07/2022.  </w:t>
        <w:br/>
        <w:t xml:space="preserve">7 See doc. No. 14 of 6/07/2022.  </w:t>
        <w:br/>
        <w:t xml:space="preserve">8 See doc. No. 17 of 11/07/2022.  </w:t>
        <w:br/>
        <w:t xml:space="preserve">9 See doc. No. 21 and doc. No. 22 of 20/07/2022.  </w:t>
        <w:br/>
        <w:t xml:space="preserve">10 See doc. No. 23 of 22/07/2022.  </w:t>
        <w:br/>
        <w:t xml:space="preserve">11 See doc. No. 27 of 20/09/2022.  </w:t>
        <w:br/>
        <w:t>12 See doc. No. 35 of 17/10/2022.</w:t>
      </w:r>
    </w:p>
    <w:p>
      <w:r>
        <w:t xml:space="preserve">BULLETIN NO. 27 OF 17 JULY 2023 169  </w:t>
        <w:br/>
        <w:t xml:space="preserve">14. On 15 November 2022, the acceptance of the request for a hearing, scheduled for 18 November 202213, was communicated to Fineco.  </w:t>
        <w:br/>
        <w:t xml:space="preserve">15. The proposal for commitments, submitted on 22 July 2022, was rejected by the Authority in its meeting of 22 November 2022, considering such commitments related to conduct that, if established, could constitute cases of “manifestly unfair and serious” commercial practices, for which Article 27, paragraph 7 of the Consumer Code cannot be applied. In any case, the Authority also deemed such commitments unsuitable to remove the unfairness issues subject to investigation. The decision was communicated to the Professional on 24 November 202214.  </w:t>
        <w:br/>
        <w:t xml:space="preserve">16. On 9 December 202215, a request for an extension of the deadline assigned for the response to the request for information of 2 December 202216 was received from the Company, which was accepted with communication of 12 December 202217.  </w:t>
        <w:br/>
        <w:t xml:space="preserve">17. On 20 December 2022, eToro submitted its response to the aforementioned request for information of 2 December 202218.  </w:t>
        <w:br/>
        <w:t xml:space="preserve">18. On 21 December 2022, the Parties were informed of the extension of the deadline for concluding the procedure19.  </w:t>
        <w:br/>
        <w:t xml:space="preserve">19. On 14 February 2023, the Parties were informed of the conclusion date of the investigative phase, pursuant to Article 16, paragraph 1, of the Regulation20.  </w:t>
        <w:br/>
        <w:t xml:space="preserve">20. On 20 February 2023, a request for an extension of the deadline for concluding the investigative phase21 was received from eToro, which was accepted with communication of 1 March 202322.  </w:t>
        <w:br/>
        <w:t xml:space="preserve">21. On 28 March 2023, the final brief of the Professional23 was received.  </w:t>
        <w:br/>
        <w:t xml:space="preserve">22. On 29 March 2023, pursuant to and for the effects of Article 27, paragraphs 1-bis and 6, of the Consumer Code, a request for an opinion was sent to the Authority for Communications Guarantees (hereinafter “AGCOM”) and to the National Commission for Companies and the Stock Exchange (hereinafter, “CONSOB”)24.  </w:t>
        <w:br/>
        <w:t xml:space="preserve">23. On 19 April 2023, the Parties were informed of the extension of the deadline for concluding the procedure25.  </w:t>
        <w:br/>
        <w:t xml:space="preserve">24. On 28 April 2023, the opinion of AGCOM26 was received.  </w:t>
        <w:br/>
        <w:t xml:space="preserve">25. On 3 May 2023, the opinion of CONSOB27 was received.  </w:t>
        <w:br/>
        <w:t xml:space="preserve">26. On 22 May 2023, a communication regarding the confidentiality regime of the documentation in the records of this investigative procedure was sent to CONSOB.  </w:t>
        <w:br/>
        <w:t xml:space="preserve">13 See doc. No. 39 of 15/11/2022.  </w:t>
        <w:br/>
        <w:t xml:space="preserve">14 See doc. No. 40 of 24/11/2022.  </w:t>
        <w:br/>
        <w:t xml:space="preserve">15 See doc. No. 46 of 9/12/2022.  </w:t>
        <w:br/>
        <w:t xml:space="preserve">16 See doc. No. 42 of 2/12/2022.  </w:t>
        <w:br/>
        <w:t xml:space="preserve">17 See doc. No. 47 of 12/12/2022.  </w:t>
        <w:br/>
        <w:t xml:space="preserve">18 See doc. No. 48 of 20/12/2022.  </w:t>
        <w:br/>
        <w:t xml:space="preserve">19 See doc. No. 49 and doc. No. 50 of 21/12/2022.  </w:t>
        <w:br/>
        <w:t xml:space="preserve">20 See doc. No. 55 and doc. No. 56 of 14/02/2023.  </w:t>
        <w:br/>
        <w:t xml:space="preserve">21 See doc. No. 57 of 20/02/2023.  </w:t>
        <w:br/>
        <w:t xml:space="preserve">22 See doc. No. 58 and doc. No. 59 of 1/03/2023.  </w:t>
        <w:br/>
        <w:t xml:space="preserve">23 See doc. No. 64 of 28/03/2023.  </w:t>
        <w:br/>
        <w:t xml:space="preserve">24 See doc. No. 65, doc. No. 66 of 29/03/2023.  </w:t>
        <w:br/>
        <w:t xml:space="preserve">25 See doc. No. 70 and doc. No. 71 of 19/04/2023.  </w:t>
        <w:br/>
        <w:t xml:space="preserve">26 See doc. No. 73 of 28/04/2023.  </w:t>
        <w:br/>
        <w:t>27 See doc. No. 74 of 3/05/2023.</w:t>
      </w:r>
    </w:p>
    <w:p>
      <w:r>
        <w:rPr>
          <w:b/>
        </w:rPr>
        <w:t>[Pages 169–171]</w:t>
      </w:r>
    </w:p>
    <w:p>
      <w:r>
        <w:t xml:space="preserve">170 BULLETIN NO. 27 OF 17 JULY 2023  </w:t>
        <w:br/>
        <w:t xml:space="preserve">2) The evidence acquired during the procedure  </w:t>
        <w:br/>
        <w:t xml:space="preserve">The request for intervention  </w:t>
        <w:br/>
        <w:t xml:space="preserve">27. In relation to the conduct subject to contestation, a report was received from Fineco28.  </w:t>
        <w:br/>
        <w:t xml:space="preserve">28. Through this report, it emerged that the Professional promotes to the investor the possibility of availing themselves of investment services related to the buying and selling of shares, without commissions. Nevertheless, by consulting the FAQs and the section dedicated to "Other" commissions, the presence of various costs as well as risks related to the activity, operational constraints, and limitations on the rights of the purchasing client of the share are revealed, making the activity less advantageous than presented.  </w:t>
        <w:br/>
        <w:t xml:space="preserve">The conduct subject to the procedure  </w:t>
        <w:br/>
        <w:t xml:space="preserve">29. The evidence acquired during the investigative phase29 (statements from the Professional and the reporter during hearings and the Professional's final memorandum) proves that, through the dissemination of promotional messages on the website www.etoro.com/it, the Professional provided misleading information, or information not immediately available, regarding the characteristics of the products/services offered and the actual economic conditions provided for them.  </w:t>
        <w:br/>
        <w:t xml:space="preserve">30. In particular, the information provided on the offer conditions of the aforementioned services did not highlight essential elements and at the same time presented the possibility of trading shares with zero commissions. Specifically, from 10 May 201930 until 22 July 202231, on the company website, eToro promoted its investment services, presenting them as free of charge, using claims such as “Invest in shares with 0% commissions,” “100% shares, 0% commissions,” or, furthermore, made solicitations to consumers on the page https://www.etoro.com/it/stocks/ such as “open a free investment account with eToro and free yourself from commissions.”  </w:t>
        <w:br/>
        <w:t xml:space="preserve">31. This message promoted the possibility of availing oneself of investment services related to the buying and selling of shares without commissions, failing to specify that the investment activity involved various costs. In fact, on a landing page of the website accessed after hovering over the term “invest” and clicking on the phrase “0% Commissions on shares,” in characters, moreover, reduced and positioned away from the claim “100% shares, 0% commissions open a free investment account with eToro and free yourself from commissions,” it was specified that “Zero commissions means that no brokerage fee is charged upon opening or closing the position; it does not apply to short or leveraged positions. Other fees apply. Your capital is at risk.”  </w:t>
        <w:br/>
        <w:t xml:space="preserve">28. Cf. doc. n. 1 of 18/02/2022.  </w:t>
        <w:br/>
        <w:t xml:space="preserve">29. Cf. doc. n. 33 of 12/10/2022; doc. n. 41 of 1/12/2022; doc. n. 64 of 28/03/2023.  </w:t>
        <w:br/>
        <w:t xml:space="preserve">30. Cf. doc. n. 23 of 22/07/2022.  </w:t>
        <w:br/>
        <w:t>31. Cf. doc. n. 23 of 22/07/2022.</w:t>
      </w:r>
    </w:p>
    <w:p>
      <w:r>
        <w:t xml:space="preserve">BULLETIN NO. 27 OF 17 JULY 2023 171  </w:t>
        <w:br/>
        <w:t xml:space="preserve">32. The existence of commissions depending on the type of shares and service chosen emerged only by reading the FAQs and the section dedicated to "Other" commissions, where the following indications were noted:  </w:t>
        <w:br/>
        <w:t xml:space="preserve">- not all shares are tradable without commissions. It was, in fact, specified that “for accounts subject to CySec/FCA regulation, zero commissions apply to most shares available on the eToro platform”;  </w:t>
        <w:br/>
        <w:t xml:space="preserve">- all trading operations of financial instruments (including shares) with eToro had to occur in US dollars. Therefore, any deposit of money into the account necessary for trading, if made in a currency other than US dollars (USD), required conversion into that currency with the application of exchange fees;  </w:t>
        <w:br/>
        <w:t xml:space="preserve">- the obligation to hold available funds for trading financial instruments exclusively in USD exposed the investor to possible outlays related to fluctuations in currency exchange rates, a risk that was never highlighted in the promotional content about the service published on the website;  </w:t>
        <w:br/>
        <w:t xml:space="preserve">- a fixed fee (5 USD) was applied to each withdrawal of liquidity from the account;  </w:t>
        <w:br/>
        <w:t xml:space="preserve">- a fixed monthly inactivity fee of 10 USD was applied to any available balance, to be paid after twelve months if the user had not engaged in investment activity.  </w:t>
        <w:br/>
        <w:t xml:space="preserve">33. The Professional voluntarily modified its website through the partial implementation of the proposed commitments. As of now, the site presents the following content:  </w:t>
        <w:br/>
        <w:t>- on the homepage of the website https://www.etoro.com/it, below the wording “Invest in your favorite shares. Trade with 0% Commissions and on fractional shares,” the Company added, below the button “Start investing,” the phrase “To learn more about shares. Other applicable commissions,” where, by clicking on “To learn more about shares,” the consumer accesses the landing page https://www.etoro.com/it/stocks/ where further information on stock investments is available;</w:t>
      </w:r>
    </w:p>
    <w:p>
      <w:r>
        <w:t xml:space="preserve">172 BULLETIN NO. 27 OF 17 JULY 2023  </w:t>
        <w:br/>
        <w:t>- on the landing page for stock investments https://www.etoro.com/it/stocks/, the Company modified the text of the disclaimer located at the top of the page as follows: “Zero commissions means that no brokerage fee is charged upon opening or closing the position; it does not apply to short or leveraged positions. Other fees apply. Your capital is at risk. For more information, click here.”. Furthermore, the banner in the center of the page bears the following phrase, with a specific disclaimer “Other applicable commissions” and a related link to the page https://www.etoro.com/it/trading/fees/: “Invest in your favorite shares / You pay 0% commissions, buy shares or fractional shares and build your portfolio. Other applicable commissions.”</w:t>
      </w:r>
    </w:p>
    <w:p>
      <w:r>
        <w:rPr>
          <w:b/>
        </w:rPr>
        <w:t>[Pages 172–174]</w:t>
      </w:r>
    </w:p>
    <w:p>
      <w:r>
        <w:t xml:space="preserve">BULLETIN NO. 27 OF 17 JULY 2023 173  </w:t>
        <w:br/>
        <w:t xml:space="preserve">- on the landing page "Zero Commissions" https://www.etoro.com/it/stocks/#zero-commissions, the Company has modified the disclaimer as follows: "Zero commissions means that no additional brokerage/trading fee is charged when investing in stocks. Most brokers charge a trading fee when you buy or sell stocks through them, generally referred to as a 'commission.' We do not charge this commission. However, general costs may still apply, such as FX conversion costs on deposits and withdrawals not in USD, withdrawal costs, and (if applicable) inactivity costs. A market spread also applies, although it is not a 'cost' charged by eToro. Many brokers apply a quarterly management fee and/or an administration fee. eToro never charges any management, administration, or ticket costs. eToro even covers stamp duty and financial transaction tax, where applicable, for customers: an additional saving of 0.5% in the UK, 1% in Ireland, 0.3% in France, and 0.1% in Italy";  </w:t>
        <w:br/>
        <w:t>- regarding the FAQs on the last landing page https://www.etoro.com/it/stocks/#zero-commissions, the Professional has added a new question: "What additional costs are applied?" and the following answer: "When depositing and withdrawing in currencies other than USD, a conversion cost will be charged. Diamond members are automatically exempt from currency conversion costs. Platinum and Platinum+ members receive a 50% discount. There is also a low fixed cost of $5 for withdrawals and a monthly inactivity cost of $10 after 12 months without trading activity. Although it is not a cost applied by eToro, each transaction is subject to a market spread at opening and closing. This is determined by the market and is a feature that is consistent across all banks and brokers. FURTHER DETAILS REGARDING OUR COSTS CAN BE FOUND [HERE]".</w:t>
      </w:r>
    </w:p>
    <w:p>
      <w:r>
        <w:t xml:space="preserve">174 BULLETIN NO. 27 OF 17 JULY 2023  </w:t>
        <w:br/>
        <w:t xml:space="preserve">34. Furthermore, the Company has modified the text of the response to the question "Which stocks are subject to zero commissions?" as follows: "When investing in the underlying asset, that is, when opening a BUY (long) stock position without leverage, zero commissions are paid. The zero-commission formula does not apply to stock positions in CFDs:* Leveraged positions.* SELL (short) positions* Positions on securities traded on exchanges not specified here. Such positions are executed as CFDs, which means they incur a commission and other applicable fees. On eligible positions, the Open Trade window will display the message 'You are buying the underlying asset with no commissions.'  </w:t>
        <w:br/>
        <w:t xml:space="preserve">35. The Professional has also modified the response to the question "How long can I hold my stock positions without commissions?" as follows: "As long as you want. Overnight (rollover) fees are not charged for Buy/Sell stock positions without leverage, regardless of how long you hold them."  </w:t>
        <w:br/>
        <w:t>- on the landing page regarding investment fees https://www.etoro.com/it/trading/fees/, eToro has made changes regarding the information provided at the top of the page, under the statement "0% Commissions on stocks," including the following information: "No markup, ticketing cost, stamp duty. Bid/ask market spread costs, currency conversion costs, withdrawal costs, and inactivity costs may apply."</w:t>
      </w:r>
    </w:p>
    <w:p>
      <w:r>
        <w:rPr>
          <w:b/>
        </w:rPr>
        <w:t>[Pages 175–177]</w:t>
      </w:r>
    </w:p>
    <w:p>
      <w:r>
        <w:t xml:space="preserve">176 BULLETIN NO. 27 OF 17 JULY 2023  </w:t>
        <w:br/>
        <w:t xml:space="preserve">36. Furthermore, on the same page, in addition to the information already present, the following additional information has been added: “currency exchange costs apply to deposits and withdrawals not in USD” and “Cost of $5 for withdrawals.”  </w:t>
        <w:br/>
        <w:t>37. On the same page, the Company has modified the text of the disclaimer located under the green button “Invest in Stocks,” in the following terms: “With zero commissions, it means that no brokerage commission is applied during the trading of stocks (excluding short or leveraged positions). Other costs may apply such as currency conversion costs on deposits and withdrawals not in USD, withdrawal costs, and (if applicable) inactivity costs. A market spread also applies, although this is not a cost charged by eToro. Your capital is at risk. For clients of eToro AUS Capital Limited AFSL 491139, only stocks traded on US stock markets are available for commission-free trading. Other stocks are offered as derivatives and are subject to fees. Offered through ARSN 637 489 466 and promoted by eToro AUS Capital Limited CAR 001281634. For more information, please refer to the sections "other fees" and CFDs.”</w:t>
      </w:r>
    </w:p>
    <w:p>
      <w:r>
        <w:t xml:space="preserve">BULLETIN NO. 27 OF 17 JULY 2023 177  </w:t>
        <w:br/>
        <w:t>Where, then, clicking on the wording “Other” provides more detailed information on the specific costs that will be incurred as Fees; or by clicking on the link “eToro Fees,” a PDF document in English opens, in which, on the third page, the charges to be incurred are specified in detail.</w:t>
      </w:r>
    </w:p>
    <w:p>
      <w:r>
        <w:t xml:space="preserve">178 BULLETIN NO. 27 OF 17 JULY 2023  </w:t>
        <w:br/>
        <w:t xml:space="preserve">38. In particular, under the paragraph titled “Other fees,” the details of the additional fees to be incurred and the charge of a five-dollar withdrawal fee, due to the need to cover some of the expenses related to international money transfers, a conversion fee for wire transfers and other payment methods not made in dollars, and a ten-dollar inactivity fee due after twelve months without investment activity are indicated.  </w:t>
        <w:br/>
        <w:t xml:space="preserve">39. In response to the request for information32, it emerged that the costs charged by eToro are distinguished as follows:  </w:t>
        <w:br/>
        <w:t xml:space="preserve">˗ FX exchange fees, due for the conversion into dollars of all amounts deposited into the eToro account and whenever a withdrawal of money is made in the currency selected by the client, plus a fixed withdrawal fee in case of withdrawal of money from their own account.  </w:t>
        <w:br/>
        <w:t>32 See doc. no. 23 of 22/07/2022.</w:t>
      </w:r>
    </w:p>
    <w:p>
      <w:r>
        <w:rPr>
          <w:b/>
        </w:rPr>
        <w:t>[Pages 178–180]</w:t>
      </w:r>
    </w:p>
    <w:p>
      <w:r>
        <w:t xml:space="preserve">BULLETIN NO. 27 OF 17 JULY 2023 179  </w:t>
        <w:br/>
        <w:t xml:space="preserve">account and a fixed monthly inactivity fee, which is charged if the user does not carry out investment transactions for at least twelve months;  </w:t>
        <w:br/>
        <w:t xml:space="preserve">˗ third-party charges, consisting of a transfer fee, charged if the payment method used by the customer incurs a charge to eToro, and charges applied for each executed order, due to the spread/market differential. Contractual terms and conditions are referenced by scrolling the homepage and are available during the procedure for opening a personal account.  </w:t>
        <w:br/>
        <w:t xml:space="preserve">40. As for the characteristics of the financial instruments offered, it has emerged that the products offered by eToro have limitations that are not clearly highlighted on the platform, particularly regarding the inability to transfer shares outside the eToro trading platform and the lack of voting rights for shareholders.  </w:t>
        <w:br/>
        <w:t xml:space="preserve">41. The Professional, in response to requests for information and in the defense memorandum, illustrated the characteristics of the shares purchasable through the eToro platform. In particular, the purchase of shares offered by him guarantees the right to dividends only if the customer has held the shares on the dividend record date and, in any case, without the attribution of voting rights.  </w:t>
        <w:br/>
        <w:t xml:space="preserve">42. In response to the requests for information33, it emerged that, in the period between January 2022 and July 2022, eToro had approximately [20-35]* million registered users, active in about 100 countries, and that 69% of eToro Group customers are located in Europe. At the end of the second quarter of 2022 (end of June 2022), there were [900,000-2,000,000] users registered on the eToro platform (eToro Europe Ltd.), active in Europe excluding the United Kingdom, of which [150,000-300,000] were Italian users.  </w:t>
        <w:br/>
        <w:t xml:space="preserve">43. Also in response to the request for information made at the start34, the Company stated that it had advertised its products, starting from 2019, also on social media platforms such as Facebook, Twitter, LinkedIn, Instagram, or Tik Tok. On these communication channels, eToro primarily used two types of advertising: banners and videos.  </w:t>
        <w:br/>
        <w:t xml:space="preserve">44. As for the value of investments made by Italian users, they amounted to [600,000,000–800,000,000] dollars for the year 2019, for the year 2020 to [3,000,000,000–5,000,000,000] dollars, and for the year 2021 to [6,000,000,000–8,000,000,000] dollars35.  </w:t>
        <w:br/>
        <w:t xml:space="preserve">45. eToro also specified the total value of investments in shares made in foreign currency by Italian clients. Specifically, for the year 2019, the amount is [60,000,000–90,000,000] dollars, for the year 2020 the amount is [1,000,000,000–1,500,000,000] dollars36 while for the year 2021 the amount is [2,000,000-2,500,000] dollars.  </w:t>
        <w:br/>
        <w:t xml:space="preserve">46. Regarding the amount of costs incurred during the same reference period by Italian users, in relation to the operations described above, the information acquired shows that in the year 2019 they amounted to [2,000,000–2,500,000] dollars, in the year 2020 they were [1,500,000–2,000,000] dollars while in the year 2021 they were [4,500,000–5,000,000] dollars37.  </w:t>
        <w:br/>
        <w:t xml:space="preserve">33 Cf. doc. n. 23 of 22/07/2022.  </w:t>
        <w:br/>
        <w:t xml:space="preserve">* In this version, some data are omitted, as elements of confidentiality or secrecy of the information were deemed to exist.  </w:t>
        <w:br/>
        <w:t xml:space="preserve">34 Ibidem.  </w:t>
        <w:br/>
        <w:t xml:space="preserve">35 Cf. doc. n. 35 of 17/10/2022.  </w:t>
        <w:br/>
        <w:t xml:space="preserve">36 Ibidem.  </w:t>
        <w:br/>
        <w:t>37 Cf. doc. n. 35 of 17/10/2022.</w:t>
      </w:r>
    </w:p>
    <w:p>
      <w:r>
        <w:t xml:space="preserve">180 BULLETIN NO. 27 OF 17 JULY 2023  </w:t>
        <w:br/>
        <w:t xml:space="preserve">IV. THE ARGUMENTS OF THE PARTIES  </w:t>
        <w:br/>
        <w:t xml:space="preserve">The arguments of eToro  </w:t>
        <w:br/>
        <w:t xml:space="preserve">47. In the final memorandum38, the Professional first observes that the Zero Commission Offer, on its online platform www.etoro.com/it, does not induce the average consumer to make a commercial decision that they would not otherwise have made and that the contested conduct is fully compliant with the Consumer Code and the applicable sector regulations.  </w:t>
        <w:br/>
        <w:t xml:space="preserve">48. eToro believes it complies with the informational obligations related to the offer of investment services in tradable shares on its platform, as it provides in a timely manner all relevant information on the costs and commissions applicable to such services, as well as their characteristics.  </w:t>
        <w:br/>
        <w:t xml:space="preserve">49. The Company also stated that “following the implementation of the initiatives submitted to the Authority for evaluation, compared to the previous configuration, the information on which commissions are zero and the possible costs in the case of equity investments have been prominently included on the first screen of the company’s homepage and that further information regarding costs and limitations related to equity investments is provided on the page reached by clicking the link at the end of the disclaimer included on the homepage, which in any case were already directly available and accessible in the Terms and Conditions of eToro via the relevant link on the homepage.”  </w:t>
        <w:br/>
        <w:t xml:space="preserve">50. In particular, eToro states that the Terms and Conditions establish that “all products (and therefore also shares) purchased on the eToro platform can only be sold on the same platform, and not on a third-party platform; it is not possible to make transfers (of shares) from third parties to one’s eToro account and vice versa; opening a position in shares on eToro does not result in the issuance of a share certificate, nor are voting rights assigned; customers have the option to exercise voting rights for U.S. shares through proxy voting.”  </w:t>
        <w:br/>
        <w:t xml:space="preserve">51. The Professional contests the identification made by the Authority regarding the applicable standard for the Zero Commission Offer, which would refer to the general rules of the Consumer Code, without duly considering that for the type of financial services offered by eToro, specific informational obligations are provided by sector regulations, different from the general ones applied by the Authority.  </w:t>
        <w:br/>
        <w:t xml:space="preserve">52. Furthermore, eToro denies the misleading nature of the Zero Commission campaign as it believes that “the average user to be considered for the assessment of the Professional’s conduct should be that of the specific market of online investment in financial instruments,” which would be more astute than average consumers.  </w:t>
        <w:br/>
        <w:t xml:space="preserve">53. At the same time, the same Professional, regarding the existence of studies conducted on the type of typical consumer using eToro’s services, stated, during the hearing39, that “since the Company’s customer base is still relatively small in Italy, it does not have specific information or studies on Italian consumers.”  </w:t>
        <w:br/>
        <w:t xml:space="preserve">54. The Company, moreover, highlights that, following the changes voluntarily implemented in July 2022, the indication of the commissions highlighted in specific sections of the website (for example, on the page dedicated to the Zero Commission Offer in the section “What does zero commission actually mean,” in the FAQ “What additional costs are applied?” and on the “eToro Fees” page) informs investors about costs and charges and allows them to know in detail all costs related to the services offered, including equity trading services.  </w:t>
        <w:br/>
        <w:t xml:space="preserve">38 Cf. doc. n. 64 of 28/03/2023.  </w:t>
        <w:br/>
        <w:t>39 Cf. doc. 33 of 12/10/2022.</w:t>
      </w:r>
    </w:p>
    <w:p>
      <w:r>
        <w:t xml:space="preserve">BULLETIN NO. 27 OF 17 JULY 2023 181  </w:t>
        <w:br/>
        <w:t xml:space="preserve">55. The Professional reported that the alleged unfair commercial practice would not have been carried out using social media platforms40.  </w:t>
        <w:br/>
        <w:t xml:space="preserve">56. Finally, eToro states that, having not engaged in any unfair conduct, it cannot be considered that it is still being carried out. It also emphasizes that “in any case, the alleged unfair practice would have already ceased, as the company voluntarily adopted, in July 2022, the measures it had submitted to the Authority for review as a commitment proposal.”  </w:t>
        <w:br/>
        <w:t xml:space="preserve">The arguments of the intervening party: Fineco  </w:t>
        <w:br/>
        <w:t xml:space="preserve">57. In the report received on 18 February 202241, Fineco, the reporting party, stated the following:  </w:t>
        <w:br/>
        <w:t xml:space="preserve">- eToro has advertised to its investors the possibility of benefiting from investment services related to the buying and selling of shares without any commission, while, consulting the FAQs and the section dedicated to “Other” commissions, the presence of costs emerges that make the operation less advantageous than presented;  </w:t>
        <w:br/>
        <w:t xml:space="preserve">- there are limitations on the operations that can be carried out on the products offered by eToro that are not clearly highlighted on the platform. In particular, for trading in shares, operational constraints have emerged consisting of the inability to transfer shares outside the eToro trading platform and the lack of voting rights;  </w:t>
        <w:br/>
        <w:t xml:space="preserve">- investment products and services are advertised on communication channels indiscriminately aimed at all retail customers, regardless of their level of experience and knowledge of trading activities. This conduct, in Fineco's opinion, exposes all savers to the risks of complex products.  </w:t>
        <w:br/>
        <w:t xml:space="preserve">V. OPINION OF THE AUTHORITY FOR GUARANTEES IN COMMUNICATIONS  </w:t>
        <w:br/>
        <w:t xml:space="preserve">58. Since the commercial practice subject to this measure has been disseminated via the internet, on 27 February 2023, the opinion of AGCOM was requested, pursuant to Article 27, paragraph 6, of the Consumer Code.  </w:t>
        <w:br/>
        <w:t xml:space="preserve">59. With resolution No. 72/23/CONS, adopted on 16 March 2023, the aforementioned Authority expressed the requested opinion, limiting its assessments to the suitability of the specific means of communication used to disseminate the commercial practice to affect and amplify any misleading nature of the same practice.  </w:t>
        <w:br/>
        <w:t xml:space="preserve">60. AGCOM considered that the communications carried out by eToro were conveyed through the Internet and social media platforms and deemed that the internet and the social media platforms used are suitable tools to significantly influence the realization of the commercial practice for which the opinion was requested. It further specifies that “the means of communication used, in relation to the service offered by the Professional, is overall suitable to develop a significant impact on consumers who, based on the information on the Professional's website and on the aforementioned social media platforms, could be induced to make a commercial decision that they would not otherwise have made, thus concretely developing the full promotional potential of the aforementioned communications”42.  </w:t>
        <w:br/>
        <w:t xml:space="preserve">40 Cf. doc. 23 of 22/07/2022.  </w:t>
        <w:br/>
        <w:t xml:space="preserve">41 Cf. doc. n.1 of 18/02/2022.  </w:t>
        <w:br/>
        <w:t>42 Cf. doc. n. 73 of 28/04/2023.</w:t>
      </w:r>
    </w:p>
    <w:p>
      <w:r>
        <w:rPr>
          <w:b/>
        </w:rPr>
        <w:t>[Pages 181–183]</w:t>
      </w:r>
    </w:p>
    <w:p>
      <w:r>
        <w:t xml:space="preserve">182 BULLETIN NO. 27 OF 17 JULY 2023  </w:t>
        <w:br/>
        <w:t xml:space="preserve">VI. OPINION OF CONSOB  </w:t>
        <w:br/>
        <w:t xml:space="preserve">61. Since the case in question concerns the buying and selling of financial instruments via the internet, on 27 February 2023, an opinion was requested from CONSOB, pursuant to Article 27, paragraph 1-bis of the Consumer Code.  </w:t>
        <w:br/>
        <w:t xml:space="preserve">62. In a communication dated 3 May 2023, CONSOB, within the framework of the collaborative relationships established between the Authorities, stated that “Etoro (Europe) Limited is an investment firm under Cypriot law authorized by the Cyprus Securities and Exchange Commission (CySec) and is permitted to provide investment services in Italy solely under the free provision of services. The principle of so-called home country control, provided for by Directive 2014/65/EU (MiFID II), subjects the operations of Etoro (Europe) Limited in Italy, as carried out under the free provision of services, to the supervision of the Authority of the country of origin - CySec - and does not grant direct supervisory powers to Consob, as the Authority of the host country”43.  </w:t>
        <w:br/>
        <w:t xml:space="preserve">VII EVALUATIONS  </w:t>
        <w:br/>
        <w:t xml:space="preserve">63. This measure concerns the conduct engaged in by eToro, starting from May 2019, in relation to the manner of presenting the characteristics and economic conditions of the products/services offered on its website www.eToro.com/it.  </w:t>
        <w:br/>
        <w:t xml:space="preserve">64. As a preliminary matter, it is noted that the existence of obligations imposed on the Professional by sector regulations does not exclude the applicability to the conduct under investigation of the general rules laid down by the Consumer Code for the protection of consumers.  </w:t>
        <w:br/>
        <w:t xml:space="preserve">65. The conduct described in paragraph II constitutes an unfair commercial practice in violation of Articles 20, paragraph 2, 21, and 22 of the Consumer Code, the unfairness of which is evidenced by the investigative findings as outlined below.  </w:t>
        <w:br/>
        <w:t xml:space="preserve">66. Regarding professional diligence, eToro does not exhibit the normal degree of competence and attention that can reasonably be expected, given the quality of the Professional and the characteristics of the activity carried out.  </w:t>
        <w:br/>
        <w:t xml:space="preserve">67. This is specifically in reference to the peculiarities of this sector in which consumers assume the risks inherent to investment activities for which transparency and completeness of the information provided on the characteristics and economic conditions of the products and services in question are significantly relevant.  </w:t>
        <w:br/>
        <w:t xml:space="preserve">68. Moreover, these are services that have concretely involved a considerable number of consumers and are likely to attract even more significant numbers, considering that online trading currently allows investment in the stock market to a much wider audience of interested parties, thanks to facilitated access, even from home using one's computer, to the services. In this way, contrary to what was claimed by the Party and unlike what occurred previously, online trading today also targets groups of users who are not particularly savvy and/or not assisted by qualified professionals; this results in the need for particular attention, completeness, and accuracy on the part of operators in informing consumers about the services provided, beyond strict compliance with the relevant regulations.  </w:t>
        <w:br/>
        <w:t xml:space="preserve">69. From this perspective, the investigative findings allow us to assert the lack of transparency and misleading nature of the information disseminated by the Professional on its website www.eToro.com/it regarding elements that should be considered essential at the time of making a commercial decision. This constitutes a misleading practice, as the Professional does not adequately and immediately inform the user about the economic conditions and technical characteristics of the products/services offered, leading them to believe they can trade in stocks with zero commissions, without highlighting the presence of other costs of various kinds, risks of additional outlays related to exchange rate fluctuations, as well as the existence of operational constraints and limitations on the rights of the purchasing client of the stocks, particularly regarding the impossibility of transferring shares to other intermediaries.  </w:t>
        <w:br/>
        <w:t xml:space="preserve">70. In particular, the misleading nature arises from the fact that in promotional communications disseminated via the internet, attractive expressions appear stating the absence of commissions, such as “Invest in stocks with 0% commissions,” “0%,” “100% stocks,” and similar, even using a larger editorial font for the character “0.”  </w:t>
        <w:br/>
        <w:t xml:space="preserve">71. By using the aforementioned claims, it is implied to the investor that they can make stock investments without incurring expenses related to various costs and commissions. Thus, the information provided to the user does not make it clear that the claims regarding the absence of costs refer exclusively to trading commissions (not all stocks are tradable without commissions, see supra point 32) and not to the other costs mentioned above (currency conversion costs on deposits and withdrawals not in USD, withdrawal fees, and inactivity fees) instead charged to the client.  </w:t>
        <w:br/>
        <w:t xml:space="preserve">72. Furthermore, the lack of adequate information regarding the characteristics of the financial instruments offered makes the investor not immediately aware of the operational limitations provided in the case of purchasing stocks through the eToro platform, and the absence of rights associated with the shares held, as such information is not present at the first contact with the consumer.  </w:t>
        <w:br/>
        <w:t xml:space="preserve">73. In the sector in question, characterized by elements of certain complexity, it is crucial to provide clear and non-misleading information from the first contact; in fact, the failure to immediately highlight or the omission of informative elements regarding the economic conditions and characteristics of the services offered exposes the user to making a “non-informed” commercial decision.  </w:t>
        <w:br/>
        <w:t xml:space="preserve">74. The misleading and omissive nature of such measures is not remedied by the changes made during the procedure by the Professional as:  </w:t>
        <w:br/>
        <w:t xml:space="preserve">- on the homepage of the website www.etoro.com/it, the Professional continues to use the claim “Trade with 0% Commissions” and the symbol “0%” in large size, still implying that one can make stock investments without commissions related to the services offered, thus inducing the consumer to make a commercial decision that they would not otherwise have made;  </w:t>
        <w:br/>
        <w:t xml:space="preserve">- to obtain more information about the contents of the offer compared to what is available at first glance in the messages in question, it is necessary to view the responses to the “FAQ” and/or “Frequently Asked Questions” which can be accessed by following a complex series of steps; to access the FAQ, it is, in fact, necessary to 1) click on the phrase “Learn more about stocks” located under the button on the homepage “Start Investing,” 2) click on “Other applicable fees,” 3) view the FAQ only after scrolling to the bottom of the landing page;  </w:t>
        <w:br/>
        <w:t xml:space="preserve">- or access the “Frequently Asked Questions” after clicking on the phrase “Learn more about stocks” located under the button on the homepage “Start Investing”;  </w:t>
        <w:br/>
        <w:t xml:space="preserve">- or, again after clicking on the phrase “Learn more about stocks” located under the button on the homepage “Start Investing” and after activating the link “eToro Fees,” a PDF document in English opens in which, on the third page, the charges to be incurred are specified in detail.  </w:t>
        <w:br/>
        <w:t xml:space="preserve">- more information is also available by clicking on the phrase “More” that appears on the landing page related to investment fees https://www.etoro.com/it/trading/fees/.  </w:t>
        <w:br/>
        <w:t xml:space="preserve">75. Therefore, in the described messages, the information regarding the expected charge of additional costs consisting of a withdrawal fee of five dollars to cover expenses related to international money transfers, a conversion fee for wire transfers and other payment methods not made in dollars, and an inactivity fee of ten dollars due after twelve months without investment activity, is not provided at the time of the first contact, so that their consultation is not only optional but also complex, as they are accessible only after completing several non-immediate steps. This configuration of the messages can therefore lead the user to make investments without any knowledge of the costs they will incur for each type of operation.  </w:t>
        <w:br/>
        <w:t xml:space="preserve">76. Moreover, the information provided on the various pages of the website is often ambiguous, if not contradictory, for example: “Trade with 0% commissions and fractional shares” and at the same time “Learn more about stocks. Other applicable fees.”; “0% commissions on stocks,” “Invest in stocks without commissions: no limits on volumes, starting from just $10,” “No Commission” followed by the phrase “eToro Fees (PDF)”; still claims “0%” “0% Commissions” “0% - 0% commissions on stocks” in large characters followed by phrases such as “Discover eToro's fee structure: here you see when we apply costs to deposits, withdrawals, and trades” and at the same time the phrases “Other fees,” “Trade on a wide range of assets and enjoy low fees and competitive spreads” are reported.  </w:t>
        <w:br/>
        <w:t xml:space="preserve">77. As for the information regarding the characteristics of the financial instruments offered by the Professional, they still do not appear to be immediately accessible. In fact, it does not emerge from the first contact that the purchase of shares offered by the Professional guarantees the right to dividends only on the condition that the client has held the shares on the dividend payment date, without attributing the voting rights associated with the ownership of the shares, and that all products purchased on the eToro platform cannot be transferred outside the platform itself. To obtain information regarding the characteristics of the shares, it is necessary to view the contractual “Terms and Conditions” present on the last screen of the homepage, which can be consulted during the procedure for opening a personal account, and the responses to the “FAQ” and/or “Frequently Asked Questions” which, as mentioned, can be accessed by following a complex series of steps.  </w:t>
        <w:br/>
        <w:t xml:space="preserve">78. It follows that where a client intends to change intermediaries, they cannot transfer the shares they purchased on the eToro platform but can only sell them, possibly paying the costs of converting the corresponding value from USD to euros, paying the withdrawal fee, and then transferring the liquidity thus obtained to the account with the new intermediary. At this point, to reconstitute the stock portfolio they held with eToro, the client would need to repurchase the shares, paying, where applicable, the trading commissions and incurring any additional cost in the event of an increase in the value of the stock.  </w:t>
        <w:br/>
        <w:t>79. The conduct related to the overall advertising of the offer in question, therefore, presents significant profiles of deceitfulness to the extent that the information provided to consumers, in light of the suggestive promotion regarding the possibility of investing using investment services related to the buying and selling of stocks, without incurring additional outlays related to trading activities, does not provide a clear and adequate representation of the conditions and economic characteristics of the commercial proposal and is likely to mislead consumers.</w:t>
      </w:r>
    </w:p>
    <w:p>
      <w:r>
        <w:rPr>
          <w:b/>
        </w:rPr>
        <w:t>[Pages 184–186]</w:t>
      </w:r>
    </w:p>
    <w:p>
      <w:r>
        <w:t xml:space="preserve">BULLETIN NO. 27 OF 17 JULY 2023 185  </w:t>
        <w:br/>
        <w:t xml:space="preserve">to make a commercial decision that, in the presence of correct and clear information, they might decide not to make.  </w:t>
        <w:br/>
        <w:t xml:space="preserve">80. As seen, the total costs incurred by Italian consumers for the use of the services offered by eToro amounted to nearly [4,000,000–6,000,000] dollars in the year 2021.  </w:t>
        <w:br/>
        <w:t xml:space="preserve">81. Based on the evidence on file, the conduct in question has persisted since May 2019 and has not yet ceased.  </w:t>
        <w:br/>
        <w:t xml:space="preserve">82. This practice constitutes a case of unfair commercial practice in violation of Articles 20, 21, and 22 of the Consumer Code.  </w:t>
        <w:br/>
        <w:t xml:space="preserve">VIII. QUANTIFICATION OF THE PENALTY  </w:t>
        <w:br/>
        <w:t xml:space="preserve">83. Pursuant to Article 27, paragraph 9, of the Consumer Code, with the measure that prohibits the unfair commercial practice, the Authority imposes an administrative pecuniary sanction from €5,000 to €5,000,000, taking into account the severity and duration of the violation.  </w:t>
        <w:br/>
        <w:t xml:space="preserve">84. Regarding the quantification of the penalty, account must be taken, as applicable, of the criteria identified by Article 11 of Law No. 689/1981,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w:t>
        <w:br/>
        <w:t xml:space="preserve">85. With reference to the severity of the violation by eToro, consideration is given, in the case at hand, to the sector affected by the established misleading and omissive conduct, in which, as mentioned, given the risks inherent in investment operations, the transparency and completeness of the information regarding the characteristics of the products/services offered and their economic conditions constitute a crucial element, especially for small investors. These considerations, moreover, become increasingly relevant in the context of online investments, which represent a phenomenon of growing interest for consumers.  </w:t>
        <w:br/>
        <w:t xml:space="preserve">86. As for the economic size of the Professional, it is one of the main operators in the online trading sector, which, in the fiscal year ended in 2022, recorded revenues of [200,000,000–500,000,000] USD, with an operating loss.  </w:t>
        <w:br/>
        <w:t xml:space="preserve">87. It is also taken into account that the expenses incurred by consumers for the costs and commissions subject to this proceeding amounted to [4,000,000–6,000,000] USD for the year 2021.  </w:t>
        <w:br/>
        <w:t xml:space="preserve">88. Regarding the duration of the violation, from the available evidence on file, it appears that the commercial practice has been in place since 10 May 2019 and is still ongoing.  </w:t>
        <w:br/>
        <w:t xml:space="preserve">89. In light of the above, it is deemed appropriate to determine the base amount of the administrative pecuniary sanction applicable to eToro Europe Ltd, in the amount of €1,500,000 (one million five hundred thousand euros).  </w:t>
        <w:br/>
        <w:t xml:space="preserve">90. Considering that there is, in this case, a mitigating circumstance as the Professional recorded a loss in the last fiscal year, it is deemed appropriate to set the amount of the sanction at €1,300,000 (one million three hundred thousand euros).  </w:t>
        <w:br/>
        <w:t>IT IS DEEMED, in accordance with the opinions of the Authority for Communications Guarantees and CONSOB, based on and within the limits of the considerations set forth above, that the commercial practice described in paragraph II is unfair under Articles 20, 21, and 22 of the Consumer Code, as it is capable of inducing consumers to make a commercial decision that they would not otherwise have made, in relation to the information concerning the economic conditions and characteristics of the service offered;</w:t>
      </w:r>
    </w:p>
    <w:p>
      <w:r>
        <w:t xml:space="preserve">186 BULLETIN NO. 27 OF 17 JULY 2023  </w:t>
        <w:br/>
        <w:t xml:space="preserve">RESOLVES  </w:t>
        <w:br/>
        <w:t xml:space="preserve">a) that the commercial practice described in point II of this measure, carried out by the company eToro Europe Ltd, constitutes, for the reasons and within the limits set forth in the reasoning, an unfair commercial practice under Articles 20, 21, and 22 of the Consumer Code, and prohibits its continuation and repetition by any means of dissemination;  </w:t>
        <w:br/>
        <w:t xml:space="preserve">b) to impose on the company eToro Europe Ltd an administrative pecuniary sanction of €1,300,000 (one million three hundred thousand euros);  </w:t>
        <w:br/>
        <w:t xml:space="preserve">c) that the Professional shall communicate to the Authority, within ninety days from the notification of this measure, the initiatives taken in compliance with the injunction referred to in point a). The administrative sanction imposed must be paid within thirty days from the notification of this measure, by bank transfer (in euros) to the State Budget, using the IBAN code IT04A0100003245348018359214 (BIC code: BITAITRRENT), which corresponds to the accounting number 18/3592/14.  </w:t>
        <w:br/>
        <w:t xml:space="preserve">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collection agent; in this case, the increase absorbs the late interest accrued during the same period.  </w:t>
        <w:br/>
        <w:t xml:space="preserve">Immediate communication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  </w:t>
        <w:br/>
        <w:t>Against this measure, an appeal may be filed with the TAR of Lazio, pursuant to Article 135, paragraph 1, letter b), of the Code of Administrative Procedure (Legislative Decree No. 104 of 2 July 2010),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24 November 1971 within one hundred and twenty days from the date of notification of the measure itself.</w:t>
      </w:r>
    </w:p>
    <w:p>
      <w:r>
        <w:t xml:space="preserve">BULLETIN NO. 27 OF 17 JULY 2023 187  </w:t>
        <w:br/>
        <w:t xml:space="preserve">THE SECRETARY GENERAL THE PRESIDENT  </w:t>
        <w:br/>
        <w:t>Guido Stazi Roberto Rustichelli</w:t>
      </w:r>
    </w:p>
    <w:p>
      <w:r>
        <w:rPr>
          <w:b/>
        </w:rPr>
        <w:t>[Pages 187–189]</w:t>
      </w:r>
    </w:p>
    <w:p>
      <w:r>
        <w:t xml:space="preserve">188 BULLETIN NO. 27 OF 17 JULY 2023  </w:t>
        <w:br/>
        <w:t xml:space="preserve">PS12440 - CLEAN FORTE  </w:t>
        <w:br/>
        <w:t xml:space="preserve">Measure No. 30703  </w:t>
        <w:br/>
        <w:t xml:space="preserve">THE COMPETITION AND MARKET AUTHORITY  </w:t>
        <w:br/>
        <w:t xml:space="preserve">IN ITS MEETING of 28 June 2023;  </w:t>
        <w:br/>
        <w:t xml:space="preserve">HEARD the Rapporteur, Professor Elisabetta Iossa;  </w:t>
        <w:br/>
        <w:t xml:space="preserve">HAVING REGARD to Part II, Title III, of Legislative Decree No. 206 of 6 September 2005, and subsequent amendments (hereinafter, Consumer Code);  </w:t>
        <w:br/>
        <w:t xml:space="preserve">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1 April 2015;  </w:t>
        <w:br/>
        <w:t xml:space="preserve">HAVING REGARD to its own resolution of 14 March 2023, with which, pursuant to Article 7, paragraph 3, of the Regulation, the deadline for concluding the procedure was extended to ensure adequate adversarial proceedings for the Parties;  </w:t>
        <w:br/>
        <w:t xml:space="preserve">HAVING REGARD to the documents of the procedure;  </w:t>
        <w:br/>
        <w:t xml:space="preserve">I. THE PARTIES  </w:t>
        <w:br/>
        <w:t xml:space="preserve">1. Good Delivery SIA, a company under Latvian law, in its capacity as a professional, pursuant to Article 18, letter b), of the Consumer Code.  </w:t>
        <w:br/>
        <w:t xml:space="preserve">2. Davide Cobelli, in his capacity as a professional, pursuant to Article 18, letter b), of the Consumer Code, who is the registrant of the domain name https://www.istruzionetreviso.it.  </w:t>
        <w:br/>
        <w:t xml:space="preserve">3. Marketing IT Way Ltd., a company under Irish law, in its capacity as a professional, pursuant to Article 18, letter b), of the Consumer Code.  </w:t>
        <w:br/>
        <w:t xml:space="preserve">II. THE COMMERCIAL PRACTICE  </w:t>
        <w:br/>
        <w:t xml:space="preserve">4. The procedure concerns the misleading nature of the methods by which commercial communications promoting the product Clean Forte have been disseminated since June 2022 on certain websites (whose registrants have used anonymization services), specifically:  </w:t>
        <w:br/>
        <w:t xml:space="preserve">a) at the address https://healthylife-pack.com/Italy/Clean_Forte/Fedez/?subid=ac5dexsk24ktl6of70&amp;utm_source=mgid#;  </w:t>
        <w:br/>
        <w:t xml:space="preserve">b) at the address https://www.sempreinsalute.com/clean-forte/;  </w:t>
        <w:br/>
        <w:t xml:space="preserve">c) at the address https://www.istruzionetreviso.it/clean-forte which in turn redirects the user to the web page https://gb467.doctorrozen.com/l.  </w:t>
        <w:br/>
        <w:t xml:space="preserve">III. THE FINDINGS OF THE PROCEDURE  </w:t>
        <w:br/>
        <w:t xml:space="preserve">III. 1 The procedure process  </w:t>
        <w:br/>
        <w:t xml:space="preserve">Investigative activity  </w:t>
        <w:br/>
        <w:t xml:space="preserve">5. Based on the information acquired ex officio and the report from a consumer received on 3 June 20221, the dissemination of commercial communications regarding the product in drops called Clean Forte with presumably misleading methods has emerged.  </w:t>
        <w:br/>
        <w:t xml:space="preserve">6. By letter dated 7 October 2022, Good Delivery SIA2 was notified of the initiation of the investigative procedure PS12440 for the alleged violation of Articles 20, 21, paragraph 1, letters b) and c), and 23, paragraph 1, letters d), i), s) and g), of the Consumer Code. In this context, the unfairness of the conduct engaged in by the professional was hypothesized, as the overall presentation methods of the product – including attributing therapeutic properties to the product, its ability to prevent or cure human diseases, as well as the availability of the product at a discounted price for a very limited time – appeared to significantly limit the freedom of choice of the average consumer, thereby inducing him to make a commercial decision that he would not have otherwise made.  </w:t>
        <w:br/>
        <w:t xml:space="preserve">7. Good Delivery SIA submitted a memorandum on 9 November 20223.  </w:t>
        <w:br/>
        <w:t xml:space="preserve">8. On 22 November 2022, a request was made to indicate the identity of the registrant of the site https://www.istruzionetreviso.it to the registry of ".it" internet domains (Registro.it)4, which provided the information on 23 November 20225.  </w:t>
        <w:br/>
        <w:t xml:space="preserve">9. On 16 December 2022, the procedure was extended against Mr. Davide Cobelli6, registrant of the site https://www.istruzionetreviso.it, who accessed the documents of the procedure on 13 January7 and 11 May 20238, was heard in a hearing on 26 January 20239, and submitted memoranda on 18 and 31 January, as well as on 12 May 202310.  </w:t>
        <w:br/>
        <w:t xml:space="preserve">10. On 15 February 2023, the procedure was extended against the Irish company Marketing IT Way Ltd., provider of advertising intermediation services for advertisers11. The company submitted a memorandum on 29 March12 and 19 May 202313.  </w:t>
        <w:br/>
        <w:t xml:space="preserve">11. On 14 March 2023, the Parties were notified, pursuant to Article 7, paragraph 3, of the Regulation, of the sixty-day extension of the deadline for concluding the procedure14.  </w:t>
        <w:br/>
        <w:t xml:space="preserve">12. On 24 April 2023, the Parties were notified, pursuant to Article 16, paragraph 1, of the Regulation, of the conclusion date of the investigative phase15.  </w:t>
        <w:br/>
        <w:t xml:space="preserve">13. On 19 May 2023, the opinion was requested from the Authority for Guarantees in Communications, pursuant to Article 27, paragraph 6, of the Consumer Code16, which was received on 19 June17.  </w:t>
        <w:br/>
        <w:t xml:space="preserve">2 According to what is reported on the web page https://gb467.doctorrozen.com/l, the company is the distributor of the product Clean Forte.  </w:t>
        <w:br/>
        <w:t xml:space="preserve">3 Doc. n. 5 of the index of the investigative file.  </w:t>
        <w:br/>
        <w:t xml:space="preserve">4 Doc. n. 6 of the index of the investigative file.  </w:t>
        <w:br/>
        <w:t xml:space="preserve">5 Doc. n. 7 of the index of the investigative file.  </w:t>
        <w:br/>
        <w:t xml:space="preserve">6 Doc. n. 13 of the index of the investigative file.  </w:t>
        <w:br/>
        <w:t xml:space="preserve">7 Doc. n. 16 of the index of the investigative file.  </w:t>
        <w:br/>
        <w:t xml:space="preserve">8 Doc. n. 34 of the index of the investigative file.  </w:t>
        <w:br/>
        <w:t xml:space="preserve">9 Doc. n. 19 of the index of the investigative file.  </w:t>
        <w:br/>
        <w:t xml:space="preserve">10 Doc. nn. 17, 18, 20 and 35 of the index of the investigative file.  </w:t>
        <w:br/>
        <w:t xml:space="preserve">11 Doc. n. 21 of the index of the investigative file.  </w:t>
        <w:br/>
        <w:t xml:space="preserve">12 Doc. n. 30 of the index of the investigative file.  </w:t>
        <w:br/>
        <w:t xml:space="preserve">13 Doc. n. 38 of the index of the investigative file.  </w:t>
        <w:br/>
        <w:t xml:space="preserve">14 Doc. nn. 27, 28 and 29 of the index of the investigative file.  </w:t>
        <w:br/>
        <w:t xml:space="preserve">15 Doc. n. 32 of the index of the investigative file.  </w:t>
        <w:br/>
        <w:t xml:space="preserve">16 Doc. n. 37 of the index of the investigative file.  </w:t>
        <w:br/>
        <w:t>17 Doc. n. 42 of the index of the investigative file.</w:t>
      </w:r>
    </w:p>
    <w:p>
      <w:r>
        <w:t xml:space="preserve">190 BULLETIN NO. 27 OF 17 JULY 2023  </w:t>
        <w:br/>
        <w:t xml:space="preserve">III.2 The evidence acquired  </w:t>
        <w:br/>
        <w:t xml:space="preserve">14. From the documentation on file, it emerged that the product Clean Forte was advertised through the websites https://healthylife-pack.com/Italy/Clean_Forte/Fedez/?subid=ac5dexsk24ktl6of70&amp;utm_source=mgid#, https://www.sempreinsalute.com/clean-forte/ and https://www.istruzionetreviso.it/clean-forte, https://gb467.doctorrozen.com/l whose registrants have used anonymization services.  </w:t>
        <w:br/>
        <w:t xml:space="preserve">15. Specifically, on the page https://www.istruzionetreviso.it/clean-forte it was stated: “Clean Forte drops eliminate parasites within a few weeks and prevent future infections”; “it allows you to fight parasitic infections”, “it brings numerous benefits. Among these, we soon see an improvement in sleep quality, an increase in appetite, and better functioning of the digestive process. Clean Forte also helps to normalize mood and increase work capacity. With the increase in immune defenses, naturally, there will be much less risk of getting sick.”  </w:t>
        <w:br/>
        <w:t xml:space="preserve">The page featured a button indicating “go to the official site” to finalize the purchase; indeed, it was possible to access the address https://gb467.doctorrozen.com/l which opened with the claim: “Clean Forte eliminates parasites within a few weeks and protects against future infections!”, followed by further health claims and the presentation of a discount (i.e., the super offer at the price of €39, instead of €78) and, at the bottom, the identity of the distributor, Good Delivery SIA.  </w:t>
        <w:br/>
        <w:t xml:space="preserve">16. The same beneficial effects resulting from the intake of the product were emphatically reported on other web pages where it is offered for sale, https://www.sempreinsalute.com/clean-forte/ and https://healthylife-pack.com/Italy/Clean_Forte/Fedez/?subid=ac5dexsk24ktl6of70&amp;utm_source=mgid#18.  </w:t>
        <w:br/>
        <w:t xml:space="preserve">17. Following a request for collaboration, on 23 November 2022, Registro.it reported that Mr. Davide Cobelli registered the site https://www.istruzionetreviso.it.  </w:t>
        <w:br/>
        <w:t xml:space="preserve">18. From web surveys conducted ex officio on 14 December 2022, the page https://healthylife-pack.com/Italy/Clean_Forte/Fedez/?subid=ac5dexsk24ktl6of70&amp;utm_source=mgid# was no longer accessible19; similarly, the site https://www.istruzionetreviso.it/clean-forte was no longer accessible as of 31 January 2023 and, finally, the sites https://www.sempreinsalute.com/clean-forte/ and https://gb467.doctorrozen.com/l were no longer accessible as of 29 March 202320.  </w:t>
        <w:br/>
        <w:t xml:space="preserve">III.3 The defensive arguments of the Professionals  </w:t>
        <w:br/>
        <w:t xml:space="preserve">19. In a communication dated 9 November 2022, Good Delivery SIA stated that it had been active in the European market until 2020 and had not been operational since 2021; the company also reported the unauthorized use of its personal data, which was therefore illegally displayed in the footer of the website https://gb467.doctorrozen.com/l.  </w:t>
        <w:br/>
        <w:t xml:space="preserve">18 Specifically, the site stated the following: “Clean Forte, a new product developed in Italy in collaboration with Switzerland [...]. It is the only universal antiparasitic product that can target any type of parasite. It completely cleanses the body and blocks the multiplication of parasites from the first days of use, which drastically reduces the burden on the body of the infected person. With this product, you can also treat yourself without the supervision of a doctor. Just follow the instructions carefully as I did”; “Recently, the Ministry of Health and the World Health Organization […] launched a special website where all residents in Italy can leave a request and obtain this product at a discounted price”, as well as: “If you want to properly cleanse your body and prolong your well-being and life, order Clean Forte for €39.” The aforementioned statements were accompanied by an image of the product packaging and a box where the consumer is required to enter personal data in order to be contacted for the purchase.  </w:t>
        <w:br/>
        <w:t xml:space="preserve">19 Doc. n. 12 of the index of the investigative file.  </w:t>
        <w:br/>
        <w:t>20 Doc. n. 31 of the index of the investigative file.</w:t>
      </w:r>
    </w:p>
    <w:p>
      <w:r>
        <w:rPr>
          <w:b/>
        </w:rPr>
        <w:t>[Pages 190–192]</w:t>
      </w:r>
    </w:p>
    <w:p>
      <w:r>
        <w:t xml:space="preserve">BULLETIN NO. 27 OF 17 JULY 2023 191  </w:t>
        <w:br/>
        <w:t xml:space="preserve">The company has also submitted a declaration from the Latvian tax authority certifying the absence of revenues for the period from January 2021 to September 2022.  </w:t>
        <w:br/>
        <w:t xml:space="preserve">20. In the defense writings dated 11, 18, and 31 January, as well as 12 May 2023, Mr. Cobelli asserted his lack of involvement with the content published on the pages https://healthylife-pack.com/Italy/Clean_Forte/Fedez/?subid=ac5dexsk24ktl6of70&amp;utm_source=mgid#, as well as https://www.sempreinsalute.com/clean-forte/, specifying that he had no contractual relationship with the company Good Delivery SIA.  </w:t>
        <w:br/>
        <w:t xml:space="preserve">He also stated that he had joined an affiliate program with the Irish company Marketing IT Way Limited and had limited himself to acting as a "showcase" on the website https://www.istruzionetreviso.it for certain products (including Clean Forte), indicating the hyperlink to the platform where the consumer, if interested, could provide their data in order to be contacted and then complete the purchase. In particular, the advertisement for the product Clean Forte (on the page https://www.istruzionetreviso.it/clean-forte) was published until 31 January 2023, at which point he removed it in a purely conciliatory manner and without acknowledgment of liability.  </w:t>
        <w:br/>
        <w:t xml:space="preserve">Mr. Cobelli also highlighted that the domain name https://www.istruzionetreviso.it is generic and is not characterized by the ".gov.it" extension, typical of public institutions. The fact that the online purchase order was confirmed by the consumer at a later time over the phone and that payment was made via courier would exclude the unfairness of the commercial practice.  </w:t>
        <w:br/>
        <w:t xml:space="preserve">Furthermore, Mr. Cobelli stated that he received, under the aforementioned affiliate program, a fixed amount in dollars for each unit of product sold; the revenues generated from Clean Forte drops, during the months of activity of the site, amounted to €1,612.  </w:t>
        <w:br/>
        <w:t xml:space="preserve">21. In communications dated 29 March and 19 May 2023, Marketing IT Way Ltd. reported that it is a provider of a mere intermediation and hosting service, providing storage space to third-party operators who create web pages containing advertisements from advertisers and, therefore, is exempt from liability for the content made available to the public by the advertisers. In this regard, the professional stated, as highlighted in its terms and conditions of service, that it does not participate in, nor collaborate in any way with, the selection and/or creation of the published advertisements, the origin, processing, and control of which is entirely the responsibility of the advertisers.  </w:t>
        <w:br/>
        <w:t xml:space="preserve">In any case, the professional communicated that it had blocked, upon receiving the communication regarding the subjective extension of the PS12440 procedure, the reported sites to which it provided hosting services.  </w:t>
        <w:br/>
        <w:t xml:space="preserve">IV. OPINION OF THE AUTHORITY FOR GUARANTEES IN COMMUNICATIONS  </w:t>
        <w:br/>
        <w:t xml:space="preserve">22. Since the commercial practice subject to this measure was disseminated via the internet on 19 May 2023, the opinion of the Authority for Guarantees in Communications was requested, pursuant to Article 27, paragraph 6, of the Consumer Code21.  </w:t>
        <w:br/>
        <w:t xml:space="preserve">23. In an opinion received on 19 June 202322, the aforementioned Authority deemed that, in this case, the internet medium has developed the full promotional potential of online communication, being a tool capable of significantly influencing the realization of the commercial practice subject to the procedure.  </w:t>
        <w:br/>
        <w:t xml:space="preserve">21 Doc. n. 37 of the index of the investigation file.  </w:t>
        <w:br/>
        <w:t>22 Doc. n. 42 of the index of the investigation file.</w:t>
      </w:r>
    </w:p>
    <w:p>
      <w:r>
        <w:t xml:space="preserve">192 BULLETIN NO. 27 OF 17 JULY 2023  </w:t>
        <w:br/>
        <w:t xml:space="preserve">V. CONCLUDING EVALUATIONS  </w:t>
        <w:br/>
        <w:t xml:space="preserve">24. This procedure concerns the misleading nature of the methods by which the commercial communications aimed at advertising the product Clean Forte were disseminated to the internet addresses https://www.istruzionetreviso.it/clean-forte, https://gb467.doctorrozen.com/l, https://healthylife-pack.com/Italy/Clean_Forte/Fedez/?subid=ac5dexsk24ktl6of70&amp;utm_source=mgid#, and https://www.sempreinsalute.com/clean-forte/.  </w:t>
        <w:br/>
        <w:t xml:space="preserve">25. It is worth noting that, pursuant to Article 6 of Legislative Decree No. 169 of 21 May 2004 (“Implementation of Directive 2002/46/EC on food supplements”), the presentation and advertising may not attribute therapeutic properties to food supplements nor the ability to prevent or cure human diseases. In the presentation and advertising of such supplements, it is also not permitted to imply that a balanced and varied diet cannot provide sufficient nutrients taken through supplements.  </w:t>
        <w:br/>
        <w:t xml:space="preserve">It follows that the current regulations prohibit professionals from attributing presumed therapeutic properties to supplements in advertising communication, regardless of the existence and/or production of any studies and/or research in this regard.  </w:t>
        <w:br/>
        <w:t xml:space="preserve">26. Now, with reference to the site https://www.istruzionetreviso.it/clean-forte, the claims attributed to the product - “eliminates parasites within a few weeks and prevents future infections,” “allows you to combat parasitic infections”; “With the increase of immune defenses, naturally, there will be much less risk of getting sick” - were likely to mislead consumers about the actual characteristics and properties of the product, in violation of Articles 20, 21, paragraph 1, letter b), and 23, paragraph 1, letter s), of the Consumer Code.  </w:t>
        <w:br/>
        <w:t xml:space="preserve">Moreover, the use of the domain name https://www.istruzionetreviso.it, although lacking the “.gov.it” extension, appeared likely to evoke a public institution and, therefore, to generate the belief in greater reliability of the content reported on the site, including those related to Clean Forte, in violation of Article 23, paragraph 1, letter d), of the Consumer Code.  </w:t>
        <w:br/>
        <w:t xml:space="preserve">27. It is also noted that the presentation of a discount valid only for a limited period of time was likely to stimulate an immediate decision and deprive consumers of sufficient time to make an informed decision, in violation of Article 23, paragraph 1, letter g), of the Consumer Code, in this regard being irrelevant the circumstance that the consumer has the right of withdrawal.  </w:t>
        <w:br/>
        <w:t xml:space="preserve">28. From the elements on file, the above-described practice appears attributable to Mr. Davide Cobelli in his capacity as registrant of the site https://www.istruzionetreviso.it.  </w:t>
        <w:br/>
        <w:t xml:space="preserve">29. As for the conduct carried out on the pages https://healthylife-pack.com/Italy/Clean_Forte/Fedez/?subid=ac5dexsk24ktl6of70&amp;utm_source=mgid#, https://www.sempreinsalute.com/clean-forte, and https://gb467.doctorrozen.com/l, it does not appear to be attributable to the Parties of this procedure.  </w:t>
        <w:br/>
        <w:t xml:space="preserve">30. In fact, regarding the company Good Delivery SIA, it has produced tax documentation certifying its inactivity since 2021 and, therefore, it is extraneous to the conduct subject to the procedure, also considering the use of its identity by third parties without consent.  </w:t>
        <w:br/>
        <w:t xml:space="preserve">31. As for the company Marketing IT Way Ltd. - due to its merely passive role as an internet service provider, as emerged from its defenses - it has been found to be extraneous to the conduct subject to the procedure.  </w:t>
        <w:br/>
        <w:t xml:space="preserve">In fact, since the company engages in a service provision activity of a purely technical and automatic nature and does not know or control the information transmitted or stored by its users23, it is exempt from liability, pursuant to Article 16 of Legislative Decree No. 70 of 9 April 2003 (“Implementation of Directive 2000/31/EC on certain legal aspects of information society services in the internal market, with particular reference to electronic commerce”).  </w:t>
        <w:br/>
        <w:t xml:space="preserve">As noted by administrative jurisprudence, in fact, the hosting provider is not liable for the unfair commercial practices carried out by advertisers24. In any case, it is noteworthy that the professional blocked, upon receiving the communication regarding the subjective extension of the procedure, the sites subject to the procedure to which it provided hosting services.  </w:t>
        <w:br/>
        <w:t xml:space="preserve">VI. QUANTIFICATION OF THE SANCTION  </w:t>
        <w:br/>
        <w:t xml:space="preserve">32. Pursuant to Article 27, paragraph 9, of the Consumer Code - as recently amended by Article 1, paragraph 7, of Legislative Decree No. 7 March No. 26 - with the measure that prohibits the unfair commercial practice, the Authority orders the application of an administrative pecuniary sanction from €5,000 to €10,000,000, taking into account the severity and duration of the violation and also the economic and asset conditions of the professional. For the purposes of this procedure, however, the aforementioned legislative amendment is not relevant, since the established unfair commercial practice ceased before the entry into force of the aforementioned Legislative Decree No. 26/2023.  </w:t>
        <w:br/>
        <w:t xml:space="preserve">In determining the amount of the sanction, the criteria identified by Article 11 of Law No. 689 of 24 November 1981 must be taken into account, as applicable, by virtue of the reference provided for in Article 27, paragraph 13, of the Consumer Code: in particular, the severity of the violation, the efforts made by the business to eliminate or mitigate the infringement, the personality of the agent, as well as the economic conditions of the business itself.  </w:t>
        <w:br/>
        <w:t xml:space="preserve">33. With reference to the severity of the violation, it is noted that the practice is capable of reaching a considerable number of consumers and significantly affecting consumers' economic choices.  </w:t>
        <w:br/>
        <w:t xml:space="preserve">34. Regarding the duration of the violation, from the elements available in the records, it appears that the commercial practice was carried out by Mr. Davide Cobelli, with reference to the page https://www.istruzionetreviso.it/clean-forte, starting at least from 7 October 2022 (date of the first evidence on file) until 31 January 2023.  </w:t>
        <w:br/>
        <w:t xml:space="preserve">35. In this specific case, it is necessary to take into account the fact that Mr. Cobelli's activity has a small economic dimension, that the amount derived from the sale of the product and, therefore, from its advertising is quite modest, and that the practice was carried out for a limited period of about four months.  </w:t>
        <w:br/>
        <w:t xml:space="preserve">36. Based on these elements, it is deemed appropriate to determine the amount of the administrative pecuniary sanction applicable to Mr. Davide Cobelli at the minimum statutory amount of €5,000 (five thousand euros).  </w:t>
        <w:br/>
        <w:t xml:space="preserve">IT IS DEEMED, therefore, in accordance with the opinion of the Authority for Guarantees in Communications, based on the considerations set forth above, that the commercial conduct in question constitutes a  </w:t>
        <w:br/>
        <w:t xml:space="preserve">23 See CJEU, Third Chamber, 7 August 2018, case C-521/17 which, distinguishing between the passive role and the active role of the internet service provider, specifies that active hosting carries out a variety of filtering, selection, indexing, organization, cataloging, aggregation, evaluation, use, modification, extraction, or promotion of the content published by users, operated through an entrepreneurial management of the service, as well as the adoption of a behavioral evaluation technique of users to increase their loyalty. These are conducts that essentially have the effect of completing and enriching in a non-passive way the enjoyment of content by users.  </w:t>
        <w:br/>
        <w:t>24 See Council of State, Section VI, 18 May 2021, No. 3851.</w:t>
      </w:r>
    </w:p>
    <w:p>
      <w:r>
        <w:rPr>
          <w:b/>
        </w:rPr>
        <w:t>[Pages 193–195]</w:t>
      </w:r>
    </w:p>
    <w:p>
      <w:r>
        <w:t xml:space="preserve">194 BULLETIN NO. 27 OF 17 JULY 2023  </w:t>
        <w:br/>
        <w:t xml:space="preserve">unfair commercial practice pursuant to Articles 20, 21, paragraph 1, letter b), and 23, paragraph 1, letters d), g) and s), of the Consumer Code;  </w:t>
        <w:br/>
        <w:t xml:space="preserve">RESOLVES  </w:t>
        <w:br/>
        <w:t xml:space="preserve">a) that the commercial practice described in point II, paragraph 4, letter c), of this measure, carried out by Davide Cobelli, constitutes, for the reasons and within the limits set out in the motivation, an unfair commercial practice pursuant to Articles 20, 21, paragraph 1, letter b), and 23, paragraph 1, letters d), g) and s), of the Consumer Code and prohibits its dissemination or continuation;  </w:t>
        <w:br/>
        <w:t xml:space="preserve">b) to impose on Mr. Davide Cobelli for the violation referred to in letter a) an administrative monetary penalty of €5,000 (five thousand euros).  </w:t>
        <w:br/>
        <w:t xml:space="preserve">The administrative penalty imposed must be paid within thirty days from the notification of this measure, using the tax codes indicated in the attached F24 model with identifying elements, pursuant to Legislative Decree No. 241 of 9 July 1997.  </w:t>
        <w:br/>
        <w:t xml:space="preserve">Payment must be made electronically by debiting one's bank or postal account, through the home banking and CBI services provided by banks or Poste Italiane S.p.A., or by using the telematic services of the Revenue Agency, available on the website www.agenziaentrate.gov.it.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689/1981, the amount due for the imposed penalty is increased by one-tenth for each semester starting from the day following the payment deadline until the date on which the role is transmitted to the collection agent; in this case, the increase absorbs the late payment interest accrued during the same period.  </w:t>
        <w:br/>
        <w:t xml:space="preserve">Immediate notification of the payment must be given to the Authority by sending the documentation certifying the payment made.  </w:t>
        <w:br/>
        <w:t xml:space="preserve">This measure will be notified to the interested parties and published in the Bulletin of the Competition and Market Authority.  </w:t>
        <w:br/>
        <w:t xml:space="preserve">Pursuant to Article 27, paragraph 12, of the Consumer Code, in case of non-compliance with the measure, the Authority applies an administrative monetary penalty from €10,000 to €10,000,000.  </w:t>
        <w:br/>
        <w:t xml:space="preserve">In cases of repeated non-compliance, the Authority may order the suspension of business activity for a period not exceeding thirty days.  </w:t>
        <w:br/>
        <w:t xml:space="preserve">Against this measure, an appeal may be filed with the TAR for Lazio, pursuant to Article 135, paragraph 1, letter b), of the Administrative Process Code (Legislative Decree No. 104 of 2 July 2010), within sixty days from the date of communication of the measure itself, without prejudice to the longer terms referred to in Article 41, paragraph 5, of the Administrative Process Code,  </w:t>
        <w:br/>
        <w:t xml:space="preserve">BULLETIN NO. 27 OF 17 JULY 2023 195  </w:t>
        <w:br/>
        <w:t xml:space="preserve">or an extraordinary appeal may be proposed to the President of the Republic, pursuant to Article 8 of the Decree of the President of the Republic No. 1199 of 24 November 1971, within one hundred and twenty days from the date of notification of the measure itself.  </w:t>
        <w:br/>
        <w:t xml:space="preserve">THE SECRETARY GENERAL THE PRESIDENT  </w:t>
        <w:br/>
        <w:t>Guido Stazi Roberto Rustichelli</w:t>
      </w:r>
    </w:p>
    <w:p>
      <w:r>
        <w:t xml:space="preserve">Competition and Market Authority Weekly Bulletin  </w:t>
        <w:br/>
        <w:t xml:space="preserve">Year XXXIII - No. 27 - 2023  </w:t>
        <w:br/>
        <w:t xml:space="preserve">Editorial Coordination Giulia Antenucci  </w:t>
        <w:br/>
        <w:t xml:space="preserve">Editorial Staff Angela D’Auria, Valerio Ruocco, Manuela Villani  </w:t>
        <w:br/>
        <w:t xml:space="preserve">Competition and Market Authority  </w:t>
        <w:br/>
        <w:t xml:space="preserve">Document Management, Protocol and Statistical Services Directorate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