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https://www.agcm.it/dotcmsdoc/bollettini/2019/29-19.pdf</w:t>
      </w:r>
    </w:p>
    <w:p>
      <w:r>
        <w:t>Pages translated : 111</w:t>
      </w:r>
    </w:p>
    <w:p/>
    <w:p>
      <w:r>
        <w:rPr>
          <w:b/>
        </w:rPr>
        <w:t>[Pages 1–3]</w:t>
      </w:r>
    </w:p>
    <w:p>
      <w:r>
        <w:t xml:space="preserve">Bulletin  </w:t>
        <w:br/>
        <w:t xml:space="preserve">Weekly  </w:t>
        <w:br/>
        <w:t xml:space="preserve">Year XXIX - No. 29  </w:t>
        <w:br/>
        <w:t xml:space="preserve">Published on the website www.agcm.it  </w:t>
        <w:br/>
        <w:t>22 July 2019</w:t>
      </w:r>
    </w:p>
    <w:p>
      <w:r>
        <w:t xml:space="preserve">SUMMARY  </w:t>
        <w:br/>
        <w:t xml:space="preserve">AGREEMENTS AND ABUSE OF DOMINANT POSITION 5  </w:t>
        <w:br/>
        <w:t xml:space="preserve">I793 - INCREASE IN CEMENT PRICES  </w:t>
        <w:br/>
        <w:t xml:space="preserve">Measure No. 27836 5  </w:t>
        <w:br/>
        <w:t xml:space="preserve">CONCENTRATION OPERATIONS 8  </w:t>
        <w:br/>
        <w:t xml:space="preserve">C12233 - BANCA POPOLARE DI SONDRIO/CASSA DI RISPARMIO DI CENTO  </w:t>
        <w:br/>
        <w:t xml:space="preserve">Measure No. 27834 8  </w:t>
        <w:br/>
        <w:t xml:space="preserve">C12240 - AUTOTORINO/NEACAR-KENDO MOTORS  </w:t>
        <w:br/>
        <w:t xml:space="preserve">Measure No. 27835 15  </w:t>
        <w:br/>
        <w:t xml:space="preserve">C12231 - BPER BANCA/UNIPOL BANCA  </w:t>
        <w:br/>
        <w:t xml:space="preserve">Measure No. 27842 19  </w:t>
        <w:br/>
        <w:t xml:space="preserve">ACTIVITIES OF REPORTING AND CONSULTATION 52  </w:t>
        <w:br/>
        <w:t xml:space="preserve">AS1597 – TENDER FOR THE AWARD OF CONCESSIONS FOR BETTING COLLECTION 52  </w:t>
        <w:br/>
        <w:t xml:space="preserve">AS1598 - PRICES OF SHEEP MILK IN SARDINIA 54  </w:t>
        <w:br/>
        <w:t xml:space="preserve">UNFAIR COMMERCIAL PRACTICES 62  </w:t>
        <w:br/>
        <w:t xml:space="preserve">PS9894 - NTV-COMMERCIAL OFFERS  </w:t>
        <w:br/>
        <w:t xml:space="preserve">Measure No. 27810 62  </w:t>
        <w:br/>
        <w:t xml:space="preserve">PS11352 - CA.OX-FAILURE TO DELIVER  </w:t>
        <w:br/>
        <w:t xml:space="preserve">Measure No. 27838 85  </w:t>
        <w:br/>
        <w:t xml:space="preserve">PS11447 - GOLDEN CAR-ADVERTISING ON CARS  </w:t>
        <w:br/>
        <w:t xml:space="preserve">Measure No. 27840 93  </w:t>
        <w:br/>
        <w:t xml:space="preserve">PS11450 - FREE NEW CAR-ADVERTISING ON CARS  </w:t>
        <w:br/>
        <w:t xml:space="preserve">Measure No. 27841 101  </w:t>
        <w:br/>
        <w:t xml:space="preserve">PS11457 – OKVISURE - CENTRAL RISK CONSULTATION  </w:t>
        <w:br/>
        <w:t>Notice of initiation of investigation procedure 109</w:t>
      </w:r>
    </w:p>
    <w:p>
      <w:r>
        <w:t xml:space="preserve">BULLETIN NO. 29 OF 22 JULY 2019 5  </w:t>
        <w:br/>
        <w:t xml:space="preserve">AGREEMENTS AND ABUSE OF DOMINANT POSITION  </w:t>
        <w:br/>
        <w:t xml:space="preserve">I793 - INCREASE IN CEMENT PRICES  </w:t>
        <w:br/>
        <w:t xml:space="preserve">Measure No. 27836  </w:t>
        <w:br/>
        <w:t xml:space="preserve">THE COMPETITION AND MARKET AUTHORITY  </w:t>
        <w:br/>
        <w:t xml:space="preserve">IN ITS MEETING of 3 July 2019;  </w:t>
        <w:br/>
        <w:t xml:space="preserve">HEARD the Rapporteur Dr. Gabriella Muscolo;  </w:t>
        <w:br/>
        <w:t xml:space="preserve">HAVING REGARD to the law of 10 October 1990, No. 287;  </w:t>
        <w:br/>
        <w:t xml:space="preserve">HAVING REGARD to its measure No. 26705 of 25 July 2017, concluding investigation I793, with which it was decided that certain companies active in the market for the production and sale of cement, including Cementi Rossi S.p.A., and the trade association AITEC have engaged in an agreement harmful to competition in violation of Article 101 of the Treaty on the Functioning of the European Union (TFEU), consisting of a coordination of the selling prices of cement throughout the national territory, also assisted by a systematic control of the relative market shares of the Parties, carried out through an exchange of sensitive information;  </w:t>
        <w:br/>
        <w:t xml:space="preserve">HAVING REGARD that for the established violation, due to the seriousness and duration of the infringement, an administrative pecuniary sanction of 5,849,500 euros was imposed on Cementi Rossi S.p.A.  </w:t>
        <w:br/>
        <w:t xml:space="preserve">HAVING REGARD to the judgment of the Council of State, No. 1551/2019, of 6 March 2019 (hereinafter also "the judgment"), with which the appeal presented by Cementi Rossi S.p.A. was partially upheld, limited to the quantification of the imposed sanction;  </w:t>
        <w:br/>
        <w:t xml:space="preserve">HAVING REGARD, in particular, to the reasoning of the aforementioned judgments, with which the College, recalling "Article 134, paragraph 1, letter c) of the administrative procedural code, which recognizes in this matter the jurisdiction of the administrative judge with jurisdiction extended to the merits" believes that "the amount of the pecuniary sanction imposed by the AGCM should be reduced by 20%" of the amount originally imposed on Cementi Rossi S.p.A.;  </w:t>
        <w:br/>
        <w:t xml:space="preserve">CONSIDERING, therefore, that it is necessary to proceed, in compliance with the judgment of the Council of State, to redetermine the amount of the sanction imposed by measure No. 26705/2017 against Cementi Rossi S.p.A., in implementation of the quantification parameter established by the administrative judge in the exercise of its jurisdiction extended to the merits;  </w:t>
        <w:br/>
        <w:t>CONSIDERING that the criteria identified by the Council of State in the exercise of its jurisdiction on the merits for the redetermination of the sanction imposed on Cementi Rossi S.p.A. are precise, objective, and of automatic application and leave no discretionary margin in the implementation of the conforming obligation arising from the judgment to be executed;</w:t>
      </w:r>
    </w:p>
    <w:p>
      <w:r>
        <w:rPr>
          <w:b/>
        </w:rPr>
        <w:t>[Pages 4–6]</w:t>
      </w:r>
    </w:p>
    <w:p>
      <w:r>
        <w:t xml:space="preserve">6 BULLETIN NO. 29 OF 22 JULY 2019  </w:t>
        <w:br/>
        <w:t xml:space="preserve">CONSIDERING that in accordance with the indications of the Council of State in the judgment in question, the amount of the fine imposed on Cementi Rossi S.p.A. by measure No. 26705/2017, amounting to 5,849,500 euros, must be reduced by 20% (twenty percent);  </w:t>
        <w:br/>
        <w:t xml:space="preserve">CONSIDERING that applying this quantification parameter, defined by the judgment of the Council of State No. 1551/2019 of 6 March 2019, the final amount of the fine to be imposed on Cementi Rossi S.p.A. for the conduct established by measure No. 26705 of 25 July 2017 amounts to 4,679,600 euros;  </w:t>
        <w:br/>
        <w:t xml:space="preserve">all of the above having been stated and considered,  </w:t>
        <w:br/>
        <w:t xml:space="preserve">RESOLVES  </w:t>
        <w:br/>
        <w:t xml:space="preserve">that the administrative pecuniary sanction to be applied to Cementi Rossi S.p.A. for the behaviors attributed to it in the Authority's measure No. 26705 of 25 July 2017 is redefined at the amount of 4,679,600 euros.  </w:t>
        <w:br/>
        <w:t xml:space="preserve">The indicated administrative pecuniary sanction must be paid within thirty days from the notification of this measure, using the tax codes indicated in the attached model F24 with identifying elements, pursuant to Legislative Decree No. 241/1997.  </w:t>
        <w:br/>
        <w:t xml:space="preserve">Payment must be made electronically with a debit from one's bank or postal account, through the home banking and CBI services provided by banks or by Poste Italiane S.p.A., or by using the telematic services of the Revenue Agency, available on the website www.agenziaentrate.gov.it.  </w:t>
        <w:br/>
        <w:t xml:space="preserve">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fine is increased by one-tenth for each semester starting from the day following the payment deadline until the date on which the role is transmitted to the collection agent; in this case, the increase absorbs the late payment interest accrued during the same period.  </w:t>
        <w:br/>
        <w:t xml:space="preserve">Immediate communication of the payment must be given to the Authority, by sending a copy of the model certifying the payment made.  </w:t>
        <w:br/>
        <w:t>Against this measure, an appeal may be submitted to the TAR of Lazio, pursuant to Article 135, paragraph 1, letter b), of the Code of Administrative Procedure (Legislative Decree of 2 July 2010, No. 104), within sixty days from the date of notification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of 24 November 1971, No. 1199 within the term of one hundred and twenty days from the date of notification of the measure itself.</w:t>
      </w:r>
    </w:p>
    <w:p>
      <w:r>
        <w:t xml:space="preserve">BULLETIN NO. 29 OF 22 JULY 2019 7  </w:t>
        <w:br/>
        <w:t xml:space="preserve">This measure will be notified to the interested party and published in the Bulletin of the Competition and Market Authority.  </w:t>
        <w:br/>
        <w:t xml:space="preserve">THE SECRETARY GENERAL THE PRESIDENT  </w:t>
        <w:br/>
        <w:t>Filippo Arena Roberto Rustichelli</w:t>
      </w:r>
    </w:p>
    <w:p>
      <w:r>
        <w:t xml:space="preserve">8 BULLETIN NO. 29 OF 22 JULY 2019  </w:t>
        <w:br/>
        <w:t xml:space="preserve">CONCENTRATION OPERATIONS  </w:t>
        <w:br/>
        <w:t xml:space="preserve">C12233 - BANCA POPOLARE DI SONDRIO/CASSA DI RISPARMIO DI CENTO  </w:t>
        <w:br/>
        <w:t xml:space="preserve">Measure No. 27834  </w:t>
        <w:br/>
        <w:t xml:space="preserve">THE COMPETITION AND MARKET AUTHORITY  </w:t>
        <w:br/>
        <w:t xml:space="preserve">IN ITS MEETING of 3 July 2019;  </w:t>
        <w:br/>
        <w:t xml:space="preserve">HEARD the Rapporteur Prof. Michele Ainis;  </w:t>
        <w:br/>
        <w:t xml:space="preserve">HAVING REGARD to Reg. (EC) No. 139/2004;  </w:t>
        <w:br/>
        <w:t xml:space="preserve">HAVING REGARD to the law of 10 October 1990, No. 287;  </w:t>
        <w:br/>
        <w:t xml:space="preserve">HAVING REGARD to the D.P.R. of 30 April 1998, No. 217;  </w:t>
        <w:br/>
        <w:t xml:space="preserve">HAVING REGARD to the communication from Banca Popolare di Sondrio S.c.p.a., received on 16 May 2019;  </w:t>
        <w:br/>
        <w:t xml:space="preserve">HAVING REGARD to the opinion of IVASS, received on 20 June 2019;  </w:t>
        <w:br/>
        <w:t xml:space="preserve">HAVING REGARD to the documentation on file;  </w:t>
        <w:br/>
        <w:t xml:space="preserve">CONSIDERING the following:  </w:t>
        <w:br/>
        <w:t xml:space="preserve">I. THE PARTIES  </w:t>
        <w:br/>
        <w:t xml:space="preserve">1. Banca Popolare di Sondrio S.c.p.a. (hereinafter, "BPS") is the parent company of the eponymous banking group, active in the provision and intermediation of banking and financial services, that is, in all sectors traditionally included in retail banking activities (loans and deposits), as well as in the provision of services to institutional clients, for whom it carries out treasury, cash, and ancillary functions. The share capital of BPS, given its nature as a cooperative company, is divided among more than 170,000 members.  </w:t>
        <w:br/>
        <w:t xml:space="preserve">In 2017, the national turnover achieved by BPS, calculated pursuant to Article 16, paragraph 2, of Law No. 287/90 (one-tenth of the total assets of the balance sheet, excluding off-balance-sheet accounts), amounted to approximately [3-4]* billion euros.  </w:t>
        <w:br/>
        <w:t xml:space="preserve">2. Cassa di Risparmio di Cento S.p.A. (hereinafter, "CRC") is the parent company of the eponymous banking group, primarily active in the banking sector through a network of 47 branches located in the provinces of Ferrara, Bologna, Modena, and Ravenna. The CRC banking group is controlled by the Fondazione Cassa di Risparmio di Cento (hereinafter, "Fondazione") which, directly and indirectly (through Holding CR Cento S.p.A., wholly controlled by the Fondazione, hereinafter, "Holding CR"), holds 67.08% of the share capital. The remaining part is held by Fin. Er. Ma. S.n.c. and other private entities.  </w:t>
        <w:br/>
        <w:t>* In this version, some data are omitted, as elements of confidentiality or secrecy of the information were deemed to exist.</w:t>
      </w:r>
    </w:p>
    <w:p>
      <w:r>
        <w:rPr>
          <w:b/>
        </w:rPr>
        <w:t>[Pages 7–9]</w:t>
      </w:r>
    </w:p>
    <w:p>
      <w:r>
        <w:t xml:space="preserve">BULLETIN NO. 29 OF 22 JULY 2019 9  </w:t>
        <w:br/>
        <w:t xml:space="preserve">The revenue generated in 2017 by the CRC Group, calculated pursuant to Article 16, paragraph 2 of Law No. 287/90 (one-tenth of the total assets of the balance sheet, excluding off-balance-sheet accounts), amounted to approximately [100-498] million euros, entirely generated in Italy.  </w:t>
        <w:br/>
        <w:t xml:space="preserve">II. DESCRIPTION OF THE OPERATION  </w:t>
        <w:br/>
        <w:t xml:space="preserve">3. The notified operation concerns the acquisition, by BPS, of exclusive control of the CRC Group. In particular, this operation, temporally divided into two phases, first provides that on the closing date BPS acquires from the Foundation and Holding CR 51% of the share capital of CRC; furthermore, on the same date, it is expected that these Parties - BPS, the Foundation, and Holding CR - will sign a Shareholders' Agreement aimed at ensuring BPS the exclusive power of direction and coordination of CRC through the commitment to ensure that the Assembly of CRC resolves to appoint a Board of Directors composed of nine members and that, for the appointment of this Board, they present a list of nine names, eight of which will be indicated by BPS and one by the Foundation ("first phase"). Subsequently, by 31 December 2020, it is expected that the remaining shares of CRC held by the Foundation and Holding CR will be transferred to BPS so that BPS achieves an overall participation in the capital of CRC equal to 67.08%; furthermore, it is expected that BPS will propose to the other shareholders of CRC the purchase of their respective shares, in order to achieve the entire share capital of CRC ("second phase").  </w:t>
        <w:br/>
        <w:t xml:space="preserve">4. Based on the agreements signed by the Parties, the operation involves the acquisition of exclusive control of BPS over CRC.  </w:t>
        <w:br/>
        <w:t xml:space="preserve">5. Finally, the Shareholders' Agreement signed by the Parties provides that, for the duration of the Agreement (which will terminate when the Foundation, also through Holding CR, ceases to hold shares of CRC) and for the two subsequent years, the Foundation and Holding CR shall not engage in activities in competition with CRC or with BPS and shall not solicit employees, directors, or suppliers of CRC to terminate or substantially modify the existing contracts with CRC.  </w:t>
        <w:br/>
        <w:t xml:space="preserve">III. QUALIFICATION OF THE OPERATION  </w:t>
        <w:br/>
        <w:t xml:space="preserve">6. The operation in question, as it involves the acquisition of control of a company, constitutes a concentration pursuant to Article 5, paragraph 1, letter b), of Law No. 287/90. It falls within the scope of application of Law No. 287/90, as the conditions set out in Article 1 of Regulation (EC) No. 139/04 do not apply, and it is subject to the obligation of prior notification provided for by Article 16, paragraph 1, of the same law, as the total revenue, calculated pursuant to Article 16, paragraph 2, of Law No. 287/90, generated in the last financial year at the national level by the group of companies involved was over 498 million euros, and the revenue generated individually, at the national level, by at least two of them is over 30 million euros.  </w:t>
        <w:br/>
        <w:t xml:space="preserve">7. The non-competition and non-solicitation agreements described above constitute restrictions directly related and necessary for the realization of the operation, as they are strictly functional to safeguarding the value of the acquired company, provided that they are limited in terms of the services offered by the acquired company, that the geographical scope does not exceed the current geographical area of operation of the acquired company, and that they have a duration not exceeding the period of two years1.  </w:t>
        <w:br/>
        <w:t xml:space="preserve">IV. OPINION OF IVASS  </w:t>
        <w:br/>
        <w:t xml:space="preserve">8. In an opinion received on 20 June 2019, IVASS did not highlight in the operation the existence of elements capable of altering the competitive balance in the insurance markets.  </w:t>
        <w:br/>
        <w:t xml:space="preserve">V. EVALUATIONS  </w:t>
        <w:br/>
        <w:t xml:space="preserve">9. Considering the activities carried out by the Parties, this operation concerns several markets included in the traditional banking sector (loans and deposits), as well as in the managed savings sector, administered savings, consumer credit, payment services, and insurance distribution.  </w:t>
        <w:br/>
        <w:t xml:space="preserve">a) The banking deposit market  </w:t>
        <w:br/>
        <w:t xml:space="preserve">10. In line with the established orientation of the Authority, the banking deposit market identifies the total of direct banking deposits from ordinary customers through free and fixed-term current accounts, savings deposits, savings bonds, as well as certificates of deposit. From a geographical perspective, considering the limited mobility on the demand side, the banking deposit market has local territorial relevance which, in its practice, the Authority has defined in the first approximation as provincial.  </w:t>
        <w:br/>
        <w:t xml:space="preserve">11. Regarding banking deposits, based on the information provided by the Parties, it appears that CRC is active in the provinces of Ferrara, Modena, Ravenna, and Bologna while, in relation to these provinces, the acquirer BPS is active only in the province of Bologna, where it has a single branch.  </w:t>
        <w:br/>
        <w:t xml:space="preserve">12. It follows that the activities of the Parties overlap only in the province of Bologna, where the market share of the post-merger entity is approximately [1-5]%. Therefore, in light of the market shares of the Parties, as well as the presence of numerous and qualified competitors, it is believed that the operation is not suitable to significantly alter the competitive structure in the banking deposit market in the province of Bologna.  </w:t>
        <w:br/>
        <w:t xml:space="preserve">b) The loan markets  </w:t>
        <w:br/>
        <w:t xml:space="preserve">13. As for the loan markets, they conventionally include, in various and possible technical forms, short-term, medium-term, and long-term credit. From the demand perspective, loans can be distinguished based on the type of subjects in favor of whom they are made, namely: (i) consumer households; (ii) producer households-small businesses; (iii) medium and large enterprises; and (iv) public entities. These different categories of subjects, in fact, express different financing needs, for which banks offer diversified products/services, and constitute, for these reasons, equally distinct relevant product markets.  </w:t>
        <w:br/>
        <w:t xml:space="preserve">14. The different forms of expressed demand are also characterized by differences in terms of mobility and, therefore, of willingness to substitute the offer by seeking other financing in more or less broad geographical areas. In particular, the loan markets for consumer households and producer households and small businesses present a local territorial dimension, which in the Authority's practice has been assessed in the first approximation as provincial, while the loan markets for medium-large enterprises and public entities appear to have a broader geographical dimension, assessed in the first approximation as regional, considering the greater mobility of these subjects compared to other segments of demand.  </w:t>
        <w:br/>
        <w:t xml:space="preserve">15. Due to the activities carried out by the Parties, the operation appears to concern the markets of (i) loans to consumer households, (ii) loans to producer households-small businesses, and (iii) loans to medium and large enterprises. Also in these markets, it should be highlighted that the activities of the Parties overlap only in the province of Bologna, or in the Emilia Romagna Region regarding loans to medium and large enterprises.  </w:t>
        <w:br/>
        <w:t xml:space="preserve">16. In these markets, the acquirer's share is always below 1% while CRC's share is approximately [1-5%] in the market for loans to consumer households in the province of Bologna; approximately [5-10%] in the market for loans to producer households-small businesses in the province of Bologna; and approximately [1-5%] in the market for loans to medium and large enterprises in Emilia Romagna.  </w:t>
        <w:br/>
        <w:t xml:space="preserve">17. Therefore, considering the market shares of the Parties, as well as the presence of numerous and qualified competitors, it is believed that the operation is not suitable to significantly alter the competitive structure in any of the described loan markets.  </w:t>
        <w:br/>
        <w:t xml:space="preserve">c) The managed savings sector  </w:t>
        <w:br/>
        <w:t xml:space="preserve">18. In the managed savings sector, various activities are included, corresponding to distinct product markets, and related to (i) the management of mutual investment funds; (ii) individual management of financial assets (GPM) and funds (GPF); and (iii) management of complementary pension products. Furthermore, the services offered in the context of managed savings typically have an upstream management phase and a downstream distribution phase, each of which leads to the identification of distinct markets along the supply chain, both in geographical and product terms. The production phase, according to the Authority's constant practice, has a national geographical dimension, being normally centralized and homogeneous throughout Italy. Regarding the distribution market, however, considering the reduced mobility of demand, the geographical dimension has been defined by the Authority in practice at the provincial level in the first approximation.  </w:t>
        <w:br/>
        <w:t xml:space="preserve">19. The Parties are active in both the production phase and the distribution phase (the overlap in this case is only in the province of Bologna), with post-merger shares always below [1-5%].  </w:t>
        <w:br/>
        <w:t xml:space="preserve">20. Therefore, given the market shares of the Parties, it is believed that the operation is not suitable to significantly alter the competitive structure in any of the markets that fall within the managed savings sector.  </w:t>
        <w:br/>
        <w:t xml:space="preserve">d) The administered savings sector  </w:t>
        <w:br/>
        <w:t>21. The administered savings sector includes the buying and selling, for investment purposes, of financial instruments on behalf of an investor who has placed individual orders with the same intermediaries. The relevant geographical dimension appears to be limited to an area that does not extend beyond provincial boundaries.</w:t>
      </w:r>
    </w:p>
    <w:p>
      <w:r>
        <w:rPr>
          <w:b/>
        </w:rPr>
        <w:t>[Pages 10–12]</w:t>
      </w:r>
    </w:p>
    <w:p>
      <w:r>
        <w:t xml:space="preserve">12 BULLETIN NO. 29 OF 22 JULY 2019  </w:t>
        <w:br/>
        <w:t xml:space="preserve">22. The service is therefore composed of two phases: in the first phase, the collection of investment orders by the intermediary occurs, and their possible transmission to another negotiating intermediary; subsequently, the actual execution of the orders takes place, that is, the negotiation of securities on regulated and also unregulated financial markets. The provision of services related to the managed savings market is closely linked to traditional banking activity and, in particular, to the banking collection market, considering the high correlation between holding a current account and a securities account at the same banking institution2.  </w:t>
        <w:br/>
        <w:t xml:space="preserve">23. The boundaries of the relevant market, from a geographical point of view, are provincial due to the limited willingness of the final clientele to move.  </w:t>
        <w:br/>
        <w:t xml:space="preserve">24. In this market, the activities of the Parties overlap solely in the province of Bologna, with a market share that is comparable to that held in the collection market. For this reason, and given the close connection that exists between managed savings and collection, the considerations made above regarding the affected collection market also apply to this market, to which reference is made.  </w:t>
        <w:br/>
        <w:t xml:space="preserve">e) The consumer credit market  </w:t>
        <w:br/>
        <w:t xml:space="preserve">25. The operation also concerns the consumer credit sector, which involves the granting of credit in the form of deferred payment, financing, or another similar form of facilitation in favor of a natural person acting for purposes unrelated to the business or professional activity carried out.  </w:t>
        <w:br/>
        <w:t xml:space="preserve">26. According to the consolidated orientation of the Authority, in the consumer credit sector, it is possible to distinguish two types of financing: (i) direct credit, granted in the form of personal loans without a destination constraint, and (ii) targeted credit, that is, intended for the purchase of specific goods (motor vehicles, motorcycles, furniture, etc.). These two types of consumer credit present substantial differences in terms of service provided, methods of placement of financing, and related commercial conditions, the relationship between supply and demand, and therefore, as already stated by the Authority, they can be considered as two segments, if not two distinct markets, due to the service provided and the related commercial conditions3.  </w:t>
        <w:br/>
        <w:t xml:space="preserve">27. As for direct consumer credit, a peculiar element is the direct contact between the lender and the consumer, which gives rise to a bilateral relationship. This includes financing mainly carried out through personal loans, via revolving credit cards (that is, cards usable at all affiliated stores, associated with a line of credit that allows for installment payments based on the customer's commitment to repay the amounts based on an agreed minimum monthly installment), as well as those through the assignment of one-fifth of the salary.  </w:t>
        <w:br/>
        <w:t xml:space="preserve">28. From a geographical perspective, the size of the direct consumer credit market is local and is typically confined to regional boundaries.  </w:t>
        <w:br/>
        <w:t xml:space="preserve">2 See, in this regard, C8660 – UNICREDIT/CAPITALIA, measure No. 17283 of 18 September 2007.  </w:t>
        <w:br/>
        <w:t>3 See, among others, measure No. 17823 of 18 October 2009, case C8660 – Unicredito Italiano/Capitalia; measure No. 21638 of 30 September 2010, case C10702 – ICCREA Holding/Soluzio Consumer Credit; measure No. 21941 of 15 December 2010, case C10854 – Société des Paiments Pass/Carrefour Servizi Finanziari; lastly, measure No. 26141 of 27 July 2016, case C12063 Santander Consumer Bank/Branch of Accedo.</w:t>
      </w:r>
    </w:p>
    <w:p>
      <w:r>
        <w:t xml:space="preserve">BULLETIN NO. 29 OF 22 JULY 2019 13  </w:t>
        <w:br/>
        <w:t xml:space="preserve">29. Targeted consumer credit, on the other hand, is characterized by the granting of financing based on a trilateral relationship between the bank (or specialized financial company), the customer, and the affiliated dealer. Targeted credit includes financing for the purchase of different goods and/or services and is conventionally distinguished between credit aimed at the purchase of motor vehicles and credit aimed at the purchase of other goods or services.  </w:t>
        <w:br/>
        <w:t xml:space="preserve">30. The geographical dimension of the targeted consumer credit market is national, considering the homogeneity of the characteristics of production and marketing of the services in question throughout the national territory.  </w:t>
        <w:br/>
        <w:t xml:space="preserve">31. Based on the information provided by the Parties, CRC is active solely in direct consumer credit in Emilia Romagna, a market where its activity overlaps with that of the acquirer BPS with a very low post-merger share, equal to approximately [1-5%].  </w:t>
        <w:br/>
        <w:t xml:space="preserve">32. In light of this data, it is believed that the operation is not suitable to significantly alter the competitive structure in the direct consumer credit market in Emilia Romagna.  </w:t>
        <w:br/>
        <w:t xml:space="preserve">f) The insurance markets  </w:t>
        <w:br/>
        <w:t xml:space="preserve">33. With reference to the life and damage insurance markets, according to the consolidated orientation of the Authority, each branch of the life and damage insurance sectors represents a distinct market. This distinction regarding the individual insurance branches is primarily based on the object of the service rendered, the risks assumed, and the insurance coverage objective expressed by the demand of each individual branch. Furthermore, the damage and life insurance markets are distinct, each between the production phase, which has a national geographical dimension, and the distribution phase, which is characterized by its local dimension, considered in the first approximation provincial according to the Authority's practice.  </w:t>
        <w:br/>
        <w:t xml:space="preserve">34. In this context, the Parties are active solely in the distribution phase of policies, both life and damage, with overlap only in the province of Bologna where the post-merger share is below [1-5]%.  </w:t>
        <w:br/>
        <w:t xml:space="preserve">g) The payment instrument markets  </w:t>
        <w:br/>
        <w:t xml:space="preserve">35. Payment services include, according to the consolidated orientation of the Authority, two distinct markets: that of debit cards and that of credit cards. With reference to debit cards, they fall within payment systems with the peculiarity, however, of having solely the function of payment, with a spending limit that is usually very contained, as the debit to the current account typically coincides with the date on which the payment transaction occurred, and of guaranteeing future payments.  </w:t>
        <w:br/>
        <w:t xml:space="preserve">36. Regarding the geographical definition of the markets, both for credit cards and for debit cards, the conditions of issuance and affiliation appear sufficiently uniform within the national territory, and it is within this area that the relevant geographical market is therefore delineated, according to the Authority's constant practice.  </w:t>
        <w:br/>
        <w:t xml:space="preserve">37. The Parties operate to a completely marginal extent in these markets, with shares below 1%, and therefore it is believed that the operation is not suitable to produce restrictions on competition therein.  </w:t>
        <w:br/>
        <w:t>CONSIDERED, therefore, that the operation in question does not result, pursuant to Article 6, paragraph 1, of Law No. 287/90, in the establishment or strengthening of a dominant position in the affected markets, such as to eliminate or substantially and durably reduce competition;</w:t>
      </w:r>
    </w:p>
    <w:p>
      <w:r>
        <w:t xml:space="preserve">14 BULLETIN NO. 29 OF 22 JULY 2019  </w:t>
        <w:br/>
        <w:t xml:space="preserve">CONSIDERED, also, that the non-competition agreement and the non-solicitation agreement described above can be considered accessory to this operation only within the commodity, geographical, and temporal limits indicated above and that the Authority reserves the right to evaluate, where the prerequisites exist, the aforementioned agreements if they occur beyond those limits;  </w:t>
        <w:br/>
        <w:t xml:space="preserve">RESOLVES  </w:t>
        <w:br/>
        <w:t xml:space="preserve">not to initiate the investigation referred to in Article 16, paragraph 4, of Law No. 287/90.  </w:t>
        <w:br/>
        <w:t xml:space="preserve">The above conclusions will be communicated, pursuant to Article 16, paragraph 4, of Law No. 287/90, to the interested companies and to the Minister of Economic Development.  </w:t>
        <w:br/>
        <w:t xml:space="preserve">This measure will be published in the Bulletin of the Competition and Market Authority.  </w:t>
        <w:br/>
        <w:t xml:space="preserve">THE SECRETARY GENERAL THE PRESIDENT  </w:t>
        <w:br/>
        <w:t>Filippo Arena Roberto Rustichelli</w:t>
      </w:r>
    </w:p>
    <w:p>
      <w:r>
        <w:rPr>
          <w:b/>
        </w:rPr>
        <w:t>[Pages 13–15]</w:t>
      </w:r>
    </w:p>
    <w:p>
      <w:r>
        <w:t xml:space="preserve">BULLETIN NO. 29 OF 22 JULY 2019 15  </w:t>
        <w:br/>
        <w:t xml:space="preserve">C12240 - AUTOTORINO/NEACAR-KENDO MOTORS  </w:t>
        <w:br/>
        <w:t xml:space="preserve">Measure No. 27835  </w:t>
        <w:br/>
        <w:t xml:space="preserve">THE COMPETITION AND MARKET AUTHORITY  </w:t>
        <w:br/>
        <w:t xml:space="preserve">IN ITS MEETING of 3 July 2019;  </w:t>
        <w:br/>
        <w:t xml:space="preserve">HEARD the Rapporteur Dr. Gabriella Muscolo;  </w:t>
        <w:br/>
        <w:t xml:space="preserve">HAVING REGARD to the law of 10 October 1990, No. 287;  </w:t>
        <w:br/>
        <w:t xml:space="preserve">HAVING REGARD to the D.P.R. of 30 April 1998, No. 217;  </w:t>
        <w:br/>
        <w:t xml:space="preserve">HAVING REGARD to the communication from Autotorino S.p.A., received on 11 June 2019;  </w:t>
        <w:br/>
        <w:t xml:space="preserve">CONSIDERING the following:  </w:t>
        <w:br/>
        <w:t xml:space="preserve">I. THE PARTIES  </w:t>
        <w:br/>
        <w:t xml:space="preserve">1. Autotorino S.p.A. (hereinafter Autotorino) is an Italian company active in the retail distribution of passenger vehicles, commercial vehicles, spare parts for vehicles, as well as in the provision of after-sales services in various provinces of Northern Italy (not in the province of Reggio Emilia, one of the two provinces involved in this operation). Autotorino is controlled by Vanini Holding S.r.l. (which holds 50.2% of the capital, with the remaining share divided among eight individuals and treasury shares), which is in turn controlled by an individual. In 2018, Autotorino and its subsidiaries achieved a total revenue of [700-1,000]* million euros, entirely generated in Italy.  </w:t>
        <w:br/>
        <w:t xml:space="preserve">2. Neacar S.r.l. (hereinafter Neacar) and Kendo Motors S.r.l. (hereinafter Kendo) are two Italian companies belonging to the same group, active in the provinces of Parma and Reggio Emilia in the retail sale of cars, vans, spare parts for vehicles, and in after-sales assistance. Neacar and Kendo are part of the Campani group, and their share capital is divided among various individuals and legal entities, all traceable to the same family. The total revenue generated by Neacar in the 2018 financial year was [30-100] million euros, mostly from sales in Italy; in the same financial year, Kendo achieved a total revenue of [10-30] million euros, almost entirely generated in Italy.  </w:t>
        <w:br/>
        <w:t xml:space="preserve">II. DESCRIPTION OF THE OPERATION  </w:t>
        <w:br/>
        <w:t xml:space="preserve">3. The communication in question concerns the acquisition by Autotorino of exclusive control over Neacar and Kendo through the purchase of their entire share capital (during the period between the resolution of this Measure and the signing of the definitive transfer contract of the respective shares, Autotorino will lease the target companies).  </w:t>
        <w:br/>
        <w:t>* In this version, some data are omitted, as elements of confidentiality or secrecy of the information were deemed to exist.</w:t>
      </w:r>
    </w:p>
    <w:p>
      <w:r>
        <w:t xml:space="preserve">16 BULLETIN NO. 29 OF 22 JULY 2019  </w:t>
        <w:br/>
        <w:t xml:space="preserve">III. QUALIFICATION OF THE OPERATION  </w:t>
        <w:br/>
        <w:t xml:space="preserve">4. The notified operation, as it involves the acquisition of control over a company, constitutes a concentration pursuant to Article 5, paragraph 1 letter b), of Law No. 287/90. It falls within the scope of application of Law No. 287/90, as the conditions set out in Article 1 of Regulation EC 139/2004 do not apply, and it is subject to the obligation of prior notification provided for by Article 16, paragraph 1, of the same law, as the total revenue generated, in the last financial year at the national level, by all the companies involved was over 498 million euros and the total revenue generated, in the last financial year at the national level, individually by at least two of the companies involved was over 30 million euros.  </w:t>
        <w:br/>
        <w:t xml:space="preserve">IV. EVALUATION OF THE CONCENTRATION  </w:t>
        <w:br/>
        <w:t xml:space="preserve">The product market  </w:t>
        <w:br/>
        <w:t xml:space="preserve">5. From a commodity perspective, the sectors involved in the operation in question are those in which the companies subject to acquisition operate, namely the retail distribution of passenger vehicles, commercial vehicles, spare parts for such vehicles, and the provision of after-sales services1.  </w:t>
        <w:br/>
        <w:t xml:space="preserve">6. The distribution of passenger vehicles and commercial vehicles is carried out by dealers to end consumers. Manufacturers market their vehicles through distribution companies (controlled companies or third-party operators) which, in turn, rely on a network of dealers that carry out sales activities to customers. Within these commodity sectors, different segments can be identified, particularly distinguishing based on performance, size, and price (in the case of passenger cars) and based on payload in quintals (in the case of commercial vehicles). However, dealers frequently distribute different types of products (economy cars, mid-range, upper category, etc., in the case of cars; in this area, the differences have been decreasing over the years due to manufacturers' tendency to offer more accessories even for mid-range and small displacement cars). For the purposes of this operation, however, it does not seem necessary to arrive at an exact delimitation of the commodity markets in question.  </w:t>
        <w:br/>
        <w:t xml:space="preserve">7. Within the retail sector of spare parts and accessories for passenger vehicles and commercial vehicles, two categories of products can be identified: original spare parts and equivalent ones (i.e., of corresponding quality). Original spare parts are marketed under the manufacturer's brand; equivalent spare parts are instead supplied by independent operators in the component sector (who may also supply the same manufacturers). The prices of equivalent spare parts are significantly lower, varying also depending on the type of spare part considered. However, there is significant substitutability from the demand side between original and equivalent spare parts of corresponding quality (variable depending on the age and economic class of the vehicle, as well as the type of spare part). From the supply side, moreover, the manufacturers' assistance centers (generally dealerships and authorized workshops) can retail both original and equivalent spare parts.  </w:t>
        <w:br/>
        <w:t xml:space="preserve">8. Finally, regarding after-sales assistance services, they are characterized by a strong fragmentation of supply. Such services can indeed be offered by various types of operators, such as authorized dealerships and repair shops, independent workshops, service stations, specialized auto centers, quick service assistance (the warranty assistance activity is instead carried out by the same dealerships of the manufacturers or by other entities authorized by them).  </w:t>
        <w:br/>
        <w:t xml:space="preserve">The geographical market  </w:t>
        <w:br/>
        <w:t xml:space="preserve">9. As for the geographical relevance, the size of the markets identified above can be considered local. This assumption is based on consumer purchasing behaviors and, in particular, on the importance they attribute to the proximity of sales and assistance points.  </w:t>
        <w:br/>
        <w:t xml:space="preserve">10. In various precedents concerning the markets in question2, the Authority has defined local markets based on administrative boundaries, identifying markets with provincial dimensions3. In this case, considering the operational scope of the companies subject to acquisition, the relevant geographical markets concern the provinces of Parma and Reggio Emilia.  </w:t>
        <w:br/>
        <w:t xml:space="preserve">Effects of the operation  </w:t>
        <w:br/>
        <w:t xml:space="preserve">11. As already indicated, Autotorino is not present in the province of Reggio Emilia. In this area, therefore, the operation in question will essentially result in the replacement of one operator with another, characterized by a market share (aggregated between Neacar and Kendo) contained in all the commodity sectors described above ([5-10%] approximately in the sale of vehicles; [5-10%] approximately in the sale of commercial vehicles; [1-5%] approximately in both the sale of spare parts and in assistance services).  </w:t>
        <w:br/>
        <w:t xml:space="preserve">12. As for the province of Parma, where Autotorino is active, the aggregate shares resulting from the concentration remain contained ([5-10%] approximately in the sale of vehicles; [5-10%] approximately in the sale of commercial vehicles; [1-5%] approximately in the sale of spare parts; [1-5%] approximately in assistance services).  </w:t>
        <w:br/>
        <w:t xml:space="preserve">13. In light of the considerations above, the concentration in question does not appear to be suitable to significantly alter the competitive dynamics in the relevant markets.  </w:t>
        <w:br/>
        <w:t xml:space="preserve">CONSIDERED, therefore, that the operation in question does not entail, pursuant to Article 6, paragraph 1, of Law No. 287/90, the establishment or strengthening of a dominant position in the relevant markets, such as to eliminate or substantially and durably reduce competition;  </w:t>
        <w:br/>
        <w:t xml:space="preserve">RESOLVES  </w:t>
        <w:br/>
        <w:t xml:space="preserve">not to initiate the investigation referred to in Article 16, paragraph 4, of Law No. 287/90.  </w:t>
        <w:br/>
        <w:t xml:space="preserve">2 See most recently C12228 cited.  </w:t>
        <w:br/>
        <w:t>3 Alternatively, it is possible to define local areas taking into account the size of the catchment areas (of the individual sales points of the companies involved in the concentration) and the propensity to mobility from the demand side. However, in this case, it does not seem necessary to arrive at a more precise definition of the relevant geographical area.</w:t>
      </w:r>
    </w:p>
    <w:p>
      <w:r>
        <w:rPr>
          <w:b/>
        </w:rPr>
        <w:t>[Pages 16–18]</w:t>
      </w:r>
    </w:p>
    <w:p>
      <w:r>
        <w:t xml:space="preserve">18 BULLETIN NO. 29 OF 22 JULY 2019  </w:t>
        <w:br/>
        <w:t xml:space="preserve">The above conclusions will be communicated, pursuant to Article 16, paragraph 4, of Law No. 287/90, to the interested companies and to the Minister of Economic Development.  </w:t>
        <w:br/>
        <w:t xml:space="preserve">This measure will be published in the Bulletin of the Competition and Market Authority.  </w:t>
        <w:br/>
        <w:t xml:space="preserve">THE SECRETARY GENERAL THE PRESIDENT  </w:t>
        <w:br/>
        <w:t>Filippo Arena Roberto Rustichelli</w:t>
      </w:r>
    </w:p>
    <w:p>
      <w:r>
        <w:t xml:space="preserve">BULLETIN NO. 29 OF 22 JULY 2019 19  </w:t>
        <w:br/>
        <w:t xml:space="preserve">C12231 - BPER BANCA/UNIPOL BANCA  </w:t>
        <w:br/>
        <w:t xml:space="preserve">Measure No. 27842  </w:t>
        <w:br/>
        <w:t xml:space="preserve">THE COMPETITION AND MARKET AUTHORITY  </w:t>
        <w:br/>
        <w:t xml:space="preserve">IN ITS MEETING of 17 July 2019;  </w:t>
        <w:br/>
        <w:t xml:space="preserve">HEARD the Rapporteur Professor Michele Ainis;  </w:t>
        <w:br/>
        <w:t xml:space="preserve">HAVING REGARD to Reg. (EC) No. 139/2004;  </w:t>
        <w:br/>
        <w:t xml:space="preserve">HAVING REGARD to the law of 10 October 1990, No. 287;  </w:t>
        <w:br/>
        <w:t xml:space="preserve">HAVING REGARD to the D.P.R. of 30 April 1998, No. 217;  </w:t>
        <w:br/>
        <w:t xml:space="preserve">HAVING REGARD to the communication from BPER Banca S.p.A., received on 19 April 2019;  </w:t>
        <w:br/>
        <w:t xml:space="preserve">HAVING REGARD to its resolution of 8 May 2019, by which an investigation was initiated, pursuant to Article 16, paragraph 4, of Law No. 287/90, against the companies BPER Banca S.p.A. and Unipol Banca S.p.A.;  </w:t>
        <w:br/>
        <w:t xml:space="preserve">HAVING REGARD to the communication of the investigation results, sent to the Parties on 5 June 2019;  </w:t>
        <w:br/>
        <w:t xml:space="preserve">HAVING REGARD to the memorandum submitted by BPER Banca S.p.A. on 7 June 2019;  </w:t>
        <w:br/>
        <w:t xml:space="preserve">HAVING REGARD to the opinion of IVASS, received on 10 July 2019;  </w:t>
        <w:br/>
        <w:t xml:space="preserve">HAVING REGARD to the documentation on file;  </w:t>
        <w:br/>
        <w:t xml:space="preserve">CONSIDERING the following:  </w:t>
        <w:br/>
        <w:t xml:space="preserve">I. THE PARTIES  </w:t>
        <w:br/>
        <w:t xml:space="preserve">1. BPER Banca S.p.A. (hereinafter BPER) is a company listed on the Milan Stock Exchange, at the head of the eponymous banking group active in the provision of banking, financial, and insurance services and products, with widespread shareholding1. BPER primarily operates in the traditional banking sector (savings collection and credit granting), as well as in the distribution of insurance products (life and non-life), and, to a lesser extent, in investment banking, in the asset management sector (through mutual funds, management of individual assets, and complementary pension products), in the administered savings market, in consumer credit, in factoring and leasing, and in payment services. The BPER group is present in almost all Italian regions with approximately 1,200 branches.  </w:t>
        <w:br/>
        <w:t xml:space="preserve">The revenue generated by BPER in 2017, pursuant to Article 16, paragraph 2, of Law No. 287/90, was approximately [7-8] billion euros*.  </w:t>
        <w:br/>
        <w:t xml:space="preserve">2. Unipol Banca S.p.A. (hereinafter UB) is a company controlled by Unipol Gruppo S.p.A. UB primarily engages in traditional banking activities (savings collection and credit granting) and is also active in investment banking, in the distribution of life and non-life insurance products, and in the asset management sector (mutual funds, individual asset management services, complementary pension products), as well as in consumer credit, in the markets of factoring, administered savings, and payment services. UB operates through a network of approximately 250 branches located in 17 Italian regions.  </w:t>
        <w:br/>
        <w:t xml:space="preserve">The revenue of UB in 2017, pursuant to Article 16, paragraph 2, of Law No. 287/90, was approximately [1-2] billion euros.  </w:t>
        <w:br/>
        <w:t xml:space="preserve">II. DESCRIPTION OF THE OPERATION  </w:t>
        <w:br/>
        <w:t xml:space="preserve">3. The operation consists of the acquisition, by BPER, of the entire share capital of UB.  </w:t>
        <w:br/>
        <w:t xml:space="preserve">4. An integral part of the operation is a non-compete agreement whereby Unipol Gruppo S.p.A. and UnipolSai Assicurazioni S.p.A. commit, for a period of 2 years from the completion of the operation, not to establish any bank or credit institution under Italian law and not to acquire, pursuant to Article 23 of Legislative Decree No. 385/93 and subsequent amendments, control over any bank or credit institution under Italian law (other than BPER) that operates in competition with UB.  </w:t>
        <w:br/>
        <w:t xml:space="preserve">III. QUALIFICATION OF THE OPERATION  </w:t>
        <w:br/>
        <w:t xml:space="preserve">5. The notified operation, as it involves the acquisition of exclusive control of a company, constitutes a concentration pursuant to Article 5, paragraph 1, letter b), of Law No. 287/90.  </w:t>
        <w:br/>
        <w:t xml:space="preserve">It falls within the scope of application of Law No. 287/90, as the conditions set out in Article 1 of EC Regulation No. 139/04 do not apply, and it is subject to the obligation of prior notification provided for by Article 16, paragraph 1, of the same law (as amended by Article 1, paragraph 177, of Law No. 124 of 4 August 2017, in force since 29 August 2017), as the total revenue, calculated pursuant to Article 16, paragraph 2, of Law No. 287/90, generated in the last financial year at the national level by the group of interested companies was over 498 million euros, and the revenue generated individually, at the national level, by at least two of them is over 30 million euros.  </w:t>
        <w:br/>
        <w:t xml:space="preserve">6. The non-compete agreement described above can be qualified as ancillary to the notified concentration to the extent that it contains restrictions directly related to the realization of the operation and necessary for it2. In particular, in this case, the commitments undertaken by the seller benefit the buyer and respond to the need to ensure the transfer of the actual business value to the latter, provided that such agreement has a limited duration in time, not exceeding the period of two years, and that it is limited in terms of goods and geography to the activities of the company being acquired3.  </w:t>
        <w:br/>
        <w:t xml:space="preserve">2 See, in this regard, the Commission's Notice on restrictions directly related and necessary to concentrations (O.J. C 2005/C-56/03 of 5 March 2005).  </w:t>
        <w:br/>
        <w:t>3 See, in this regard, the Commission's Notice on restrictions directly related and necessary to concentrations (O.J. C 2005/C-56/03 of 5 March 2005).</w:t>
      </w:r>
    </w:p>
    <w:p>
      <w:r>
        <w:rPr>
          <w:b/>
        </w:rPr>
        <w:t>[Pages 19–21]</w:t>
      </w:r>
    </w:p>
    <w:p>
      <w:r>
        <w:t xml:space="preserve">BULLETIN NO. 29 OF 22 JULY 2019 21  </w:t>
        <w:br/>
        <w:t xml:space="preserve">IV. THE INITIATION OF THE PROCEEDING AND THE INVESTIGATIVE ACTIVITY  </w:t>
        <w:br/>
        <w:t xml:space="preserve">7. The concentration operation in question was notified on 19 April 2019. On 8 May 2019, the Authority initiated an investigation, pursuant to Article 16, paragraph 4, of Law No. 287/90, against the companies BPER Banca S.p.A. and Unipol Banca S.p.A., believing that the concentration operation in question was likely to create and/or strengthen a dominant position in Sardinia, in the markets for bank deposits, loans to consumer households, loans to producer households-small enterprises, loans to medium-large enterprises, loans to public entities, in the managed savings sector - regarding the distribution of mutual funds and complementary pensions - and administered savings.  </w:t>
        <w:br/>
        <w:t xml:space="preserve">8. During the proceeding, the company BPER, a Party to the operation and purchaser of the target company UB, as well as the main competing operators of the Parties in Sardinia: Intesa Sanpaolo S.p.A. (hereinafter also Intesa Sanpaolo) and UniCredit S.p.A. (UniCredit) were heard in a hearing. Furthermore, in order to better understand the dynamics of demand and to arrive at a more accurate identification of the relevant market for loans to public entities, the company Cassa Depositi e Prestiti S.p.A. (hereinafter also CDP) was heard in a hearing. Requests for information were then sent to the Bank of Italy and IVASS.  </w:t>
        <w:br/>
        <w:t xml:space="preserve">9. On 5 June 2019, the Communication of the Investigation Results was sent to the Parties of the operation; on 6 June 2019, BPER accessed the documents of the proceeding and, on 7 June 2019, sent a defensive memorandum.  </w:t>
        <w:br/>
        <w:t xml:space="preserve">10. On 11 June 2019, IVASS was requested for the customary opinion, pursuant to Article 20, paragraph 4, of Law No. 287/90. The opinion was rendered on 10 July 2019.  </w:t>
        <w:br/>
        <w:t xml:space="preserve">V. THE INVESTIGATIVE RESULTS  </w:t>
        <w:br/>
        <w:t xml:space="preserve">V.1. The Relevant Markets  </w:t>
        <w:br/>
        <w:t xml:space="preserve">11. In the measure initiating the investigation, in line with national and community precedents, as well as considering the activities carried out by the Parties, the following relevant markets were identified: bank deposits; loans to consumer households (hereinafter also loans to households); loans to producer households-small enterprises (hereinafter also loans to small enterprises); loans to medium-large enterprises; loans to public entities; regarding the managed savings sector, distribution of mutual funds and complementary pensions; market for administered savings.  </w:t>
        <w:br/>
        <w:t xml:space="preserve">12. As noted at the outset, the operation in question was not considered suitable to create or strengthen a dominant position in the upstream markets related to the managed savings sector, as well as in the market for the distribution of individual management services (GPM and GPF), in the consumer credit market, in the insurance markets, in the payment services market, in the factoring market.  </w:t>
        <w:br/>
        <w:t>13. The investigation, therefore, was conducted with regard to the markets for bank deposits, loans to households, loans to small enterprises, distribution of mutual funds, complementary pensions, administered savings, as well as loans to public entities and loans to medium-large enterprises, specifically in the region of Sardinia.</w:t>
      </w:r>
    </w:p>
    <w:p>
      <w:r>
        <w:t xml:space="preserve">22 BULLETIN NO. 29 OF 22 JULY 2019  </w:t>
        <w:br/>
        <w:t xml:space="preserve">As will be better specified below, some of these markets have a local geographical extension, assessed in the Authority's practice as primarily provincial (bank deposits, loans to households, loans to small enterprises, distribution of mutual funds, administered savings, and, to some extent, complementary pensions), while others have a broader geographical dimension, namely regional if not national. In particular, regarding the markets for loans to public entities and medium-large enterprises, which in the Authority's practice have been assessed as having a regional geographical extension, the initiating measure referred to some arguments from BPER that support a different definition of the geographical market dimension, to be considered at least national; this hypothesis was then the subject of specific in-depth analysis during the investigation.  </w:t>
        <w:br/>
        <w:t xml:space="preserve">V.2 The Position of the Parties in the Relevant Markets  </w:t>
        <w:br/>
        <w:t xml:space="preserve">V.2.1 The Branch Network of the Parties  </w:t>
        <w:br/>
        <w:t xml:space="preserve">14. During the investigation, it emerged that BPER, in Sardinia, has a particularly unique positioning, evidenced in particular by its pervasive and rooted presence in the territory, which gives it substantial competitive advantages. This is because in Sardinia, the BPER group, following external growth operations, even those dating back, has a vast and capillary network of [325-330] branches, which is not comparable to that of other operators. Since 2001, BPER has owned Banco di Sardegna S.p.A.4. As shown in Table 1, BPER holds just under [55-60]% of the [550-555] existing bank branches in Sardinia, exceeding [70-75]% in the provinces of Nuoro, Oristano, and Sud Sardegna; in Sassari, BPER owns over [55-60]% of the branches. Cagliari, the regional capital, is the province where BPER has the fewest branches (just under [25-30]%).  </w:t>
        <w:br/>
        <w:t xml:space="preserve">15. UB has a limited number of branches in Sardinia, totaling 10, but within the above context, even a limited expansion of the first operator's branch network can further strengthen its position.  </w:t>
        <w:br/>
        <w:t>4 Banco di Sardegna had also acquired control of another important bank in the region, Banca di Sassari, in 1993.</w:t>
      </w:r>
    </w:p>
    <w:p>
      <w:r>
        <w:t xml:space="preserve">BULLETIN NO. 29 OF 22 JULY 2019 23  </w:t>
        <w:br/>
        <w:t xml:space="preserve">Table 1: Branches of the Parties in Sardinia  </w:t>
        <w:br/>
        <w:t xml:space="preserve">Number of branches Values %  </w:t>
        <w:br/>
        <w:t xml:space="preserve">Total  </w:t>
        <w:br/>
        <w:t xml:space="preserve">BPER UB BPER+UB BPER UB BPER+UB  </w:t>
        <w:br/>
        <w:t xml:space="preserve">market  </w:t>
        <w:br/>
        <w:t xml:space="preserve">Cagliari [30-35] 3 [35-40] [115-120] [25-30]% [1-5]% [31-36]%  </w:t>
        <w:br/>
        <w:t xml:space="preserve">Nuoro [60-65] 1 [60-65] [80-85] [75-80]% [1-5]% [76-81]%  </w:t>
        <w:br/>
        <w:t xml:space="preserve">Sassari [100-105] 3 [100-105] [170-175] [55-60]% [1-5]% [60-65]%  </w:t>
        <w:br/>
        <w:t xml:space="preserve">Oristano [45-50] 2 [50-55] [65-70] [70-75]% [1-5]% [71-76]%  </w:t>
        <w:br/>
        <w:t xml:space="preserve">Sud Sardegna [80-85] 1 [80-85] [110-115] [70-75]% [inf. 1]% [70-75]%  </w:t>
        <w:br/>
        <w:t xml:space="preserve">Total Sardinia [325-330] 10 [335-340] [550-555] [55-60]% [1-5]% [60-65]%  </w:t>
        <w:br/>
        <w:t xml:space="preserve">Source: Bank of Italy  </w:t>
        <w:br/>
        <w:t xml:space="preserve">16. During the proceeding, the main competing operators of the Parties in the relevant markets represented that BPER's dominant position in Sardinia is attributable, in particular, not only to the availability of historical brands (Banco di Sardegna and Banca di Sassari) but also to its strong territorial roots, as evidenced by the capillarity of its branch network5. The competitors also emphasized that the availability of an adequate branch network still represents a fundamental competitive variable in the banking markets (see also infra §§ 63 et seq.)6.  </w:t>
        <w:br/>
        <w:t xml:space="preserve">V.2.2 Bank Deposits, Loans to Consumer Households, and Loans to Producer Households-Small Enterprises  </w:t>
        <w:br/>
        <w:t xml:space="preserve">17. In line with the established orientation of the Authority, the market for bank deposits identifies the entirety of direct bank deposits from ordinary customers through free and fixed-term current accounts, savings deposits, savings bonds, as well as certificates of deposit.  </w:t>
        <w:br/>
        <w:t xml:space="preserve">18. From a geographical perspective, considering the limited mobility on the demand side, the market for bank deposits has local territorial relevance, which, in its practice, the Authority has defined in first approximation as provincial, conducting, where the preliminary screening carried out on a provincial basis made it appropriate, an analysis also at the level of catchment areas (so-called catchment area or CA)7.  </w:t>
        <w:br/>
        <w:t xml:space="preserve">19. As for the loan markets, they conventionally include, in various and possible technical forms, short-term, medium-term, and long-term credit. From the demand side, loans can be distinguished based on the type of subjects in favor of which they are made, namely: (i) consumer households; (ii) producer households-small enterprises of  </w:t>
        <w:br/>
        <w:t xml:space="preserve">5 See the minutes of the hearing of Intesa Sanpaolo, doc. 21 and the minutes of the hearing of UniCredit, doc. 23.  </w:t>
        <w:br/>
        <w:t xml:space="preserve">6 See in particular the minutes of the hearing of UniCredit, doc. 23.  </w:t>
        <w:br/>
        <w:t>7 See C12138 Cassa Centrale Raiffeisen dell'Alto Adige/Gruppo Bancario Cooperativo delle Casse Raiffeisen, in Boll. 11/2018.</w:t>
      </w:r>
    </w:p>
    <w:p>
      <w:r>
        <w:rPr>
          <w:b/>
        </w:rPr>
        <w:t>[Pages 22–24]</w:t>
      </w:r>
    </w:p>
    <w:p>
      <w:r>
        <w:t xml:space="preserve">24 BULLETIN NO. 29 OF 22 JULY 2019  </w:t>
        <w:br/>
        <w:t xml:space="preserve">small-sized; (iii) medium and large-sized enterprises; (iv) public entities. These different categories of subjects, in fact, express different financing needs, for which banks offer diversified products/services, corresponding, for these reasons, to equally distinct relevant product markets.  </w:t>
        <w:br/>
        <w:t xml:space="preserve">20. The different forms of expressed demand are also characterized by differences in terms of mobility and, therefore, willingness to substitute the offer by seeking other investments in more or less extensive geographical areas. In particular, the markets for loans to consumer households and to producer households and small enterprises present a local territorial dimension, which in the Authority's practice has been assessed in the first approximation at the provincial level, also conducting, where appropriate, an analysis at the level of catchment area, in analogy with banking collection.  </w:t>
        <w:br/>
        <w:t xml:space="preserve">21. In this specific case, regarding the banking markets of direct collection, FC loans, and FPI loans, the competitive analysis of the effects of the operation has been carried out both at the provincial level and at a more detailed local level, based on the user catchment areas centered on the 10 branches that UB, the target company, owns in Sardinia.  </w:t>
        <w:br/>
        <w:t xml:space="preserve">a.1 Provincial Analysis  </w:t>
        <w:br/>
        <w:t xml:space="preserve">22. Regarding the banking collection market, as can be seen from Table 2 below, in all provinces of Sardinia, the structure of the offer is very concentrated and characterized by a substantially stable arrangement, in terms of the positioning of operators. The highest concentration of the offer, with few operators, occurs in the provinces of South Sardinia, Nuoro, and Oristano; in Cagliari, on the other hand, the number of operators is higher. In all provinces of Sardinia, BPER is the leading operator, holding market shares equal to four times (Nuoro, South Sardinia), three times (Oristano, Sassari), and about one and a half times (Cagliari) compared to the second operator.  </w:t>
        <w:br/>
        <w:t>The main competitors of BPER are Intesa Sanpaolo, UniCredit, and BNL in all provinces; in Oristano, the second operator is the Banca di Credito Cooperativo di Arborea (Gruppo ICCREA).</w:t>
      </w:r>
    </w:p>
    <w:p>
      <w:r>
        <w:t xml:space="preserve">BULLETIN NO. 29 OF 22 JULY 2019 25  </w:t>
        <w:br/>
        <w:t xml:space="preserve">Table 2: Banking Collection. Market Shares (2018)  </w:t>
        <w:br/>
        <w:t xml:space="preserve">Cagliari Nuoro Oristano Sassari South Sardinia  </w:t>
        <w:br/>
        <w:t xml:space="preserve">BPER [30-35]% BPER [65-70]% BPER [45-50]% BPER [55-60]% BPER [70-75]%  </w:t>
        <w:br/>
        <w:t xml:space="preserve">UB [1-5]% UB [1-5]% UB [1-5]% UB [1-5]% UB [inf. 1]%  </w:t>
        <w:br/>
        <w:t xml:space="preserve">BPER+UB [35-40]% BPER+UB [70-75]% BPER+UB [50-55]% BPER+UB [56-61]% BPER+UB [70-75]%  </w:t>
        <w:br/>
        <w:t xml:space="preserve">Main competitors  </w:t>
        <w:br/>
        <w:t xml:space="preserve">Intesa SP [20-25]% Intesa SP [10-15]% BCC Arb. [15-20]% Intesa SP [15-20]% Intesa SP [10-15]%  </w:t>
        <w:br/>
        <w:t xml:space="preserve">UniCredit [15-20]% BNL [5-10]% Intesa SP [5-10]% UniCredit [5-10]% UniCredit [5-10]%  </w:t>
        <w:br/>
        <w:t xml:space="preserve">BNL [10-15]% UniCredit [5-10]% UniCredit [5-10]% BNL [5-10]% BNL [5-10]%  </w:t>
        <w:br/>
        <w:t xml:space="preserve">No. of operators 18 8 9 14 7  </w:t>
        <w:br/>
        <w:t xml:space="preserve">Source: Bank of Italy  </w:t>
        <w:br/>
        <w:t xml:space="preserve">23. As can be seen from Table 2, as a result of the operation, BPER will increase its market share in all provinces, particularly in Nuoro, Oristano, and Cagliari. However, in the province of Cagliari, given BPER's initial positioning, the market share after the operation will settle at lower values compared to those recorded in the other provinces, reaching about [35-40]%. In the provinces of Sassari and South Sardinia, UB's contribution will be lower, but in contrast, BPER will have a much higher market share.  </w:t>
        <w:br/>
        <w:t xml:space="preserve">24. With reference to the market for loans to consumer households, BPER's shares are particularly high, especially in the provinces of Sassari, South Sardinia, and Nuoro, as they are close to or even exceed [45-50]%; in these provinces, the target has a presence that varies from [1-5]% to [1-5]%, as shown in Table 3 below. In the province of Oristano, the acquirer has a lower share (approximately [30-35]%) but, due to the significant contribution of the acquired company, which holds over [10-15]%, the resulting share from the operation will be above [40-45]%.  </w:t>
        <w:br/>
        <w:t xml:space="preserve">Table 3: FC Loans - Market Shares (2018)  </w:t>
        <w:br/>
        <w:t xml:space="preserve">Province BPER UB Total  </w:t>
        <w:br/>
        <w:t xml:space="preserve">Sassari [55-60]% [1-5]% [56-61]%  </w:t>
        <w:br/>
        <w:t xml:space="preserve">Oristano [30-35]% [10-15]% [40-45]%  </w:t>
        <w:br/>
        <w:t xml:space="preserve">South Sardinia [50-55]% [1-5]% [55-60]%  </w:t>
        <w:br/>
        <w:t xml:space="preserve">Nuoro [45-50]% [1-5]% [50-55]%  </w:t>
        <w:br/>
        <w:t xml:space="preserve">Source: Bank of Italy  </w:t>
        <w:br/>
        <w:t xml:space="preserve">25. Also in the market for loans to producer households and small enterprises, the acquirer has a particularly prominent position, highlighted in Table 4 below, in the provinces of South Sardinia, Nuoro, and Sassari, with shares exceeding [45-50]% and a peak of about [60-65]% in South Sardinia, although UB plays a more limited role, with shares below or close to [1-5]%. In the province of Oristano, the leading operator is BCC Arborea (Gruppo ICCREA), and the Parties hold a joint share below [31-36]%.  </w:t>
        <w:br/>
        <w:t xml:space="preserve">Table 4: FPI Loans - Market Shares (2018)  </w:t>
        <w:br/>
        <w:t xml:space="preserve">Province BPER UB Total  </w:t>
        <w:br/>
        <w:t xml:space="preserve">Sassari [45-50]% [inf.1]% [45-50]%  </w:t>
        <w:br/>
        <w:t xml:space="preserve">South Sardinia [60-65]% [inf.1]% [60-65]%  </w:t>
        <w:br/>
        <w:t xml:space="preserve">Nuoro [50-55]% [1-5]% [51-56]%  </w:t>
        <w:br/>
        <w:t xml:space="preserve">Oristano [30-35]% [1-5]% [31-36]%  </w:t>
        <w:br/>
        <w:t xml:space="preserve">Source: Bank of Italy  </w:t>
        <w:br/>
        <w:t xml:space="preserve">26. The market shares in the 3 examined markets are calculated using the so-called "branch localization" accounting criterion, which records the revenue of banks generated by the various branches located in the territory. This criterion, unlike what BPER believes, which prefers the so-called "counterparty residence" criterion (see infra § 70)8, is particularly suitable for expressing the market power that banks are able to exert, since, as already established by the Authority, from the consumer's perspective, also considering the willingness and/or necessity for users to maintain a relationship with the branch, competition among banks occurs at the local level, in terms of the ability to attract customers to their branches located in the territory9. This circumstance has also been confirmed in the present proceeding, as some of the main banking operators reiterated that the ability to operate competitively is closely linked to the availability of a physical network of branches10. Moreover, the "branch localization" criterion is the only one compatible with the logic and methodology of catchment areas, aimed at estimating the effects of a concentration operation within user catchment areas built around the "points of sale" of the interested companies.  </w:t>
        <w:br/>
        <w:t xml:space="preserve">27. For completeness of exposition, for the 3 markets of collection, FC loans, and FPI loans, the provincial market shares recorded based on the "counterparty residence" criterion are also reported in the table below.  </w:t>
        <w:br/>
        <w:t xml:space="preserve">8 The "counterparty residence" criterion records the revenue that each bank generates in a specific territorial area based on the residence of the clientele.  </w:t>
        <w:br/>
        <w:t xml:space="preserve">9 See C12138 Cassa Centrale Raiffeisen dell'Alto Adige/Gruppo Bancario Cooperativo delle Casse Raiffeisen, in Boll. 11/2018, which also reports the results of an ad hoc survey on banking markets, conducted by the Authority and administered to a representative sample of consumers by a market research company.  </w:t>
        <w:br/>
        <w:t>10 See in particular doc. 23 minutes of the UniCredit hearing.</w:t>
      </w:r>
    </w:p>
    <w:p>
      <w:r>
        <w:rPr>
          <w:b/>
        </w:rPr>
        <w:t>[Pages 25–27]</w:t>
      </w:r>
    </w:p>
    <w:p>
      <w:r>
        <w:t xml:space="preserve">BULLETIN NO. 29 OF 22 JULY 2019 27  </w:t>
        <w:br/>
        <w:t xml:space="preserve">Table 5: Market Shares – Counterparty Residence Criterion (2018)  </w:t>
        <w:br/>
        <w:t xml:space="preserve">Collection Loans FC Loans FPI  </w:t>
        <w:br/>
        <w:t xml:space="preserve">Provinces BPER UB Total BPER UB Total BPER UB Total  </w:t>
        <w:br/>
        <w:t xml:space="preserve">Cagliari [30-35]% [1-5]% [31-36]% [15-20]% [1-5]% [16-21]% [20-25]% [inf.1]% [25-30]%  </w:t>
        <w:br/>
        <w:t xml:space="preserve">Oristano [45-50]% [1-5]% [46-51]% [20-25]% [5-10]% [25-30]% [30-35]% [1-5]% [31-36]%  </w:t>
        <w:br/>
        <w:t xml:space="preserve">Sud Sardegna [55-60]% [inf.1]% [55-60]% [25-30]% [1-5]% [26-31]% [45-50]% [inf.1]% [45-50]%  </w:t>
        <w:br/>
        <w:t xml:space="preserve">Sassari [45-50]% [inf.1]% [50-55]% [25-30]% [1-5]% [26-31]% [35-40]% [inf.1]% [35-40]%  </w:t>
        <w:br/>
        <w:t xml:space="preserve">Nuoro [55-60]% [1-5]% [60-65]% [30-35]% [1-5]% [31-36]% [45-50]% [1-5]% [46-51]%  </w:t>
        <w:br/>
        <w:t xml:space="preserve">Source: Bank of Italy  </w:t>
        <w:br/>
        <w:t xml:space="preserve">28. As can be seen from Table 5, the joint market shares of the Parties in the direct collection market, calculated using the "counterparty residence" criterion, are particularly high in all provinces, always exceeding [46-51]%, with the sole exception of the province of Cagliari. Regarding the two markets of Loans FC and Loans FPI, the use of the so-called "counterparty residence" criterion yields, in this case, generally lower joint shares for the Parties, still close to or exceeding (in Nuoro) [30-35]% in the Loans FC market (except for the province of Cagliari, which has lower shares), while in the Loans FPI market, the joint shares reach peaks of [46-51]% in Nuoro and [45-50]% in Sud Sardegna; in Sassari, it reaches [35-40]%, and in Oristano [31-36]% (only in Cagliari is this share below [25-30]%).  </w:t>
        <w:br/>
        <w:t xml:space="preserve">29. Ultimately, the examination of market shares on a provincial basis, even when calculated using the "counterparty residence" criterion, especially for the collection market, confirms what results from the analysis of shares calculated using the "branch location" criterion regarding the positioning of the Parties and the contribution of the target in the various provinces. In fact, this examination reveals that the provinces where UB's contribution is most significant are the provinces of Nuoro, Cagliari (where, however, the post-merger share is below [31-36]%) and Oristano.  </w:t>
        <w:br/>
        <w:t xml:space="preserve">a.2 Analysis of the Catchment Area  </w:t>
        <w:br/>
        <w:t xml:space="preserve">30. During the investigation, an analysis was also conducted regarding local markets confined to the catchment areas, using the "branch location" criterion, which allowed for a more precise delineation of the effects of the operation. This analysis was based on the customer bases centered on the 10 branches that Unipol Banca (UB) owns in Sardinia. The extent of the catchment areas was defined, according to the Authority's practice, considering a maximum travel time of 30 minutes by car, calculated based on the mobility of banking customers' demand11.  </w:t>
        <w:br/>
        <w:t>11 See C12138 Cassa Centrale Raiffeisen dell'Alto Adige/Gruppo Bancario Cooperativo delle Casse Raiffeisen, in Boll. 11/2018, which also reports the results of an ad hoc survey on banking markets, conducted by the Authority and administered to a representative sample of consumers by a market research company.</w:t>
      </w:r>
    </w:p>
    <w:p>
      <w:r>
        <w:t xml:space="preserve">28 BULLETIN NO. 29 OF 22 JULY 2019  </w:t>
        <w:br/>
        <w:t xml:space="preserve">31. Table 6 shows the market shares in the 10 catchment areas as defined for the banking markets of collection, Loans FC, and Loans FPI, in descending order based on the post-merger shares related to collection.  </w:t>
        <w:br/>
        <w:t xml:space="preserve">Table 6: Market Shares in the Catchment Areas (2018)  </w:t>
        <w:br/>
        <w:t xml:space="preserve">Catchment Area Banks Collection Loans FC Loans FPI  </w:t>
        <w:br/>
        <w:t xml:space="preserve">1 Alghero (SS) BPER [55-60]% [50-55]% [35-40]%  </w:t>
        <w:br/>
        <w:t xml:space="preserve">UB [1-5]% [1-5]% [1-5]%  </w:t>
        <w:br/>
        <w:t xml:space="preserve">Post-merger Share [56-61]% [51-56]% [40-45]%  </w:t>
        <w:br/>
        <w:t xml:space="preserve">2 Nuoro (NU) BPER [45-50]% [30-35]% [35-40]%  </w:t>
        <w:br/>
        <w:t xml:space="preserve">UB [10-15]% [5-10]% [1-5]%  </w:t>
        <w:br/>
        <w:t xml:space="preserve">Post-merger Share [55-60]% [40-45]% [36-41]%  </w:t>
        <w:br/>
        <w:t xml:space="preserve">3 Sassari (SS) BPER [50-55]% [50-55]% [40-45]%  </w:t>
        <w:br/>
        <w:t xml:space="preserve">UB [1-5]% [1-5]% [inf.1]%  </w:t>
        <w:br/>
        <w:t xml:space="preserve">Post-merger Share [51-56]% [51-56]% [40-45]%  </w:t>
        <w:br/>
        <w:t xml:space="preserve">4 Iglesias (SU) BPER [45-50]% [35-40]% [45-50]%  </w:t>
        <w:br/>
        <w:t xml:space="preserve">UB [1-5]% [1-5]% [1-5]%  </w:t>
        <w:br/>
        <w:t xml:space="preserve">Post-merger Share [46-51]% [40-45]% [46-51]%  </w:t>
        <w:br/>
        <w:t xml:space="preserve">5 Terralba (OR) BPER [35-40]% [25-30]% [30-35]%  </w:t>
        <w:br/>
        <w:t xml:space="preserve">UB [1-5]% [10-15]% [5-10]%  </w:t>
        <w:br/>
        <w:t xml:space="preserve">Post-merger Share [40-45]% [40-45]% [35-40]%  </w:t>
        <w:br/>
        <w:t xml:space="preserve">6 Oristano (OR) BPER [30-35]% [25-30]% [30-35]%  </w:t>
        <w:br/>
        <w:t xml:space="preserve">UB [1-5]% [10-15]% [5-10]%  </w:t>
        <w:br/>
        <w:t xml:space="preserve">Post-merger Share [35-40]% [35-40]% [35-40]%  </w:t>
        <w:br/>
        <w:t xml:space="preserve">7 Cagliari (CA) BPER [30-35]% [15-20]% [25-30]%  </w:t>
        <w:br/>
        <w:t xml:space="preserve">UB [1-5]% [1-5]% [inf.1]%  </w:t>
        <w:br/>
        <w:t xml:space="preserve">Post-merger Share [35-40]% [16-21]% [25-30]%  </w:t>
        <w:br/>
        <w:t xml:space="preserve">8 Cagliari (CA) BPER [30-35]% [15-20]% [20-25]%  </w:t>
        <w:br/>
        <w:t xml:space="preserve">UB [1-5]% [1-5]% [inf.1]%  </w:t>
        <w:br/>
        <w:t>Post-merger Share [35-40]% [16-21]% [25-30]%</w:t>
      </w:r>
    </w:p>
    <w:p>
      <w:r>
        <w:t xml:space="preserve">BULLETIN NO. 29 OF 22 JULY 2019 29  </w:t>
        <w:br/>
        <w:t xml:space="preserve">Catchment Area Banks Collection Loans FC Loans FPI  </w:t>
        <w:br/>
        <w:t xml:space="preserve">9 Olbia (SS) BPER [30-35]% [25-30]% [15-20]%  </w:t>
        <w:br/>
        <w:t xml:space="preserve">UB [1-5]% [1-5]% [1-5]%  </w:t>
        <w:br/>
        <w:t xml:space="preserve">Post-merger Share [31-36]% [30-35]% [16-21]%  </w:t>
        <w:br/>
        <w:t xml:space="preserve">10 Cagliari (CA) BPER [25-30]% [10-15]% [15-20]%  </w:t>
        <w:br/>
        <w:t xml:space="preserve">UB [1-5]% [1-5]% [inf.1]%  </w:t>
        <w:br/>
        <w:t xml:space="preserve">Post-merger Share [30-35]% [15-20]% [20-25]%  </w:t>
        <w:br/>
        <w:t xml:space="preserve">Source: AGCM processing on BPER and Bank of Italy data  </w:t>
        <w:br/>
        <w:t xml:space="preserve">32. The calculation of market shares at the catchment area level highlights a particularly strong presence of BPER in the first five catchment areas. In particular, in CA1-Alghero, CA2-Nuoro, CA3-Sassari, and CA4-Iglesias, BPER's shares in the collection market are respectively [55-60]%, [45-50]%, [50-55]%, and [46-51]%; as a result of the operation, BPER, thanks to UB's contribution, which is generally significant and particularly strong in Nuoro ([10-15]%), will further consolidate its position, reaching shares always exceeding [50-55]% or at least close to that value. Similarly, in CA5-Terralba, BPER, which holds a share of [35-40]%, with the contribution of UB will strengthen its already very important market positioning, achieving post-merger shares exceeding 40% and equal to [40-45]%.  </w:t>
        <w:br/>
        <w:t xml:space="preserve">33. The competitive structure in the remaining catchment areas is different. Specifically, in CA6-Oristano, BPER has a share below [30-35]% and will hold a joint share of [35-40]%. As for CA9-Olbia and the three CA7, 8, and 10 in Cagliari, as a result of the operation, the Parties will achieve collection market shares below [30-35]% or slightly above that value.  </w:t>
        <w:br/>
        <w:t xml:space="preserve">34. The trends highlighted in the various catchment areas regarding the banking collection market are also found in the two markets of Loans FC and FPI, although with generally lower overall market shares. In any case, in these markets, there are generally particularly high post-merger shares in the first five catchment areas. More specifically, these are CA1-Alghero, with shares of [51-56]% for Loans FC and [40-45]% for Loans FPI, CA2-Nuoro ([40-45]% Loans FC and [36-41]% Loans FPI), CA3-Sassari ([51-56]% Loans FC and [40-45]% Loans FPI), CA4-Iglesias ([40-45]% Loans FC and [46-51]% Loans FPI), CA5-Terralba ([40-45]% in Loans FC). Regarding loans, it is particularly noteworthy the significant contribution of UB in CA5-Terralba ([10-15]% Loans FC and [5-10]% Loans FPI) and CA2-Nuoro ([5-10]% Loans FC).  </w:t>
        <w:br/>
        <w:t xml:space="preserve">35. A common characteristic of the first 5 catchment areas, with the sole exception of CA3-Sassari (SS), is the presence of a limited number of competitors to BPER, the main ones being Intesa Sanpaolo, UniCredit, BNL, and, in the province of Oristano, the BCC of Arborea (ICCREA Group)12. Some of the competitors sometimes have significant market shares in the  </w:t>
        <w:br/>
        <w:t>12 The number of BPER competitors, including UB, before the operation is 5 in CA1, 7 in CA2, 11 in CA3, 8 in CA5.</w:t>
      </w:r>
    </w:p>
    <w:p>
      <w:r>
        <w:rPr>
          <w:b/>
        </w:rPr>
        <w:t>[Pages 28–30]</w:t>
      </w:r>
    </w:p>
    <w:p>
      <w:r>
        <w:t xml:space="preserve">30 BULLETIN NO. 29 OF 22 JULY 2019  </w:t>
        <w:br/>
        <w:t xml:space="preserve">The CA in question, more often in the lending market (see table in appendix 2). However, these shares are always lower, and, especially regarding deposits, not comparable to those of the new entity BPER-UB. In this context, the operation will lead to a further reduction in the number of operators, leaving consumers with even fewer alternatives. Moreover, even though UB in Sardinia does not have a prominent position, it is an operator with an important and well-known brand.  </w:t>
        <w:br/>
        <w:t xml:space="preserve">36. The market shares calculated on the catchment areas substantially confirm the analysis of the competitive impact of the operation in the relevant markets, conducted by examining both the extent of the branch network and calculating market shares on a provincial basis. Sometimes, the market shares of BPER calculated at the CA level are lower than those that result on a provincial basis, although they remain particularly high; this phenomenon can be explained by considering that the operation involves the first market operator, with a widespread presence in the territory ([325-330] branches in Sardinia), and an operator with few branches. For this reason, several branches of the acquirer are located outside the catchment areas constructed using such a small number of centroids (the 10 branches of the target) over a vast territory like Sardinia. The differences in market shares calculated at the provincial and catchment area levels are obviously more significant for the provinces where BPER has many branches widely distributed across the territory and which are more than 30 minutes away from those of the target, used as centroids; these branches do not indeed fall within the calculation of market shares at the catchment area level.  </w:t>
        <w:br/>
        <w:t xml:space="preserve">V.2.3 Distribution of mutual investment funds and supplementary pensions  </w:t>
        <w:br/>
        <w:t xml:space="preserve">37. Within the managed savings sector, various activities are included, corresponding to distinct product markets, and are related to: (i) management of mutual investment funds; (ii) individual management of financial assets (GPM) and in funds (GPF); and (iii) management of supplementary pension products. Furthermore, the services offered in the managed savings sector typically have an upstream management phase and a downstream distribution phase, each of which leads to the identification of distinct markets along the supply chain, both in geographical and product terms. The production phase, according to the Authority's constant practice, has a national geographical dimension, being normally centralized and homogeneous throughout the Italian territory. Regarding the distribution market, however, considering the limited mobility of demand, the geographical dimension has been defined by the Authority at the provincial level, in the first approximation. With reference to the pension sector, there are differences between contractual pension funds, open pension funds, and PIPs, which can influence the definition of the geographical market, which may have a broader scope, typically national, but, also depending on the relevance of individual memberships, may require a reduced screening even to smaller local areas.  </w:t>
        <w:br/>
        <w:t xml:space="preserve">38. The investigative findings have concerned the markets for the distribution of mutual investment funds and supplementary pensions.  </w:t>
        <w:br/>
        <w:t xml:space="preserve">39. Regarding the distribution of mutual investment funds, competitive dynamics are closely related to the extent of the branch network, which constitutes an essential distribution channel for banks in relation to such products. To appreciate the competitive conditions in this market, the positioning in direct banking deposits is also relevant, which constitutes a fundamental reference driver for operators, so much so that, in the Authority's practice, market shares in the distribution of mutual funds can use the shares related to the deposit markets as a proxy. From the following table 7, a relationship emerges between direct deposits and indirect deposits (in particular, distribution of mutual investment funds); indeed, the market shares on a provincial basis in the distribution of mutual investment funds are substantially consistent with those recorded for direct deposits.  </w:t>
        <w:br/>
        <w:t xml:space="preserve">40. Therefore, in the case at hand, for the distribution of mutual investment funds, it does not appear necessary to evaluate the competitive effects of the operation, even in defined local areas at the CA level, distinct and autonomous from that conducted for the direct deposit market. Indeed, it is possible to infer the effects of this operation in the market for the distribution of mutual investment funds by integrating the examination conducted for the direct deposit market (also at the CA level), with the analysis of provincial market shares in the distribution of mutual investment funds and the considerations related to the extent of the branch network. Moreover, as seen from the table, in this market, UB appears to have a limited role.  </w:t>
        <w:br/>
        <w:t xml:space="preserve">Table 7: Distribution of mutual investment funds – market shares  </w:t>
        <w:br/>
        <w:t xml:space="preserve">Province BPER UB Total  </w:t>
        <w:br/>
        <w:t xml:space="preserve">Sassari [45-50%] [inf. 1%] [45-50%]  </w:t>
        <w:br/>
        <w:t xml:space="preserve">Sud Sardegna [70-75%] [inf. 1%] [70-75%]  </w:t>
        <w:br/>
        <w:t xml:space="preserve">Nuoro [70-75%] [inf. 1%] [70-75%]  </w:t>
        <w:br/>
        <w:t xml:space="preserve">Oristano [55-60%] [inf. 1%] [55-60%]  </w:t>
        <w:br/>
        <w:t xml:space="preserve">Source: estimates provided by the Parties (2018).  </w:t>
        <w:br/>
        <w:t xml:space="preserve">41. More specifically, from the table it appears that the provinces where BPER has the highest market share are those of Sud Sardegna and Nuoro, where the shares exceed [70-75]%, followed by Oristano and Sassari (where BPER has shares of approximately [55-60]% and approximately [45-50]%, respectively). However, it should be reiterated that UB's contribution appears particularly limited, remaining always below [inf.1]%, presumably due to UB's lack of specialization in offering such products.  </w:t>
        <w:br/>
        <w:t xml:space="preserve">42. With reference to the market for supplementary pensions, and in particular to the distribution of open pension funds (a segment in which both Parties operate), at the national level, the market share is [1-5]% for BPER and below 1% for UB. Given the particular breadth of the acquirer's branch network and considering the relevance of the banking distribution channel in placing individual membership supplementary pension products, an evaluation of the effects of the operation at the local level has become necessary. In relation to the distribution of individual membership open pension funds, according to the information provided by the Parties, in all provinces of Sardinia, the joint shares are below [25-30]%. Specifically, in the province of Sassari, BPER achieves [25-30]%, in Oristano [15-20]%, in Cagliari [15-20%], while UB has a marginal share, never exceeding [inf.1]%; in two provinces (Sud Sardegna and Nuoro), there is no horizontal overlap.  </w:t>
        <w:br/>
        <w:t xml:space="preserve">43. Given that the analysis conducted on a provincial basis has highlighted the not high position of the Parties and also considering UB's marginal contribution, for supplementary pensions, it has not been deemed necessary to resort to further investigations regarding changes to competitive conditions in a more confined local geographical area.  </w:t>
        <w:br/>
        <w:t xml:space="preserve">V.2.4 Managed savings  </w:t>
        <w:br/>
        <w:t xml:space="preserve">44. The services of managed savings include the activity of collecting, transmitting, and negotiating orders in financial instruments on behalf of an investor who has made the conferment of individual orders to the same intermediaries. The geographical dimension of the market appears to be limited to an area that does not extend beyond provincial borders, considering the limited willingness to move on the part of the final clientele.  </w:t>
        <w:br/>
        <w:t xml:space="preserve">45. The provision of services related to the managed savings market is closely linked to traditional banking activity and, in particular, to the banking deposit market, considering the high correlation between holding a current account and a securities account with the same banking institution. Given the close connection that exists between managed savings and deposits, and for other reasons similar to those highlighted for the distribution of mutual investment funds, regarding managed savings, the evaluation of the competitive effects of the operation can be carried out by limiting the analysis to the market shares calculated on a provincial basis.  </w:t>
        <w:br/>
        <w:t>46. The latter, as can be seen from the following table 8, confirms the strong presence of BPER in the provinces of Sud Sardegna, Nuoro, and Oristano, with shares far exceeding [50-55]%, to which UB's shares, ranging between [inf.1]% and [1-5]%, should be added. The managed savings market is the only one, among the markets affected by the operation, in which the acquirer has a significant position even in the province of Cagliari (just over [45-50]%), where UB, however, slightly exceeds [1-5]%. In any case, BPER's main competitors in Sardinia have noted that the operation does not appear to raise competitive issues in the province of Cagliari, due to BPER's overall lesser role and the lower degree of concentration of the offer (see also infra §§ 63 et seq.).</w:t>
      </w:r>
    </w:p>
    <w:p>
      <w:r>
        <w:rPr>
          <w:b/>
        </w:rPr>
        <w:t>[Pages 31–33]</w:t>
      </w:r>
    </w:p>
    <w:p>
      <w:r>
        <w:t xml:space="preserve">BULLETIN NO. 29 OF 22 JULY 2019 33  </w:t>
        <w:br/>
        <w:t xml:space="preserve">Table 8: Market of administered savings - market shares  </w:t>
        <w:br/>
        <w:t xml:space="preserve">Province BPER UB Total  </w:t>
        <w:br/>
        <w:t xml:space="preserve">Oristano [60-65%] [1-5%] [61-66%]  </w:t>
        <w:br/>
        <w:t xml:space="preserve">Sud Sardegna [55-60%] [inf. 1%] [55-60%]  </w:t>
        <w:br/>
        <w:t xml:space="preserve">Nuoro [50-55%] [1-5%] [55-60%]  </w:t>
        <w:br/>
        <w:t xml:space="preserve">Cagliari [45-50%] [1-5%] [46-51%]  </w:t>
        <w:br/>
        <w:t xml:space="preserve">Source: estimates provided by the Parties  </w:t>
        <w:br/>
        <w:t xml:space="preserve">V.2.5 Loans to public entities  </w:t>
        <w:br/>
        <w:t xml:space="preserve">47. Regarding the market for loans to public entities, in the Authority's practice, it has been considered to have a geographical dimension that is, in the first approximation, regional. During the proceedings, in light of both regulatory and structural changes that have occurred in recent years, and due to certain observations made by BPER, specific investigative deepening has been carried out on this market, with particular regard to its geographical dimension.  </w:t>
        <w:br/>
        <w:t xml:space="preserve">48. The demand for financing from public entities can be traced back to two forms of loans: short-term advances related to the performance of cash/treasury services, which are typically linked to the specific needs of the entities, with a predetermined and limited ceiling for the duration of the service (on average 3/5 years); medium/long-term financing intended for investment expenditures, in the form of loans and bond issues, typically with a duration exceeding ten years.  </w:t>
        <w:br/>
        <w:t xml:space="preserve">49. Regarding the cash/treasury service, it consists of the financial management of the entities, aimed at the collection of revenues and the payment of expenses17. The entity performing treasury activities can grant temporary lines of credit to cover the temporary liquidity needs of the entities (short-term advances) while waiting for the actual cash manifestation of revenues to cover the related expenses; as a rule, the treasury advance should not exceed 12 months18. In this sense, the loans are linked to the treasury service.  </w:t>
        <w:br/>
        <w:t xml:space="preserve">50. The treasury service is usually entrusted through a public procurement procedure. From the investigation, it emerged that it is not always an attractive service for the banking system, as it is not always profitable. For this reason, it is possible that banks with a specific interest in consolidating or developing their local activity participate more frequently in the tenders19. To facilitate access to the service for smaller local entities, with Article 1, paragraph 878, of Law 205/2017, CDP has been authorized to grant treasury advances to local entities for small municipalities (up to 5,000 inhabitants)20.  </w:t>
        <w:br/>
        <w:t xml:space="preserve">17 See Article 209 of Legislative Decree 267/2000.  </w:t>
        <w:br/>
        <w:t xml:space="preserve">18 See doc. 22 minutes of the CDP hearing and doc. 21 minutes of the Intesa Sanpaolo hearing.  </w:t>
        <w:br/>
        <w:t xml:space="preserve">19 See in particular doc. 22 minutes of the CDP hearing and doc. 21 minutes of the Intesa Sanpaolo hearing.  </w:t>
        <w:br/>
        <w:t>20 Specifically, CDP carries out the activity of granting the advance, while Poste Italiane S.p.A. manages the treasury service.</w:t>
      </w:r>
    </w:p>
    <w:p>
      <w:r>
        <w:t xml:space="preserve">34 BULLETIN NO. 29 OF 22 JULY 2019  </w:t>
        <w:br/>
        <w:t xml:space="preserve">51. With reference to medium-long term financing (essentially loans and bond issues), public entities operate within a precise regulatory framework21. There are indeed stringent limits on the powers and methods of indebtedness of local entities, regarding the amount22 and the type of financing23.  </w:t>
        <w:br/>
        <w:t xml:space="preserve">52. Medium-long term financing to public entities is provided by the banking system and by CDP, which plays a supportive financial role for public entities using resources from postal savings24. The banking system and CDP operate, in this area, in compliance with common rules for both credit channels, also regarding the cases and methods of resorting to indebtedness25. Regarding economic conditions, CDP provides public rates set in compliance with limits imposed by regulations. On a regulatory basis, maximum rates that banks can apply to local entities are also established26; for Regions, limits are usually set through regional laws authorizing indebtedness, often with reference to the legal limits provided for local entities or to CDP rates. For non-territorial entities, however, the reference is constituted by the rates applied by CDP27.  </w:t>
        <w:br/>
        <w:t xml:space="preserve">53. In the last 10 years, the activity of granting medium-long term financing to public entities has undergone substantial changes attributable on the one hand to the aforementioned reforms in public finance that have introduced greater constraints on indebtedness for public entities, and on the other hand to the crisis that has affected the banking system since 2008. It should also be noted that the financing requested by public entities is characterized by a long repayment duration and conditioned by the regulatory forecast of maximum rates. For this reason, this  </w:t>
        <w:br/>
        <w:t xml:space="preserve">21 The constitutional reform carried out by Law No. 1 of 2012 introduced the principle of budget balance for all public administrations, establishing the rule that local entities can only incur debt to finance investment expenditures. This rule, already existing in the local entities' legal system, establishes a destination constraint for the contraction of debts, which cannot finance current expenditure. Additional constraints on territorial entities regarding indebtedness have also been imposed, compared to those set by Article 119 of the Constitution.  </w:t>
        <w:br/>
        <w:t xml:space="preserve">22 With reference to local entities, the maximum limit of indebtedness is represented by the incidence of interest costs on the current revenues of local entities (see in particular Article 204 of Legislative Decree No. 267/2000 - TUEL). Similar provisions have been introduced for Regions by Article 8 of Law No. 183/2011, which amended Article 10, paragraph 2, of Law 281/1970. For these entities, starting from 2012, the percentage between the total amount of annual capital and interest payments and the total amount of non-restricted tax revenues, which represents the reference measure for the contraction of new indebtedness by the regions, has been reduced.  </w:t>
        <w:br/>
        <w:t xml:space="preserve">23 For example, types of financing previously used by territorial public entities have been limited or prohibited by regulations (such as operations with capital repayment in a single installment at maturity or derivative operations linked to financing operations).  </w:t>
        <w:br/>
        <w:t xml:space="preserve">24 This is an activity qualified as a "service of general economic interest," carried out under conditions of transparency, accessibility, and uniform treatment. CDP offers financing activities to more than ten thousand public entities. See CDP website https://www.cdp.it/clienti/government-pa/government-e-pa.kl.  </w:t>
        <w:br/>
        <w:t xml:space="preserve">25 In particular, regarding compliance with certain requirements requested from public entities to access financing (e.g., type and timing of amortization installments).  </w:t>
        <w:br/>
        <w:t xml:space="preserve">26 This threshold is periodically set by decree of the Ministry of Economy and Finance, which establishes the maximum conditions or other modalities applicable to loans to be granted to local territorial entities, in order to achieve uniform treatment. See also the decree of the Ministry of Economy and Finance of 14 March 2019 and the decree of the Ministry of Economy and Finance (Treasury Department - Directorate VI - Office IV), prot. No. 3641 of 15 January 2019, which defines the maximum cost of the funding to be used for loan operations contracted by Local Entities at variable rates.  </w:t>
        <w:br/>
        <w:t>27 See doc. 22 minutes of the CDP hearing.</w:t>
      </w:r>
    </w:p>
    <w:p>
      <w:r>
        <w:t xml:space="preserve">BULLETIN NO. 29 OF 22 JULY 2019 35  </w:t>
        <w:br/>
        <w:t xml:space="preserve">type of financing has a risk/return combination, combined with the cost of funding, which does not always make the offer of such services by the banking system appealing28.  </w:t>
        <w:br/>
        <w:t xml:space="preserve">54. The combination of these elements, especially since the crisis that has affected the banking system since 2008, "has contributed to a progressive reduction in the presence of banks in the offer of financing to public entities and a simultaneous increase in the role of CDP, especially regarding territorial entities. [...] As evidence of the reduction in volumes, it is observed that in 2018 the total financing flows granted by CDP and banks were approximately 1.2 billion euros for Regions and 790 million euros for local entities, compared to a stock that is much higher"29. The reduction in volumes has affected all Regions and Autonomous Provinces30, including the Region of Sardinia31. Similar dynamics have affected local entities32, including those in Sardinia33. The same considerations regarding the progressive reduction of indebtedness flows apply to the bond loans that Regions and local entities can issue, in compliance with certain constraints34. Overall, therefore, the share of financing provided by the banking system has progressively decreased.  </w:t>
        <w:br/>
        <w:t xml:space="preserve">55. In the current context, in any case, "public entities, regardless of their nature and territorial location, can turn to the generality of banks resident in Italy, also by virtue of regulatory constraints and a structure of offer conditions that are substantially homogeneous. Non-resident banks in Italy, with the exception of the EIB, do not seem particularly active in offering financing to Italian public entities"35. Also, the competing banks of BPER heard during the proceedings stated that "with regard to extraordinary activities [medium-long term financing], when they are financed by banks, the economic conditions can be established at a centralized level by a dedicated pricing office"36; the organizational structure of the units dedicated to providing such types of loans is usually centralized and at most articulated across macro-regions37.  </w:t>
        <w:br/>
        <w:t xml:space="preserve">28 See also doc. 22 minutes of the CDP hearing.  </w:t>
        <w:br/>
        <w:t xml:space="preserve">29 See doc. 22 minutes of the CDP hearing; see also the Survey of the Department of the General Accounting Office on loans contracted by territorial entities for investment financing, year 2018, published in May 2019. The Survey reports data related to CDP and a sample of about 40 banks. The public accounting data reported in the following notes are drawn from the cited Survey.  </w:t>
        <w:br/>
        <w:t xml:space="preserve">30 In fact, loans granted at the national level to Regions and Autonomous Provinces have decreased from about 2.6 billion euros in 2001 to about 1.2 billion euros in 2018; over the years, the residual debt has increased, rising from just over 4 billion to over 15 billion euros.  </w:t>
        <w:br/>
        <w:t xml:space="preserve">31 In 2018, no loans were granted to the Region of Sardinia; regarding the debt consistency, in 2018 the residual debt of the region was 408 million euros.  </w:t>
        <w:br/>
        <w:t xml:space="preserve">32 If in 2001 local entities were granted 6.3 billion euros in loans, this amount decreased to 4.3 billion in 2008 and to 790 million in 2018; the national residual debt amounted to over 36 billion euros in 2018.  </w:t>
        <w:br/>
        <w:t xml:space="preserve">33 The loans granted to local entities in Sardinia in 2018 amounted to just over 11 million euros, and the current residual debt is approximately 540 million euros.  </w:t>
        <w:br/>
        <w:t xml:space="preserve">34 The contraction of this type of loans is evident when considering that in 2005 new bond issues amounted to 1.5 billion euros, while in 2018 they were only 300 million euros. The current amount of bond loans is approximately 7 billion euros.  </w:t>
        <w:br/>
        <w:t xml:space="preserve">35 See doc. 22 minutes of the CDP hearing.  </w:t>
        <w:br/>
        <w:t xml:space="preserve">36 Doc. 21 minutes of the Intesa Sanpaolo hearing.  </w:t>
        <w:br/>
        <w:t>37 For example, UniCredit stated that regarding the offer of loans to public entities, "the financing activity is organized with a national oversight," which manages various structures, each of which includes</w:t>
      </w:r>
    </w:p>
    <w:p>
      <w:r>
        <w:rPr>
          <w:b/>
        </w:rPr>
        <w:t>[Pages 34–36]</w:t>
      </w:r>
    </w:p>
    <w:p>
      <w:r>
        <w:t xml:space="preserve">BULLETIN NO. 29 OF 22 JULY 2019  </w:t>
        <w:br/>
        <w:t xml:space="preserve">56. Ultimately, the typical methods of awarding treasury services, through tender, lead to the conclusion that this segment of the market for loans to public entities may tendentially have a national geographical scope, although in certain circumstances, for example where there are no active operators on a national scale interested in developing their activities in specific local areas, it may be more appropriate to refer to a more limited geographical scope. These considerations regarding the market's extent also apply to smaller local entities, given that from the investigations carried out it has emerged that they can directly turn to CDP, which operates on the basis of transparent and homogeneous conditions.  </w:t>
        <w:br/>
        <w:t xml:space="preserve">57. Regarding medium to long-term financing services, investigations have shown that for several years the changes to the regulatory framework governing the financing of public entities and the crisis of the banking system have contributed to an overall reduction in the flows of financing provided by the banking system to public entities; at the same time, CDP has taken on an increasing role in the provision of financing, thus making its economic conditions an increasingly relevant benchmark for the market, which is also subject to specific regulatory limits.  </w:t>
        <w:br/>
        <w:t xml:space="preserve">58. Due to the aforementioned regulatory constraints and a structure of offering conditions, including price, that are substantially homogeneous across the national territory and influenced by the presence of CDP, it seems reasonable to consider that this segment of the market for loans to public entities also has a national geographical scope; provided that, given the heterogeneity of public entities (by nature and size), in certain specific circumstances, for example concerning smaller local entities or certain non-territorial public entities, it may be necessary to resort to a more restricted identification of the relevant market at the geographical level.  </w:t>
        <w:br/>
        <w:t xml:space="preserve">59. That said, considering the market shares on a national basis, BPER achieves [5-10]%, UB [inf. 1]%, for a total of [5-10]%.  </w:t>
        <w:br/>
        <w:t xml:space="preserve">V.2.6 Loans to medium-large enterprises  </w:t>
        <w:br/>
        <w:t xml:space="preserve">60. In relation to the market for loans to medium-large enterprises, as with loans to public entities, investigative deep dives have been conducted regarding the geographical extent of the market. However, these investigations do not appear sufficient to suggest changes in the practice adopted so far by the Authority, according to which this market would have a geographical scope that is, in the first approximation, regional.  </w:t>
        <w:br/>
        <w:t xml:space="preserve">61. In fact, the commercial policies of banks regarding this type of lending are generally defined in concert between the central offices and regional divisions. Although a role of the central offices of banks active on a national level has emerged in defining the offering conditions, including economic ones, this role varies depending on the characteristics of the enterprises requesting financing and is not always essential. Therefore, the examination of the effects of the operation is carried out based on the market shares achieved at the regional level.  </w:t>
        <w:br/>
        <w:t xml:space="preserve">62. In the market for loans to medium-large enterprises, the market shares of BPER and UB calculated on a regional basis are respectively [35-40]% and [inf. 1]%, corresponding to a combined share of [35-40]%.  </w:t>
        <w:br/>
        <w:t xml:space="preserve">V.3 The position of competitors on the effects of the operation  </w:t>
        <w:br/>
        <w:t xml:space="preserve">63. During the proceedings, UniCredit and Intesa Sanpaolo, major national and international banking groups and among the main competitors of BPER in Sardinia, were heard. According to UniCredit, “the BPER Group, in Sardinia, holds a dominant position [...]. BPER's dominant position in Sardinia, in addition to the number of branches, depends on the market power held by the Group due to its deep-rooted and persistent connection to the territory, attributable to the membership of Banco di Sardegna and Banco di Sassari in the BPER Group. These are banks with such a pronounced local presence that they continue to operate under their historical brand, despite having joined the BPER Group many years ago.”  </w:t>
        <w:br/>
        <w:t xml:space="preserve">64. Furthermore, “in this context, dominated by the predominant role of the BPER Group, it becomes difficult for a competitor like UniCredit, an important national operator, to operate.” This is because, to operate efficiently and profitably, it is necessary to have a distribution network of certain minimum dimensions. In this regard, UniCredit noted that, although technological innovations have led to the development of a multichannel offering model, in which the activity of branches is supported and integrated by online services and vice versa, “we are still in a transitional phase and the presence of a physical network of branches in the territory remains a fundamental competitive variable.”  </w:t>
        <w:br/>
        <w:t xml:space="preserve">Overall, UniCredit emphasized that even at the present time, the BPER group has a predominant role in Sardinia and that the concentration operation under examination could lead to a - albeit modest - further consolidation of that role “especially in the provinces of Nuoro, Oristano, Sud Sardegna, and Sassari.” UniCredit then specified that in Cagliari, BPER does not have such an important position.  </w:t>
        <w:br/>
        <w:t xml:space="preserve">65. For Intesa Sanpaolo as well, “the operation involves a bank that has a strong territorial positioning, as Banco di Sardegna, belonging to the BPER group, has always been a reference bank in the region, with a very widespread network of branches”; according to Intesa Sanpaolo, “the bank subject to acquisition has a reduced number of branches, so [...] the operation should not have a significant impact in the various banking markets concerned. The most evident effect could materialize in the province of Oristano, where UB has a more marked presence, particularly in the market for loans to consumer households.”  </w:t>
        <w:br/>
        <w:t xml:space="preserve">V.4 The arguments of the Parties  </w:t>
        <w:br/>
        <w:t xml:space="preserve">66. During the proceedings, BPER deemed it appropriate to highlight certain issues that, in the opinion of the Party, should be taken into account in assessing the competitive effects of the operation.  </w:t>
        <w:br/>
        <w:t xml:space="preserve">67. First of all, BPER noted that Banco di Sardegna has undergone a restructuring in recent years that would benefit competition; it also highlighted that Banco di Sardegna, due to its status as a former public law entity, has about [45-50] branches that have reduced opening hours compared to most branches and therefore a competitive strength lower than what could be inferred from a mere reading of the data on the number of branches.  </w:t>
        <w:br/>
        <w:t xml:space="preserve">68. Moreover, there are numerous and qualified competitors, such as Intesa Sanpaolo, UniCredit, and BNL, with market shares that allow them to “exert a certain degree of competitive pressure even on BPER,” so the opinions expressed by the competitors heard during the proceedings, particularly by UniCredit, regarding the alleged difficulties in operating, would not be shareable.  </w:t>
        <w:br/>
        <w:t xml:space="preserve">69. BPER also noted that the operation under examination would not raise competitive issues, as the share attributable to UB in the various relevant markets is particularly limited, both in direct banking collection and, even more so, in FC and FPI loans, as well as in mutual funds and administered savings. According to BPER, moreover, the market shares of UB calculated at the catchment area level would be higher as UB is “the epicenter of the relevant catchment areas.”  </w:t>
        <w:br/>
        <w:t>70. Regarding the province of Oristano, where UB has a share of about [10-15]% in the FC loan market, BPER notes that this share would instead be [5-10]% if the “branch location” criterion, as used by the Authority, were not applied, but rather the “counterparty residence” criterion. BPER believes, in fact, that for calculating shares in the markets of collection and loans, the so-called “counterparty residence” criterion would be more appropriate, due to a series of elements such as the role of Poste Italiane S.p.A., the presence of online services, the fact that (for non-retail markets) institutional clients are accounted for at certain specific branches, as well as the circumstance that services related to credit cards are accounted for in loans in Sassari. Furthermore, in Sardinia, there would be a greater reliance on online tools compared to what occurs nationally, as evidenced by the fact that the ratio of online transfers to total transfers is [75-80]% in Sardinia and [65-70]% nationally.</w:t>
      </w:r>
    </w:p>
    <w:p>
      <w:r>
        <w:rPr>
          <w:b/>
        </w:rPr>
        <w:t>[Pages 37–39]</w:t>
      </w:r>
    </w:p>
    <w:p>
      <w:r>
        <w:t xml:space="preserve">BULLETIN NO. 29 OF 22 JULY 2019 39  </w:t>
        <w:br/>
        <w:t xml:space="preserve">71. Furthermore, with reference to the markets for loans to medium-large enterprises and public entities, BPER has provided some arguments that, in the opinion of the Party, would support a different definition of the geographical dimension of the market, to be considered at least national.  </w:t>
        <w:br/>
        <w:t xml:space="preserve">72. In particular, BPER emphasized that the employment relationships with public entities are usually managed by the key client offices of the general management or the large corporate branches of banks, therefore such relationships would be contestable on a national scale. Moreover, treasury services are purchased by local authorities through competitive procedures, allowing any active operator, at least on a national level, to participate47.  </w:t>
        <w:br/>
        <w:t xml:space="preserve">73. Finally, the Party recalled having presented, at the time of notification, commitments [omitted], identifying in particular the provinces where "the most significant - albeit contained - increases in market share attributable to UB" would be recorded, believing that in this way the operation could not raise competitive concerns. According to BPER, the extension of the commitments [omitted] would find "no justification in the alleged need to limit the ability to exert adequate competitive pressure by competitors, or to allow their growth and the entry of new operators." The Party continues by stating that "in any case, without prejudice to the above considerations, BPER is already willing to implement the corrective measures identified in the CRI, consisting of the divestiture [omitted]."  </w:t>
        <w:br/>
        <w:t xml:space="preserve">VI. THE OPINION OF IVASS  </w:t>
        <w:br/>
        <w:t xml:space="preserve">74. In an opinion received on 10 July 2019, IVASS did not highlight the existence of elements capable of altering the competitive balance in the insurance markets in the operation.  </w:t>
        <w:br/>
        <w:t xml:space="preserve">VII. EVALUATION OF THE OPERATION  </w:t>
        <w:br/>
        <w:t xml:space="preserve">VII.1 The affected markets  </w:t>
        <w:br/>
        <w:t xml:space="preserve">75. As already noted, the investigation concerned, with respect to the region of Sardinia, the local markets for banking collection, loans to consumer households, loans to producer households-small enterprises, distribution of mutual funds, administered savings, and complementary pension schemes; for complementary pensions, also due to the type of products sold by the Parties, in addition to the examination of shares on a national basis, a screening at the provincial level was also conducted.  </w:t>
        <w:br/>
        <w:t xml:space="preserve">76. The investigation also concerned, again for the Region of Sardinia, the market for loans to public entities and that for loans to medium-large enterprises. Regarding the market for loans to public entities, the investigative findings highlighted several elements that contribute to identifying a geographical market with a preliminary national scope, although in some cases it may be necessary to resort to an analysis relating to more circumscribed geographical areas. For the market for loans to medium-large enterprises, despite the possible involvement of central offices in defining commercial policies, the investigation confirmed the substantially regional dimension of the market.  </w:t>
        <w:br/>
        <w:t>47 Doc. 4.</w:t>
      </w:r>
    </w:p>
    <w:p>
      <w:r>
        <w:t xml:space="preserve">40 BULLETIN NO. 29 OF 22 JULY 2019  </w:t>
        <w:br/>
        <w:t xml:space="preserve">VII.2 Effects of the operation  </w:t>
        <w:br/>
        <w:t xml:space="preserve">77. The investigative findings highlighted that BPER in Sardinia has a particularly extensive and well-established network of branches, of a size not comparable to that of other competing operators, also benefiting from the ability to use historic brands that guarantee it a significant degree of customer loyalty. In fact, in the provinces of Nuoro, Oristano, and Sud Sardegna, BPER holds more than [70-75]% of the branches; in Sassari, it exceeds [55-60]%. Only in Cagliari is the share of branches more contained (about [30-35]%).  </w:t>
        <w:br/>
        <w:t xml:space="preserve">78. The investigation also confirmed that the extension of the branch network is still a fundamental competitive variable, particularly for the offering of direct and indirect collection services (i.e., for what is most relevant here, the distribution of mutual funds) and FC and FPI loans; this is both due to consumer behavior habits and because there is a link between the profitability of branches and the level of managed assets, such that below a certain level, branches lose competitiveness and banks may have to further reduce their network of branches. Contrary to what BPER claims, as noted during the investigation by the main competitors, particularly by UniCredit, given the predominant and established role of the Party in the territory, it becomes difficult to operate and compete even for significant operators active on a national scale48.  </w:t>
        <w:br/>
        <w:t xml:space="preserve">79. The circumstance mentioned by the Party that, due to its status as a former public law entity, BPER has about [45-50] branches operating with reduced hours and/or days of operation, does not alter these considerations. In fact, this is a small number of branches compared to the overall network held by BPER. Furthermore, the transformation of BPER from a public entity to a joint-stock company dates back to 1992, and the entry of Banco di Sardegna into the BPER group is from 2001; the fact that the bank has been able to maintain branches with reduced operations since then appears to be indicative of a territorial strategy that can only be realized, in the long term, by an operator with a strong and consolidated market position, not comparable to that of other competitors.  </w:t>
        <w:br/>
        <w:t xml:space="preserve">80. Regarding the local markets for direct collection and FC and FPI loans, an analysis of market shares was first conducted at the provincial level, then enriched by an examination of market shares at the catchment area level, which allowed for a more precise delineation of the effects of the operation.  </w:t>
        <w:br/>
        <w:t xml:space="preserve">81. Market shares were calculated based on the "branch location" criterion, which, for the reasons highlighted in §§ 26 et seq., appears more appropriate to express the market power of banks in local markets, contrary to what BPER noted, which prefers the so-called "counterparty residence" criterion. Furthermore, to further support the validity of the "branch location" criterion, it is noted that BPER has not provided any quantitative indications to support its accounting-based arguments. Regarding both the activity of Poste Italiane S.p.A. and the role of online services, the Authority has already established the non-substitutability of both types of services compared to traditional offerings49.  </w:t>
        <w:br/>
        <w:t xml:space="preserve">82. In any case, even if one were to accept the Party's thesis, the market shares of the acquirer would still be particularly high, especially in the provinces of Sud Sardegna and Nuoro (shares equal to approximately [55-60]% and approximately [60-65]% in collection and approximately [45-50]% and approximately [46-51]% in FPI loans, but also in Sassari and Oristano, with shares in collection equal to [50-55]% and [46-51]%, respectively).  </w:t>
        <w:br/>
        <w:t xml:space="preserve">83. From the preliminary screening conducted on provincial market shares, it emerged that as a result of the operation, BPER will hold particularly high shares in the provinces of Sud Sardegna, Nuoro, Sassari, and Oristano, both in collection (with combined shares always exceeding [50-55]%, peaking at [70-75]%) and in FC and FPI loans (with combined shares exceeding [50-55]%; in Oristano, shares are generally above [40-45]%, and the contribution of UB is particularly significant). In contrast, in the province of Cagliari, the combined market shares in collection are about [35-40]%; in the other two markets, they are below [25-30]%.  </w:t>
        <w:br/>
        <w:t xml:space="preserve">84. The examination of market shares calculated in local areas restricted to the CAs highlights how the Parties, as a result of the operation, will hold a combined market share exceeding 40% in 5 out of 10 of the examined CAs, specifically in CA1-Alghero (SS), CA2-Nuoro (NU)50, CA3-Sassari (SS), CA4-Iglesias (SU), CA5-Terralba (OR)51; in CAs 1, 2, 3, and 4, the market shares for direct collection exceed [50-55]% or approach that share. It should also be reiterated that the observed market shares in the collection market represent a fundamental indicator in assessing the overall effects of the operation, considering that direct collection can influence competitive conditions in adjacent markets, such as loans and indirect collection.  </w:t>
        <w:br/>
        <w:t xml:space="preserve">85. In this scenario, while admitting, as noted by the Party, that there are competitors capable of exerting "a certain degree of competitive pressure even on BPER," this circumstance would not be sufficient to eliminate the competitive concerns associated with the operation in question. In fact, BPER's positioning, particularly in the collection market, as evidenced by the examination of the number of branches as well as the analysis of market shares calculated at the provincial and CA levels, does not appear comparable to that of competitors, some of whom have also reported difficulties in operating. This is not only due to BPER's particularly high market shares but also due to the other competitive advantages it enjoys, thanks to the availability of historic brands and the capillarity of the branch network, which allows for synergies with the territory that would otherwise be unachievable. Moreover, the first 5 catchment areas, with the sole exception of CA3-Sassari (SS), are characterized by a particularly limited number of operators, far fewer than those observed in other CAs, particularly in those relating to the province of Cagliari (CAs 7, 8, and 10) and very often in banking markets. Following the acquisition of UB's branches by BPER, the latter's market shares will increase, and the number of active operators will further decrease. Consequently, the ability of competing operators to exert significant competitive pressure on BPER will further diminish, and consumers will also be deprived of an additional alternative in their choice process. Furthermore, even if UB does not have a prominent position in Sardinia, it is an operator with an important and well-known brand.  </w:t>
        <w:br/>
        <w:t xml:space="preserve">50 Where the contribution of UB is particularly significant.  </w:t>
        <w:br/>
        <w:t>51 Here too, the contribution of UB is particularly significant. Only in the market for FPI loans in CAs 2 and 5 does the combined share not reach 40% but is still very close (respectively [36-41]% and [35-40]%).</w:t>
      </w:r>
    </w:p>
    <w:p>
      <w:r>
        <w:rPr>
          <w:b/>
        </w:rPr>
        <w:t>[Pages 40–42]</w:t>
      </w:r>
    </w:p>
    <w:p>
      <w:r>
        <w:t xml:space="preserve">42 BULLETIN NO. 29 OF 22 JULY 2019  </w:t>
        <w:br/>
        <w:t xml:space="preserve">86. In light of the context described above, the objection from the Parties that UB would only bring marginal increases, even in the local markets affected by the operation, is also not shareable. In fact, in this case, the initial positioning of BPER is also relevant in assessing the effects of the operation, particularly strong as evidenced not only by the analysis of market shares, which are nonetheless very high, but also by the competitive advantages linked to its historical territorial roots. In this scenario, the contribution made by UB can only further strengthen the market power of the new entity and, in any case, this contribution is nonetheless significant. It should be noted, in fact, that in the first 4 CA BPER, particularly in direct funding, has a share exceeding [50-55]% or close to that value, so even a modest increase consolidates the strong position of the leading operator; in CA2, moreover, the contribution of UB is by no means small ([10-15]%; in CA5, not only does BPER have a significant pre-merger share, but UB has shares that bring the post-merger entity to exceed 40% in the markets of deposits and FC loans (in FC loans UB exceeds [10-15]%.  </w:t>
        <w:br/>
        <w:t xml:space="preserve">87. From another perspective, the argument of the Party that the market shares of UB calculated at the CA level would be higher because UB is "the epicenter of the relevant catchment areas" is entirely without merit. In fact, the catchment areas each constitute a distinct relevant local market, within which to assess what changes the operation is likely to produce in the market power of the Parties. The centroids used do not represent a discretionary choice, but correspond, in this case, to the branches of UB. The market share of UB resulting in each CA therefore depends on typical elements such as the structure of each market, in terms of the number of operators and degree of concentration, as well as the location of the branches of all competing operators. Rather, the examination conducted at the catchment area level sometimes shows lower market shares for the acquirer; this is due to the fact that BPER in Sardinia has a significantly extensive network of branches, while the target has a limited number of branches. The analysis conducted at the catchment area level, therefore, integrates and identifies with further precision the competitive effects of the operation.  </w:t>
        <w:br/>
        <w:t xml:space="preserve">88. Essentially, in this case, the strong positioning of BPER is relevant, especially in the deposit market, its pervasive presence in the Sardinian territory, the possibility of leveraging established brands, the contribution provided by UB, which nonetheless holds a well-known brand, as well as the nature of close substitutes for the products sold by the Parties, which are elements that attribute to the new entity resulting from the concentration a fundamental competitive advantage. Moreover, precisely in the deposit market, which constitutes an essential driver for competition in traditional banking markets, in CA1, CA2, CA3, and CA4, the Parties will hold a very high joint share, even exceeding or close to [50-55]%; regarding CA5, the Parties have a joint share that exceeds 40%, which is also indicative, along with the aforementioned elements, of the possible creation and/or strengthening of a dominant position, according to community guidelines52. In this case, in fact, the operation raises particular competitive concerns even in CA5, considering the significant contribution of UB and the starting position of BPER being higher than that observed in the CAs where the operation leads to a joint share below 40% (from 6 to 10).  </w:t>
        <w:br/>
        <w:t xml:space="preserve">In addition to market shares, the following should also be considered: i. the structure of the offer, characterized by the predominant role of BPER, possible thanks to the significant competitive advantages it enjoys, in terms of the breadth of the branch network, territorial roots, and customer loyalty capacity (also thanks to the historical brands, Banco di Sardegna and Banca di Sassari), which limit the ability to exert adequate competitive pressure from competitors, even when it comes to major operators active on a national basis; ii. the substantial stability of demand and the structure of the offer, as obstacles to the growth of market operators and the development of better competitive conditions; iii. the presence of entry barriers attributable, in particular, to the need to still have a network of branches of adequate size to operate efficiently and compete effectively; iv. the notoriety of the UB brand; v. the nature of close substitutes for the products in question.  </w:t>
        <w:br/>
        <w:t xml:space="preserve">89. In light of the above considerations, in this case, achieving a joint share, calculated at the CA level, at least equal to or greater than 40% appears likely to create significant obstacles to competition in the local markets of direct deposits and FC and FPI loans, due to the creation and/or strengthening of dominant positions held by BPER.  </w:t>
        <w:br/>
        <w:t xml:space="preserve">90. The overall elements described will allow BPER to hold and/or strengthen a competitive advantage over other operators active in the examined local markets, thereby further compromising the ability of competitors to exert effective competitive pressure, potentially incentivizing the new entity not to pass on to consumers any benefits obtained through the integration.  </w:t>
        <w:br/>
        <w:t xml:space="preserve">91. Regarding indirect deposits and specifically the market for the distribution of mutual funds, the concentration operation under examination will have substantially similar effects to those observed for direct deposits, considering that the provincial market shares are consistent with those emerging for direct deposits, describing a context in which, although UB's presence is not significant (having shares [inf. 1]%), BPER is particularly strong in the provinces of Sassari, Sud Sardegna, Nuoro, and Oristano, but not in Cagliari. Similar considerations can be made for the market of administered savings, with some clarifications: for this market, problematic shares do not emerge in the province of Sassari, while in the province of Cagliari the market share is higher; however, in this province, BPER's position does not appear to raise competitive concerns, in light of the results also emerging from the analysis on the CAs for the contiguous markets and the indications provided by the main competitors.  </w:t>
        <w:br/>
        <w:t xml:space="preserve">92. Ultimately, with reference to the distribution of mutual funds and administered savings, the increase, although contained and sometimes marginal, in the size of the acquirer induced by the operation, can only produce a further consolidation of BPER's position and thus the creation and/or strengthening of a dominant position for it where the provincial market shares have a consistency greater than 40%, with the exception of Cagliari.  </w:t>
        <w:br/>
        <w:t xml:space="preserve">93. In relation to complementary pension schemes and specifically the distribution of open pension funds, the operation does not appear to produce the creation and/or strengthening of a dominant position by the new entity, due to the low market shares of the Parties, always below [25-30]%, both at the national level and with reference to the segment related to the local distribution of individual pension funds.  </w:t>
        <w:br/>
        <w:t xml:space="preserve">94. The assessment regarding the market for complementary pensions in the various provinces of Sardinia, particularly regarding the distribution of open pension funds, does not change substantially even considering the concentration operation C/12230 BPER/Arca, notified by BPER almost simultaneously with this operation, on 17 April 2019 and integrated on 24 May 2019. This is because, in Sardinia, BPER already distributes Arca pension funds and the latter does not place its products directly53.  </w:t>
        <w:br/>
        <w:t xml:space="preserve">95. Regarding the market for loans to public entities, the investigative findings have highlighted several elements that contribute to identifying a geographical market with a national scope in the first approximation, although in some cases it may be necessary to resort to an analysis relating to more circumscribed geographical areas. Since, in this case, the joint market shares of the Parties at the national level do not exceed [5-10]%, in this market the operation does not appear to raise competitive concerns, despite the prominent position held by BPER in Sardinia.  </w:t>
        <w:br/>
        <w:t xml:space="preserve">96. In the market for loans to medium-large enterprises, although there is some role of the central offices of banks in defining commercial policies, the investigation has confirmed the substantially regional dimension of the market. The joint market share of BPER and UB is slightly below [35-40]% with a limited contribution, below 1%, from UB. Therefore, in this market, the operation under examination does not appear to produce significant alterations in competitive conditions.  </w:t>
        <w:br/>
        <w:t xml:space="preserve">97. Ultimately, in light of the considerations made, it is believed that the concentration operation under examination is likely to produce the creation and/or strengthening of BPER's dominant position in Sardinia, in the first 5 catchment areas identified above, particularly with reference to the markets of direct deposits, loans to consumer households, and loans to producer households-small enterprises, as well as the distribution of mutual funds and administered savings, as defined above, substantially and durably reducing competition in the same markets.  </w:t>
        <w:br/>
        <w:t xml:space="preserve">VIII. CORRECTIVE MEASURES PROPOSED BY THE PARTY  </w:t>
        <w:br/>
        <w:t xml:space="preserve">98. At the time of notification, BPER made a commitment that it believes is suitable to allay the competitive concerns arising from the concentration operation. In particular, BPER committed to “[omitted]”.  </w:t>
        <w:br/>
        <w:t xml:space="preserve">99. However, the corrective measures proposed by BPER do not appear sufficient to resolve the competitive issues highlighted above.  </w:t>
        <w:br/>
        <w:t xml:space="preserve">100. In fact, in light of the analysis conducted and particularly the examination of market shares calculated at the CA level, to resolve the identified competitive issues, BPER should adopt a structural measure of divestiture of branches, within a reasonable and certain timeframe. Specifically, BPER should divest the branches [omitted].  </w:t>
        <w:br/>
        <w:t>53 See measure No. 27806 C12230 - BPER BANCA/ARCA HOLDING, in Bull. 27/2019.</w:t>
      </w:r>
    </w:p>
    <w:p>
      <w:r>
        <w:rPr>
          <w:b/>
        </w:rPr>
        <w:t>[Pages 43–45]</w:t>
      </w:r>
    </w:p>
    <w:p>
      <w:r>
        <w:t xml:space="preserve">BULLETIN NO. 29 OF 22 JULY 2019 45  </w:t>
        <w:br/>
        <w:t xml:space="preserve">101. From another perspective, [omitted], the commitment of BPER, as formulated, does not appear suitable to resolve the identified competition issues as it is generic and not fully compliant with the principles outlined in the Commission's Notice on remedies54, particularly as it is unclear whether this commitment constitutes an obligation of means or of result. Indeed, the remedies for a concentration operation, to be suitable, must be complete and effective in every respect, free from uncertainty regarding their actual and complete enforceability, and allow for the entry or strengthening of a competing operator55.  </w:t>
        <w:br/>
        <w:t xml:space="preserve">102. Ultimately, the measures proposed by the Parties appear only partially suitable to avert the detrimental effects on competition identified as a result of the investigation and therefore need to be supplemented in the terms that follow.  </w:t>
        <w:br/>
        <w:t xml:space="preserve">IX. CORRECTIVE MEASURES TO CONDITION THE AUTHORIZATION  </w:t>
        <w:br/>
        <w:t xml:space="preserve">103. In order to ensure the removal of any anti-competitive effect, in Sardinia, in the local markets of direct collection, loans to consumer households, and loans to producer households-small enterprises, as well as the distribution of mutual funds and administered savings in which the operation is likely to produce the creation and/or strengthening of a dominant position, BPER must divest, [omitted].  </w:t>
        <w:br/>
        <w:t xml:space="preserve">104. To ensure the effective and timely implementation of the measures, these must be implemented with the following methods and timelines, in compliance with the principles outlined in the aforementioned Commission's Notice on remedies:  </w:t>
        <w:br/>
        <w:t xml:space="preserve">i) the divestiture must occur in a transparent and non-discriminatory manner;  </w:t>
        <w:br/>
        <w:t xml:space="preserve">ii) it is necessary that the subject of the divestiture is an ongoing, profitably sustainable, and competitive activity, in order to allow the purchaser to compete in the market effectively and sustainably56. To this end, the activity subject to divestiture must include all assets that contribute to its current management and/or that are necessary to ensure its profitability and competitiveness over time. Contracts for the divestiture of one or more business units must therefore be concluded, including [omitted];  </w:t>
        <w:br/>
        <w:t xml:space="preserve">iii) it is also essential that the business units subject to the measures are sold to an appropriate buyer (independent, with adequate financial means and expertise, etc.)57. In this case, the business unit(s) must be sold to one or more independent third parties, not shareholders of the new bank, who possess the authorizations from the competent Supervisory Authority and hold the necessary technical expertise;  </w:t>
        <w:br/>
        <w:t xml:space="preserve">iv) furthermore, the agreements related to the divestiture of the identified branches must be concluded, subject to submission to the Authority for approval of the identity of the buyer(s) and the agreements themselves, within [omitted] from the date of authorization of the operation;  </w:t>
        <w:br/>
        <w:t xml:space="preserve">54 Commission Notice concerning the corrective measures deemed appropriate pursuant to Council Regulation (EC) No. 139/2004 and Regulation (EC) No. 802/2004.  </w:t>
        <w:br/>
        <w:t xml:space="preserve">55 See points 9-14 of the aforementioned Notice.  </w:t>
        <w:br/>
        <w:t xml:space="preserve">56 See point 23 of the cited Commission Notice.  </w:t>
        <w:br/>
        <w:t>57 See points 23-31 of the cited Commission Notice and points 47-57.</w:t>
      </w:r>
    </w:p>
    <w:p>
      <w:r>
        <w:t xml:space="preserve">46 BULLETIN NO. 29 OF 22 JULY 2019  </w:t>
        <w:br/>
        <w:t xml:space="preserve">v) if all the identified branches have not been divested by the date indicated in point iv), the Parties must grant an irrevocable mandate to an independent and qualified entity to divest control of the remaining identified branches, [omitted];  </w:t>
        <w:br/>
        <w:t xml:space="preserve">vi) the full validity and effectiveness of the divestiture of all identified branches must in any case be realized by no later than [omitted];  </w:t>
        <w:br/>
        <w:t xml:space="preserve">vii) in addition to the above, the Parties (or the independent entity tasked with the divestiture) must provide sufficient information on the identified branches, to allow potential buyers to assess their value and presumed commercial viability;  </w:t>
        <w:br/>
        <w:t xml:space="preserve">viii) in order to minimize the risks of potential loss of competitiveness of the identified branches, during the period between the date of authorization of the operation and the full validity and effectiveness of the divestiture of the branches, the Parties must preserve the economic operation, marketability, and competitiveness of the identified branches, in accordance with good commercial practice;  </w:t>
        <w:br/>
        <w:t xml:space="preserve">ix) the Parties may not [omitted];  </w:t>
        <w:br/>
        <w:t xml:space="preserve">x) after [omitted], the Parties must submit to the Authority a final report on the complete and effective implementation of the prescribed measures.  </w:t>
        <w:br/>
        <w:t xml:space="preserve">105. The divestiture [omitted] will be carried out in order to sterilize the structural changes resulting from the increase in the market share of the buyer in all markets where the operation is likely to lead to the establishment and/or strengthening of a dominant position, as identified above.  </w:t>
        <w:br/>
        <w:t xml:space="preserve">CONSIDERING therefore, based on the elements emerged in the investigation, that the operation in question is likely to determine, pursuant to Article 6 of Law No. 287/90, the creation and/or strengthening of a dominant position of BPER, in Sardinia, in the first 5 catchment areas, with particular reference to the markets of direct collection, loans to consumer households, and loans to producer households-small enterprises, as well as the distribution of mutual funds and administered savings, as defined above, such as to eliminate or substantially and durably reduce competition;  </w:t>
        <w:br/>
        <w:t xml:space="preserve">CONSIDERING it necessary to prescribe to the Parties, pursuant to Article 6, paragraph 2, of Law No. 287/90, measures aimed at preventing such consequences, eliminating the distortive effects caused by the realization of the concentration in question;  </w:t>
        <w:br/>
        <w:t xml:space="preserve">CONSIDERING, therefore, that the operation in question is authorized subject to the full and effective execution of all measures prescribed in this measure;  </w:t>
        <w:br/>
        <w:t xml:space="preserve">CONSIDERING, also, that the non-competition agreement between the Parties is accessory to this operation within the limits described above and that the Authority reserves the right to evaluate, where the conditions exist, the aforementioned agreement to the extent that it is realized beyond the indicated limits;  </w:t>
        <w:br/>
        <w:t xml:space="preserve">RESOLVES  </w:t>
        <w:br/>
        <w:t>to authorize the communicated concentration operation, provided that the Parties fully and effectively implement the following measures, adopted pursuant to Article 6, paragraph 2, of Law No. 287/90:</w:t>
      </w:r>
    </w:p>
    <w:p>
      <w:r>
        <w:t xml:space="preserve">BULLETIN NO. 29 OF 22 JULY 2019 47  </w:t>
        <w:br/>
        <w:t xml:space="preserve">1) the adoption of a structural measure of divestiture of branches, to be implemented with transparent and competitive procedures; specifically, the divestiture [omitted];  </w:t>
        <w:br/>
        <w:t xml:space="preserve">2) the activity subject to divestiture must include all assets that contribute to its current management and/or that are necessary to ensure its profitability and competitiveness over time. Specifically, contracts for the divestiture of one or more business units must be concluded, including [omitted];  </w:t>
        <w:br/>
        <w:t xml:space="preserve">3) the buyer of the business unit(s) must meet the following requirements: be independent, not a shareholder of the new bank, with adequate financial means and the necessary technical expertise, as well as possessing the authorizations from the competent Supervisory Authority;  </w:t>
        <w:br/>
        <w:t xml:space="preserve">4) the divestiture must occur with the following methods and timelines: i) the agreements related to the divestiture of the identified branches must be concluded, subject to submission to the Authority for approval of the identity of the buyer(s) and the agreements themselves, within [omitted]; ii) if all the identified branches have not been divested by [omitted], the Parties must grant an irrevocable mandate to an independent and qualified entity to divest control of the remaining identified branches, [omitted];  </w:t>
        <w:br/>
        <w:t xml:space="preserve">5) the full validity and effectiveness of the divestiture of all identified branches must in any case be realized by, and no later than, [omitted];  </w:t>
        <w:br/>
        <w:t xml:space="preserve">6) the Parties (or the independent entity tasked with the divestiture) must provide sufficient information on the identified branches, to allow potential buyers to assess their value and presumed commercial viability;  </w:t>
        <w:br/>
        <w:t xml:space="preserve">7) during the period between the date of authorization of the operation and the full validity and effectiveness of the divestiture of the branches, the Parties must preserve the economic operation, marketability, and competitiveness of the identified branches in accordance with good commercial practice;  </w:t>
        <w:br/>
        <w:t xml:space="preserve">8) the Parties may not [omitted];  </w:t>
        <w:br/>
        <w:t xml:space="preserve">9) after [omitted], the Parties must submit to the Authority a final report on the complete and effective implementation of the prescribed measures.  </w:t>
        <w:br/>
        <w:t xml:space="preserve">The prescribed corrective measures will come into effect from the notification of the authorization measure of the concentration.  </w:t>
        <w:br/>
        <w:t>This measure will be notified to the interested parties and published in the Bulletin of the Competition and Market Authority.</w:t>
      </w:r>
    </w:p>
    <w:p>
      <w:r>
        <w:rPr>
          <w:b/>
        </w:rPr>
        <w:t>[Pages 46–48]</w:t>
      </w:r>
    </w:p>
    <w:p>
      <w:r>
        <w:t xml:space="preserve">48 BULLETIN NO. 29 OF 22 JULY 2019  </w:t>
        <w:br/>
        <w:t xml:space="preserve">Against this measure, an appeal may be submitted to the TAR of Lazio, pursuant to Article 135, paragraph 1, letter b), of the Code of Administrative Procedure (Legislative Decree of 2 July 2010, No. 104), within sixty days from the date of notification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of 24 November 1971, No. 1199, within one hundred and twenty days from the date of notification of the measure itself.  </w:t>
        <w:br/>
        <w:t xml:space="preserve">THE SECRETARY GENERAL THE PRESIDENT  </w:t>
        <w:br/>
        <w:t>Filippo Arena Roberto Rustichelli</w:t>
      </w:r>
    </w:p>
    <w:p>
      <w:r>
        <w:t xml:space="preserve">BULLETIN NO. 29 OF 22 JULY 2019 49  </w:t>
        <w:br/>
        <w:t xml:space="preserve">Appendix 1: Methodological Note on the Calculation of Catchment Areas  </w:t>
        <w:br/>
        <w:t xml:space="preserve">In order to ensure the uniformity and completeness of the database, as well as the homogeneity of the calculation criteria, the data provided by Banca d’Italia (year 2018) regarding the individual branches located in the areas concerned have been used for the calculation of the catchment areas, with regard to both the revenues of competitors and those of the Parties. Regarding the data related to individual branches, it is worth noting that Banca d’Italia has the only complete information set.  </w:t>
        <w:br/>
        <w:t>With reference to the markets of loans, at the level of individual branches, the data provided by Banca d’Italia is available only in aggregated form (not subdivided by the different segments of demand); at the level of individual banks, the total for each market is available, but only at the provincial level. To calculate the share of loans to consumer households (IFCsport) and loans to producer households-small enterprises (IFPsport) at the level of individual branches, the incidence of the total loans to consumer households and loans to producer households-small enterprises for each individual bank on a provincial basis has been calculated on the total loans granted by the same bank in the same province (ITOTprov); thus, the values derived from the ratios: IFCprov/ITOTprov and IFPprov/ITOTprov have been used. This incidence has then been used to estimate the share of loans to consumer households and to producer households-small enterprises of the individual branch. Since the data from Banca d’Italia on loans to consumer households and on loans to producer households-small enterprises at the provincial level have been provided for groups, in some cases, where necessary, the values IFCprov/ITOTprov and IFPprov/ITOTprov described above have been calculated assuming that the share of the two types of loans is the same in the case of enterprises belonging to the same banking group (e.g., in Cagliari, the percentages of distribution of banks belonging to the same banking group have been attributed to [omitted]).</w:t>
      </w:r>
    </w:p>
    <w:p>
      <w:r>
        <w:t xml:space="preserve">50 BULLETIN NO. 29 OF 22 JULY 2019  </w:t>
        <w:br/>
        <w:t xml:space="preserve">Finally, it is emphasized that, regarding the information provided by the Parties concerning the identification of the branches that fell within the different catchment areas, some branches have been excluded as they were not recorded in the list of individual active branches provided by Banca d’Italia; such findings were predominantly observed in the province of Cagliari58. The catchment areas provided by BPER in some cases also include branches that are located more than 30 minutes away59, which have not been considered for the calculation of the CA. In any case, it is noted that, even including such branches in the different CAs, the results do not differ; indeed, the market shares often appear higher60.  </w:t>
        <w:br/>
        <w:t xml:space="preserve">Appendix 2: Market Shares of Competitors in the First 5 CAs  </w:t>
        <w:br/>
        <w:t xml:space="preserve">The following table reports the market shares of BPER's and UB's competitors in the first 5 CAs, focusing in particular on competitors holding shares equal to or greater than 5% in the collection market.  </w:t>
        <w:br/>
        <w:t xml:space="preserve">Catchment Area Banks Collection Loans FC Loans FPI  </w:t>
        <w:br/>
        <w:t xml:space="preserve">1. Alghero (SS) BPER [55-60]% [50-55]% [35-40]%  </w:t>
        <w:br/>
        <w:t xml:space="preserve">Unipol Banca [1-5]% [1-5]% [1-5]%  </w:t>
        <w:br/>
        <w:t xml:space="preserve">Total post merger [56-61]% [51-56]% [40-45]%  </w:t>
        <w:br/>
        <w:t xml:space="preserve">BNL [10-15]% [10-15]% [15-20]%  </w:t>
        <w:br/>
        <w:t xml:space="preserve">Intesa Sanpaolo [10-15]% [20-25]% [25-30]%  </w:t>
        <w:br/>
        <w:t xml:space="preserve">Banca Carige [5-10]% [10-15]% [5-10]%  </w:t>
        <w:br/>
        <w:t xml:space="preserve">Unicredit [5-10]% [1-5]% [1-5]%  </w:t>
        <w:br/>
        <w:t xml:space="preserve">2. Nuoro (NU) BPER [45-50]% [30-35]% [35-40]%  </w:t>
        <w:br/>
        <w:t xml:space="preserve">Unipol Banca [10-15]% [5-10]% [1-5]%  </w:t>
        <w:br/>
        <w:t xml:space="preserve">Total post merger [55-60]% [40-45]% [36-41]%  </w:t>
        <w:br/>
        <w:t xml:space="preserve">58 In particular, the branches of the following banking groups have not been considered: [omitted].  </w:t>
        <w:br/>
        <w:t xml:space="preserve">59 These are [omitted].  </w:t>
        <w:br/>
        <w:t xml:space="preserve">60 Specifically, these are the joint shares BPER/UB:  </w:t>
        <w:br/>
        <w:t xml:space="preserve">CA Collection Loans FC Loans FPI  </w:t>
        <w:br/>
        <w:t xml:space="preserve">Cagliari CA10 [30-35]% [15-20]% [20-25]%  </w:t>
        <w:br/>
        <w:t xml:space="preserve">Iglesias CA4 [50-55]% [40-45]% [45-50]%  </w:t>
        <w:br/>
        <w:t xml:space="preserve">Oristano CA6 [35-40]% [35-40]% [35-40]%  </w:t>
        <w:br/>
        <w:t xml:space="preserve">Terralba CA5 [40-45]% [35-40]% [35-40]%  </w:t>
        <w:br/>
        <w:t>Sassari CA3 [50-55]% [50-55]% [40-45]%</w:t>
      </w:r>
    </w:p>
    <w:p>
      <w:r>
        <w:rPr>
          <w:b/>
        </w:rPr>
        <w:t>[Pages 49–51]</w:t>
      </w:r>
    </w:p>
    <w:p>
      <w:r>
        <w:t xml:space="preserve">BULLETIN NO. 29 OF 22 JULY 2019 51  </w:t>
        <w:br/>
        <w:t xml:space="preserve">Intesa Sanpaolo [15-20]% [30-35]% [30-35]%  </w:t>
        <w:br/>
        <w:t xml:space="preserve">BNL [5-10]% [15-20]% [10-15]%  </w:t>
        <w:br/>
        <w:t xml:space="preserve">Unicredit [5-10]% [1-5]% [10-15]%  </w:t>
        <w:br/>
        <w:t xml:space="preserve">Other competitors [5-10]% [5-10]% [1-5]%  </w:t>
        <w:br/>
        <w:t xml:space="preserve">3. Sassari (SS) BPER [50-55]% [50-55]% [40-45]%  </w:t>
        <w:br/>
        <w:t xml:space="preserve">Unipol Banca [1-5]% [1-5]% [inf.1]%  </w:t>
        <w:br/>
        <w:t xml:space="preserve">Total post merger [51-56]% [51-56]% [40-45]%  </w:t>
        <w:br/>
        <w:t xml:space="preserve">Intesa Sanpaolo [20-25]% [15-20]% [25-30]%  </w:t>
        <w:br/>
        <w:t xml:space="preserve">Unicredit [5-10]% [1-5]% [10-15]%  </w:t>
        <w:br/>
        <w:t xml:space="preserve">BNL [5-10]% [5-10]% [10-15]%  </w:t>
        <w:br/>
        <w:t xml:space="preserve">Other competitors [5-10]% [15-20]% [5-10]%  </w:t>
        <w:br/>
        <w:t xml:space="preserve">4. Iglesias (SU) BPER [45-50]% [35-40]% [45-50]%  </w:t>
        <w:br/>
        <w:t xml:space="preserve">Unipol Banca [1-5]% [1-5]% [1-5]%  </w:t>
        <w:br/>
        <w:t xml:space="preserve">Total post merger [46-51]% [40-45]% [46-51]%  </w:t>
        <w:br/>
        <w:t xml:space="preserve">BNL [15-20]% [30-35]% [15-20]%  </w:t>
        <w:br/>
        <w:t xml:space="preserve">Unicredit [15-20]% [1-5]% [10-15]%  </w:t>
        <w:br/>
        <w:t xml:space="preserve">Intesa Sanpaolo [10-15]% [25-30]% [25-30]%  </w:t>
        <w:br/>
        <w:t xml:space="preserve">5. Terralba (OR) BPER [35-40]% [25-30]% [30-35]%  </w:t>
        <w:br/>
        <w:t xml:space="preserve">Unipol Banca [1-5]% [10-15]% [5-10]%  </w:t>
        <w:br/>
        <w:t xml:space="preserve">Total post merger [40-45]% [40-45]% [35-40]%  </w:t>
        <w:br/>
        <w:t xml:space="preserve">BCC di Arborea [20-25]% [5-10]% [20-25]%  </w:t>
        <w:br/>
        <w:t xml:space="preserve">Intesa Sanpaolo [10-15]% [15-20]% [15-20]%  </w:t>
        <w:br/>
        <w:t xml:space="preserve">BNL [10-15]% [10-15]% [5-10]%  </w:t>
        <w:br/>
        <w:t xml:space="preserve">Unicredit [5-10]% [1-5]% [1-5]%  </w:t>
        <w:br/>
        <w:t xml:space="preserve">Other competitors [5-10]% [15-20]% [10-15]%  </w:t>
        <w:br/>
        <w:t>Source: AGCM processing on data from BPER and Bank of Italy</w:t>
      </w:r>
    </w:p>
    <w:p>
      <w:r>
        <w:t xml:space="preserve">52 BULLETIN NO. 29 OF 22 JULY 2019  </w:t>
        <w:br/>
        <w:t xml:space="preserve">ACTIVITY OF REPORTING AND CONSULTATION  </w:t>
        <w:br/>
        <w:t xml:space="preserve">AS1597 – TENDER FOR THE AWARD OF CONCESSIONS FOR THE COLLECTION OF BETS  </w:t>
        <w:br/>
        <w:t xml:space="preserve">Rome, 5 August 2016  </w:t>
        <w:br/>
        <w:t xml:space="preserve">Customs and Monopolies Agency  </w:t>
        <w:br/>
        <w:t xml:space="preserve">With reference to the request for an opinion made by this Agency regarding the "necessity/opportunity" to establish, in the preparation of the tender notice referred to in Article 1, paragraph 932 of Law No. 208/2015, a limit on the maximum number of rights to be assigned to each company (or corporate groups) "equal to 20% of those related to shops and 15% of those related to 'corners', in order to allow a wider number of operators the possibility of winning a certain number of rights in compliance with the principle of free competition and to avoid the creation of possible dominant positions", the Authority, in its meeting of 4 August 2016, deemed it appropriate to formulate the following observations pursuant to Article 22 of Law No. 287/90.  </w:t>
        <w:br/>
        <w:t xml:space="preserve">Preliminarily, it is necessary to highlight the peculiarity of the case at hand, which concerns the attribution, ex-novo, of the entire range of concessions and rights for the exercise of a specific activity, that of collecting bets on a physical network on sporting events, including horse racing, and non-sporting events, including bets on simulated events and prediction contests (hereinafter, sports-based games), subject to a non-exclusive concession regime. With the tender in question, the structure of the marketing and collection activity of sports-based games will therefore be defined, in relation to the duration of the new concessions (nine years). The attribution of all or the largest part of the rights to a single operator, for a long period of time, could therefore negatively impact competition in the market and, consequently, the quality, variety, and prices of the service offered, also concerning the share of winnings recognized to consumers.  </w:t>
        <w:br/>
        <w:t xml:space="preserve">The current structure of the offer of sports-based games, characterized by the presence of five large operators and numerous small operators, however, seems to make the feared risk of a concentration of rights in the hands of a single operator remote and, therefore, it is preferable that competition in the tender determines the structure of the offer in the market. The provision of a maximum cap on the assignment of rights, even differentiated by type of sales point, would also end up distorting the mechanisms of the tender, not allowing that through the same competitive procedure the most efficient subjects are effectively selected and the optimal scale of activity of the companies is determined. It should also be noted that the proposed cap in the order of 15/20%, sized precisely on the current share of the top five operators active in the marketing of sports-based games, would risk favoring the maintenance of the status quo and the relaxation of competition among the top five operators in the tender.  </w:t>
        <w:br/>
        <w:t xml:space="preserve">The Authority also takes note of the forecasts regarding the technical characteristics of the providers of connectivity services, as per the communication sent on 28 July 2016, according to which the connectivity service may be provided, in addition to the concessionaire companies, also by other operators, in compliance with the technological and safety characteristics set out in the technical rules identified in the tender documentation.  </w:t>
        <w:br/>
        <w:t xml:space="preserve">In order to promote the widest participation in the tender, the Authority also invites this Agency to intervene, by virtue of the supervisory and control powers attributed to it, to resolve the critical issues of the contractual provisions regarding duration and renewal present in the current contracts between the concessionaires and the managers of the sports-based games shops, which do not comply with the provisions of Article 15, paragraph 1, letter b), of the current conventions; as well as to take action to prevent such critical issues from being replicated following the future tender. Such contractual provisions, in fact, extending the duration of the contractual relationship between the concessionaire and the manager beyond the duration of the current concession, risk both preventing the participation in the competitive procedure of a large number of managers potentially capable of exercising, at the margin, significant competition in the tender, and hindering the mobility of managers downstream of the tender.  </w:t>
        <w:br/>
        <w:t xml:space="preserve">In this regard, it should be noted that the Authority has received a report indicating the presence of such critical issues in the contractual relationships between Snai S.p.A. and the managers of the shops to which it has entrusted the marketing of sports-based games.  </w:t>
        <w:br/>
        <w:t xml:space="preserve">This opinion will be published in the bulletin referred to in Article 26 of Law No. 287/90, following the publication of the tender notice. Any confidentiality requirements must be communicated to the Authority within thirty days of receipt of this document, specifying the reasons.  </w:t>
        <w:br/>
        <w:t xml:space="preserve">The Authority also invites communication, within a period of forty-five days from the receipt of this opinion, of the determinations made regarding the highlighted issues.  </w:t>
        <w:br/>
        <w:t xml:space="preserve">f.f. THE PRESIDENT  </w:t>
        <w:br/>
        <w:t>Gabriella Muscolo</w:t>
      </w:r>
    </w:p>
    <w:p>
      <w:r>
        <w:rPr>
          <w:b/>
        </w:rPr>
        <w:t>[Pages 52–54]</w:t>
      </w:r>
    </w:p>
    <w:p>
      <w:r>
        <w:t xml:space="preserve">54 BULLETIN NO. 29 OF 22 JULY 2019  </w:t>
        <w:br/>
        <w:t xml:space="preserve">AS1598 - PRICES OF SHEEP MILK IN SARDINIA  </w:t>
        <w:br/>
        <w:t xml:space="preserve">Rome, 18 June 2019  </w:t>
        <w:br/>
        <w:t xml:space="preserve">President of the Council of Ministers  </w:t>
        <w:br/>
        <w:t xml:space="preserve">Ministry of the Interior  </w:t>
        <w:br/>
        <w:t xml:space="preserve">Ministry of Agricultural, Food, Forestry and Tourism Policies  </w:t>
        <w:br/>
        <w:t xml:space="preserve">Region of Sardinia  </w:t>
        <w:br/>
        <w:t xml:space="preserve">The Competition and Market Authority, following the communication from the Chief of Staff of the Ministry of the Interior and the Chief of Staff of the Ministry of Agricultural, Food, Forestry and Tourism Policies (hereinafter also MIPAAFT) received on 23.04.20191, in its meeting of 12 June 2019, resolved to formulate some observations regarding the contents of the agreement on the sale prices of sheep milk in Sardinia, reached in March 2019 as a result of complex negotiations between processors and breeders, initiated and conducted by the two Ministries to address the violent protests of shepherds in the early months of 2019.  </w:t>
        <w:br/>
        <w:t xml:space="preserve">The agreement, concluded at the technical tables held on 26 February and 9 March 2019 at the Prefecture of Sassari for the "definition of a methodology relating to the final prices of products correlating the price of milk to the dynamics of the cheese market (DOP Sardinian)", provides for the commitment of processors to pay:  </w:t>
        <w:br/>
        <w:t xml:space="preserve">- an advance of 72 cents/liter for sheep milk delivered in February 2019;  </w:t>
        <w:br/>
        <w:t xml:space="preserve">- an advance of 74 cents/liter for the months from March 2019 to the end of the dairy campaign;  </w:t>
        <w:br/>
        <w:t xml:space="preserve">- a final adjustment in November 2019, calculated based on the weighted average prices of pecorino romano from the Milan commodity exchange for the period November 2018-October 2019, according to the following methodology:  </w:t>
        <w:br/>
        <w:t>1 This communication is accompanied by the minutes of the meetings held at the MIPAAFT (21 February 2019) and at the Prefecture of Sassari (26 February 2019, 9 and 15 March 2019).</w:t>
      </w:r>
    </w:p>
    <w:p>
      <w:r>
        <w:t xml:space="preserve">BULLETIN NO. 29 OF 22 JULY 2019 55  </w:t>
        <w:br/>
        <w:t xml:space="preserve">Price of pecorino romano Price of milk  </w:t>
        <w:br/>
        <w:t xml:space="preserve">6 euros/kg 0.72 cents/liter  </w:t>
        <w:br/>
        <w:t xml:space="preserve">6.50 euros/kg 0.76 cents/liter  </w:t>
        <w:br/>
        <w:t xml:space="preserve">7 euros/kg 0.83 cents/liter  </w:t>
        <w:br/>
        <w:t xml:space="preserve">7.50 euros/kg 0.90 cents/liter  </w:t>
        <w:br/>
        <w:t xml:space="preserve">8 euros/kg 0.96 cents/liter  </w:t>
        <w:br/>
        <w:t xml:space="preserve">8.50 euros/kg 1.02 cents/liter  </w:t>
        <w:br/>
        <w:t xml:space="preserve">This commitment, as reported in the minutes of the meeting held at the Prefecture of Sassari on 9 March 2019, appears closely connected to two others, which constitute its logical prerequisite: i. the agreement of the parties according to which "in order to safeguard the quality of production, and also for the commercial relaunch of the entire supply chain, the base selling price of pecorino romano cannot be below 6 euros per kilogram" (minutes of 26 February 2019); ii. the commitment, formally undertaken by the Chief of Staff of the MIPAAFT, to "involve large distribution in the supply chain table" (minutes of 9 March 2019).  </w:t>
        <w:br/>
        <w:t xml:space="preserve">As emerges from the reading of the aforementioned minutes, the economic operators involved in the agreement expressly requested the MIPAAFT to verify with the Authority the consistency of the agreements reached regarding sheep milk prices2.  </w:t>
        <w:br/>
        <w:t xml:space="preserve">In this regard, in the note of 23.04.2019, the two Chiefs of Staff of the Ministry of the Interior and the MIPAAFT noted that: i. the intervention of the two Ministries in managing the dispute over the price of sheep-goat milk in Sardinia was determined by the violence of the protests of the shepherds, culminating in criminal episodes or otherwise at the limits of legality; ii. the first two meetings regarding possible measures to be activated in the sector were held at the Viminale, while subsequently a technical table was initiated at the Prefecture of Sassari, attended by trade associations, organized groups of shepherds, and entrepreneurs in the sector, along with their representative association; iii. the private parties accepted the Government's invitation to define the dispute in a way that marked a return to normality from the point of view of public order, also through the adoption of exceptional and transitional measures such as those relating to the determination of the minimum price of milk, which is nevertheless subject to adjustment at the end of the campaign.  </w:t>
        <w:br/>
        <w:t xml:space="preserve">In order to understand the factual context in which the agreements on prices that defined the dispute between breeders and processors in Sardinia are inserted, it is nevertheless necessary to describe, albeit briefly, the peculiar characteristics that characterize the market for pecorino romano DOP, to which the vast majority of sheep milk produced in the area defined by the relevant regulations3.  </w:t>
        <w:br/>
        <w:t xml:space="preserve">The peculiar characteristics of the market for pecorino romano DOP and sheep milk in Sardinia  </w:t>
        <w:br/>
        <w:t xml:space="preserve">The market for pecorino romano DOP is structurally characterized by continuous and periodic fluctuations in the volumes sold, which have an average duration of a few years and lead to significant instability and volatility in the prices of both the cheese and the sheep milk intended for its production. This is due to the nature of pecorino romano DOP, made with fresh sheep milk produced during the so-called "dairy year" (from October/November to July/August of the following year)4 and subject to an average aging of 6/8 months, with a maximum storage period of 16/18 months5. The market for pecorino romano DOP is, therefore, characterized by strong "seasonality," primarily due to the periodicity and variability (not controllable ex ante) in the production of sheep milk, as well as the aging phase of the cheese, which can be stored in stock. These characteristics make the price of pecorino romano DOP ordinarily subject to cyclical fluctuations in which (i) a phase of general price increase occurs when, in the face of stable or decreasing production, demand becomes more pressing, reducing the stocks of product stored by processors, followed by (ii) a subsequent phase in which the increase in prices induces an increase in production with the progressive formation of stocks and a consequent decrease in prices.  </w:t>
        <w:br/>
        <w:t xml:space="preserve">To fully understand the characteristics of this market, it is also necessary to consider three fundamental aspects: 1. processors adhering to the Protection Consortium6 purchase all the sheep milk produced and delivered daily by their members (in the case of cooperatives) and suppliers (in the case of industrial processors); 2. the vast majority of the collected sheep milk is used for the production of pecorino romano DOP, to which a percentage, substantially stable over time, of approximately 70% of the total raw material is allocated; 3. the quantities of sheep milk produced can vary by about 10-20% between one dairy year and another and depend mainly on  </w:t>
        <w:br/>
        <w:t xml:space="preserve">3 The area defined in the production regulations of the DOP Pecorino Romano includes the Regions of Sardinia (where the majority of production is concentrated, approximately 96%) and Lazio (where about 4% is produced) and the province of Grosseto (currently there are no producers).  </w:t>
        <w:br/>
        <w:t xml:space="preserve">4 In this regard, it should be noted that in Sardinia, generally, the production of milk (so-called lactation curve) progressively increases from the beginning of the dairy year (in December, about 7-8% is produced) until April (when about 20% is produced) and then decreases until the conclusion of the dairy year in July (when about 6-7% is produced).  </w:t>
        <w:br/>
        <w:t xml:space="preserve">5 The market for pecorino romano DOP is, therefore, characterized by strong "seasonality," primarily due to the periodicity and variability in the production of sheep milk, as well as the aging phase of the cheese, which can be stored in stock.  </w:t>
        <w:br/>
        <w:t>6 The Protection Consortium for pecorino romano DOP, established in November 1979 at the behest of a group of operators from Lazio and Sardinia, obtained (on 14 January 1981) from the then Ministry of Agriculture, in agreement with the Ministry of Industry, the assignment of the task of overseeing the production and marketing of Pecorino Romano. Since 28 April 2002, the Consortium has obtained the new assignment for the protection of the DOP from the Ministry of Agricultural and Forestry Policies. The purposes of the Consortium, specified in the statute, include the protection and oversight of the production and marketing of Pecorino Romano, the protection of the denomination in Italy and abroad, the increase in consumption, and the qualitative improvement of the product, in collaboration with regional, national, and community bodies and institutions. The Consortium includes 33 companies producing pecorino romano DOP (21 cooperatives and 12 industrial processors) and one packager.</w:t>
      </w:r>
    </w:p>
    <w:p>
      <w:r>
        <w:rPr>
          <w:b/>
        </w:rPr>
        <w:t>[Pages 55–57]</w:t>
      </w:r>
    </w:p>
    <w:p>
      <w:r>
        <w:t xml:space="preserve">BULLETIN NO. 29 OF 22 JULY 2019 57  </w:t>
        <w:br/>
        <w:t xml:space="preserve">from exogenous factors not controllable by breeders, such as seasonal climatic trends. However, they are also affected by the animals' diet and the size of the farms, which are instead attributable to the choices of individual livestock companies. In this regard, it is important to highlight that in Sardinia the primary production system is extremely fragmented, with approximately 12,000 farms present, against a more aggregated demand consisting of just over thirty processors among cooperatives (which represent about 60% of production) and industrial dairies.  </w:t>
        <w:br/>
        <w:t xml:space="preserve">In general, based on these elements, it can therefore be stated that, according to the cyclical trends and seasonality that characterize this market, the increase in the quantity of sheep milk produced and delivered daily by breeders to processors induces a proportional growth in the production of pecorino romano DOP, which over time (approximately 12/16 months) results in a decrease in prices for both the cheese and the raw material. This is what, based on the data available to the Authority, seems to have occurred also towards the end of 2018 and at the beginning of the current year, when the increase in sheep milk production during the 2017/2018 dairy year (+18% compared to the previous year)7 led to an increase in the production of pecorino romano DOP (+18%)8, which induced a decrease in both the wholesale price of the cheese, which in the first months of 2019 reached €5.53/kg (-26% compared to the average of 2018), and the sheep milk intended for its production, which in January 2019 fell to €0.62 cent/liter (-37% compared to the average of 2018)9.  </w:t>
        <w:br/>
        <w:t xml:space="preserve">Given these peculiar characteristics of the pecorino romano DOP market, there have been periods in the past of "crisis" in the sector where the remuneration of the raw material and that of the cheese underwent drastic reductions in the face of an increase in production, for example in 2017 when sheep milk recorded an average price at the farm of €0.63/liter and cheese of €5.58/kg.  </w:t>
        <w:br/>
        <w:t xml:space="preserve">On the other hand, the very instability of the dairy market and the extreme volatility of prices, with obvious negative repercussions on the producers in the affected supply chain, have formed the basis for the community choice to allow, under certain specific conditions, a regulation of the supply of DOP and IGP cheeses in derogation of competition law and, specifically, the prohibition of restrictive agreements under Art. 101 TFEU. In particular, Article 150 of the  </w:t>
        <w:br/>
        <w:t xml:space="preserve">7 In the 2017/2018 dairy year, 198,116,804 liters of milk were produced, while in the previous 2016/2017, 161,881,977 liters were produced.  </w:t>
        <w:br/>
        <w:t xml:space="preserve">8 In the 2017/2018 dairy year, 341,270 quintals of pecorino romano were produced, while in the previous 2016/2017, 278,564 quintals were produced.  </w:t>
        <w:br/>
        <w:t xml:space="preserve">9 It is also noted that pecorino romano DOP has historically been characterized by a strong export vocation (approximately 65% of production), particularly in North America (which represents more than 60% of total exports). This undoubtedly represents a great opportunity for market access, but also an additional factor of instability for the product, which is substantially vulnerable to the trends of international trade flows, whose dynamics are influenced by the strong competition from other exporting countries of similar dairy products (Spain, France, Romania).  </w:t>
        <w:br/>
        <w:t>It should be noted that the data available shows that exports suffered a strong contraction in 2018 on an annual basis (-30.6%), especially with regard to the US market (-40%), against a significant increase recorded in the previous year. Also concerning these strongly cyclical trends in exports, a very important role is played by the cycle of stocks purchased by international traders (where a year of significant purchases of pecorino forms is almost always followed by a year characterized by a decrease in sales).</w:t>
      </w:r>
    </w:p>
    <w:p>
      <w:r>
        <w:t xml:space="preserve">58 BULLETIN NO. 29 OF 22 JULY 2019  </w:t>
        <w:br/>
        <w:t xml:space="preserve">Regulation 1308/2013, known as the OCM Regulation10 (formerly Art. 126 quater of Regulation 1261/2012, known as the Milk Package)11 provides for the possibility that, at the request of a recognized organization or a group of operators, Member States may establish, for a limited period, binding rules for the regulation of the supply of DOP and IGP dairy products, provided that there is a prior agreement between the producers of raw milk and the producers of the cheese concerned in the geographical area considered and that a series of conditions are met, including covering only the management of the supply of the product in question, in order to adjust the supply to demand and contribute to maintaining the quality and/or developing the product, without allowing for price fixing, even as a guideline or recommendation.  </w:t>
        <w:br/>
        <w:t>However, regarding pecorino romano DOP, it seems to be affirmed that the adoption and application by the Consortium for the protection of the first Supply Regulation Plan has not produced the desired rebalancing effects. The determination of a global production ceiling, quotas to be assigned to individual dairies, and a differentiated contribution in the event of exceeding such thresholds does not appear to have had, in substance, any effect on the quantities of pecorino romano DOP: in the 2016/2017 year, total production was 278,557 quintals compared to a ceiling of 250,000 quintals (with an excess of 28,560 quintals), while in the 2017/2018 dairy year, total production was around 341,832, against a ceiling of 280,000 quintals (with an excess of 61,671 quintals). The Consortium for protection itself, in the "Report on the state of implementation of the Plan for the dairy years 2016/2017 – 2017/2018," presented to MIPAAFT, noted in this regard that: "The application of differentiated additional contributions to producers has not had a deterrent effect on production, as evidenced by the fact that over half of the producers exceeded their indicated production capacity. This means that the industrial choices of individual companies disregard the application of the additional contribution and are motivated by other dynamics. These can be summarized in two different contexts: 1. The first concerns the absolute anarchy of the primary production system which reacts to production conditions without a generalized programming but exclusively motivated by contractual reasons (value of unit milk). This means that in some production contexts such as social cooperatives, the delivery of milk being a mandatory process [...] cannot be regulated at the source. 2. The second</w:t>
      </w:r>
    </w:p>
    <w:p>
      <w:r>
        <w:t xml:space="preserve">10 Regulation (EU) No. 1308/2013 of the European Parliament and of the Council, of 17 December 2013, establishing a common organization of agricultural markets (known as the OCM Regulation, which incorporated Regulation No. 261/2012 known as the Milk Package).  </w:t>
        <w:br/>
        <w:t>11 The Milk Package introduced important innovations in the regulation of contractual relationships in the milk and dairy products sector in order to respond to the difficult situation of the dairy market that culminated in the crisis of 2009 and, above all, to contribute, in view of the abolition of milk quotas by 2015, to the stabilization of the market itself and the incomes of milk producers and to strengthen transparency in the sector through market management tools and contractual relationships in the supply chain. The Milk Package introduced the eligibility of agreements on the programming of the production of DOP and IGP cheeses (Art. 126 quinquies) for the reasons stated in the "premises" of the Regulation itself. The possibility for Member States to establish binding rules for the regulation of the supply of DOP and IGP cheeses has been linked to the difficult situation of the milk and dairy products market, which has experienced enormous price volatility (with a collapse in 2008/2009), due to various reasons, including "extreme weather conditions in Oceania," as well as the subsequent financial economic crisis, which led to a drop in global demand for products with "obvious negative repercussions on dairy producers in the Union, exacerbating price volatility [...] given the importance of protected designations of origin (DOP) and protected geographical indications (IGP), particularly for vulnerable rural regions, in order to ensure added value and maintain quality, particularly of cheeses benefiting from DOP or IGP, and in the context of the abolition of the milk quota system, Member States should be allowed to apply rules regulating the supply of such cheese [...]" (par. 2 and 17) These considerations have also been reported in the new Regulation 1308/2013 (par. 129 of the Premises).</w:t>
      </w:r>
    </w:p>
    <w:p>
      <w:r>
        <w:t xml:space="preserve">BULLETIN NO. 29 OF 22 JULY 2019 59  </w:t>
        <w:br/>
        <w:t xml:space="preserve">concerns the absence of alternative high-quality productions to Pecorino Romano DOP, such as potentially could be Pecorino Sardo and Fiore Sardo DOP, unfortunately relegated to secondary commercial references to corporate brands, often competitive with the same DOP."  </w:t>
        <w:br/>
        <w:t xml:space="preserve">The investigation procedure AL21  </w:t>
        <w:br/>
        <w:t xml:space="preserve">Based on the protests of shepherds regarding the prices of sheep milk in Sardinia and the publication, on 11 February 2019, of the average monthly production costs prepared by ISMEA, on 14 February 2019, the Authority initiated an investigation, pursuant to Art. 62, paragraph 8, of D.L. 1/2012, against the Consortium for the protection of pecorino romano DOP cheese and thirty-three processing dairies, cooperatives, and industrial dairies adhering to it. In particular, the procedure aimed to ascertain whether the conduct of these operators, in the months of December 2018 and January/February 2019, could have resulted in the imposition on suppliers of sheep milk of unjustifiably burdensome contractual conditions and, specifically, in the determination, in contrast with the principles of good faith and fairness, of prices clearly below the average production costs in violation of Art. 62, paragraph 2, lett. a), of D.L. 1/2012 and 4, paragraph 2, lett. c), of the implementing Regulation, in conjunction with Art. 2, paragraph 2, of D.L. 51/2015.  </w:t>
        <w:br/>
        <w:t xml:space="preserve">With a measure adopted on 12 June 2019, the Authority, having noted the agreements on the prices of sheep milk in Sardinia, reached at the prefecture of Sassari in March 2019, valid for the period February/November 2019, decided to close the case due to the lack of reasons for intervention.  </w:t>
        <w:br/>
        <w:t xml:space="preserve">Conclusive assessments  </w:t>
        <w:br/>
        <w:t xml:space="preserve">That said, in relation to the factual context of reference, the Authority believes that the significance of the agreements on prices reached at the Prefecture of Sassari should be evaluated in the legal and factual context of reference, in light of the crisis in the Sardinian dairy sector and the peculiar characteristics of the pecorino romano DOP market, taking into account the exceptional and temporary nature of the commitments made by processors "under the imposition of public authority" to address an emergency situation caused by the violence of the protests of shepherds in the early months of 2019, which resulted in "criminal episodes or otherwise at the limits of legality."  </w:t>
        <w:br/>
        <w:t xml:space="preserve">Therefore, in the Authority's opinion, although such agreements may abstractly be configured as restrictive agreements under the effects of Art. 2 of Law 287/1990 and/or 101 TFEU, both with regard to the joint fixing between competing processing companies of a homogeneous purchase price for sheep milk, and in relation to the common fixing of the objective of a wholesale price for pecorino romano not lower than €6 per kg, they do not appear to be censurable in this specific case as they are not the result of autonomous entrepreneurial choices of the parties involved.  </w:t>
        <w:br/>
        <w:t>For this reason, the Authority believes, in this instance, in order to prevent situations like those currently under examination from reoccurring in the future, it is necessary to make some considerations regarding possible measures to be adopted, in a long-term structural logic, to address the fluctuations in the market for pecorino romano DOP and to ensure greater overall stability of the system, to the benefit of the entire sector and, in particular, to allow mechanisms</w:t>
      </w:r>
    </w:p>
    <w:p>
      <w:r>
        <w:rPr>
          <w:b/>
        </w:rPr>
        <w:t>[Pages 58–60]</w:t>
      </w:r>
    </w:p>
    <w:p>
      <w:r>
        <w:t xml:space="preserve">60 BULLETIN NO. 29 OF 22 JULY 2019  </w:t>
        <w:br/>
        <w:t xml:space="preserve">of solutions for any future crises that do not necessarily involve interventions aimed at suspending market mechanisms in the affected supply chain.  </w:t>
        <w:br/>
        <w:t xml:space="preserve">In this perspective, following the reforms already adopted by the Government and Parliament12, various interventions aimed at restructuring and rationalizing the primary sector of sheep farming, which appears excessively fragmented, could be hypothesized, aimed at achieving greater efficiency, organization, and competitiveness of the companies operating in the sheep milk production market13.  </w:t>
        <w:br/>
        <w:t xml:space="preserve">Farming companies could then be usefully involved in the planning of the supply of Pecorino Romano DOP, through a reconsideration of the provisions of the Regulation Plan adopted by the Protection Consortium pursuant to Article 150 of Regulation (EC) 1308/2013. In this regard, it has already been observed that "all the exemptions provided for by the specific sector legislation from the application of competition law, even when apparently aimed at the sectors of the first industrial transformation, are specifically intended to protect the primary sector of agricultural production, which is more exposed to market volatility and a consequent risk of income instability. This therefore raises the need to constantly monitor compliance with the representativeness of the agricultural component in the decisions made by the Consortium, with reference both to the identified production objectives and to the concrete ways in which the Regulation Plans are implemented and applied14.  </w:t>
        <w:br/>
        <w:t xml:space="preserve">In this sense, it would also be necessary to strengthen the provisions of the Regulation Plan so that they can produce those effects of adjusting supply to demand and contributing to maintaining quality and developing dairy products with protected designation of origin specifically provided for by community legislation in derogation of the prohibition of restrictive agreements on competition.  </w:t>
        <w:br/>
        <w:t xml:space="preserve">Finally, in the opinion of the Authority, it would be desirable, on the one hand, a greater diversification of the destination of sheep milk, investing in the production of alternative cheeses to Pecorino Romano DOP, with protected designation of origin or generic, and, on the other hand, to seek new markets for both the raw material and the dairy products derived from it, in order to contribute to greater stability of the system as a whole.  </w:t>
        <w:br/>
        <w:t xml:space="preserve">12 The crisis in the sheep and goat milk sector has been addressed by the Government and Parliament through the adoption of: i) five parliamentary resolutions by the XIII Permanent Commission on Agriculture - No. 7-00069 Cadeddu, No. 7-00148 De Carlo, No. 7-00182 Gadda, No. 7-00184 Spena, No. 7-00185 Gastaldi - concerning "Initiatives to support the sheep and goat milk sector" and definitively approved on 21/03/2019; ii) Decree-Law 27/2019 of 29/03/2019, containing "Urgent provisions for the relaunch of agricultural sectors in crisis and support for agri-food companies affected by exceptional adverse weather events and for the emergency at the Stoppani plant, located in the Municipality of Cogoleto," converted with amendments by Law No. 44 of 21 May 2019, published in Official Gazette 28.05.19 No. 123. The legislative text, as it specifically concerns the sheep milk sector, provides for government interventions of an economic-financial nature to support the sector (Articles 1, 2, and 5) and establishes, with a view to greater transparency of production data along the entire supply chain, a rigorous monitoring system regarding the raw milk (cow, sheep, and goat) and dairy products (Article 3).  </w:t>
        <w:br/>
        <w:t xml:space="preserve">13 In this regard, reference could be made to the forms of aggregation provided for by national and community legislation in order to overcome the structural weaknesses of the supply chain (cf. Regulation (EU) 1308/2013 on the common organization of agricultural markets, MIPAAF Decree No. 15164 of 12 October 2012, and Decree-Law No. 51 of 5 May 2015 converted by Law No. 91 of 1 July 2015).  </w:t>
        <w:br/>
        <w:t>14 Cf. Opinion AS1381 MODALITIES FOR DEFINING THE REGULATION PLANS FOR DOP CHEESES of 24 May 2017, published in Bulletin 22/2017.</w:t>
      </w:r>
    </w:p>
    <w:p>
      <w:r>
        <w:t xml:space="preserve">BULLETIN NO. 29 OF 22 JULY 2019 61  </w:t>
        <w:br/>
        <w:t xml:space="preserve">The Authority hopes that the observations made above can be taken into account by the recipient Entities in order to ensure greater overall stability of the Pecorino Romano DOP market, allowing for the definitive overcoming of the aforementioned price agreements and avoiding the need for future interventions that could affect the normal market mechanisms of the supply chain.  </w:t>
        <w:br/>
        <w:t xml:space="preserve">This opinion will be published in the Bulletin referred to in Article 26 of Law No. 287/90. Any confidentiality requirements must be communicated to the Authority within thirty days of receiving this opinion, specifying the reasons.  </w:t>
        <w:br/>
        <w:t xml:space="preserve">THE PRESIDENT  </w:t>
        <w:br/>
        <w:t>Roberto Rustichelli</w:t>
      </w:r>
    </w:p>
    <w:p>
      <w:r>
        <w:t xml:space="preserve">62 BULLETIN NO. 29 OF 22 JULY 2019  </w:t>
        <w:br/>
        <w:t xml:space="preserve">UNFAIR TRADE PRACTICES  </w:t>
        <w:br/>
        <w:t xml:space="preserve">PS9894 - NTV-COMMERCIAL OFFERS  </w:t>
        <w:br/>
        <w:t xml:space="preserve">Measure No. 27810  </w:t>
        <w:br/>
        <w:t xml:space="preserve">THE COMPETITION AND MARKET AUTHORITY  </w:t>
        <w:br/>
        <w:t xml:space="preserve">IN ITS MEETING of 12 June 2019;  </w:t>
        <w:br/>
        <w:t xml:space="preserve">HEARD the Rapporteur, Dr. Gabriella Muscolo;  </w:t>
        <w:br/>
        <w:t xml:space="preserve">HAVING REGARD to Part II, Title III of Legislative Decree No. 206 of 6 September 2005, containing the "Consumer Code" and subsequent amendments (hereinafter, Consumer Code);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1 April 2015;  </w:t>
        <w:br/>
        <w:t xml:space="preserve">HAVING REGARD to the communication received on 30 November 2018, as subsequently supplemented on 6, 18, and 20 February 2019, with which the company Italo-Nuovo Trasporto Viaggiatori S.p.A. submitted commitments pursuant to Article 27, paragraph 7, of the Consumer Code and Article 9 of the Regulation;  </w:t>
        <w:br/>
        <w:t xml:space="preserve">HAVING REGARD to its measures of 10 January and 7 March 2019 by which an extension of the deadline for concluding the procedure was ordered - pursuant to Article 27, paragraph 7, of the Consumer Code and Article 9 of the Regulation as well as Article 27, paragraph 1-bis, of the Consumer Code and Article 16, paragraph 5, of the Regulation - for the evaluation of the commitments proposed by Nuovo Trasporto Viaggiatori S.p.A.;  </w:t>
        <w:br/>
        <w:t xml:space="preserve">HAVING REGARD to the acts of the procedure;  </w:t>
        <w:br/>
        <w:t xml:space="preserve">I. THE PARTIES  </w:t>
        <w:br/>
        <w:t xml:space="preserve">1. Italo-Nuovo Trasporto Viaggiatori S.p.A. (hereinafter also "NTV") - C.F./P.I. 09247981005 - as a professional, pursuant to Article 18, letter b), of the Consumer Code. The company, having its registered office in Rome, is the first private Italian operator active in passenger transport on the high-speed railway network. The financial statements closed on 31 December 2018 show revenues exceeding 530 million Euros, an increase compared to 20171.  </w:t>
        <w:br/>
        <w:t xml:space="preserve">2. Trenitalia S.p.A. (hereinafter also "Trenitalia") - P.I. 05403151003 - as the notifying party. The company, having its registered office in Rome, is the main national railway company active in medium and long-distance passenger transport, regional and metropolitan transport, and freight transport.  </w:t>
        <w:br/>
        <w:t>1 Specifically, revenues from transport services amount to 536,502,159 euros, with an increase of 121,640,198 euros compared to the previous year's financial year. Source: telemaco-infocamere.</w:t>
      </w:r>
    </w:p>
    <w:p>
      <w:r>
        <w:rPr>
          <w:b/>
        </w:rPr>
        <w:t>[Pages 61–63]</w:t>
      </w:r>
    </w:p>
    <w:p>
      <w:r>
        <w:t xml:space="preserve">BULLETIN NO. 29 OF 22 JULY 2019 63  </w:t>
        <w:br/>
        <w:t xml:space="preserve">3. CODACONS (Coordination of Associations for the Defense of the Environment and the Rights of Users and Consumers), consumer association, as the reporting party, with its legal headquarters in Rome.  </w:t>
        <w:br/>
        <w:t>4. U.DI.CON (Union for the Defense of Consumers), consumer association, as the reporting party, with its headquarters in Rome.</w:t>
      </w:r>
    </w:p>
    <w:p>
      <w:r>
        <w:t xml:space="preserve">II. THE COMMERCIAL PRACTICE  </w:t>
        <w:br/>
        <w:t xml:space="preserve">5. The procedure concerns certain conduct carried out by the professional in the promotion of passenger transport services on the high-speed railway network, specifically the promotions disseminated continuously, on a weekly basis, across various media (on the corporate website https://www.italotreno.it/it, through direct mail marketing, as well as social networks and other advertising channels) and consisting of the application of significant discounts at a fixed percentage (e.g. "-50%") or variable ("up to -50%") or at a particularly advantageous price set at a fixed amount (e.g. "at 9.90 euros") or variable (e.g. "starting from 9.00 euros"). Access to such offers – selectable during the online purchasing process on the aforementioned corporate website – occurs by entering a specific "promo code" indicated to customers from time to time.  </w:t>
        <w:br/>
        <w:t xml:space="preserve">6. In particular, the issues highlighted in the communication initiating the procedure concerned:  </w:t>
        <w:br/>
        <w:t xml:space="preserve">A) the advertising presentation of the aforementioned offers in which, against the graphic emphasis reserved for the discount percentage or the reduced price, other relevant information for the consumer (including, in particular, the fare class used as a basis, the affected routes, the period of purchase and usability of the trip, conditions and limits of use) appears to be downplayed or poorly highlighted, when not omitted, such as the number of seats available for each promotion;  </w:t>
        <w:br/>
        <w:t xml:space="preserve">B) the circumstance that the tickets advertised in the offer could be unavailable as soon as the promotion starts or during the promotion itself or that the promised discounts would not be applied, during the active promotion period, on the indicated fare levels, so that NTV would raise the "fare" used as a basis for the application of the reduction. Furthermore, regarding the offers with variable discounts (in the mode "up to XX%"), the maximum percentage indicated would be substantially unavailable, while tickets discounted at an average percentage lower than that emphatically presented in the advertising messages would be accessible;  </w:t>
        <w:br/>
        <w:t>C) the unilateral cancellation by the professional – following a dispute with consumers over irregular transactions and a claim for payment of any difference compared to the base price – of some travel tickets already purchased by them with a promo code and the creation of obstacles and delays in the reimbursement of the price already paid by them.</w:t>
      </w:r>
    </w:p>
    <w:p>
      <w:r>
        <w:t xml:space="preserve">64 BULLETIN NO. 29 OF 22 JULY 2019  </w:t>
        <w:br/>
        <w:t xml:space="preserve">III. THE OUTCOMES OF THE PROCEDURE AND THE PRESENTATION OF COMMITMENTS  </w:t>
        <w:br/>
        <w:t xml:space="preserve">III.1. The procedure process  </w:t>
        <w:br/>
        <w:t xml:space="preserve">7. Based on complaints received from some consumers – also through the Transport Regulatory Authority (hereinafter, also "ART")2 –, from consumer associations3, from the competing company Trenitalia S.p.A.4, as well as following some official surveys5, on 25 September 2018, the investigative procedure PS9894 was initiated against NTV, hypothesizing that the conduct indicated above, under Part II, could constitute a violation of Articles 20, 21, 22, 23, 24, and 25 of the Consumer Code6.  </w:t>
        <w:br/>
        <w:t xml:space="preserve">Simultaneously with the communication initiating the procedure, in order to acquire useful knowledge elements for the evaluation of the commercial practice in question, the professional was requested, pursuant to Article 27, paragraphs 3 and 4, of the Consumer Code and Article 12, paragraph 1, of the Regulation, to provide information, documents, and any other elements deemed useful for the evaluation of the conduct under examination.  </w:t>
        <w:br/>
        <w:t xml:space="preserve">8. On 5 October 2018, inspections were carried out at the legal headquarters of NTV7.  </w:t>
        <w:br/>
        <w:t xml:space="preserve">9. NTV participated in the procedure by providing responses to the information request contained in the communication of initiation and producing defensive notes8; it also had access to the documents of the file9 and was heard in a hearing10.  </w:t>
        <w:br/>
        <w:t xml:space="preserve">10. During the procedure, Trenitalia had access to the investigative documents11 and submitted observations and memoranda12.  </w:t>
        <w:br/>
        <w:t xml:space="preserve">11. On 8 March 2019, the date of conclusion of the investigative phase was communicated to the Parties pursuant to Article 16, paragraph 1, of the Regulation13.  </w:t>
        <w:br/>
        <w:t xml:space="preserve">12. On 24 April 2019, the opinion of the Authority for Guarantees in Communications14 was received.  </w:t>
        <w:br/>
        <w:t xml:space="preserve">13. On 24 May 2019, the opinion of the Transport Regulatory Authority15 was received.  </w:t>
        <w:br/>
        <w:t xml:space="preserve">2 Docs. from 1 to 10, from 12 to 13.4, 15, 16, from 18 to 47, from 49 to 51.1, 55, from 61 to 61.2, from 68 to 68.2  </w:t>
        <w:br/>
        <w:t xml:space="preserve">3 Docs. 63 and 66 of the index of the investigative file.  </w:t>
        <w:br/>
        <w:t xml:space="preserve">4 Docs. 52, 56, 57, 59, and 64 of the index of the investigative file.  </w:t>
        <w:br/>
        <w:t xml:space="preserve">5 Docs. from 71 to 85.2 of the index of the investigative file.  </w:t>
        <w:br/>
        <w:t xml:space="preserve">6 Doc. 69 of the index of the investigative file.  </w:t>
        <w:br/>
        <w:t xml:space="preserve">7 Docs. from 87 to 88.6 of the index of the investigative file.  </w:t>
        <w:br/>
        <w:t xml:space="preserve">8 Docs. from 102 to 102.16 of the index of the investigative file.  </w:t>
        <w:br/>
        <w:t xml:space="preserve">9 Docs. 94 and 97 of the index of the investigative file.  </w:t>
        <w:br/>
        <w:t xml:space="preserve">10 Docs. 112 and 113, 123 and 124 of the index of the investigative file.  </w:t>
        <w:br/>
        <w:t xml:space="preserve">11 Docs. 93 and 98, 119, 128, 128.1 of the index of the investigative file.  </w:t>
        <w:br/>
        <w:t xml:space="preserve">12 Docs. from 114 to 115.1, 135 of the index of the investigative file.  </w:t>
        <w:br/>
        <w:t xml:space="preserve">13 Docs. 131 and 132 of the index of the investigative file.  </w:t>
        <w:br/>
        <w:t xml:space="preserve">14 Docs. 140 and 140.1 of the index of the file.  </w:t>
        <w:br/>
        <w:t>15 Docs. 142 and 142.1 of the index of the file.</w:t>
      </w:r>
    </w:p>
    <w:p>
      <w:r>
        <w:t xml:space="preserve">BULLETIN NO. 29 OF 22 JULY 2019 65  </w:t>
        <w:br/>
        <w:t xml:space="preserve">III.2. The acquired elements  </w:t>
        <w:br/>
        <w:t xml:space="preserve">a) The promotional campaigns  </w:t>
        <w:br/>
        <w:t xml:space="preserve">14. The promotional campaigns related to reduced prices and discount percentages have been disseminated by NTV almost weekly, starting from [omitted]*16. For this purpose, a standard communication set was dedicated, including:  </w:t>
        <w:br/>
        <w:t xml:space="preserve">- a) a dedicated banner (so-called "hero") at the top of the homepage of the corporate website, its mobile version, and the Apps;  </w:t>
        <w:br/>
        <w:t xml:space="preserve">- b) an App notification (to consumers who have given consent);  </w:t>
        <w:br/>
        <w:t xml:space="preserve">- c) a commercial newsletter sent to customers;  </w:t>
        <w:br/>
        <w:t xml:space="preserve">- d) posts on dedicated social network pages17, sometimes also in sponsored versions;  </w:t>
        <w:br/>
        <w:t xml:space="preserve">- e) brief text ads on search engines18 in "sitelink" mode.  </w:t>
        <w:br/>
        <w:t xml:space="preserve">15. The promotional messages highlight some elements of particular interest for consumers (the discount/the reduced price) while reserving less emphasis on other relevant informational data - such as, for example, any limits of use and enjoyment - and omitting the actual number of tickets available in the specific promotion, replaced by the wording "Offer subject to availability." Within the advertising box, on any communication vehicle, there is a direct link ("buy by..." or "buy now" or "buy now") to the online ticket purchasing engine. Starting from [omitted]19, NTV began to disseminate promotions also focused on reduced price/variable discount percentages, in the mode "...up to XX% discount," without indicating the numerical consistency of the available tickets and the specific prices/percentages accessible during the promotion.  </w:t>
        <w:br/>
        <w:t xml:space="preserve">16. According to what was represented by the professional himself20, the formula "starting from..." was, instead, used solely to communicate a distinct "entry price" (or entry level), that is, a new lower price available – not to be confused with the price proposed in promotion – as it was introduced continuously and for an indefinite period, until further modification, like any other list price.  </w:t>
        <w:br/>
        <w:t xml:space="preserve">17. For the communication related to all such promotions21, in the period from [omitted] and until [omitted], Italo predominantly employed "internal" channels (its own website, direct mail).  </w:t>
        <w:br/>
        <w:t xml:space="preserve">* In this version, some data are omitted, as elements of confidentiality or secrecy of the information were deemed to exist.  </w:t>
        <w:br/>
        <w:t xml:space="preserve">16 Until [omitted], a total of [200-300] promotions were launched: doc. 88.5 of the index of the file (file 7 of the inspection index; files from 592 to 749 of the inspection index) and doc. 102 of the index of the file. Each promotion generated an average of approximately [20,000-30,000] tickets sold (doc. 102 of the index of the file).  </w:t>
        <w:br/>
        <w:t xml:space="preserve">17 Facebook and Twitter.  </w:t>
        <w:br/>
        <w:t xml:space="preserve">18 [Omitted] and [Omitted].  </w:t>
        <w:br/>
        <w:t xml:space="preserve">19 Doc. 88.5 of the index of the file (file 7 of the inspection index).  </w:t>
        <w:br/>
        <w:t xml:space="preserve">20 Docs. 102 and 113 of the index of the file.  </w:t>
        <w:br/>
        <w:t>21 The Special and Fare Conditions/CPT of the Carrier (which are an integral part of the Transport Contract and can be accessed at the link https://www.italotreno.it/it/terms-conditions) only make a generic reference to the possibility of launching promotional campaigns and offers for customers, limiting themselves to referring to the corporate website for the presentation of the related conditions of use. "ITALO may establish promotional campaigns for individual environments, possibly linked to the purchase of...</w:t>
      </w:r>
    </w:p>
    <w:p>
      <w:r>
        <w:rPr>
          <w:b/>
        </w:rPr>
        <w:t>[Pages 64–66]</w:t>
      </w:r>
    </w:p>
    <w:p>
      <w:r>
        <w:t xml:space="preserve">66 BULLETIN NO. 29 OF 22 JULY 2019  </w:t>
        <w:br/>
        <w:t xml:space="preserve">marketing-DEM and automatic ticket offices) compared to the lesser use of other "external" digital dissemination tools22, with a significantly reduced overall cost23.  </w:t>
        <w:br/>
        <w:t xml:space="preserve">18. From the data acquired regarding sales volumes and values during the period [omitted], it appears that, on average and for each year considered, over [10-20%] of the total passengers traveled on promotion, integrating almost [10-20%] in value of total revenues24.  </w:t>
        <w:br/>
        <w:t xml:space="preserve">b) The fare structure of the professional and the revenue management system (Revenue Management System - RVM)  </w:t>
        <w:br/>
        <w:t xml:space="preserve">19. The fare structure applied by the Carrier25 includes four types of environments (Smart, Comfort, First, and Club Executive, each corresponding to increasing levels of service quality) in combination with different types of transport titles (Low Cost, Economy, Flex, and Onboard), characterized by increasing prices and different methods of ticket use - progressively more facilitated - for purchase/change and possibly refund.  </w:t>
        <w:br/>
        <w:t xml:space="preserve">20. During the investigation, it emerged26 that corresponding to each of the aforementioned environments, there are, in fact, various levels of "price" for each category of transport title: in reference to the SMART environment (where NTV usually conducts promotions), the individual category of transport title that can be combined (such as Low Cost) is not constituted by a single price but by a fare range articulated in several successive "steps" - the so-called "[omitted]" - identified with different letters of the alphabet and with progressively higher amounts27.  </w:t>
        <w:br/>
        <w:t xml:space="preserve">21. Given the aforementioned fare "structure," the prices actually proposed to customers are the result of a complex management system, overseen by an optimization algorithm, in which multiple and transient variables continuously interact automatically, as well as the outcome of certain business impulses: specifically, the availability and price of each transport title are limited and variable "depending on the trains, the days of the week, the travel environment, the sales channel, and the moment of purchase relative to the departure of the chosen train"28.  </w:t>
        <w:br/>
        <w:t xml:space="preserve">22. The Revenue Management (RVM) system aims to maximize profits through a dynamic analysis of demand and the integrated control of "capacity" (seat allocation) and prices, in order to find the right balance between load factor and revenue to maximize Revenue per Available Seat/Km - RASK29.  </w:t>
        <w:br/>
        <w:t xml:space="preserve">23. The extreme variability (and continuous readjustment) of this commercial programming of trains characterizes not only the ordinary offer but also the launch of promotional services, impacting the relative numerical availability of seats on individual routes, the level of the proposed price, and the specific percentages of discount applied. The very fact that the professional's discounted offers are integrated into the dynamic - and only partially predictable - seat/price system of Revenue Management is the reason why the consumer might:  </w:t>
        <w:br/>
        <w:t xml:space="preserve">- not find available seats on offer despite attempting to book during the validity period of the offer;  </w:t>
        <w:br/>
        <w:t xml:space="preserve">- find different prices for the same travel solution (route/date) advertised in the offer, even during the validity period of the relevant promotion;  </w:t>
        <w:br/>
        <w:t xml:space="preserve">- find the same travel solution at a lower price outside the promotional period than that claimed during the offer.  </w:t>
        <w:br/>
        <w:t xml:space="preserve">24. Regarding, in particular, the management and proposal system for promotional tickets, it has also emerged that:  </w:t>
        <w:br/>
        <w:t xml:space="preserve">- [omitted];  </w:t>
        <w:br/>
        <w:t xml:space="preserve">- since each train can cover multiple commercial routes/sellable distinctly within a single continuous journey, the revenue management system takes into account that each individual route represents a different "market": therefore, on the same train, there could be minimum fare30 seats only for a single route and not for others;  </w:t>
        <w:br/>
        <w:t xml:space="preserve">- the numerical availability of seats, [omitted], is then concretely conditioned by the functioning of the revenue management system, sensitive, as seen, to multiple elements and variable trends31;  </w:t>
        <w:br/>
        <w:t xml:space="preserve">- within the offers proposed with a discount range up to a maximum practicable (…up to - xx%), the allocation of the different percentages of reduction occurs - concretely and from time to time - with reference, among other things, to certain markets/routes. The minimum percentage of discount obtainable in such promotions is set at [10-20%]32 while the maximum percentage fixed for this purpose is, however, always applied to [30-40%] of the routes involved in the offer and the "average" discount is higher than the average price33;  </w:t>
        <w:br/>
        <w:t xml:space="preserve">- based on inspection evidence, the Carrier has the possibility, during the validity of the promotion, to introduce some changes (also to the customer's advantage34) as a result of reports on the daily sales35, also in order to enhance/orient demand on less commercially performing trains/routes.  </w:t>
        <w:br/>
        <w:t xml:space="preserve">c) The cancellation by the Carrier of travel titles purchased on offer with associated obstacles to the reimbursement to the consumer of the price already paid  </w:t>
        <w:br/>
        <w:t xml:space="preserve">25. It has also emerged36 that, regarding the period from [omitted] to [omitted], the blocking/cancellation of certain PNRs linked to promotional purchases was carried out by the Carrier following targeted checks regarding the abusive use of discount codes reserved for particular categories of customers for the purchase of tickets on offer37, within the constant monitoring of cybersecurity on its systems38. According to what was stated by NTV and in light of inspection findings39, consumers then identified in the aforementioned situation were consequently given the alternative between retaining the travel title already purchased on offer - through immediate payment of the price difference with the ordinary ticket - or the cancellation of the purchase with reimbursement - without delay - of the sum already paid40.  </w:t>
        <w:br/>
        <w:t xml:space="preserve">III.3. The commitments presented by Italo-Nuovo trasporto viaggiatori S.p.A.  </w:t>
        <w:br/>
        <w:t xml:space="preserve">26. With a note received on 30 November 2018, the professional submitted - pursuant to Article 27, paragraph 7, of the Consumer Code and Article 9 of the Regulation - a proposal for commitments, subsequently modified and supplemented on the dates of 6, 18, and 20 February 201941.  </w:t>
        <w:br/>
        <w:t xml:space="preserve">27. In particular, the consolidated and definitive version of these commitments - as attached to this measure of which it constitutes an integral part - provides for the following measures:  </w:t>
        <w:br/>
        <w:t xml:space="preserve">Commitment no. 1: enlargement of the graphic characters of the "legal" related to promotions42  </w:t>
        <w:br/>
        <w:t xml:space="preserve">28. The Carrier commits to improving - across the entire set of communication used for its advertising campaigns43 - the visibility of the "legal" (the illustrative spaces of the promotions, within the  </w:t>
        <w:br/>
        <w:t xml:space="preserve">35 Doc. 88.5 of the index of the file (Folders [omitted] and [omitted])  </w:t>
        <w:br/>
        <w:t xml:space="preserve">36 Doc. 88.5 (e.g., in Folder [omitted]) and docs. from 102 to 102.16 of the index of the file.  </w:t>
        <w:br/>
        <w:t xml:space="preserve">37 For example, some discount codes would have been issued for the benefit of employees of specific companies by virtue of a specific agreement with the Carrier. NTV intervened with the aforementioned conduct when it discovered hacking operations on such codes (concentrated in specific periods) as well as, directly on board the train, finding various cases of abusive use of the same by individuals not belonging to the aforementioned companies.  </w:t>
        <w:br/>
        <w:t xml:space="preserve">38 Like other commercial companies, NTV has equipped itself with a cybersecurity system that monitors and prevents fraud for credit card transactions on digital channels. In cases where some of the information (email, first/last name, credit card number, etc.) present in the reservation also appears within a blacklist of data from the anti-fraud system, security checks are activated for which the relevant transactions are canceled and then "immediately" reversed on the paying card. The professional provides documentation to prove the timely reimbursement on the same day of the cancellation of the transaction, specifying that only in some exceptional cases the refund occurred later due to the need for longer manual back-office processing. It also states that cybersecurity checks are, in any case, independent of the type of fare purchased.  </w:t>
        <w:br/>
        <w:t xml:space="preserve">39 Doc. 88.5 of the index of the file (files 37, 38, and 41 of the inspection index).  </w:t>
        <w:br/>
        <w:t xml:space="preserve">40 Doc. 102.16 of the index of the file.  </w:t>
        <w:br/>
        <w:t xml:space="preserve">41 Docs. 109, 109.1, 122, 122.1, from 126 to 127 of the index of the investigative file.  </w:t>
        <w:br/>
        <w:t xml:space="preserve">42 The emphasis on the heading of the commitments is in the original text produced by the professional.  </w:t>
        <w:br/>
        <w:t>43 That is: (i) on the hero - the banner reserved for the promotion as present at the top of the homepage of the website www.italotreno.it, as well as on the mobile version of the same site and also on the App; (ii) on notifications via App (to recipients who have consented to receive them); (iii) in the body of commercial newsletters (for subscribers to the loyalty program and the commercial newsletter service).</w:t>
      </w:r>
    </w:p>
    <w:p>
      <w:r>
        <w:rPr>
          <w:b/>
        </w:rPr>
        <w:t>[Pages 67–69]</w:t>
      </w:r>
    </w:p>
    <w:p>
      <w:r>
        <w:t xml:space="preserve">BULLETIN NO. 29 OF 22 JULY 2019 69  </w:t>
        <w:br/>
        <w:t xml:space="preserve">advertising messages, containing the conditions of applicability and the constraints of the advertised offers) -  </w:t>
        <w:br/>
        <w:t xml:space="preserve">by enlarging the graphic characters and/or repositioning the related wording according to the following illustrative image:  </w:t>
        <w:br/>
        <w:t xml:space="preserve">Fig. 1  </w:t>
        <w:br/>
        <w:t xml:space="preserve">Commitment no. 2: Greater exhaustiveness, clarity, and completeness of the "legal" related to Italo's promotions.  </w:t>
        <w:br/>
        <w:t xml:space="preserve">29. The Carrier has committed to including within the promotional "legals" - as part of the aforementioned communication set and also on the paid assets used44 - at least the following information:  </w:t>
        <w:br/>
        <w:t xml:space="preserve">- percentage of discount applicable to the ticket price;  </w:t>
        <w:br/>
        <w:t xml:space="preserve">- class of fare concerned (on which, infra, commitment no. 5);  </w:t>
        <w:br/>
        <w:t xml:space="preserve">- routes that may be excluded;  </w:t>
        <w:br/>
        <w:t xml:space="preserve">- period during which tickets can be purchased and used;  </w:t>
        <w:br/>
        <w:t xml:space="preserve">- any impossibility of change and/or non-refundable nature of the ticket.  </w:t>
        <w:br/>
        <w:t xml:space="preserve">30. To this information, in adequate graphic prominence, the total number of seats available for each promotion will also be added: in this regard, the professional clarified that this "number (...) will be physiologically higher than the total number of tickets sold by Italo for the same promotion" as the seat is considered separately for each route sold within the overall journey made by the same train45.  </w:t>
        <w:br/>
        <w:t xml:space="preserve">31. The aforementioned information will be present in every support/communication and sales medium, including communications to consumers via direct mailing46, with the sole exception of paid assets,  </w:t>
        <w:br/>
        <w:t xml:space="preserve">44 Facebook, Twitter, Bing, and other paid advertisements in search engines.  </w:t>
        <w:br/>
        <w:t xml:space="preserve">45 In this regard, NTV exemplifies that: "for example, if a consumer intends to purchase a ticket for the Rome-Venice route, they will automatically occupy a seat for each individual route that the train will travel along the journey from Rome to Venice. Therefore, they will occupy seven seats, that is, the number of stops between the departure and destination stations. It follows that a single ticket will correspond to the use of seven seats."  </w:t>
        <w:br/>
        <w:t xml:space="preserve">46 These are the supports indicated above, namely, (i) the hero - the banner reserved for the promotion as present at the top of the homepage of the website www.italotreno.it as well as on the mobile version of the same site and also on the App; (ii) notifications via App (to recipients who have given consent to receive them); (iii) commercial newsletters (for subscribers to the loyalty program and the commercial newsletter service).  </w:t>
        <w:br/>
        <w:t xml:space="preserve">47 Generally, on the dedicated webpage on the company site, it is graphically emphasized that the carnet would allow: a) "savings of up to 60% compared to the [flex offer]"; b) "free ticket change"; as well as c) the possibility of accumulating "Italo - Più" points; furthermore, to highlight the convenience of this offer, the prices charged for specific routes are indicated, with reference to the single journey that is part of the carnet. From the same webpage, it is possible to directly access the online purchase form which, once completed with the chosen travel details and just before proceeding to payment, specifically informs about other characteristics of the offer (the number of journeys that can be made with that carnet, the days of the week on which they can be used, the validity period, and the total price) and requests the user's personal data.  </w:t>
        <w:br/>
        <w:t xml:space="preserve">48 Within the section "select Carnet".  </w:t>
        <w:br/>
        <w:t>49 "With the Carnet solution, you have the possibility to purchase with a single transaction a package of coupons to travel with Italo on one of the available routes. You then decide later on which day and time to travel and in which direction, detaching the available coupons"; and again "The carnet is nominative, valid on the purchased route (in both directions) and is non-refundable. Individual journeys can be modified without limits and always free of charge, up to 3 minutes before departure. The ticket change can be made via the website, the App, and at the station."</w:t>
      </w:r>
    </w:p>
    <w:p>
      <w:r>
        <w:t xml:space="preserve">BULLETIN NO. 29 OF 22 JULY 2019 71  </w:t>
        <w:br/>
        <w:t xml:space="preserve">Commitment no. 4: Modification of the structure of promotions with the formula "discount up to..."  </w:t>
        <w:br/>
        <w:t xml:space="preserve">35. Italo has committed to modifying the structure of promotions by introducing the formula "Variable discount from [...]% to [...]%" instead of the formula "discount up to...", already used. (See supra, fig. 1)  </w:t>
        <w:br/>
        <w:t xml:space="preserve">Commitment no. 5: Indication of a single Low Cost fare and greater visibility and clarity of the offer's applicability.  </w:t>
        <w:br/>
        <w:t xml:space="preserve">36. The commitment is divided into two parts: regarding the first, sub 5.1, Italo has adopted certain modifications concerning the Low Cost fare and the discounts to be applied in promotions on various fares; regarding the second, sub 5.2, the Carrier introduces some changes to the booking procedure with the intent to fully inform the consumer about the availability of promotional tickets, make the comparison between the original price and the discounted price of the service, and alert about the possible exhaustion of such tickets. In particular:  </w:t>
        <w:br/>
        <w:t xml:space="preserve">5.1 - Italo "commits to adopting a single fare 'Low Cost' to which promotions will be applied, with a single price point so that the original price to which the discount is applied is always uniquely identifiable."  </w:t>
        <w:br/>
        <w:t xml:space="preserve">The Carrier clarifies, in this regard, that "the commercial name 'Low Cost' may not correspond to the lowest fare of all but the eventual lowest offer will be named differently from 'Low Cost' so as not to generate doubts about the application of the promotion." Furthermore, "if duly specified in the conditions of the promotion, Italo may decide to discount other fares, such as Flex or Economy, remaining obviously firm that the promotion will be applied, in the same percentage measure, to all price points within the same fare."  </w:t>
        <w:br/>
        <w:t xml:space="preserve">5.2 - Italo also intends to adopt a particular booking flow on the company website "in order to allow the consumer to correctly identify and book the advertised promotion as well as to be notified of the possible exhaustion of promotional seats for specific routes."  </w:t>
        <w:br/>
        <w:t xml:space="preserve">In particular, by way of example:  </w:t>
        <w:br/>
        <w:t>on the homepage, in the area dedicated to the communication of the promotion, there will be a "button (floating button)" indicating "Check promo availability" (Fig. 2).</w:t>
      </w:r>
    </w:p>
    <w:p>
      <w:r>
        <w:rPr>
          <w:b/>
        </w:rPr>
        <w:t>[Pages 70–72]</w:t>
      </w:r>
    </w:p>
    <w:p>
      <w:r>
        <w:t xml:space="preserve">72 BULLETIN NO. 29 OF 22 JULY 2019  </w:t>
        <w:br/>
        <w:t xml:space="preserve">Fig. 2  </w:t>
        <w:br/>
        <w:t>After clicking the button, the consumer will land on a page to check the availability of the promotion where they can enter the departure and arrival stations of interest (Fig. 3):</w:t>
      </w:r>
    </w:p>
    <w:p>
      <w:r>
        <w:t xml:space="preserve">BULLETIN NO. 29 OF 22 JULY 2019 73  </w:t>
        <w:br/>
        <w:t xml:space="preserve">Fig. 3  </w:t>
        <w:br/>
        <w:t>37. Once the departure station and arrival station, the date of interest, and the promotional code are selected, the consumer will land on a page with a calendar that shows, for a time horizon of thirty days (specifically, fifteen days prior and fifteen days following the date chosen by the traveler), the days on which the promotion will be available (Fig. 4); the applicability of the promotion is highlighted “by the contrasting colors and the initial starting prices that are crossed out and shown as discounted.” The available calendar covers the entire travel period affected by the promotion so that “if the consumer changes the travel date, the calendar will also update, and consequently, the related time horizon of 30 days.”</w:t>
      </w:r>
    </w:p>
    <w:p>
      <w:r>
        <w:t xml:space="preserve">74 BULLETIN NO. 29 OF 22 JULY 2019  </w:t>
        <w:br/>
        <w:t xml:space="preserve">Fig. 4  </w:t>
        <w:br/>
        <w:t>38. After selecting the travel day, the list of trains will be accessed with the indication “PROMO,” where the latter is available (Fig. 5).</w:t>
      </w:r>
    </w:p>
    <w:p>
      <w:r>
        <w:rPr>
          <w:b/>
        </w:rPr>
        <w:t>[Pages 73–75]</w:t>
      </w:r>
    </w:p>
    <w:p>
      <w:r>
        <w:t xml:space="preserve">BULLETIN NO. 29 OF 22 JULY 2019 75  </w:t>
        <w:br/>
        <w:t xml:space="preserve">Fig. 5  </w:t>
        <w:br/>
        <w:t>"Finally, selecting the desired train where the promotion is available will open the price matrix of the chosen train clearly indicating the promotional price (with the original price struck through) and - in the event that the available seats are running low or, in any case, equal to or less than five - the total number of seats still available" (Fig. 6).</w:t>
      </w:r>
    </w:p>
    <w:p>
      <w:r>
        <w:t xml:space="preserve">BULLETIN NO. 29 OF 22 JULY 2019 76  </w:t>
        <w:br/>
        <w:t xml:space="preserve">Fig. 6  </w:t>
        <w:br/>
        <w:t>39. NTV specifies that the process described so far would only be activated if the consumer started from the button "Check promotion availability"; if, however, they clicked on "Buy now", they would land directly on the list of trains described in Fig. 5, from which it is still possible to verify the presence of the promotion on the chosen day.</w:t>
      </w:r>
    </w:p>
    <w:p>
      <w:r>
        <w:t xml:space="preserve">BULLETIN NO. 29 OF 22 JULY 2019 77  </w:t>
        <w:br/>
        <w:t xml:space="preserve">Commitment no. 6: "Publication of commitments on the website for a period of one month with a link on the Home Page"  </w:t>
        <w:br/>
        <w:t xml:space="preserve">40. Within 5 working days from the date of notification of the measure accepting the commitments, Italo will publish on the homepage of its corporate website, for a period of one month, a link that will refer to the commitments undertaken by the Company.  </w:t>
        <w:br/>
        <w:t xml:space="preserve">41. Regarding the commencement of the aforementioned remedial measures, NTV specifies that they will be implemented within 60 days from the date of notification of the measure of possible acceptance, except for commitments no. 5.2 and no. 6, to be implemented respectively within 120 days and within 5 working days from the aforementioned date of notification.  </w:t>
        <w:br/>
        <w:t xml:space="preserve">All commitments will have an indefinite duration ("that is, for the entire period during which Italo will advertise and apply its promotions during the course of its commercial activity") except for measure no. 6, limited to 30 days.  </w:t>
        <w:br/>
        <w:t xml:space="preserve">III.4. Observations of Trenitalia S.p.A.  </w:t>
        <w:br/>
        <w:t xml:space="preserve">42. On 10 January 2019, Trenitalia submitted some observations regarding the initiation of the present procedure50. Following access to the documents carried out on 22 February 2019 - where the company acquired, among other things, the omitted version of the commitments already submitted by NTV - Trenitalia formulated further considerations, received on 29 March 201951, which are summarized below.  </w:t>
        <w:br/>
        <w:t xml:space="preserve">43. Trenitalia argues that the commitments proposed by NTV would be inadmissible due to the intrinsic seriousness of the conduct contested against the competitor and, in any case, inadequate to overcome the issues of conflict with the Consumer Code, also considering the implementation of the same only in the future and the omission of any "compensation" for consumers already affected by the conduct in question. The incumbent does not see any actual benefits for consumers from the acceptance of the commitments and argues that some of them present certain criticalities.  </w:t>
        <w:br/>
        <w:t xml:space="preserve">44. Measures no. 1 to no. 4 would consist of mere compliance with general standards of clarity and completeness of information addressed to consumers as already imposed by the Consumer Code at the beginning of the purchase procedure, integrating an "essential" communication set especially regarding conditions and constraints of use of the offers; moreover, other advertising channels such as station posters and television spots would be excluded from the commitments.  </w:t>
        <w:br/>
        <w:t xml:space="preserve">45. In particular, commitment no. 5.1 - that is, the establishment of a single price for the Low Cost fare for the application of the promised discounts - would be suitable to overcome the prima facie criticality identified at the outset in conduct sub ii)52 only if the uniqueness of the price remained such, even outside the promotional period. The commitment itself, however, would not provide anything regarding the substantial unavailability - hypothesized at the outset - of the maximum percentage of reduction possibly proposed in the promotions.  </w:t>
        <w:br/>
        <w:t xml:space="preserve">50 Doc. 115 and 115.1 of the index of the file.  </w:t>
        <w:br/>
        <w:t xml:space="preserve">51 For the omitted version of the commitments - as submitted by NTV on 18 February 2019 see doc. 126.2 of the index of the file; for the subsequent observations of Trenitalia, see doc. 135 of the index of the file.  </w:t>
        <w:br/>
        <w:t>52 "Increase of the fare used as the basis for the promotion during the validity period of the advertised discounts; accessibility to a discount percentage on average lower than the maximum proposed as possible."</w:t>
      </w:r>
    </w:p>
    <w:p>
      <w:r>
        <w:rPr>
          <w:b/>
        </w:rPr>
        <w:t>[Pages 76–78]</w:t>
      </w:r>
    </w:p>
    <w:p>
      <w:r>
        <w:t xml:space="preserve">78 BULLETIN NO. 29 OF 22 JULY 2019  </w:t>
        <w:br/>
        <w:t xml:space="preserve">46. As for measure no. 5.2, the indication, within the purchasing procedure, of the total number of seats available for the specific promotion would, in fact, constitute a significant commercial lever in favor of the Carrier (suitable to achieve the "hook" effect on customers) while being of little informational value for consumers: this is considering that such seats would still be distributed – in light of the revenue system adopted by NTV – "over the entire duration of the promotion across the entire Italo service network" and that, by the professional's own admission, "the chances of accessing the offer further decrease in the case of purchasing a promotional ticket for long-distance routes"53. Finally, commitment no. 6 (publication, for a duration of one month, of the set of measures under examination on the professional's website) would not aim to remove specific profiles of unfairness from the contested conduct, but would have merely a recognitional value of the remedies offered.  </w:t>
        <w:br/>
        <w:t xml:space="preserve">IV. OPINION OF THE AUTHORITY FOR COMMUNICATIONS GUARANTEES  </w:t>
        <w:br/>
        <w:t xml:space="preserve">47. Since the conduct subject to this measure has been disseminated through telecommunications means – in particular the internet, via the professional's corporate website, the Facebook platform, and via email – on 14 April 2019, the opinion was requested from the Authority for Communications Guarantees, pursuant to Article 27, paragraph 6, of the Consumer Code. This opinion was received on 24 April 201954.  </w:t>
        <w:br/>
        <w:t xml:space="preserve">48. Firstly, the aforementioned Authority considered, recalling Article 27, paragraph 1-bis, of the Consumer Code, to express its evaluations exclusively regarding the suitability of the communication medium specifically used by the professional in question to disseminate the contested commercial practice, as well as to amplify any misleading and/or unfairness.  </w:t>
        <w:br/>
        <w:t xml:space="preserve">49. In general, this Authority considered that the internet, by virtue of its nature as a global communication network and its now widespread accessibility, is able to offer consumers a vast array of information for the purchase of goods and services. This is also due to an increasingly accurate profiling of users who, even through the voluntary provision of personalized information, can be more easily and frequently reached by messages targeted at specific consumer needs55.  </w:t>
        <w:br/>
        <w:t xml:space="preserve">50. Therefore, given the evidence of the full promotional potential of online communication also concerning the purchase of discounted train tickets, this Authority deemed in this specific case, and based on the documentation on file, that "the internet is a suitable tool to significantly influence the realization of the commercial practice."  </w:t>
        <w:br/>
        <w:t xml:space="preserve">53 Trenitalia refers to NTV's observation when, regarding this commitment, it states – in point 4.2 of the Form – that the number of tickets available for the promotion could be "physiologically higher than the total number of tickets sold by Italo for the same promotion (e.g., if a consumer intends to purchase a ticket for the Rome-Venice route, they will automatically occupy a seat for each individual leg that the train will travel along the route from Rome to Venice. Therefore, they will occupy seven seats, that is, the number of stops between the departure and destination stations. It follows that one ticket will correspond to the use of 7 seats."  </w:t>
        <w:br/>
        <w:t xml:space="preserve">54 Docs. 137, 140, and 140.1 of the index of the investigation file.  </w:t>
        <w:br/>
        <w:t xml:space="preserve">55 The Authority recalls, on this point, what emerged from its inquiry into the internet services sector and online advertising, particularly in Annex A to Resolution No. 19/14/CONS of 21 January 2014.  </w:t>
        <w:br/>
        <w:t xml:space="preserve">BULLETIN NO. 29 OF 22 JULY 2019 79  </w:t>
        <w:br/>
        <w:t xml:space="preserve">V. OPINION OF THE TRANSPORT REGULATORY AUTHORITY  </w:t>
        <w:br/>
        <w:t xml:space="preserve">51. Since the conduct subject to this measure pertains to the sector of passenger rail transport services, on 4 April 2019, the opinion was requested from the ART, pursuant to and for the effects of Article 27, paragraph 1-bis, of the Consumer Code. The opinion was received on 24 May 201956 and summarizes the observations and evaluations that follow.  </w:t>
        <w:br/>
        <w:t xml:space="preserve">52. After making some preliminary considerations regarding the purpose of the opinion57 and recalling the norms that establish the competence and prerogatives of the ART to protect passenger rights in the rail transport sector, the Regulator specifies that the relevant regulatory framework includes Regulation (EC) No. 1371/0758 and any applicable regulation, identifying some regulatory acts59, as well as some provisions of the Community Regulation in light of which the commitments presented by the Carrier must be analyzed60.  </w:t>
        <w:br/>
        <w:t xml:space="preserve">53. Regarding the commitments proposed by NTV, the ART highlights that under Regulation (EC) No. 1371/2007, railway companies are required, with respect to all commercial offers, to make available and easily accessible information regarding "schedules and conditions for the lowest fare" through "methods that make it unequivocal for the passenger to identify, at any moment, the lowest price and the related schedules and conditions."  </w:t>
        <w:br/>
        <w:t xml:space="preserve">54. Coming to the merits of the individual measures, the Regulator, first of all, believes that commitment no. 161 (Enlargement of the graphic characters of the "legal" related to promotions) and commitment no. 2 (Greater exhaustiveness, clarity, and completeness of the "legal" related to Italo's promotions) can be "favorably received," which appears substantially "suitable to guarantee customers the informational package required by Article 8 and Annex II of Regulation (EC) No. 1371/2007." The ART raises a single caveat regarding the assured indication, in advertising materials, of the number of seats available for each promotion, as the same number – based on what was admitted by the professional – could "be 'physiologically' higher than the total tickets sold by Italo" and therefore be misleading for the user62. The ART argues that such an indication would be better suited to "point-to-point routes (typical of the air sector) rather than the rail sector, whose journeys are characterized by various stops and thus by a multitude of combinations of routes."  </w:t>
        <w:br/>
        <w:t xml:space="preserve">55. The Regulator also expresses a favorable opinion on measure no. 3 (Greater exhaustiveness, clarity, and completeness of the purchase process of the Carnets) – as it is consistent with ART Resolution No. 54/201663 – as well as on measure no. 4 (Modification of the structure of promotions with the formula "discount up to...") regarding which it observes that it – combined with the overall interventions assured to the Carrier to clarify and enhance the consumer's informational set – is in harmony with the prescriptions of recitals 3 and 4 of Regulation (EC) No. 1371/2007 and "seems, in fact, to at least partially guide the passenger's choice in a more informed manner compared to the shortcomings highlighted by the AGCM."  </w:t>
        <w:br/>
        <w:t xml:space="preserve">56. The Regulator also positively evaluates the overall commitment no. 5 (Indication of a single Low Cost fare and greater visibility and clarity of the offer's applicability). In particular, the ART believes that measure sub 5.1, consisting of the adoption of a single declared price point to which to apply the offers – provided that it remains unchanged during the promotion or is modified in a more favorable direction for the customer – falls within the scope of the pre-travel informational obligations under Regulation (EC) No. 1371/2007, while also remaining "firm that the professional must always make the contractual conditions of the offer clear and easily accessible." Furthermore, regarding NTV's clarification that "the commercial name 'Low Cost' may not correspond to the lowest fare of all," the Regulator again recalls the obligation, arising from community legislation, to provide the passenger who requests it with specific information on schedules and conditions for the lowest fare, regardless of the commercial name used.  </w:t>
        <w:br/>
        <w:t xml:space="preserve">As for measure sub 5.2, the ART believes that "the development of the new booking flow and a warning to the user about the approaching threshold of contingent tickets - provided that the information is correct in substance and is not used solely to accelerate the passenger's choice - appears consistent with the dictates of informational completeness repeatedly recalled in this opinion."  </w:t>
        <w:br/>
        <w:t xml:space="preserve">57. Finally, the ART believes that commitment no. 6 (Publication of commitments on the website for a period of one month with a link on the homepage) appears suitable "to ensure correct and continuous information in favor of passengers even within a limited time frame."  </w:t>
        <w:br/>
        <w:t xml:space="preserve">62 The ART expressly recalls that "due to the mechanism illustrated by the professional, it is conceivable that such available seats could decrease very quickly, thus creating further reasons for complaint/reporting."  </w:t>
        <w:br/>
        <w:t>63 With this resolution, the Regulator, in outlining the rights of passengers holding subscriptions, established, among other things, the right to correct information prior to the purchase of subscriptions, both regarding the timing of their sale and the functioning of booking systems, as well as the methods for obtaining any refunds (Article 2).</w:t>
      </w:r>
    </w:p>
    <w:p>
      <w:r>
        <w:rPr>
          <w:b/>
        </w:rPr>
        <w:t>[Pages 79–81]</w:t>
      </w:r>
    </w:p>
    <w:p>
      <w:r>
        <w:t xml:space="preserve">BULLETIN NO. 29 OF 22 JULY 2019 81  </w:t>
        <w:br/>
        <w:t xml:space="preserve">VI. EVALUATION OF COMMITMENTS  </w:t>
        <w:br/>
        <w:t xml:space="preserve">58. The Authority believes that the commitments proposed by the professional are suitable to remedy the possible illegitimacy profiles of the commercial practice contested in the initiation communication of 25 September 2018. Specifically, the proposed measures allow for a substantial overcoming of the issues raised in the initiation communication, enabling consumers to perceive more clearly, with adequate prominence and in their entirety, the elements of the carrier's future promotions in order to assess their actual advantages and thus make a fully informed commercial choice.  </w:t>
        <w:br/>
        <w:t xml:space="preserve">59. In general, it should be noted that the railway service market is, to date, extremely complex, having undergone a clear evolution in recent years towards more sophisticated mechanisms, characterized by the presence of optimization algorithms, where travel proposals – particularly regarding prices and available seats – are the result of the contingent and continuous adaptation of various variables, in dynamic combinations of fare level/route/distance/booking date/departure date, etc.  </w:t>
        <w:br/>
        <w:t xml:space="preserve">60. Such mechanisms – which constitute the hallmark of passenger transport fares and, therefore, an objective and unavoidable aspect of the offer – fuel a system that, while aiming to maximize the professional's revenues (reconciling it with the best train occupancy rate), ensures consumers the possibility of accessing services at prices (sometimes significantly) more convenient compared to a more static fare structure.  </w:t>
        <w:br/>
        <w:t xml:space="preserve">61. Despite these now structural characteristics of the railway offer, and considering, moreover, the reasonable exclusion from the public of the complete knowledge of revenue mechanisms (as they pertain to the professional's specific commercial strategies, which must be kept confidential), the informational asymmetry that inevitably characterizes such fare systems cannot reach the point of completely compromising the quality, completeness, and timeliness of the essential information of the commercial promotions used to attract consumers to purchase and use the offered services, without guaranteeing an adequate level of awareness and freedom of choice. Particularly regarding transport markets, characterized by a specific dynamism of prices, the Authority has repeatedly affirmed the obligation to clarify "in a precisely perceivable manner" to consumers the characteristics and quantitative/temporal constraints to which the promotion is subject, in the perspective of adequately balancing the respective interests.  </w:t>
        <w:br/>
        <w:t xml:space="preserve">62. Coming to the merits of the remedial measures, the professional, through commitments no. 1, 2, and 3, has proposed broader and clearer information on promotions, already at the first contact with consumers: notably, the inclusion of the total number of seats available for the specific offer stands out as an appropriate integration of an adequate and functional information set for the appreciation of the offer itself. This inclusion is then coordinated with the distinct measure (sub commitment 5.2) that provides the customer with information on the imminent exhaustion of available seats during the ticket search and purchase procedure for the offer.  </w:t>
        <w:br/>
        <w:t xml:space="preserve">63. Regarding the method of counting the available seats in the offer – carried out by the Carrier referring to the individual "markets" (corresponding to the distinct routes connecting the various stopping stations) present along the entire train route – it is considered reasonable as it is inherent to the functioning of the revenue management system adopted by the Carrier and, moreover – contrary to what was opined by the Transport Regulatory Authority – does not necessarily produce deceptive effects for customers who, as just mentioned, can still access, before payment, information on availability as well as on the imminent exhaustion of promotional seats.  </w:t>
        <w:br/>
        <w:t xml:space="preserve">64. The informational package provided to consumers appears, consequently, complete and also enhanced in graphic prominence: although the characters relating to the conditions and limits of use of the promotion are smaller, it should be noted that these informational elements are still present within the hero/legal, to which a particular dimensional and chromatic emphasis is reserved across each of the various dissemination supports used.  </w:t>
        <w:br/>
        <w:t xml:space="preserve">65. It should also be noted that, with commitment no. 3, the Carrier has voluntarily expanded the scope of the remedial proposals concerning the behaviors contested in the proceeding, adding new and significantly improving measures within the overall communication and purchase procedure of the distinct commercial initiative called "carnet."  </w:t>
        <w:br/>
        <w:t xml:space="preserve">66. Commitment no. 4 definitively establishes the modification of the structure itself, as well as the communication, of discounted offers by replacing the previous one ("discount up to XX%...") with a less indefinite modulation regarding the percentages of reduction actually available to consumers within the promotion ("discount from XX% to YY%").  </w:t>
        <w:br/>
        <w:t xml:space="preserve">67. Commitment no. 5.1, in the first part, is suitable to eliminate any uncertainty and possible variation of the prices subject to promotions, as they are now based on a Low Cost fare: indeed, establishing a single economic tier instead of the current range, the price level – within said fare – to which the discount provided by the promotion applies is finally identified. It should be noted that even the possibility – which the professional reserves – of discounting different fares (such as Flex or Economy, which have previously been the subject of specific promotions) results, in any case, in potentially more advantageous proposals for consumers, while reinforcing the overall informational set on promotions.  </w:t>
        <w:br/>
        <w:t xml:space="preserve">68. Finally, the new booking flow proposed under commitment no. 5.2 allows – as can be seen from the graphical example illustrated above – to correctly identify and book the advertised promotion ensuring the possibility of verification: a) of the availability of promotional seats for a monthly time frame around any date of interest (within the validity period of the promotion) entered in the search engine; b) of the complete price matrix on which to clearly identify the promotional price and the original crossed-out price for the train of interest; c) of the remaining seats still available if they are nearly exhausted. It is believed that this commitment constitutes an evolutionary effort of the company through targeted interventions on its systems, which results in greater accessibility and transparency of the information provided to consumers about the travel solutions offered in promotion.  </w:t>
        <w:br/>
        <w:t xml:space="preserve">69. In light of the above considerations, it is believed that the commitments presented meet the requirements set forth in Article 27, paragraph 7, of the Consumer Code.  </w:t>
        <w:br/>
        <w:t xml:space="preserve">CONSIDERING, therefore, that the commitments presented by the company Italo-Nuovo Trasporto Viaggiatori S.p.A., in the terms outlined above, are suitable to eliminate the possible profiles of unfairness of the commercial practice subject to investigation;  </w:t>
        <w:br/>
        <w:t xml:space="preserve">CONSIDERING to impose the obligation of the aforementioned commitments on the company Italo-Nuovo Trasporto Viaggiatori S.p.A.;  </w:t>
        <w:br/>
        <w:t xml:space="preserve">CONSIDERING, therefore, that it is possible to close the proceeding without establishing the infringement;  </w:t>
        <w:br/>
        <w:t xml:space="preserve">RESOLVES  </w:t>
        <w:br/>
        <w:t xml:space="preserve">a) to make mandatory, towards the company Italo-Nuovo Trasporto Viaggiatori S.p.A., pursuant to Article 27, paragraph 7, of the Consumer Code and Article 9, paragraph 2, letter a), of the Regulation, the commitments proposed by the company in the consolidated version as of 20 February 2019, as described in the statement attached to this measure;  </w:t>
        <w:br/>
        <w:t xml:space="preserve">b) to close the proceeding without establishing the infringement, pursuant to Article 27, paragraph 7, of the Consumer Code and Article 9, paragraph 2, letter a), of the Regulation;  </w:t>
        <w:br/>
        <w:t xml:space="preserve">c) that the company Italo-Nuovo Trasporto Viaggiatori S.p.A., within sixty days from the date of notification of this resolution – and within 120 days regarding commitment 5.2 – informs the Authority of the implementation of the commitments.  </w:t>
        <w:br/>
        <w:t xml:space="preserve">Pursuant to Article 9, paragraph 3, of the Regulation, the proceeding may be reopened ex officio, where:  </w:t>
        <w:br/>
        <w:t xml:space="preserve">a) the professional does not implement the commitments;  </w:t>
        <w:br/>
        <w:t xml:space="preserve">b) the factual situation changes regarding one or more elements on which the decision is based;  </w:t>
        <w:br/>
        <w:t xml:space="preserve">c) the decision to accept commitments is based on information provided by the Parties that is incomplete, inaccurate, or misleading.  </w:t>
        <w:b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rPr>
          <w:b/>
        </w:rPr>
        <w:t>[Pages 82–84]</w:t>
      </w:r>
    </w:p>
    <w:p>
      <w:r>
        <w:t xml:space="preserve">84 BULLETIN NO. 29 OF 22 JULY 2019  </w:t>
        <w:br/>
        <w:t xml:space="preserve">This measure will be notified to the interested parties and published in the Bulletin of the Competition and Market Authority.  </w:t>
        <w:br/>
        <w:t xml:space="preserve">THE SECRETARY GENERAL THE PRESIDENT  </w:t>
        <w:br/>
        <w:t>Filippo Arena Roberto Rustichelli</w:t>
      </w:r>
    </w:p>
    <w:p>
      <w:r>
        <w:t xml:space="preserve">BULLETIN NO. 29 OF 22 JULY 2019 85  </w:t>
        <w:br/>
        <w:t xml:space="preserve">PS11352 - CA.OX-FAILURE TO DELIVER  </w:t>
        <w:br/>
        <w:t xml:space="preserve">Measure No. 27838  </w:t>
        <w:br/>
        <w:t xml:space="preserve">THE COMPETITION AND MARKET AUTHORITY  </w:t>
        <w:br/>
        <w:t xml:space="preserve">IN ITS MEETING of 3 July 2019;  </w:t>
        <w:br/>
        <w:t xml:space="preserve">HEARD the Rapporteur Professor Michele Ainis;  </w:t>
        <w:br/>
        <w:t xml:space="preserve">HAVING REGARD to Part II, Title III, of Legislative Decree No. 206 of 6 September 2005, containing the "Consumer Code" and subsequent amendments (hereinafter, Consumer Code);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1 April 2015;  </w:t>
        <w:br/>
        <w:t xml:space="preserve">HAVING REGARD to the documents of the proceeding;  </w:t>
        <w:br/>
        <w:t xml:space="preserve">I. THE PARTIES  </w:t>
        <w:br/>
        <w:t xml:space="preserve">1. CA.OX S.r.l. (hereinafter also "CA.OX"), as a professional, pursuant to Article 18, paragraph 1, letter b), of the Consumer Code, is active in the wholesale marketing of pellets for stoves and boilers.  </w:t>
        <w:br/>
        <w:t xml:space="preserve">2. Association CODICI, as the reporting party.  </w:t>
        <w:br/>
        <w:t xml:space="preserve">II. THE COMMERCIAL PRACTICE  </w:t>
        <w:br/>
        <w:t xml:space="preserve">3. The proceeding concerns the commercial practice carried out by the professional, consisting of disseminating untrue information regarding the availability and delivery times of the heating material sold by the professional (so-called pellets), as well as hindering the exercise of consumers' contractual rights.  </w:t>
        <w:br/>
        <w:t xml:space="preserve">III. THE RESULTS OF THE PROCEEDING  </w:t>
        <w:br/>
        <w:t xml:space="preserve">1) The course of the proceeding  </w:t>
        <w:br/>
        <w:t xml:space="preserve">4. Based on numerous reports from consumers and the association Codici received between 22 November 20181 and 15 February 20192 and according to the information acquired for the application of the Consumer Code, on 13 February 2019, CA.OX S.r.l. was notified of the initiation of investigative proceeding No. PS11352 for possible violation of Articles 21, 22, paragraph 1, 23, letter e), 24 and 25, letter d), of the Consumer Code3.  </w:t>
        <w:br/>
        <w:t xml:space="preserve">1 Doc. 1, report from a consumer.  </w:t>
        <w:br/>
        <w:t xml:space="preserve">2 Doc. No. 10, report from the Association Codici.  </w:t>
        <w:br/>
        <w:t>3 Doc. 8.</w:t>
      </w:r>
    </w:p>
    <w:p>
      <w:r>
        <w:t xml:space="preserve">86 BULLETIN NO. 29 OF 22 JULY 2019  </w:t>
        <w:br/>
        <w:t xml:space="preserve">5. On 29 January and 9 April 2019, official inspections were carried out on the professional's company website, and the relevant web pages were acquired as part of the proceeding4.  </w:t>
        <w:br/>
        <w:t xml:space="preserve">6. On 10 April 2019, the professional was requested, pursuant to Article 27, paragraph 5 of the Consumer Code and Article 15 of the Regulation, to provide evidence regarding the material accuracy of the factual data related to the commercial practice under investigation, to which the professional did not respond5.  </w:t>
        <w:br/>
        <w:t xml:space="preserve">7. On 8 May 2019, the date of conclusion of the investigative phase was communicated to the Parties pursuant to Article 16, paragraph 1, of the Regulation6.  </w:t>
        <w:br/>
        <w:t xml:space="preserve">8. During the proceeding, the professional did not provide any response to the request for information made concurrently with the initiation communication, did not submit any memoranda, nor did he respond to the burden of proof formulated pursuant to Article 27, paragraph 5, of the Consumer Code.  </w:t>
        <w:br/>
        <w:t xml:space="preserve">2) The evidence acquired  </w:t>
        <w:br/>
        <w:t xml:space="preserve">9. From the information provided by the reporters, it appears that the professional has offered for sale, at least since August 2018, pallets of pellets at retail locations throughout the Lazio region and via the website http://www.docpellet.it/, indicating them as available or committing to deliver them within twenty, forty-five, or sixty days7, without, however, delivering them8.  </w:t>
        <w:br/>
        <w:t xml:space="preserve">10. From the findings made on the professional's website on 29 January9 and 9 April 201910, it appears that on the page dedicated to the promotion of pellet sales, the following claims were found: "PELLETS ALWAYS AVAILABLE! In our warehouses located throughout Lazio, we have ample space that allows us to store considerable quantities of pellets, necessary to guarantee any type of supply requested at any time of the year. The replenishment of the warehouses is continuous. Visit the Gallery or watch the Videos. In our retail locations, customers can also purchase just a few bags at a time, always at exclusive prices, and can also take advantage of quantity offers and/or subscribe to contracts for participation in our Gda (Buying Groups). Visit the Gda page (...). DELIVERY OF PELLETS WITH EQUIPPED MEANS FOR TRANSPORT, UNLOADING, AND PLACEMENT: home delivery is carried out with trucks with mechanical arms or hydraulic platforms and pallet jacks for the placement of pellets at the customer's request. For more information on deliveries, visit the Transport page.  </w:t>
        <w:br/>
        <w:t xml:space="preserve">We therefore invite everyone to visit one of our retail locations throughout Lazio and to contact us for any clarification and/or supply request, reminding that we are able to distribute our products throughout the national territory (including the Islands)." In this regard, on the page http://www.docpellet.it/gruppi-dacquisto/termini-condizioni-gda, the following were also illustrated:  </w:t>
        <w:br/>
        <w:t xml:space="preserve">4 Docs. 7 and 14.  </w:t>
        <w:br/>
        <w:t xml:space="preserve">5 Doc. 15.  </w:t>
        <w:br/>
        <w:t xml:space="preserve">6 Doc. 16.  </w:t>
        <w:br/>
        <w:t xml:space="preserve">7 See doc. 10, attachments 4, 5, 10, 13, 14, and 18: communications sent by the professional to buyers summarizing the terms of the contractual proposal, including regarding the delivery date.  </w:t>
        <w:br/>
        <w:t xml:space="preserve">8 See doc. 10, att. 10: report from a consumer.  </w:t>
        <w:br/>
        <w:t xml:space="preserve">9 Doc. 7.  </w:t>
        <w:br/>
        <w:t>10 Doc. 14.</w:t>
      </w:r>
    </w:p>
    <w:p>
      <w:r>
        <w:rPr>
          <w:b/>
        </w:rPr>
        <w:t>[Pages 85–87]</w:t>
      </w:r>
    </w:p>
    <w:p>
      <w:r>
        <w:t xml:space="preserve">BULLETIN NO. 29 OF 22 JULY 2019 87  </w:t>
        <w:br/>
        <w:t xml:space="preserve">"Terms &amp; conditions governing the sales relationship," according to which this occurred through purchasing groups (Gda). However, as of the date of the aforementioned survey, it was not possible to view ongoing purchasing groups, nor to register on the professional's website.  </w:t>
        <w:br/>
        <w:t xml:space="preserve">11. The numerous reports received by the Authority indicate that the products ordered at least since August 2018 have never been delivered. In particular, buyers who contacted the professional to inquire about the expected delivery date of the product received a communication in which CA.OX. informed them that, due to significant delays in the delivery of pellets, it was unable to provide a certain date for the availability of the material11, or that it could not make the shipment, while reassuring them about the possibility for the consumer to request a refund of the price. Contrary to the reassurances provided, the professional neither shipped the products nor refunded the corresponding price to the buyers12.  </w:t>
        <w:br/>
        <w:t xml:space="preserve">12. From the surveys of the professional's website conducted on January 29th13 and April 9th, 201914, it emerges that, on the home page of the aforementioned site, there was a warning regarding the complaint management service, stating that, since November 15, 2018, "Due to the aggressive and threatening nature of the phone calls received, we have been forced to suspend the telephone service; for any communication, please send an email to: info@docpellet." Based on what is indicated on the contact page, finally, consumers would receive responses to their requests "as soon as possible" by writing an email to: info@docpellet. However, the reporters indicate that they encountered difficulties in contacting the professional and exercising their contractual rights.  </w:t>
        <w:br/>
        <w:t xml:space="preserve">13. Still on the professional's website, at the page http://www.docpellet.it/gruppi-dacquisto/termini-condizioni-gda under the heading "In case of withdrawal," it states that "If the participant, once the contract is signed, decides to withdraw, they must communicate their decision by sending written notice, by registered mail with acknowledgment of receipt, to: CA.OX S.r.l. Circonvallazione Clodia, 163 - 00195 Rome, expressing the intention to withdraw from the contract by referring to the name of the participant and the date of signing, without the obligation to specify the reasons; it will be the responsibility of Doc Pellet to contact the participant to confirm the cancellation from the Gda and to agree on the refund of any amount already paid; no penalty costs will be charged to the participant, and the refund will be made by bank transfer (unless otherwise agreed) within 30 working days from the date of receipt of the registered letter." The professional therefore does not indicate the period within which the consumer can exercise the right of withdrawal.  </w:t>
        <w:br/>
        <w:t xml:space="preserve">14. According to the multiple reports received, the professional has not responded to the numerous requests for complaints and contract termination made by consumers to whom the ordered products were not delivered. In particular, CA.OX. has invited consumers who were urging the delivery of the goods to exercise their right of withdrawal by sending a registered letter to the company's headquarters to receive a refund within 30 working days from the receipt of the registered letter15. However, the registered letters were not accepted and were returned to the sender as the recipient was reported as transferred or unknown16. Numerous reporters who did not obtain the return of the price paid due to the non-delivery of the ordered products, after numerous reminders, filed complaints with the police headquarters, the carabinieri, the police, or the financial police17.  </w:t>
        <w:br/>
        <w:t xml:space="preserve">15. Considering it necessary to request the professional, pursuant to Article 27, paragraph 5, of the Consumer Code, to demonstrate the accuracy of the factual data related to the commercial practice in question, the professional was invited to produce suitable documentation aimed at demonstrating, in particular, for the period 2018-19 the purchase orders received, the actual delivery of pallets of purchased pellets, and the acceptance of requests from consumers who exercised their right of withdrawal with consequent refund of the price paid18.  </w:t>
        <w:br/>
        <w:t xml:space="preserve">16. The professional did not respond to the burden of proof referred to in the previous point.  </w:t>
        <w:br/>
        <w:t xml:space="preserve">3) The defensive arguments of the Party  </w:t>
        <w:br/>
        <w:t xml:space="preserve">17. CA.OX S.r.l. did not submit any defensive memorandum during the investigation procedure.  </w:t>
        <w:br/>
        <w:t xml:space="preserve">IV. OPINION OF THE AUTHORITY FOR GUARANTEES IN COMMUNICATIONS  </w:t>
        <w:br/>
        <w:t xml:space="preserve">18. Since the commercial practice subject to this measure was disseminated via the internet, on May 21, 2019, the opinion was requested from the Authority for Guarantees in Communications, pursuant to Article 27, paragraph 6, of the Consumer Code.  </w:t>
        <w:br/>
        <w:t xml:space="preserve">19. In an opinion received on June 17, 2019, the aforementioned Authority expressed its opinion that, in this case, the internet is a suitable tool to significantly influence the realization of the commercial practice in question.  </w:t>
        <w:br/>
        <w:t xml:space="preserve">V. CONCLUDING EVALUATIONS  </w:t>
        <w:br/>
        <w:t xml:space="preserve">20. The procedure in question concerns the e-commerce sector, a rapidly growing area characterized by intense competition, in which the depersonalization of the purchasing relationship effectively weakens the purchasing consumer and places them in a position of inevitable informational asymmetry compared to the professional. Hence the need to provide the user, in a clear and understandable manner, in the pre-purchase phase, with as precise and comprehensive an informational framework as possible regarding the essential characteristics of the products sold and the methods of execution of the contract, in order to allow the consumer to verify the convenience of the transaction and the conformity of the goods/services provided to the professional's statements.  </w:t>
        <w:br/>
        <w:t xml:space="preserve">21. In the e-commerce sector, the informational obligations incumbent on the professional remain, albeit with different significance, even after the submission of an order: in the execution phase of the consumer relationship, not only the rapid execution of a transaction is relevant but also the dissemination of correct information about the actual status and concrete developments of the order.  </w:t>
        <w:br/>
        <w:t xml:space="preserve">22. The conduct of CA.OX consists of the promotion and sale, through the website http://www.docpellet.it/, of pellets that, at least since August 201819, have been indicated as available and deliverable within a certain timeframe. In reality, the orders have not been fulfilled due to unspecified reasons, and the professional has placed obstacles to consumers exercising their rights arising from the contractual relationship.  </w:t>
        <w:br/>
        <w:t xml:space="preserve">23. In particular, CA.OX, on its website, boasted of being able to deliver "PELLET ALWAYS AVAILABLE! In our warehouses located throughout Lazio, we have ample space that allows us to store considerable quantities of pellets, necessary to guarantee any type of supply requested and at any time of the year." The professional also provided ample assurances regarding the possibility of being contacted to exercise the right of withdrawal, specifying that "it will be the responsibility of Doc Pellet to contact the participant to confirm the cancellation from the Gda and to agree on the refund of any amount already paid; no penalty costs will be charged to the participant, and the refund will be made by bank transfer (unless otherwise agreed) within 30 working days from the date of receipt of the registered letter"20.  </w:t>
        <w:br/>
        <w:t xml:space="preserve">24. In relation to the aforementioned factual data, the professional was requested to prove its material accuracy. However, CA.OX did not provide any documentation for this purpose. As a result, pursuant to Article 27, paragraph 5, of the Consumer Code, the professional's statements regarding the availability of the goods and the delivery within the agreed terms, as well as those regarding the acceptance of consumers' withdrawal requests with the refund of the price paid, must be considered inaccurate.  </w:t>
        <w:br/>
        <w:t xml:space="preserve">25. Based on these considerations, the communication to consumers, also made through the website, regarding the immediate availability and actual delivery times of the products offered by the professional is found to be false and misleading. In fact, the expectations of consumers induced by the statements disseminated by the professional regarding the immediate availability and delivery times of the goods have not been met, as also attested by the numerous reports received21.  </w:t>
        <w:br/>
        <w:t xml:space="preserve">26. It is noted that the data contained on the professional's website regarding the possibility of exercising the right of withdrawal must also be considered misleading22, as CA.OX has not correctly informed consumers about the terms and methods of exercising the right of withdrawal.  </w:t>
        <w:br/>
        <w:t xml:space="preserve">27. The conduct in question is therefore contrary to the informational obligations incumbent on the professional, operating in the e-commerce sector, where the sales contract is generally concluded at a distance and the shipment of the product is not simultaneous with the payment of the price.  </w:t>
        <w:br/>
        <w:t xml:space="preserve">19 Doc. 10, attachment 10.  </w:t>
        <w:br/>
        <w:t xml:space="preserve">20 Doc. 7 and 14.  </w:t>
        <w:br/>
        <w:t xml:space="preserve">21 Doc. 1, 2, 9, and 10.  </w:t>
        <w:br/>
        <w:t>22 Doc. 7 of the file (screenshots of the professional's website "Terms and conditions governing the sales relationship through purchasing groups GdA").</w:t>
      </w:r>
    </w:p>
    <w:p>
      <w:r>
        <w:rPr>
          <w:b/>
        </w:rPr>
        <w:t>[Pages 88–90]</w:t>
      </w:r>
    </w:p>
    <w:p>
      <w:r>
        <w:t xml:space="preserve">90 BULLETIN NO. 29 OF 22 JULY 2019  </w:t>
        <w:br/>
        <w:t xml:space="preserve">28. For the reasons stated above, the described conduct must be considered capable of appreciably distorting the economic behavior of the average consumer, leading them to make a purchasing decision regarding the good that they would not have otherwise made.  </w:t>
        <w:br/>
        <w:t xml:space="preserve">29. Regarding the imposition of obstacles to the exercise of contractual rights, based on the failure to fulfill the investigative obligation referred to in Article 27, paragraph 5, of the Consumer Code, it has not been proven that the requests for withdrawal made by consumers were accepted. Furthermore, the investigative evidence shows that numerous consumers were unable to contact the professional to receive information about the actual delivery methods of the purchased goods, or about withdrawal and termination of the contract, with consequent reimbursement of the price paid. In this regard, it is noted that, although the website http://www.docpellet.it/ is still active (albeit not allowing the purchase of pellets), the professional has not implemented any procedure to ensure that buyers can be contacted according to the methods advertised therein, also hindering the exercise of rights arising from the consumer relationship.  </w:t>
        <w:br/>
        <w:t xml:space="preserve">30. The reports received also confirm that the professional did not respond to consumers' requests for withdrawal, nor to those for termination of the contract and reimbursement of the price paid due to the non-delivery of the product, despite the numerous reminders received also based on what was indicated on the site.  </w:t>
        <w:br/>
        <w:t xml:space="preserve">31. In conclusion, the freedom of choice of consumers appears to have been unduly conditioned, as the professional obstructed the exercise of their rights through obstructive behaviors consisting of the non-delivery of the purchased pallets of pellets, failure to provide adequate assistance to consumers, as well as failure to reimburse them for the amounts paid for the purchase of the goods, following the receipt of communications of withdrawal or termination of the contract sent by consumers.  </w:t>
        <w:br/>
        <w:t xml:space="preserve">32. For the reasons stated above, the conduct in question must be considered unfair pursuant to Articles 21, 22, paragraph 1, 23, letter e), 24 and 25, letter d), of the Consumer Code, as it misleadingly suggests to consumers, contrary to the truth, that the product promoted on the site is actually available and that consumers have the right to withdraw from the contract and, on the other hand, prevents them from exercising the rights arising from the contractual relationship and/or from withdrawal or termination of the contract with reimbursement of the price paid.  </w:t>
        <w:br/>
        <w:t xml:space="preserve">VI. QUANTIFICATION OF THE SANCTION  </w:t>
        <w:br/>
        <w:t xml:space="preserve">33. Pursuant to Article 27, paragraph 9, of the Consumer Code, with the measure that prohibits the unfair commercial practice, the Authority orders the application of an administrative pecuniary sanction from €5,000 to €5,000,000, taking into account the severity and duration of the violation.  </w:t>
        <w:br/>
        <w:t xml:space="preserve">34. Regarding the quantification of the sanction, account must be taken, where applicable, of the criteria identified by Article 11 of Law No. 689/81, by virtue of the reference provided for in Article 27, paragraph 13, of the Consumer Code: in particular, the severity of the violation, the actions taken by the company to eliminate or mitigate the infringement, the personality of the agent, as well as the economic conditions of the company itself.  </w:t>
        <w:br/>
        <w:t xml:space="preserve">35. With regard to the severity of the violation, it is noted that the conduct of CA.OX S.r.l. appears very serious, as it was carried out in the e-commerce sector where the purchasing consumer is placed in a position of inevitable informational asymmetry compared to the professional. It is also taken into account the pervasiveness of the communication medium used (internet), the particular insidiousness of the conduct, and the relevance of the harm caused to consumers with respect to the price paid for the non-received products and the discomfort arising from the inability to contact the professional to exercise their rights.  </w:t>
        <w:br/>
        <w:t xml:space="preserve">36. Regarding the duration of the violation, the commercial practice in question, as a whole, is considered to have been carried out by CA.OX S.r.l. at least since August 2018 and is still ongoing, as the professional has not responded to consumer complaints.  </w:t>
        <w:br/>
        <w:t xml:space="preserve">37. Account is also taken of the need to ensure the deterrent effect of the sanction considering that the operator, in the year 2017, generated revenues amounting to €1.1 million.  </w:t>
        <w:br/>
        <w:t xml:space="preserve">38. Based on these elements, it is deemed appropriate to determine the amount of the administrative pecuniary sanction applicable to CA.OX S.r.l. at €100,000 (one hundred thousand euros).  </w:t>
        <w:br/>
        <w:t xml:space="preserve">THEREFORE, CONSIDERING the opinion of the Authority for Guarantees in Communications, based on the above considerations, that the commercial practice in question is deemed unfair, pursuant to Articles 21, 22, paragraph 1, 23, letter e), 24 and 25, letter d), of the Consumer Code, as it is contrary to professional diligence and capable, through misleading indications and obstructive conduct, of appreciably distorting the economic behavior of the average consumer in relation to the actual availability of the offered products and the exercise of contractual rights;  </w:t>
        <w:br/>
        <w:t xml:space="preserve">RESOLVES  </w:t>
        <w:br/>
        <w:t xml:space="preserve">a) that the commercial practice described in point II of this measure, carried out by the company CA.OX S.r.l., constitutes, for the reasons and within the limits set out in the motivation, an unfair commercial practice pursuant to Articles 21, 22, paragraph 1, 23, letter e), 24 and 25, letter d), of the Consumer Code, and prohibits its dissemination or continuation;  </w:t>
        <w:br/>
        <w:t xml:space="preserve">b) to impose on the company CA.OX S.r.l. an administrative pecuniary sanction of €100,000 (one hundred thousand euros);  </w:t>
        <w:br/>
        <w:t xml:space="preserve">c) that CA.OX S.r.l. shall communicate to the Authority, within ninety days from the notification of this measure, the initiatives taken in compliance with the injunction referred to in point a).  </w:t>
        <w:br/>
        <w:t xml:space="preserve">The administrative sanction referred to in the previous letter a) must be paid within thirty days from the notification of this measure, using the tax codes indicated in the attached model F24 with identifying elements, pursuant to Legislative Decree No. 241/1997.  </w:t>
        <w:br/>
        <w:t xml:space="preserve">Payment must be made electronically with a debit from one's bank or postal account, through the home banking and CBI services provided by banks or by Poste Italiane S.p.A., or by using the telematic services of the Revenue Agency, available on the website www.agenziaentrate.gov.it.  </w:t>
        <w:br/>
        <w:t xml:space="preserve">After the aforementioned deadline, for the period of delay of less than six months, late interest must be paid at the legal rate starting from the day following the expiration of the payment deadline until the date of payment. In case of further delay in fulfillment, pursuant to Article 27, paragraph 6, of Law No. 689/81, the amount due for the imposed sanction is increased by one-tenth for each semester starting from the day following the expiration of the payment deadline until the date on which the role is transmitted to the collector for collection; in this case, the increase absorbs the late interest accrued in the same period.  </w:t>
        <w:br/>
        <w:t xml:space="preserve">Immediate communication of the payment must be given to the Authority by sending the documentation certifying the payment made.  </w:t>
        <w:br/>
        <w:t xml:space="preserve">This measure will be notified to the interested parties and published in the Bulletin of the Competition and Market Authority.  </w:t>
        <w:br/>
        <w:t xml:space="preserve">Pursuant to Article 27, paragraph 12, of the Consumer Code, in case of non-compliance with the measure, the Authority applies an administrative pecuniary sanction from €10,000 to €5,000,000. In cases of repeated non-compliance, the Authority may order the suspension of business activity for a period not exceeding thirty days.  </w:t>
        <w:br/>
        <w:t xml:space="preserve">Against this measure, an appeal may be filed with the TAR of Lazio, pursuant to Article 135, paragraph 1, letter b), of the Code of Administrative Procedure (Legislative Decree of July 2, 2010, 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measure itself.  </w:t>
        <w:br/>
        <w:t xml:space="preserve">THE SECRETARY GENERAL THE PRESIDENT  </w:t>
        <w:br/>
        <w:t>Filippo Arena Roberto Rustichelli</w:t>
      </w:r>
    </w:p>
    <w:p>
      <w:r>
        <w:rPr>
          <w:b/>
        </w:rPr>
        <w:t>[Pages 91–93]</w:t>
      </w:r>
    </w:p>
    <w:p>
      <w:r>
        <w:t xml:space="preserve">BULLETIN NO. 29 OF 22 JULY 2019 93  </w:t>
        <w:br/>
        <w:t xml:space="preserve">PS11447 - GOLDEN CAR-ADVERTISING ON CARS  </w:t>
        <w:br/>
        <w:t xml:space="preserve">Measure No. 27840  </w:t>
        <w:br/>
        <w:t xml:space="preserve">THE COMPETITION AND MARKET AUTHORITY  </w:t>
        <w:br/>
        <w:t xml:space="preserve">IN ITS MEETING of 3 July 2019;  </w:t>
        <w:br/>
        <w:t xml:space="preserve">HEARD the Rapporteur Professor Michele Ainis;  </w:t>
        <w:br/>
        <w:t xml:space="preserve">HAVING REGARD to Part II, Title III, of Legislative Decree No. 206 of 6 September 2005 and subsequent amendments (hereinafter, Consumer Code);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1 April 2015;  </w:t>
        <w:br/>
        <w:t xml:space="preserve">HAVING REGARD to the acts of the proceeding;  </w:t>
        <w:br/>
        <w:t xml:space="preserve">HAVING REGARD to the communication of the initiation of proceeding PS11447 of 29 May 2019, aimed at verifying the existence of unfair commercial practices carried out by Golden Car S.r.l.s., in violation of Articles 20, 21, paragraph 1, letters b), c) and d), and 22, as well as 23, letter p), of the Consumer Code;  </w:t>
        <w:br/>
        <w:t xml:space="preserve">HAVING REGARD to the Authority's resolution of 29 May 2019, which authorized an inspection, pursuant to Article 27, paragraphs 2 and 3, of the Consumer Code, at the premises of Golden Car S.r.l.s.;  </w:t>
        <w:br/>
        <w:t xml:space="preserve">HAVING REGARD to the memoranda submitted by Golden Car S.r.l.s., received on 17 and 27 June 2019;  </w:t>
        <w:br/>
        <w:t xml:space="preserve">CONSIDERING the following:  </w:t>
        <w:br/>
        <w:t xml:space="preserve">I. FACT  </w:t>
        <w:br/>
        <w:t xml:space="preserve">1. With a report received on 7 May 2019, the European Association of Independent Consumers – AECI - communicated that it had received complaints from some consumers regarding the unfairness of the commercial offer advertised by Golden Car S.r.l.s, consisting of the possibility of joining an innovative system that provides for a form of "dynamic" advertising on the road and on social networks, using the two sides of cars as advertising spaces.  </w:t>
        <w:br/>
        <w:t xml:space="preserve">2. Based on the information acquired in the acts, the investigative proceeding PS11447 was initiated to verify the existence of unfair commercial practices, in violation of Articles 20, 21, paragraph 1, letters b), c) and d), 22 and 23, letter p), of the Consumer Code.  </w:t>
        <w:br/>
        <w:t xml:space="preserve">3. The parties to the proceeding are, as the professional, the company Golden Car S.r.l.s. (hereinafter "Golden Car" or "the Company"), active in the field of assistance for the purchase of vehicles in general and also for customers and collaborators, as well as the sale, leasing or otherwise disposition in any form of advertising spaces on the vehicles themselves and, as the notifier, AECI - European Association of Independent Consumers.  </w:t>
        <w:br/>
        <w:t>4. Concurrently with the communication of the initiation of the proceeding, the Party was invited, pursuant to Article 8, paragraph 2, of the Regulation, to submit written memoranda and documents within 10 days of receipt, for the purpose of evaluating the prerequisites for the provisional suspension of the practices, pursuant to Article 27, paragraph 3, of the Consumer Code.</w:t>
      </w:r>
    </w:p>
    <w:p>
      <w:r>
        <w:t xml:space="preserve">94 BULLETIN NO. 29 OF 22 JULY 2019  </w:t>
        <w:br/>
        <w:t xml:space="preserve">5. In summary, the behaviors contested as "commercial practices" consist of advertising, through emphatic claims disseminated on its website (www.golden-car.info), a commercial offer, called "Golden Car", which promises consumers the possibility of purchasing cars "at zero cost", carrying out advertising activities through the use of the vehicle (so-called carvertising) and receiving a monthly remuneration for it, for a duration of 60 months, in an amount (€ 400) sufficient to cover the installment of the vehicle financing (€ 300), as well as a portion of the expenses incurred for fuel (€ 100).  </w:t>
        <w:br/>
        <w:t xml:space="preserve">6. In light of the indications present on the site, the consumer, once the vehicle is identified and an appointment is set with a representative of Golden Car to join the offer1, in addition to paying the purchase price of the car, must pay a significant amount of approximately € 6,000 as a deposit/penitential down payment related to the costs of installing advertising films on the vehicle (paying an immediate deposit of € 1,000), and may also conclude a targeted loan contract with a financial company, the amount of which includes both the cost of the vehicle and that of the aforementioned deposit.  </w:t>
        <w:br/>
        <w:t xml:space="preserve">7. After joining the offer according to the above procedure, the consumer, in order to achieve the promised monthly reimbursement, is required to carry out the planned "dynamic" advertising activity on the road and on social networks, ensuring twenty-five days of visibility of the vehicle equipped with the application of special "graphic installations" and taking two photographs of the car, twice a week, to "post" on their Facebook profile, with the hashtags "#GoldenCar", "#SenzaPensieri", "#BuonaStrada".  </w:t>
        <w:br/>
        <w:t xml:space="preserve">II. INSPECTIVE FINDINGS  </w:t>
        <w:br/>
        <w:t xml:space="preserve">8. On 29 May 2019, in view of the communication of the initiation of the proceeding, the Authority decided to authorize inspections, pursuant to Article 27, paragraphs 2 and 3, of the Consumer Code, at the premises of Golden Car.  </w:t>
        <w:br/>
        <w:t xml:space="preserve">The inspective findings were carried out at the premises of the aforementioned Company on 6 June 2019.  </w:t>
        <w:br/>
        <w:t xml:space="preserve">9. From the inspections carried out, it emerged, first of all, that the website indicated in the communication of the initiation of the proceeding (http://www.golden-car.info), containing the information deemed potentially misleading, is still online and accessible to the public, although the professional has stated that he has replaced it with the new site https://www.goldencarsenzapensieri.com.  </w:t>
        <w:br/>
        <w:t xml:space="preserve">10. Based on the information collected, the Golden Car commercial proposal provides for the signing of a contractual form ("Letter of assignment for direct home sales"), through which the adherent undertakes, as "assigned", to carry out "door-to-door" promotional and propaganda activities for the products and services marketed by Golden Car. This activity can also be carried out with the aid of a vehicle, subject to a specific "Purchase Contract" connected to the letter of assignment.  </w:t>
        <w:br/>
        <w:t xml:space="preserve">Essentially, based on the current forms, the assigned person commits to circulate with the car for at least twenty days a month, taking, twice a week, two photographs of the entire vehicle "equipped" with an adhesive film (wrapping) or a magnet bearing the "Golden Car" logo, in order to disseminate the photos on Facebook and other social networks according to precise methods. Although no compensation is provided in relation to the possible recruitment of other adherents to the Golden Car system, the possibility for the assigned person to coordinate a sales group and receive a fixed commission on the successful transactions reported by him as well as "on the successful transactions promoted by the sellers recruited by him" is regulated.  </w:t>
        <w:br/>
        <w:t xml:space="preserve">11. Regarding the dissemination of the commercial offer, it emerged that the number of adherents to the Golden Car system, as of May 2019, amounted to over 300 units, and that almost all of them purchased a new vehicle using a targeted loan, and also paid the professional a penitential deposit of approximately € 6,000 - 7,000 (1,000 of which was paid immediately as a deposit upon signing the letter of assignment). The aforementioned adherents would have regularly received the promised monthly payments (€ 400) in exchange for the promotional activity carried out, although Golden Car has not yet concluded any advertising space sales contracts on internet platforms (its own website, Facebook, and Instagram) with potential advertisers.  </w:t>
        <w:br/>
        <w:t xml:space="preserve">12. As for the operational methods of the system, based on the information collected, the revenues currently recorded by Golden Car would be attributable solely to the percentage commission paid to it by Karatbars International Gmbh (hereinafter "Karatbars"), for each new affiliate coming from Golden Car. Karatbars is a German company with which Golden Car has entered into a commercial agreement under which the latter offers the consumer, at the time of signing their letter of assignment, the possibility of also affiliating with Karatbars and then proceeding to independent registration on that company's website. No advertising space sales contracts on the vehicles adhering to the Golden Car system have been indicated, as already mentioned.  </w:t>
        <w:br/>
        <w:t xml:space="preserve">III. MEMORANDA OF THE PARTIES  </w:t>
        <w:br/>
        <w:t xml:space="preserve">13. Following the communication of the initiation of proceeding PS11447, with reference to the precautionary sub-proceeding, defensive memoranda were produced by Golden Car S.r.l.s., received on 17 and 27 June 2019.  </w:t>
        <w:br/>
        <w:t xml:space="preserve">14. From the examination of the memoranda of the professional, it emerges that:  </w:t>
        <w:br/>
        <w:t xml:space="preserve">- Golden Car is a startup established at the end of 2017 to operate in the field of advertising for third parties, using collaborators who carried out "statistical activities" to monitor the interest generated towards customers and generally third parties;  </w:t>
        <w:br/>
        <w:t xml:space="preserve">- since May 2018, Golden Car has been utilizing the collaboration of assigned persons to search, based on the data obtained from the aforementioned statistical activity, subjects interested in advertising on Golden Car's web platforms and social networks or on the vehicles driven by the assigned persons (dynamic advertising);  </w:t>
        <w:br/>
        <w:t xml:space="preserve">- the assigned person independently decides whether to carry out their activity with a personal car, new or used, not being obliged to purchase any vehicle, and is also free to choose whether to resort to financing, provided that Golden Car does not sell vehicles, does not engage in financing activities, and has no agreements with companies that carry out such activities;  </w:t>
        <w:br/>
        <w:t>- according to the Company, its assigned persons do not qualify as consumers and therefore the Consumer Code does not apply to them, as they exercise the professional activity of seller.</w:t>
      </w:r>
    </w:p>
    <w:p>
      <w:r>
        <w:rPr>
          <w:b/>
        </w:rPr>
        <w:t>[Pages 94–96]</w:t>
      </w:r>
    </w:p>
    <w:p>
      <w:r>
        <w:t xml:space="preserve">96 BULLETIN NO. 29 OF 22 JULY 2019  </w:t>
        <w:br/>
        <w:t xml:space="preserve">door-to-door, proposing the purchase of the advertising services offered by the Company and receiving a fixed commission for each successful deal;  </w:t>
        <w:br/>
        <w:t xml:space="preserve">- in any case, to date Golden Car has regularly refunded the penalty deposit paid by the agents and the expected commissions, without receiving any complaints;  </w:t>
        <w:br/>
        <w:t xml:space="preserve">- the refund of €400 per month is paid to the agents for the activity performed as well as for fuel and "not for the payment of the financing installment" of the purchased vehicle;  </w:t>
        <w:br/>
        <w:t xml:space="preserve">- the professional, considering the crisis moment of the advertising market, had to offer the "dynamic" advertising service free of charge on a trial basis to advertisers. Nevertheless, Golden Car issued some invoices, between September and December 2018, related to the provision of advertising services totaling approximately €9,000;  </w:t>
        <w:br/>
        <w:t xml:space="preserve">- regarding its business model, the Company, excluding the existence of illegal pyramid profiles, highlighted that: (i) there are no multi-levels to be reached through new memberships and "recruitment of new affiliates is not a condition for obtaining economic benefits"; (ii) the agent does not pay an entry fee, limiting himself to paying - in case of car purchase - €1,000 for the application of the wrapping as well as €6,000 as a penalty deposit, which is refunded monthly; (iii) the agent receives a commission for each successful deal, as well as a certain amount of cryptocurrency at the time of affiliation in Karatbars, as an advance on the commissions he will earn;  </w:t>
        <w:br/>
        <w:t xml:space="preserve">- in relation to the alleged misleading nature of the advertising messages, Golden Car emphasized that the contested claims would lack any element of deception, as they would only advertise the reduction of the financing cost related to the purchase of vehicles and not its free nature;  </w:t>
        <w:br/>
        <w:t xml:space="preserve">- the illustrative table of a hypothetical purchase and the further purchase examples mentioned in the communication initiating the proceedings would not present any profile of misleadingness, being a "mere simulation, carried out solely to represent to the Collaborator/Agent one of the many possibilities of using the refund paid by Golden Car";  </w:t>
        <w:br/>
        <w:t xml:space="preserve">- in any case, the professional, in order to avoid any misunderstanding for the user, would have modified his website, first with the creation of the new site www.goldencarsenzapensieri.it (allegedly visible since 16 July 2018) and subsequently with that of the site www.goldencarsenzapensieri.com (allegedly visible since 4 June 2019), where there would be no reference to the possibility of purchasing a car at "zero cost" but to reduce the cost of the vehicle installment in case it is purchased in installments ("Buy or rent the car of your dreams? Today you can do it by working with Golden Car. The innovative proposal that allows you to reduce a cost thanks to the service offered. DISCOVER HOW... CONTACT US!!!!!");  </w:t>
        <w:br/>
        <w:t>15. In conclusion, the professional requests the Authority - as a precautionary measure - to declare the absence of the requirements to proceed with the provisional suspension of the commercial practice pursuant to Article 27, paragraph 3, of the Consumer Code, as well as to ascertain - on the merits - the correctness of the conduct contested in the Communication initiating the proceedings.</w:t>
      </w:r>
    </w:p>
    <w:p>
      <w:r>
        <w:t xml:space="preserve">BULLETIN NO. 29 OF 22 JULY 2019 97  </w:t>
        <w:br/>
        <w:t xml:space="preserve">IV. EVALUATIONS  </w:t>
        <w:br/>
        <w:t xml:space="preserve">16. In limine, with reference to the applicability of the Consumer Code to the case at hand, it is noted prima facie that the consumer is induced to adhere to the Golden Car offer to access the purchase of a vehicle "at zero cost" or otherwise facilitated (according to what was last indicated by the professional), rather than to carry out a commercial, industrial, artisanal, or professional activity aimed at achieving a profit. This circumstance is unequivocally inferred from the content of the contested advertising claims, disseminated generally on the professional's website and addressed to the indistinct public of consumers, to whom the possibility of purchasing a vehicle under advantageous conditions is offered, without references to the possibility of carrying out any professional or collaborative activity.  </w:t>
        <w:br/>
        <w:t xml:space="preserve">17. From the perspective of fumus boni iuris, the elements outlined above lead to the belief that prima facie the profiles of unfairness attributable to the conduct carried out by the professional exist, in violation of Articles 20, 21, paragraph 1, letters b), c), d), and e) 22 of the Consumer Code, as they are misleading and likely to mislead potential adherents regarding the economic advantage associated with the advertised offer, the nature and content of the activity they perform.  </w:t>
        <w:br/>
        <w:t xml:space="preserve">18. The conduct in question presents, in particular, significant profiles of deception in that the economic advantage proposed to consumers at the time of the presentation of the commercial offer, the nature and content of the activity they perform are based on a system that is not clearly sustainable and is nonetheless uncertain.  </w:t>
        <w:br/>
        <w:t xml:space="preserve">19. In light of the evidence currently available in the records, there are no elements suitable to demonstrate the truthfulness of the promise regarding the possibility for the adhering consumer to finance the purchase of a new vehicle through the revenues derived from an "innovative" advertising activity carried out using the same car. On the contrary, it is reasonable to assume that the monthly refund of €400 promised to the adherents of the Golden Car system has actually been paid through the revenues derived from the payment by the same consumers of the penalty deposit (approximately €7,000) and from the commission paid by Karatbars for each new affiliate from Golden Car.  </w:t>
        <w:br/>
        <w:t xml:space="preserve">20. In this regard, indeed, on one hand, the documentation in the records and the information produced by the professional do not attest to the existence of significant revenues derived from the alleged advertising activity carried out by the adherents, suitable to compensate for the task performed by them and to cover the amount of refunds to be paid to all Golden Car agents. On the other hand, as emerged during the inspection conducted at the company's headquarters, the revenues of Golden Car currently consist mainly of the percentage commission paid to it by Karatbars for each new affiliate.  </w:t>
        <w:br/>
        <w:t>21. The fact that the professional issued, between September and December 2018, six invoices totaling approximately €9,000 does not contradict - and indeed confirms - the fact that the revenues derived from the sale of advertising spaces by the adherents are not significant compared to the payment of the refunds made (€400 for approximately 300 vehicles, corresponding to an amount of approximately €120,000 monthly) and those promised (overall, for each adherent, a monthly refund for 60 months) and cannot in themselves be considered an indicator of the sustainability of such a business model.</w:t>
      </w:r>
    </w:p>
    <w:p>
      <w:r>
        <w:t xml:space="preserve">98 BULLETIN NO. 29 OF 22 JULY 2019  </w:t>
        <w:br/>
        <w:t xml:space="preserve">22. This is further confirmed by the economic results recorded in the balance sheet by Golden Car: from the accounting documentation as of 31.12.2017, it emerges that the Company recorded revenues of €22,560, with production costs (for services) amounting to €21,916 and a loss of €1,210. In light of what has been illustrated so far, it seems reasonable to conclude that the operation of the system relies on the high entry fees paid by the adherents as a penalty deposit, the value of which appears objectively disproportionate compared to ordinary opening and management costs.  </w:t>
        <w:br/>
        <w:t xml:space="preserve">23. This also leads to the deceptive nature of the commercial communications disseminated by Golden Car, even if it is believed that the claims present there would only advertise the reduction of the financing cost related to the purchase of vehicles and not its free nature. Nonetheless, it is observed that the claim "at zero cost" does not appear to refer to a mere facilitation for the purchase of the vehicle, but to a more incisive economic convenience that is misleadingly exalted in the eyes of the consumer. Such claims are also present on the various websites through which the professional promotes his business, namely the one explicitly mentioned in the communication initiating the proceedings (www.golden-car.info still accessible to the public and without any notice regarding the new site), to which the contracts recently concluded still refer, and also those identified during the inspection and subsequently indicated by the professional (www.goldencarsenzapensieri.it where it states "Buy or rent the car of your dreams at zero cost. Today you can do it thanks to Golden Car. The innovative proposal that allows you to reduce the cost of the car financing. What do you have to do? Just drive!" and www.goldencarsenzapensieri.com), all currently accessible online and containing misleading claims of similar nature.  </w:t>
        <w:br/>
        <w:t xml:space="preserve">24. From the perspective of periculum in mora, it is worth noting that the contested commercial practice is still ongoing, as the professional's site www.golden-car.info - containing the advertising messages about the convenience of the offer (possibility to purchase cars at zero cost) - is still online and accessible to the public of consumers, as is the site www.goldencarsenzapensieri.it (online since 16 July 2018), which, in addition to being incomplete, contains equally misleading content. On the other hand, Golden Car appears to have concluded at least seven new contracts from the end of April to the beginning of June 2019.  </w:t>
        <w:br/>
        <w:t xml:space="preserve">25. Furthermore, the conduct carried out by Golden Car under examination appears to be characterized by a high degree of offensiveness with reference to various profiles: in particular, it has already involved a significant number of consumers (since the establishment of Golden Car in November 2017, over 300 contracts have been concluded with as many agents/recruiters) and is potentially capable of convincing a multitude of new consumers, attracted by the proposed possibility of purchasing a car at zero cost, as advertised in the advertising claims still disseminated on the internet.  </w:t>
        <w:br/>
        <w:t xml:space="preserve">26. Finally, the circumstance that the continuation of the commercial practice in question is likely to expose new consumers to significant economic outlays cannot be overlooked, with reference both to the price of the vehicle and to the payment of the penalty deposit amounting to €7,000, as well as to the possible purchase of "undefined" Karatbars packages, in light of the prospect of installment refunds that appears highly uncertain for the reasons already stated and specifically for the non-existence of an effective and substantial underlying advertising activity.  </w:t>
        <w:br/>
        <w:t>CONSIDERING, therefore, that from the examination of the acts of the proceedings emerge elements that support the need to act with particular urgency, in order to prevent the practices</w:t>
      </w:r>
    </w:p>
    <w:p>
      <w:r>
        <w:rPr>
          <w:b/>
        </w:rPr>
        <w:t>[Pages 97–99]</w:t>
      </w:r>
    </w:p>
    <w:p>
      <w:r>
        <w:t xml:space="preserve">BULLETIN NO. 29 OF 22 JULY 2019 99  </w:t>
        <w:br/>
        <w:t xml:space="preserve">the commercial practices described above - consisting of the promotion and marketing of the offer called "Golden Car", which would allow the purchase of cars "at zero cost", through the payment to participants of a monthly reimbursement, as remuneration for the provision of an advertising service on the cars, in an amount sufficient to fully cover the corresponding installment of the financing for the purchase of a car and a portion of the monthly expenses incurred for fuel - continue to be carried out during the course of the substantive proceedings;  </w:t>
        <w:br/>
        <w:t xml:space="preserve">ORDERS  </w:t>
        <w:br/>
        <w:t xml:space="preserve">pursuant to Article 27, paragraph 3, of the Consumer Code and Article 8, paragraph 1, of the Regulation, that the company Golden Car S.r.l.s.:  </w:t>
        <w:br/>
        <w:t xml:space="preserve">a) temporarily suspend any activity aimed at the promotion and marketing of the offer called "Golden Car", which advertises the possibility of purchasing cars "at zero cost" and which requires an initial payment of a substantial amount as a penalty deposit;  </w:t>
        <w:br/>
        <w:t xml:space="preserve">b) communicate to the Authority the execution of this suspension order and the related methods within 10 days of receiving this order, sending a detailed report in which the measures adopted are illustrated.  </w:t>
        <w:br/>
        <w:t xml:space="preserve">Pursuant to Article 27, paragraph 12, of the Consumer Code, in case of non-compliance with this resolution, the Authority applies an administrative pecuniary sanction from €10,000 to €5,000,000. In cases of repeated non-compliance, the Authority may order the suspension of business activities for a period not exceeding thirty days.  </w:t>
        <w:br/>
        <w:t xml:space="preserve">This order will be communicated to the interested parties and published in the Bulletin of the Competition and Market Authority.  </w:t>
        <w:br/>
        <w:t>Against this order, an appeal may be filed with the TAR of Lazio, pursuant to Article 135, paragraph 1, letter b), of the Code of Administrative Procedure (Legislative Decree of 2 July 2010, No. 104), within sixty days from the date of communication of the order itself, without prejudice to the longer terms provided for in Article 41, paragraph 5, of the Code of Administrative Procedure, or an extraordinary appeal may be proposed to the President of the Republic, pursuant to Article 8, of the Decree of the President of the Republic of 24 November 1971, No. 1199, within one hundred and twenty days from the date of communication of the order itself.</w:t>
      </w:r>
    </w:p>
    <w:p>
      <w:r>
        <w:t xml:space="preserve">100 BULLETIN NO. 29 OF 22 JULY 2019  </w:t>
        <w:br/>
        <w:t xml:space="preserve">It is reminded that, pursuant to Article 8, paragraph 4, of the Regulation, this suspension decision must be immediately executed by the professional and that the appeal against the Authority's suspension order does not suspend its execution.  </w:t>
        <w:br/>
        <w:t xml:space="preserve">THE SECRETARY GENERAL THE PRESIDENT  </w:t>
        <w:br/>
        <w:t>Filippo Arena Roberto Rustichelli</w:t>
      </w:r>
    </w:p>
    <w:p>
      <w:r>
        <w:t xml:space="preserve">BULLETIN NO. 29 OF 22 JULY 2019 101  </w:t>
        <w:br/>
        <w:t xml:space="preserve">PS11450 - FREE NEW CAR - ADVERTISING ON CARS  </w:t>
        <w:br/>
        <w:t xml:space="preserve">Measure No. 27841  </w:t>
        <w:br/>
        <w:t xml:space="preserve">THE COMPETITION AND MARKET AUTHORITY  </w:t>
        <w:br/>
        <w:t xml:space="preserve">IN ITS MEETING of 3 July 2019;  </w:t>
        <w:br/>
        <w:t xml:space="preserve">HEARD the Rapporteur Professor Michele Ainis;  </w:t>
        <w:br/>
        <w:t xml:space="preserve">HAVING REGARD to Part II, Title III, of Legislative Decree No. 206 of 6 September 2005 and subsequent amendments (hereinafter, Consumer Code);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1 April 2015;  </w:t>
        <w:br/>
        <w:t xml:space="preserve">HAVING REGARD to the acts of the proceedings;  </w:t>
        <w:br/>
        <w:t xml:space="preserve">HAVING REGARD to the communication of the initiation of the PS11450 proceedings of 29 May 2019, aimed at verifying the existence of unfair commercial practices, in violation of Articles 20, 21, paragraph 1, letters b), c) and d), and 22, as well as 23, letter p), of the Consumer Code, carried out by Entity Holding Italia S.r.l.s.;  </w:t>
        <w:br/>
        <w:t xml:space="preserve">HAVING REGARD to the Authority's resolution of 29 May 2019, which authorized an inspection, pursuant to Article 27, paragraphs 2 and 3, of the Consumer Code, at the headquarters of Entity Holding Italia S.r.l.s.;  </w:t>
        <w:br/>
        <w:t xml:space="preserve">HAVING REGARD to the memorandum submitted by Entity Holding Italia S.r.l.s., received on 18 June 2019;  </w:t>
        <w:br/>
        <w:t xml:space="preserve">CONSIDERING the following:  </w:t>
        <w:br/>
        <w:t xml:space="preserve">I. FACT  </w:t>
        <w:br/>
        <w:t xml:space="preserve">1. Based on the information acquired in the acts, the PS11450 investigative proceedings were initiated to verify the existence of unfair commercial practices carried out by the company Entity Holding Italia S.r.l.s., in violation of Articles 20, 21, paragraph 1, letters b), c) and d), 22, and 23, letter p), of the Consumer Code.  </w:t>
        <w:br/>
        <w:t xml:space="preserve">2. The party involved in the proceedings, as a professional, is the company Entity Holding Italia S.r.l.s. (hereinafter "Entity" or "the Company"), active in the field of intermediation for the purchase of vehicles in general and also in favor of clients and collaborators, as well as in the sale of advertising spaces on the vehicles themselves and in the placement, even free of charge, of advertising spaces on the same.  </w:t>
        <w:br/>
        <w:t xml:space="preserve">3. Concurrently with the communication of the initiation of the proceedings, the party was invited, pursuant to Article 8, paragraph 2, of the Regulation, to submit written memoranda and documents within 10 days of receipt, for the purpose of evaluating the prerequisites for the provisional suspension of the practices, pursuant to Article 27, paragraph 3, of the Consumer Code.  </w:t>
        <w:br/>
        <w:t>4. In summary, the behaviors subject to contestation as "commercial practices" consist of advertising, through emphatic claims disseminated on its website (http://autonuovagratis.it/), a commercial offer called "Free New Car", which presents consumers with the possibility of purchasing various types of vehicles "at zero cost", carrying out an advertising activity through</w:t>
      </w:r>
    </w:p>
    <w:p>
      <w:r>
        <w:rPr>
          <w:b/>
        </w:rPr>
        <w:t>[Pages 100–102]</w:t>
      </w:r>
    </w:p>
    <w:p>
      <w:r>
        <w:t xml:space="preserve">102 BULLETIN NO. 29 OF 22 JULY 2019  </w:t>
        <w:br/>
        <w:t xml:space="preserve">the purchased vehicle (so-called carvertising) and receiving a monthly reimbursement as remuneration, in an amount sufficient to fully cover the corresponding financing installment of the vehicle as well as allow for a profit for the participating consumer.  </w:t>
        <w:br/>
        <w:t xml:space="preserve">5. In the context of presenting the offer, the professional's website extensively displays the essential advantage of the commercial proposal, namely the commitment to pay participants a monthly reimbursement, for a duration of 84, 72, 60, or 48 months, the amount of which varies from a minimum of €70 to a maximum of €4,010, depending on the value of the vehicle and the chosen financing period, also projecting a profit ranging from a minimum of €1,330 to a maximum of €53,0001. This profit would thus be added to the reimbursement of the installments paid for the purchase of the vehicle.  </w:t>
        <w:br/>
        <w:t xml:space="preserve">6. In light of the information on the website, to participate in the offer, the consumer, in addition to paying the purchase price of the chosen vehicle, must pay: (i) the sum of €190 for the activation of the AutoNuova Gratis practice and (ii) a significant amount as a "security fund," ranging from €2,000 to €105,000, depending on the price of the vehicle and the frequency of reimbursement. In this regard, the participating consumer may also conclude a purpose loan contract with a financial company, the amount of which includes both the cost of the vehicle and that of the aforementioned security fund.  </w:t>
        <w:br/>
        <w:t xml:space="preserve">7. After adhering to the offer according to the above procedure and once the availability of the vehicle has been obtained and the "AutoNuova Gratis Kit" containing the logos to be installed has been received, the consumer (so-called driver), in order to achieve the projected monthly reimbursement, is required to publish weekly, on the public Facebook group of the Company and on their personal Facebook profile, photos depicting the vehicle equipped with removable advertising adhesive prints, under penalty of suspension of payment.  </w:t>
        <w:br/>
        <w:t xml:space="preserve">8. Following the initiation of the investigation procedure, on 20 June 2019, a report was received from the European Association of Independent Consumers - AECI -, which complained about the illegality of the AutoNuovaGratis system, as well as the possible unfairness of other offers and commercial platforms attributable to the same Entity (Promolandia, YourIndex, Mutuo Gratis, etc.).  </w:t>
        <w:br/>
        <w:t xml:space="preserve">II. INSPECTIVE CHECKS  </w:t>
        <w:br/>
        <w:t xml:space="preserve">9. On 29 May 2019, in view of the communication initiating the procedure, the Authority decided to authorize inspections, pursuant to Article 27, paragraphs 2 and 3, of the Consumer Code, at the premises of the Entity. The inspective checks were carried out at the premises of the aforementioned Company on 7 June 2019.  </w:t>
        <w:br/>
        <w:t xml:space="preserve">10. From the checks carried out, it emerged that the mechanism for joining the AutoNuovaGratis system requires the consumer to sign a "driver contract" appointing them as a home sales agent and that the number of drivers participating in the aforementioned commercial offer currently amounts to about 190 units. Under this contract, the driver is required to: i) pay an amount as a "security fund" (without prejudice to the possibility of choosing the type of contract without such "security fund");  </w:t>
        <w:br/>
        <w:t xml:space="preserve">1 The "financing table for purchase" is available at the addresses http://autonuovagratis.it/tabella-rimborso-anticipato-rata/ and http://autonuovagratis.it/noleggiotabella.  </w:t>
        <w:br/>
        <w:t xml:space="preserve">BULLETIN NO. 29 OF 22 JULY 2019 103  </w:t>
        <w:br/>
        <w:t xml:space="preserve">ii) make their vehicle available so that the Company can apply "removable advertising adhesive prints" (adhesive or magnet) on all or some sides of the vehicle and also allow the placement on the vehicle, always by specialized technicians indicated by the Company, of "stickers with the AutonuovaGratis logo free of charge"; iii) publish weekly on the public Facebook group of the Company and on their personal Facebook profile photos depicting the vehicle so equipped, under penalty of suspension of the promised payment until the regular publication of the photos resumes.  </w:t>
        <w:br/>
        <w:t xml:space="preserve">11. Based on the information collected, the contract related to the AutoNuova Gratis offer provides for the obligation of the Entity to reimburse the driver the amount paid for the purchase or rental of vehicles (FullRefund), specifically paying the driver "for the placement of advertising on the car" a certain monthly sum for each side of the car made available, which varies according to the selected contractual formula/option2. To date, such payments to the drivers, made by bank transfer or PostePay, would have occurred regularly (except in cases of non-performance of the contract by the drivers, for example due to failure to regularly publish the photographs on Facebook) and no complaints have been received in this regard.  </w:t>
        <w:br/>
        <w:t xml:space="preserve">12. With reference to the advertising activity carried out through vehicles equipped with the adhesive or magnet bearing the logo/web address "AutoNuovaGratis," it emerged that any advertising of third parties on the vehicles is displayed free of charge, with the declared aim of directing advertisers to use the other advertising offers of the Entity, both traditional and innovative through social networks. On the other hand, in the contract for joining the commercial offer in question, the driver declares to be aware that the Company, using the cars of the participants, offers its clients advertising free of charge, "as it consists of a gift for the products purchased by them, such as the creation of websites, flyers, advertising banners, communication, etc."  </w:t>
        <w:br/>
        <w:t xml:space="preserve">13. Also according to what was stated during the inspection, the revenues recorded by the Entity would be attributable to the sale of advertising space on other promotional means and specifically through flyers, business cards, billboards, websites "built" by the Company, and various online platforms always managed by the same, such as YourIndex, available at yourindex.red (with the related "app"), btmoney.it, and promolandia.eu.  </w:t>
        <w:br/>
        <w:t xml:space="preserve">III. MEMORANDA OF THE PARTY  </w:t>
        <w:br/>
        <w:t xml:space="preserve">14. Following the communication initiating the procedure PS11450, with reference to the precautionary sub-procedure, defensive memoranda were produced by Entity Holding Italia S.r.l.s., received on 18 June and 28 June 2019.  </w:t>
        <w:br/>
        <w:t xml:space="preserve">15. From the examination of the first memorandum of the professional, it emerges that:  </w:t>
        <w:br/>
        <w:t xml:space="preserve">2 The contract lists the different types of offers proposed by the Company, which include for the driver: i) the obligation to purchase advertising kits (€89-199), without obtaining a fixed monthly reimbursement; ii) the obligation to pay the security fund, starting from €600 to €2,000, to obtain a "mini monthly reimbursement"; iii) a car rental contract with the obligation to pay a security fund of €24,000 to obtain a "guaranteed reimbursement"; iv) a car purchase contract with the obligation to pay a security fund of €20,000 (including the costs of applying and removing the wrapping, as well as any other management costs), to obtain a "guaranteed reimbursement," equal to €715 for 84 monthly installments as reimbursement for the installment of the vehicle purchase; v) an already existing car contract with payment of a security fund of €600 to obtain a "guaranteed reimbursement."  </w:t>
        <w:br/>
        <w:t xml:space="preserve">104 BULLETIN NO. 29 OF 22 JULY 2019  </w:t>
        <w:br/>
        <w:t xml:space="preserve">- Entity is a company specialized in marketing strategy, communication, advertising, and web systems, which has recently advertised the commercial offer AutoNuovaGratis "which allows the purchase of any type of vehicle at zero cost, given the Company's commitment to pay participants in the offer a monthly reimbursement, proportionate to the value of the vehicle actually purchased and up to the total coverage of that value";  </w:t>
        <w:br/>
        <w:t xml:space="preserve">- on the website www.autonuovagratis.it all the informative material useful for the consumer's understanding of the offer would be present, including illustrative tables that detail the economic advantage for the consumer, as well as the conditions for having a vehicle fully financed for a period of four to seven years;  </w:t>
        <w:br/>
        <w:t xml:space="preserve">- with reference to the methods of joining the offer, the consumer is required to pay an initial amount of €190 for the management costs of the practice and, after identifying the vehicle to be purchased "from any Dealer of their choice," must pay Entity an additional sum represented by the so-called "security fund," "or a sum of money suitable to guarantee the sustainability of the offer, the amount of which is detailed in the Financing Tables for the purchase published on the relevant website."  </w:t>
        <w:br/>
        <w:t xml:space="preserve">- with reference to the economic sustainability of the AutoNuovaGratis offer, according to Entity, it "is guaranteed through the carvertising system, or an advertising practice whereby a private individual or Company can make their car available for the placement of advertising material on it, in exchange for payment from the advertiser or another intermediary";  </w:t>
        <w:br/>
        <w:t xml:space="preserve">- Entity, although operating in the Italian market for only a few years, would have already signed "several contracts with third-party advertisers," the proceeds of which would be suitable over time to make the offer fully sustainable, also in light of the "other commercial initiatives that are part of the multidisciplinary System set up by the Company Entity Holding and called 'Promolandia'," among which is the geolocation system Yourindex. Thus, the overall revenues of Entity would derive, in addition to the AutoNuovaGratis offer, "which is already independently sustainable," also from the sale of advertising space on online platforms, such as AllMarket, FullRefund, MutuoGratis, bt Money, MegaScreen, described in the informational brochure attached to the inspection report.  </w:t>
        <w:br/>
        <w:t xml:space="preserve">16. With a "report on the sustainability of the company," produced on 28 June 2019 to supplement the first defensive memorandum, the professional believes they can demonstrate "the broad sustainability in the long term" of their commercial system in light of the peculiarity of the adopted business model, as it is based on the diversification of a multitude of activities that would guarantee its sustainability (yourIndex, AllMarket, bT Money, Profit Code, Printing, Gadgets, Professional Leafleting, Development of IT systems/Websites/App/CRM/SEO, Graphics/Creativity/Video, Viral Strategies and Systems, FullREFUND). With specific regard to the FullREFUND system, it is specified that it includes/contains Auto Nuova Gratis and "is based on advertising dissemination through contracts concluded even without a guarantee of fixed monthly reimbursement through marketing initiatives that distribute advertising using new or already purchased vehicles as a starting point and then directing to web platforms."  </w:t>
        <w:br/>
        <w:t>17. In the aforementioned report, where "economic, financial, and asset data from the last financial statements" for the years 2016, 2017, and 2018 are provided, a detailed analysis and reclassification of the various items is carried out to provide "annual economic financial projections.</w:t>
      </w:r>
    </w:p>
    <w:p>
      <w:r>
        <w:rPr>
          <w:b/>
        </w:rPr>
        <w:t>[Pages 103–105]</w:t>
      </w:r>
    </w:p>
    <w:p>
      <w:r>
        <w:t xml:space="preserve">BULLETIN NO. 29 OF 22 JULY 2019 105  </w:t>
        <w:br/>
        <w:t xml:space="preserve">of the company" illustrated in a series of "forecast balance sheet and income statement schemes" relating to the years 2019-2023. The report concludes by presenting a rating class of BB, representing "an investment with a limited degree of risk," and highlighting an overall physiological and sustainable economic situation for the future.  </w:t>
        <w:br/>
        <w:t xml:space="preserve">18. With specific regard to the financial data produced, from a preliminary and summary analysis, revenues of € 175,000 in 2017 and € 221,000 in 2018 emerge, allowing for a substantial balance sheet equilibrium. As for the economic-financial projections related to the forecast income statement, the report hypothesizes increasing sales and service revenues over the period 2019-2023; however, losses are expected for the first three years, with a return to profit in the years 2022 and 2023, of a value that does not cover the aforementioned losses.  </w:t>
        <w:br/>
        <w:t xml:space="preserve">19. In conclusion, the professional requests the Authority not to proceed with the provisional suspension of commercial practices, pursuant to Article 27, paragraph 3, of the Consumer Code, believing that no violation of the Consumer Code can be attributed to Entity, having demonstrated that the Company's revenues do not derive exclusively from the entry fees of those adhering to the commercial offer and that, therefore, the latter does not present elements of unfairness but is fully sustainable thanks to the proceeds obtained from the sale of advertising space to third-party advertisers.  </w:t>
        <w:br/>
        <w:t xml:space="preserve">IV. EVALUATIONS  </w:t>
        <w:br/>
        <w:t xml:space="preserve">20. From the perspective of fumus boni iuris, the elements outlined above lead to the conclusion that prima facie the profiles of unfairness attributable to the conduct carried out by the professional exist, in violation of Articles 20, 21, paragraph 1, letters b), c) and d), and 22, of the Consumer Code, as it is misleading and likely to mislead potential adherents regarding the economic advantage associated with the advertised offer, the nature and content of the activity carried out by them.  </w:t>
        <w:br/>
        <w:t xml:space="preserve">21. The conduct in question presents, in particular, significant profiles of deceitfulness, to the extent that the economic advantage presented to consumers at the time of the commercial offer, the nature and content of the activity carried out by them is based on a system that is not clearly sustainable in itself and is, in any case, uncertain.  </w:t>
        <w:br/>
        <w:t xml:space="preserve">22. In particular, in light of the evidence currently available in the records, there are no elements suitable to demonstrate the truthfulness of the promise regarding the possibility for the adhering consumer to finance the purchase of a new vehicle, and even to obtain a profit, through the revenues derived from advertising activity carried out through the same vehicle; it indeed seems reasonable to assume that the monthly reimbursement promised to the adherents of the AutonuovaGratis system (ranging from € 70 to € 4,010 depending on the value of the vehicle and the chosen financing period, which varies from forty-eight to eighty-four months) is actually paid through the revenues derived from the consumers' payment of the "security fund," which varies between € 2,000 and € 105,000.  </w:t>
        <w:br/>
        <w:t xml:space="preserve">23. In this regard, on one hand, the documentation in the records and the information produced by the professional do not indicate the existence of significant revenues derived from the alleged advertising activity carried out by the adherents, in a measure suitable to compensate the task performed by them and to cover the entire amount of reimbursements to be paid to all AutonuovaGratis agents.  </w:t>
        <w:br/>
        <w:t xml:space="preserve">As expressly stated in the inspection report and as also provided in the contractual forms signed by the adhering consumers, the Company offers this form of advertising free of charge, as a "gift" bundled with traditional advertising activities or those carried out via the internet.  </w:t>
        <w:br/>
        <w:t xml:space="preserve">24. The fact that the professional issued only 4 invoices during 2019 concerning the "advertising service packages on the ANG portal" (AutonuovaGratis), for a total amount of approximately € 600, as well as 9 invoices related to the activation of "ANG practice" or "for advertising services," i.e., the amount paid by the consumer to adhere to Entity's offer (approximately € 190), for a total value of about € 1,470, also seems to confirm that the revenues derived from the sale of advertising space through the AutonuovaGratis service are not significant compared to the value of the reimbursements to be paid to the drivers and cannot in themselves be considered an indicator of the sustainability of such a business model.  </w:t>
        <w:br/>
        <w:t xml:space="preserve">25. On the other hand, the latest data produced by the Company in its report on the sustainability of the system seem to highlight that the Company's revenues consist almost exclusively of the amounts paid by each adherent to the system as an initial amount and "security fund" (the minimum amount being € 2,000), taking into account the number of adhering subjects and the minimum amount paid, thus highlighting the absence of a profitable and substantial underlying economic activity.  </w:t>
        <w:br/>
        <w:t xml:space="preserve">26. In light of the elements presented so far, it seems reasonable to conclude that the AutonuovaGratis system, on one hand, is not able to self-finance, given the absence of actual revenues specifically linked to advertising on vehicles, and on the other hand, that the proceeds from the various forms of advertising activity carried out by Entity (traditional and online) are entirely marginal.  </w:t>
        <w:br/>
        <w:t xml:space="preserve">27. Furthermore, it seems reasonable to believe that the operation of the AutoNuovaGratis system relies on the high entry fees paid by those adhering to the offer as a security fund, which can vary from € 2,000 to € 105,000.  </w:t>
        <w:br/>
        <w:t xml:space="preserve">28. The reconstruction outlined above does not appear to be contradicted by what is reported in the "report on the sustainability of the company," recently transmitted by the professional. In fact, from a preliminary examination of the financial data provided by the Company according to its reclassification, it emerges that the sum of revenues (production value) relating to the years 2016, 2017, and 2018 is substantially equivalent to the sum of the revenues of Entity derived from the amounts paid by consumers to adhere to the offer as well as for the security fund (hypothesized at the minimum amount).  </w:t>
        <w:br/>
        <w:t xml:space="preserve">29. Furthermore, as further confirmation of what has been stated, the economic-financial projections made by the Company for the years 2019-2023 also indicate the existence of losses for the years 2019-2021, the value of which would not be recovered by the profits instead expected for the two subsequent years 2022 and 2023. In the same sense, it is finally noted that the analysis of the prospective financial balance sheet proposed by the professional shows a constant and significant increase in "current liabilities."  </w:t>
        <w:br/>
        <w:t xml:space="preserve">30. From the perspective of periculum in mora, it is worth noting that the commercial practice in question is still ongoing, as the professional's website www.autonuovagratis.it – containing advertising messages about the convenience of the offer (the possibility of purchasing vehicles at zero cost and obtaining an additional profit) – is still online and accessible to the public of consumers. On the other hand, Entity appears to have concluded at least three new contracts between March and April 2019.  </w:t>
        <w:br/>
        <w:t xml:space="preserve">31. Moreover, the conduct carried out by Entity under examination appears to be characterized by a high degree of offensiveness with respect to various profiles: in particular, it has already involved, since the establishment of the company (January 2016), a significant number of consumers (about 190) and is potentially capable of attracting a multitude of new consumers, due to the proposed possibility of purchasing a vehicle at zero cost and even obtaining an additional profit, as advertised in the claims still disseminated on the internet.  </w:t>
        <w:br/>
        <w:t xml:space="preserve">32. Finally, it cannot be overlooked that the continuation of the commercial practice in question is likely to expose new consumers to very significant economic outlays, with respect both to the price of the vehicle and to the payment of the "security fund" (the minimum amount being € 2,000), in light of the prospect of installment reimbursements that appear highly uncertain for the reasons already stated and specifically for the non-existence of an effective and substantial underlying advertising activity.  </w:t>
        <w:br/>
        <w:t xml:space="preserve">CONSIDERING, therefore, that from the examination of the acts of the proceeding elements emerge that support the need to act with particular urgency in order to prevent the aforementioned conduct, consisting of the promotion and marketing of the offer called "Free New Car," from continuing to be carried out during the course of the substantive proceeding;  </w:t>
        <w:br/>
        <w:t xml:space="preserve">ORDERS  </w:t>
        <w:br/>
        <w:t xml:space="preserve">pursuant to Article 27, paragraph 3, of the Consumer Code and Article 8, paragraph 1, of the Regulation, that the company Entity Holding Italia S.r.l.s.:  </w:t>
        <w:br/>
        <w:t xml:space="preserve">a) temporarily suspend any activity aimed at promoting and marketing the commercial offer called "Free New Car," which proposes the possibility of purchasing various types of vehicles for free and obtaining an additional profit, requiring the initial payment of a substantial amount as a security fund;  </w:t>
        <w:br/>
        <w:t xml:space="preserve">b) communicate to the Authority the execution of this suspension order and the related methods within 10 days of receipt of this order, sending a detailed report in which the measures adopted are illustrated.  </w:t>
        <w:br/>
        <w:t xml:space="preserve">Pursuant to Article 27, paragraph 12, of the Consumer Code, in case of non-compliance with this resolution, the Authority applies an administrative pecuniary sanction from € 10,000 to € 5,000,000. In cases of repeated non-compliance, the Authority may order the suspension of business activity for a period not exceeding thirty days.  </w:t>
        <w:br/>
        <w:t xml:space="preserve">This order will be communicated to the interested parties and published in the Bulletin of the Competition and Market Authority.  </w:t>
        <w:br/>
        <w:t>Against this order, an appeal may be filed with the TAR of Lazio, pursuant to Article 135, paragraph 1, letter b), of the Code of Administrative Procedure (Legislative Decree of 2 July 2010,</w:t>
      </w:r>
    </w:p>
    <w:p>
      <w:r>
        <w:rPr>
          <w:b/>
        </w:rPr>
        <w:t>[Pages 106–108]</w:t>
      </w:r>
    </w:p>
    <w:p>
      <w:r>
        <w:t xml:space="preserve">108 BULLETIN NO. 29 OF 22 JULY 2019  </w:t>
        <w:br/>
        <w:t xml:space="preserve">No. 104), within sixty days from the date of communication of the measure itself, without prejudice to the longer terms referred to in Article 41, paragraph 5, of the Code of Administrative Procedure, or an extraordinary appeal may be filed with the President of the Republic, pursuant to Article 8 of the Decree of the President of the Republic of 24 November 1971, No. 1199, within the term of one hundred and twenty days from the date of communication of the measure itself.  </w:t>
        <w:br/>
        <w:t xml:space="preserve">It is reminded that, pursuant to Article 8, paragraph 4, of the Regulation, this suspension decision must be immediately executed by the professional and that the appeal against the Authority's suspension measure does not suspend its execution.  </w:t>
        <w:br/>
        <w:t xml:space="preserve">THE SECRETARY GENERAL THE PRESIDENT  </w:t>
        <w:br/>
        <w:t>Filippo Arena Roberto Rustichelli</w:t>
      </w:r>
    </w:p>
    <w:p>
      <w:r>
        <w:t xml:space="preserve">BULLETIN NO. 29 OF 22 JULY 2019 109  </w:t>
        <w:br/>
        <w:t xml:space="preserve">PS11457 – OKVISURE - CENTRAL RISK CONSULTATION  </w:t>
        <w:br/>
        <w:t xml:space="preserve">Notice of initiation of investigation procedure  </w:t>
        <w:br/>
        <w:t xml:space="preserve">THE COMPETITION AND MARKET AUTHORITY  </w:t>
        <w:br/>
        <w:t xml:space="preserve">Notice of initiation of the investigation, pursuant to Article 6, paragraph 2, of the Regulation on investigation procedures regarding misleading and comparative advertising, unfair commercial practices, violation of consumer rights in contracts, violation of the prohibition of discrimination and unfair clauses (hereinafter, Regulation), adopted by the Authority with resolution of 1 April 2015, in relation to procedure PS11457.  </w:t>
        <w:br/>
        <w:t xml:space="preserve">The publication of this notice, followed by the communication of the initiation of the procedure, in the weekly Bulletin of the Competition and Market Authority, is made pursuant to and for the effects of Article 6, paragraph 2 of the Regulation, given the lack of receipt of responses to the attempt to transmit the same initiation communication, made on 6 June 2019, prot. No. 41139. In this case, in fact, the Party was found to be unreachable at the address obtained from the company registration.  </w:t>
        <w:br/>
        <w:t xml:space="preserve">For any communication addressed to the Authority regarding the procedure in question, please refer to Direction B of the Directorate General for Consumer Protection and the reference PS11457.  </w:t>
        <w:br/>
        <w:t xml:space="preserve">______________________________________________________________________  </w:t>
        <w:br/>
        <w:t xml:space="preserve">PS11457 – OKVISURE – CENTRAL RISK CONSULTATION  </w:t>
        <w:br/>
        <w:t xml:space="preserve">Communication of initiation of investigation procedure  </w:t>
        <w:br/>
        <w:t xml:space="preserve">Subject: Communication of initiation of the procedure pursuant to Article 27, paragraph 3, of Legislative Decree 6 September 2005, No. 206 and subsequent amendments (hereinafter, Consumer Code), as well as pursuant to Article 6 of the "Regulation on investigation procedures regarding misleading and comparative advertising, unfair commercial practices, violation of consumer rights in contracts, violation of the prohibition of discrimination and unfair clauses" (hereinafter, Regulation), adopted by the Authority with resolution of 1 April 2015 and simultaneous request for information pursuant to Article 12, paragraph 1, of the Regulation.  </w:t>
        <w:br/>
        <w:t xml:space="preserve">I. The Party  </w:t>
        <w:br/>
        <w:t xml:space="preserve">World Adv.Com of Ragusa Andrea, as a professional, pursuant to Article 18, letter b), of the Consumer Code.  </w:t>
        <w:br/>
        <w:t xml:space="preserve">II. The conduct under examination  </w:t>
        <w:br/>
        <w:t xml:space="preserve">According to information acquired for the application of the Consumer Code, World Adv.Com of Ragusa Andrea would have engaged through the portal OKVisure.com in the following conduct regarding the offer of an online service for accessing the Central Risk managed by the Bank of Italy:  </w:t>
        <w:br/>
        <w:t xml:space="preserve">Conduct sub a): World Adv.Com of Ragusa Andrea is a sole proprietorship to which the portal OKVisure.com is attributable, through which, upon payment of a fee, one can purchase land registry and cadastral certificates, company and mortgage registrations, and access to the Central Risk of the Bank of Italy; through the latter, the applicant can verify the information and reports made on their name or their company regarding their debt situation.  </w:t>
        <w:br/>
        <w:t xml:space="preserve">To obtain the online access, the applicant must fill out a form with their data present on the website and make the payment; the access will be sent to the address specified during the request within five working days. The cost of the service is indicated as €29.89.  </w:t>
        <w:br/>
        <w:t xml:space="preserve">Below the form to be filled out, there is a box titled "How to request the Central Risk access from the Bank of Italy" which, when clicked, opens a detailed page where it states: "It is possible to request the Central Risk access from the Bank of Italy by going to its counter, or to one of the nearest branches. If you are not available to travel, you can make the request directly from this page using the service offered by our portal. The request can be made entirely online; you just need to enter the correct data of the name or company for which you wish to access. Subsequently, a response will be obtained by registered mail to the address provided during the procedure."  </w:t>
        <w:br/>
        <w:t xml:space="preserve">The Bank of Italy's website, at the page https://www.bancaditalia.it/servizi-cittadino/servizi/accesso-cr/, describes the methods of access to the Central Risk in the following terms: "The request form can be downloaded from this page or collected at the branches of the Bank of Italy... The request can be sent to one of the branches of the Bank of Italy by mail, PEC, email, or fax, or delivered in person or through a delegate."  </w:t>
        <w:br/>
        <w:t xml:space="preserve">The professional thus implies that to obtain a report from the Bank of Italy, it is necessary to go personally to the Bank's offices, while by using the service offered by him, the request can be conveniently submitted from home and the report will be delivered to the indicated address.  </w:t>
        <w:br/>
        <w:t xml:space="preserve">Conduct sub b): the professional advertises a toll-free phone number, through the symbol of a green telephone receiver, which customers can call for assistance. In reality, the professional provides customers with a geographic number at standard rates.  </w:t>
        <w:br/>
        <w:t xml:space="preserve">III. Possible profiles of unlawfulness of the conduct  </w:t>
        <w:br/>
        <w:t xml:space="preserve">The behaviors described in point II of this communication could constitute two distinct violations of the Consumer Code.  </w:t>
        <w:br/>
        <w:t xml:space="preserve">Practice sub a)  </w:t>
        <w:br/>
        <w:t>The message from the professional implies, contrary to the truth, that the only way to request a report from the Bank of Italy is to go personally to the Bank's offices, while, in reality, it is also possible to submit the request via PEC, email, or fax. This conduct could constitute a case of misleading practice pursuant to Article</w:t>
      </w:r>
    </w:p>
    <w:p>
      <w:r>
        <w:rPr>
          <w:b/>
        </w:rPr>
        <w:t>[Pages 109–111]</w:t>
      </w:r>
    </w:p>
    <w:p>
      <w:r>
        <w:t xml:space="preserve">BULLETIN NO. 29 OF 22 JULY 2019 111  </w:t>
        <w:br/>
        <w:t xml:space="preserve">20, paragraph 2, and 21, paragraph 1, letter b) of the Consumer Code, as it is capable of misleading the consumer regarding the advantages obtainable by adhering to the proposed service, leading them to make a commercial decision that they would not have otherwise made. The consumer might indeed believe that the professional's service offers the advantage of being able to request the risk report from home, while the same facilitation is also possible for requests to the Bank of Italy.  </w:t>
        <w:br/>
        <w:t xml:space="preserve">Practice sub b)  </w:t>
        <w:br/>
        <w:t xml:space="preserve">The professional presents the possibility for the customer to avail themselves of assistance through the use of a number indicated as free because accompanied by the symbol of a green telephone receiver, while in reality the indicated number is chargeable as it is of a geographical nature. The behavior exhibited by the professional could constitute a violation of Articles 20 and 21, paragraph 1, letters b) and d) of the Consumer Code, as the qualification of a standard-rate number as free is capable of misleading the average consumer regarding the characteristics of the service and the economic burdens to be incurred to contact the professional.  </w:t>
        <w:br/>
        <w:t xml:space="preserve">IV. Procedural methods and terms  </w:t>
        <w:br/>
        <w:t xml:space="preserve">Based on the above, it is hereby communicated:  </w:t>
        <w:br/>
        <w:t xml:space="preserve">a) the initiation of the procedure, pursuant to Article 6 of the Regulation, in order to verify the alleged violations mentioned in point III;  </w:t>
        <w:br/>
        <w:t xml:space="preserve">b) that the person responsible for the procedure is Dr. Giovanna Ragno;  </w:t>
        <w:br/>
        <w:t xml:space="preserve">c) that the procedure will conclude within 150 days from the date of protocol of this communication, pursuant to Article 7 of the Regulation;  </w:t>
        <w:br/>
        <w:t xml:space="preserve">d) that the person responsible for the procedure will communicate, pursuant to Article 16, paragraph 1, of the Regulation, the date of conclusion of the investigative phase;  </w:t>
        <w:br/>
        <w:t xml:space="preserve">e) that the person responsible for the procedure will request the opinion from the Authority for Communications Guarantees pursuant to Article 16, paragraphs 3 and 4, of the Regulation;  </w:t>
        <w:br/>
        <w:t xml:space="preserve">f) that the office where the Party can access the documents of the procedure, upon written request and telephone contact to establish the access modalities, is Direction B of the General Directorate for Consumer Protection (tel. 06/85821865). Access may be made directly by the Party or by a person delegated in writing;  </w:t>
        <w:br/>
        <w:t xml:space="preserve">g) that the Party may submit written memoranda and documents by 25 June 2019.  </w:t>
        <w:br/>
        <w:t xml:space="preserve">V. Request for information  </w:t>
        <w:br/>
        <w:t xml:space="preserve">In order to acquire useful knowledge elements for the evaluation of the behaviors illustrated above, World Adv.Com of Ragusa Andrea is requested to provide, by 25 June 2019, the following information (accompanied by the relevant documentation, including internal relevance):  </w:t>
        <w:br/>
        <w:t xml:space="preserve">- the date from which the advertisement regarding the online risk report of the Bank of Italy and the indication of the number for customer assistance have been present on the web page OKVisure.com;  </w:t>
        <w:br/>
        <w:t xml:space="preserve">- any messages regarding the online risk report of the Bank of Italy disseminated through print or flyers, indicating the dissemination dates;  </w:t>
        <w:br/>
        <w:t xml:space="preserve">112 BULLETIN NO. 29 OF 22 JULY 2019  </w:t>
        <w:br/>
        <w:t xml:space="preserve">- any other element deemed useful for the evaluation of the case in question.  </w:t>
        <w:br/>
        <w:t xml:space="preserve">The requested information and documents, as well as any memoranda, may also be transmitted on suitable electronic media.  </w:t>
        <w:br/>
        <w:t xml:space="preserve">Pursuant to Article 11, paragraph 7, of the Regulation, it is possible to indicate the specific information and parts of the documents provided for which confidentiality or secrecy is requested, indicating the reasons justifying such a request. To this end, it is kindly requested to also transmit a non-confidential version of the documents containing confidential information.  </w:t>
        <w:br/>
        <w:t xml:space="preserve">Pending the requested informational elements, it is reminded that, pursuant to Article 27, paragraph 4, of the Consumer Code, the subjects consulted are subject, by order of the Authority, to an administrative pecuniary sanction from 2,000 to 20,000 euros if they refuse or omit without justified reason to provide the requested information or to exhibit the requested documents, or to an administrative pecuniary sanction from 4,000 to 40,000 euros if they provide untruthful information or exhibit untruthful documents.  </w:t>
        <w:br/>
        <w:t xml:space="preserve">It is noted that for the performance of its institutional tasks, pursuant to Article 27, paragraph 2, of the aforementioned Consumer Code, the Authority may avail itself of the Guardia di Finanza, which acts with the powers attributed to it for the assessment of value-added tax and income tax.  </w:t>
        <w:br/>
        <w:t xml:space="preserve">For the purposes of quantifying any pecuniary sanctions referred to in Article 27, paragraph 9, of the Consumer Code, World Adv.Com of Ragusa Andrea is requested to provide a copy of the last approved financial statement or suitable tax documentation showing the economic results related to the considered financial year.  </w:t>
        <w:br/>
        <w:t xml:space="preserve">For any communication addressed to the Authority regarding the case in question, please cite Direction B of the General Directorate for Consumer Protection and reference PS11457.  </w:t>
        <w:br/>
        <w:t xml:space="preserve">For any clarifications and information, please contact Dr. Giovanna Ragno at the number 06/85821410.  </w:t>
        <w:br/>
        <w:t xml:space="preserve">THE PERSON RESPONSIBLE FOR THE  </w:t>
        <w:br/>
        <w:t>PROCEDURE</w:t>
      </w:r>
    </w:p>
    <w:p>
      <w:r>
        <w:t xml:space="preserve">Competition and Market Authority Weekly Bulletin  </w:t>
        <w:br/>
        <w:t xml:space="preserve">Year XXIX - No. 29 - 2019  </w:t>
        <w:br/>
        <w:t xml:space="preserve">Editorial Coordination Giulia Antenucci  </w:t>
        <w:br/>
        <w:t xml:space="preserve">Editorial Staff Sandro Cini, Valerio Ruocco, Simonetta Schettini,  </w:t>
        <w:br/>
        <w:t xml:space="preserve">Manuela Villani  </w:t>
        <w:br/>
        <w:t xml:space="preserve">Competition and Market Authority  </w:t>
        <w:br/>
        <w:t xml:space="preserve">Office of Statistics and IT Applications  </w:t>
        <w:br/>
        <w:t xml:space="preserve">Piazza Giuseppe Verdi, 6/a - 00198 Rome  </w:t>
        <w:br/>
        <w:t xml:space="preserve">Tel.: 06-858211 Fax: 06-85821256  </w:t>
        <w:br/>
        <w:t xml:space="preserve">Web: http://www.agcm.it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