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https://www.agcm.it/dotcmsdoc/bollettini/2020/29-20.pdf</w:t>
      </w:r>
    </w:p>
    <w:p>
      <w:r>
        <w:t>Pages translated : 66</w:t>
      </w:r>
    </w:p>
    <w:p/>
    <w:p>
      <w:r>
        <w:rPr>
          <w:b/>
        </w:rPr>
        <w:t>[Pages 1–3]</w:t>
      </w:r>
    </w:p>
    <w:p>
      <w:r>
        <w:t>Bulletin</w:t>
        <w:br/>
        <w:t>Weekly</w:t>
        <w:br/>
        <w:t>Year XXX - No. 29</w:t>
        <w:br/>
        <w:t>Published on the website www.agcm.it</w:t>
        <w:br/>
        <w:t>July 20, 2020</w:t>
      </w:r>
    </w:p>
    <w:p>
      <w:r>
        <w:t>SUMMARY</w:t>
        <w:br/>
        <w:t>AGREEMENTS AND ABUSE OF DOMINANT POSITION 5</w:t>
        <w:br/>
        <w:t>A529 - GOOGLE/COMPATIBILITY OF ENEL X ITALIA APP WITH ANDROID AUTO SYSTEM</w:t>
        <w:br/>
        <w:t>Decision No. 28288 5</w:t>
        <w:br/>
        <w:t>I839 - SPECIAL FLAMMABLE TRANSPORTS AND WASTE TO AND FROM THE CAMPANIA ISLANDS</w:t>
        <w:br/>
        <w:t>Decision No. 28290 7</w:t>
        <w:br/>
        <w:t>CONCENTRATION OPERATIONS 10</w:t>
        <w:br/>
        <w:t>C12298 - MARR/NEWCO ANTONIO VERRINI &amp; FIGLI</w:t>
        <w:br/>
        <w:t>Decision No. 28279 10</w:t>
        <w:br/>
        <w:t>C12287 - INTESA SANPAOLO/UBI BANCA-UNIONE DI BANCHE ITALIANE</w:t>
        <w:br/>
        <w:t>Decision No. 28289 11</w:t>
        <w:br/>
        <w:t>REPORTING AND CONSULTATIVE ACTIVITIES 61</w:t>
        <w:br/>
        <w:t>AS1685 – ROME CAPITAL - LIBERALIZATION OF NOTIFICATION SERVICES BY MAIL OF JUDICIAL ACTS AND VIOLATIONS OF THE HIGHWAY CODE 61</w:t>
        <w:br/>
        <w:t>UNFAIR TRADE PRACTICES 64</w:t>
        <w:br/>
        <w:t>PS11564 – ENEL/SEN - BIENNIAL PRESCRIPTION</w:t>
        <w:br/>
        <w:t>Notice of initiation of investigative proceedings 64</w:t>
        <w:br/>
        <w:t>PS11569 – ENI - BIENNIAL PRESCRIPTION</w:t>
        <w:br/>
        <w:t>Notice of initiation of investigative proceedings 66</w:t>
      </w:r>
    </w:p>
    <w:p>
      <w:r>
        <w:t>BULLETIN NO. 29 OF JULY 20, 2020 5</w:t>
        <w:br/>
        <w:t>AGREEMENTS AND ABUSE OF DOMINANT POSITION</w:t>
        <w:br/>
        <w:t>A529 - GOOGLE/COMPATIBILITY OF ENEL X ITALIA APP WITH ANDROID AUTO</w:t>
        <w:br/>
        <w:t>SYSTEM</w:t>
        <w:br/>
        <w:t>Decision No. 28288</w:t>
        <w:br/>
        <w:t>THE ANTITRUST AUTHORITY</w:t>
        <w:br/>
        <w:t>IN ITS MEETING of July 1, 2020;</w:t>
        <w:br/>
        <w:t>HEARD the Rapporteur Professor Michele Ainis;</w:t>
        <w:br/>
        <w:t>HAVING REGARD to Article 102 of the Treaty on the Functioning of the European Union (TFEU);</w:t>
        <w:br/>
        <w:t>HAVING REGARD to Regulation (EC) No. 1/2003 of the Council of December 16, 2002;</w:t>
        <w:br/>
        <w:t>HAVING REGARD to Law No. 287 of October 10, 1990;</w:t>
        <w:br/>
        <w:t>HAVING REGARD to the Presidential Decree No. 217 of April 30, 1998;</w:t>
        <w:br/>
        <w:t>HAVING REGARD to its resolution adopted on May 8, 2019, which initiated an investigation pursuant to Article 14 of Law No. 287/90, against the companies Alphabet Inc., Google LLC, and Google Italy S.r.l. (hereinafter, collectively Google), to ascertain the existence of possible violations of Article 102 TFEU;</w:t>
        <w:br/>
        <w:t>HAVING REGARD to its resolution adopted on April 29, 2020, which extended the deadline for concluding the proceedings to May 30, 2021;</w:t>
        <w:br/>
        <w:t>HAVING REGARD to the request for an early conclusion of the proceedings, submitted by Enel X Italia S.r.l. and received on June 15, 2020;</w:t>
        <w:br/>
        <w:t>HAVING REGARD to the documentation on file;</w:t>
        <w:br/>
        <w:t>CONSIDERING that the acceptance of the request submitted by Enel X Italia S.r.l. is compatible with the investigative needs, as well as with the necessity to ensure full compliance with the principle of adversarial proceedings and the rights of defense of the Parties;</w:t>
        <w:br/>
        <w:t>THEREFORE, CONSIDERING that it is possible to bring forward the deadline for concluding the proceedings, currently set for May 30, 2021, to March 31, 2021;</w:t>
        <w:br/>
        <w:t>RESOLVES</w:t>
        <w:br/>
        <w:t>to bring forward the deadline for concluding the proceedings to March 31, 2021.</w:t>
      </w:r>
    </w:p>
    <w:p>
      <w:r>
        <w:rPr>
          <w:b/>
        </w:rPr>
        <w:t>[Pages 4–6]</w:t>
      </w:r>
    </w:p>
    <w:p>
      <w:r>
        <w:t>6 BULLETIN NO. 29 OF JULY 20, 2020</w:t>
        <w:br/>
        <w:t>This provision will be notified to the interested parties and published in the Bulletin of the Italian Competition Authority.</w:t>
        <w:br/>
        <w:t>THE SECRETARY GENERAL THE PRESIDENT</w:t>
        <w:br/>
        <w:t>Filippo Arena Roberto Rustichelli</w:t>
      </w:r>
    </w:p>
    <w:p>
      <w:r>
        <w:t>BULLETIN NO. 29 OF JULY 20, 2020 7</w:t>
        <w:br/>
        <w:t>I839 - SPECIAL TRANSPORTS OF FLAMMABLES AND WASTE TO AND FROM THE CAMPANIA ISLANDS</w:t>
        <w:br/>
        <w:t>Provision No. 28290</w:t>
        <w:br/>
        <w:t>THE ITALIAN COMPETITION AUTHORITY</w:t>
        <w:br/>
        <w:t>IN ITS MEETING OF JULY 14, 2020;</w:t>
        <w:br/>
        <w:t>HEARD the Rapporteur, Professor Michele Ainis;</w:t>
        <w:br/>
        <w:t>HAVING REGARD TO Article 101 of the Treaty on the Functioning of the European Union (“TFEU”);</w:t>
        <w:br/>
        <w:t>HAVING REGARD TO Council Regulation No. 1/2003 of December 16, 2002, concerning the application of the competition rules laid down in Articles 101 and 102 TFEU;</w:t>
        <w:br/>
        <w:t>HAVING REGARD TO Law No. 287 of October 10, 1990, as amended;</w:t>
        <w:br/>
        <w:t>HAVING REGARD TO Presidential Decree No. 217 of April 30, 1998;</w:t>
        <w:br/>
        <w:t>HAVING REGARD TO its resolution of January 14, 2020, which initiated, against Mediterranea Marittima S.p.A. (“Mediterranea Marittima”), Medmar Navi S.p.A. (“Medmar Navi”), Servizi Marittimi Liberi Giuffré e Lauro S.r.l. (“Giuffré e Lauro”), Tra.Spe.Mar. S.r.l. (“Traspemar”), GML Trasporti Marittimi S.r.l. (“GML”) and Consorzio Trasporti Speciali Infiammabili e Rifiuti (“COTRASIR”) (jointly, the “Parties”) an investigation procedure, pursuant to Article 14 of Law No. 287/90, to ascertain the existence of violations of Article 2 of Law No. 287/1990 and/or Article 101 of the TFEU;</w:t>
        <w:br/>
        <w:t>HAVING REGARD TO the “Communication on the procedures for the application of Article 14-ter of Law No. 287 of October 10, 1990,” adopted in the meeting of September 6, 2012 and published in Bulletin No. 35 of September 17, 2012;</w:t>
        <w:br/>
        <w:t>HAVING REGARD TO the communication of July 1, 2020, whereby the Parties submitted commitments, pursuant to Article 14-ter of Law No. 287/1990, according to the methods indicated in the specific “Form for the submission of commitments pursuant to Article 14-ter of Law No. 287/1990” (the “Commitments”), consisting, in summary:</w:t>
        <w:br/>
        <w:t>- in the commitment to dissolve COTRASIR and GML and to refrain in the future from implementing forms of concertation aimed at providing the services analyzed in the investigation, including any consortial management of the same;</w:t>
        <w:br/>
        <w:t>- in the commitment to establish and implement specific antitrust compliance programs in accordance with the Guidelines adopted by this Authority and to submit their content to the AGCM for approval, as well as to update them annually;</w:t>
        <w:br/>
        <w:t>- in the commitment to periodically meet, in specially convened technical tables, with the main clients and local authorities benefiting from the transport services analyzed in the investigation, in order to verify the possibility of increasing the quality of services based on the needs expressed during the meetings. The meetings will take place through sessions in which each of the Parties will participate individually. The companies will appoint a monitoring trustee, selected according to antitrust practice, to moderate and report on the meetings, of which the AGCM will also be informed. The first technical table will be convened within one month of the notification of the possible acceptance of the Commitments; subsequently, the meetings will occur every six months for a period of five years;</w:t>
        <w:br/>
        <w:t>- in the commitment to apply a cap on the prices of the services analyzed in the investigation. In particular, Traspemar, Mediterranea Marittima, Giuffré e Lauro, and Medmar Navi commit to apply to clients, for the provision of the services in question, prices not exceeding certain fees detailed in two specific annexes to the commitments form (Annex A for flammable transport and Annex B for waste transport), and identified separately for the route Ischia-Procida-Naples (Casamicciola-Procida-Pozzuoli for waste transport) and for the Naples-Capri route. The companies will assign to the monitoring trustee the task of verifying retrospectively, on a semi-annual basis, the adequacy of the prices applied, reporting to the Parties any corrective measures to be adopted in the subsequent semester. The payment of the fee for the services thus limited in terms of its maximum amount must occur simultaneously with the reservation. The commitment is also assumed for a period of five years.</w:t>
        <w:br/>
        <w:t>CONSIDERING that the commitments presented, as a whole, do not appear manifestly unfounded and are susceptible to publication, without prejudice to any assessment by the Authority regarding their suitability to resolve the competitive issues raised at the start of the procedure;</w:t>
        <w:br/>
        <w:t>HAVING REGARD TO the decision to publish the aforementioned commitments presented by Mediterranea Marittima S.p.A., Medmar Navi S.p.A., Servizi Marittimi Liberi Giuffré e Lauro S.r.l., Tra.Spe.Mar. S.r.l., GML Trasporti Marittimi S.r.l. and Consorzio Trasporti Speciali Infiammabili e Rifiuti – COTRASIR;</w:t>
        <w:br/>
        <w:t>RESOLVES</w:t>
        <w:br/>
        <w:t>a) to publish, on July 20, 2020, on the Authority's website the aforementioned commitments, attached to this provision, which constitute an integral part thereof, presented by Mediterranea Marittima S.p.A., Medmar Navi S.p.A., Servizi Marittimi Liberi Giuffré e Lauro S.r.l., Tra.Spe.Mar. S.r.l., GML Trasporti Marittimi S.r.l. and Consorzio Trasporti Speciali Infiammabili e Rifiuti – COTRASIR, pursuant to Article 14-ter of Law No. 287/1990;</w:t>
        <w:br/>
        <w:t>b) that any observations on the commitments presented by Mediterranea Marittima S.p.A., Medmar Navi S.p.A., Servizi Marittimi Liberi Giuffré e Lauro S.r.l., Tra.Spe.Mar. S.r.l., GML Trasporti Marittimi S.r.l. and Consorzio Trasporti Speciali Infiammabili e Rifiuti – COTRASIR must be submitted in writing, by August 19, 2020, to the Directorate General for Competition – Directorate for Energy and Basic Industry of the Authority (Piazza G. Verdi, 6/A, 00198 Rome, tel. +39(0)6/85821.832, fax +39(0)6/85821.375, PEC protocollo.agcm@pec.agcm.it);</w:t>
      </w:r>
    </w:p>
    <w:p>
      <w:r>
        <w:rPr>
          <w:b/>
        </w:rPr>
        <w:t>[Pages 7–9]</w:t>
      </w:r>
    </w:p>
    <w:p>
      <w:r>
        <w:t>BULLETIN NO. 29 OF JULY 20, 2020 9</w:t>
        <w:br/>
        <w:t>c) any representations by Mediterranea Marittima S.p.A., Medmar Navi S.p.A., Servizi Marittimi Liberi Giuffré and Lauro S.r.l., Tra.Spe.Mar. S.r.l., GML Trasporti Marittimi S.r.l. and Consorzio Trasporti Speciali Infiammabili e Rifiuti – COTRASIR regarding their position in relation to the observations submitted by third parties on the Commitments, as well as any potential introduction of ancillary modifications to them, must be submitted in writing to the Authority by September 18, 2020.</w:t>
        <w:br/>
        <w:t>THE SECRETARY GENERAL THE PRESIDENT</w:t>
        <w:br/>
        <w:t>Filippo Arena Roberto Rustichelli</w:t>
      </w:r>
    </w:p>
    <w:p>
      <w:r>
        <w:t>10 BULLETIN NO. 29 OF JULY 20, 2020</w:t>
        <w:br/>
        <w:t>CONCENTRATION OPERATIONS</w:t>
        <w:br/>
        <w:t>C12298 - MARR/NEWCO ANTONIO VERRINI &amp; FIGLI</w:t>
        <w:br/>
        <w:t>Decision No. 28279</w:t>
        <w:br/>
        <w:t>THE ANTITRUST AUTHORITY</w:t>
        <w:br/>
        <w:t>IN ITS MEETING of June 23, 2020;</w:t>
        <w:br/>
        <w:t>HEARD the Rapporteur, Professor Michele Ainis;</w:t>
        <w:br/>
        <w:t>HAVING REGARD to Law No. 287 of October 10, 1990;</w:t>
        <w:br/>
        <w:t>HAVING REGARD to Presidential Decree No. 217 of April 30, 1998;</w:t>
        <w:br/>
        <w:t>HAVING REGARD to the communication from Marr S.p.A. received on May 22, 2020;</w:t>
        <w:br/>
        <w:t>CONSIDERING that Marr S.p.A., on June 10, 2020, communicated the formal withdrawal of the notification of the concentration operation;</w:t>
        <w:br/>
        <w:t>RESOLVES</w:t>
        <w:br/>
        <w:t>that there is no need to take action.</w:t>
        <w:br/>
        <w:t>The above conclusions will be communicated, pursuant to Article 16, paragraph 4, of Law No. 287/90, to the interested companies and to the Minister of Economic Development.</w:t>
        <w:br/>
        <w:t>This decision will be published in the Bulletin of the Antitrust Authority.</w:t>
        <w:br/>
        <w:t>THE SECRETARY GENERAL THE PRESIDENT</w:t>
        <w:br/>
        <w:t>Filippo Arena Roberto Rustichelli</w:t>
      </w:r>
    </w:p>
    <w:p>
      <w:r>
        <w:t>BULLETIN NO. 29 OF JULY 20, 2020 11</w:t>
        <w:br/>
        <w:t>C12287 - INTESA SANPAOLO/UBI BANCA-UNIONE DI BANCHE ITALIANE</w:t>
        <w:br/>
        <w:t>Decision No. 28289</w:t>
        <w:br/>
        <w:t>THE ANTITRUST AUTHORITY</w:t>
        <w:br/>
        <w:t>IN ITS MEETING of July 14, 2020;</w:t>
        <w:br/>
        <w:t>HEARD the Rapporteur Dr. Gabriella Muscolo;</w:t>
        <w:br/>
        <w:t>HAVING REGARD to Regulation (EC) No. 139/2004;</w:t>
        <w:br/>
        <w:t>HAVING REGARD to Law No. 287 of October 10, 1990;</w:t>
        <w:br/>
        <w:t>HAVING REGARD to Presidential Decree No. 217 of April 30, 1998;</w:t>
        <w:br/>
        <w:t>HAVING REGARD to Decree-Law No. 18 of March 17, 2020, as amended by Decree-Law No. 23 of April 8, 2020;</w:t>
        <w:br/>
        <w:t>HAVING REGARD to the communication from Intesa Sanpaolo S.p.A., received on February 17, 2020;</w:t>
        <w:br/>
        <w:t>HAVING REGARD to the request for information sent on March 3, 2020, resulting in the suspension of deadlines pursuant to Article 5, paragraph 3, of Presidential Decree No. 217/98;</w:t>
        <w:br/>
        <w:t>HAVING REGARD to the subsequent communication from Intesa Sanpaolo S.p.A. received on April 27, 2020, as supplemented on April 30, 2020;</w:t>
        <w:br/>
        <w:t>HAVING REGARD to the documentation on file, including the observations submitted by UBI – Unione di Banche Italiane S.p.A. on March 19, 2020;</w:t>
        <w:br/>
        <w:t>HAVING REGARD to its resolution of May 11, 2020, which initiated an investigation, pursuant to Article 16, paragraph 4, of Law No. 287/90, against Intesa Sanpaolo S.p.A. and UBI – Unione di Banche Italiane S.p.A.;</w:t>
        <w:br/>
        <w:t>HAVING REGARD to the requests for participation in the proceedings submitted, respectively, on May 20, 2020, by Cattolica Assicurazioni and Fondazione Banca del Monte di Lombardia and, on May 22, 2020, by Unicredit S.p.A. and BPER Banca S.p.A., pursuant to Article 7, paragraph 1, letter b), of Presidential Decree No. 217/98;</w:t>
        <w:br/>
        <w:t>HAVING REGARD to the communication of the investigative findings, sent to the Parties on June 5, 2020;</w:t>
        <w:br/>
        <w:t>HAVING REGARD to the submissions made by the Parties and third parties intervening on June 15, 2020;</w:t>
        <w:br/>
        <w:t>HAVING REGARD, in particular, to the corrective measures submitted by Intesa Sanpaolo on June 15, 2020;</w:t>
        <w:br/>
        <w:t>HEARD in the final hearing, on June 18, 2020, the representatives of Intesa Sanpaolo S.p.A., UBI – Unione di Banche Italiane S.p.A., BPER Banca S.p.A., Unicredit S.p.A., Cattolica Assicurazioni, and Fondazione Banca del Monte di Lombardia;</w:t>
        <w:br/>
        <w:t>HAVING REGARD to the opinion of IVASS, received on July 10, 2020;</w:t>
        <w:br/>
        <w:t>HAVING REGARD to the acts of the proceedings and the documentation acquired during the investigation;</w:t>
        <w:br/>
        <w:t>CONSIDERING the following:</w:t>
        <w:br/>
        <w:t>I. THE PARTIES</w:t>
        <w:br/>
        <w:t>1. Intesa Sanpaolo S.p.A. is a company listed on the Milan Stock Exchange, at the head of the eponymous banking group active in the provision of banking, financial, and insurance services and products. In particular, the Intesa Sanpaolo Group (hereinafter referred to, together with the parent company, as “ISP” or “ISP Group”) primarily operates in the traditional banking sector (deposit collection and lending), in the distribution of insurance products (life and non-life), in investment banking, and in the asset management sector (through mutual funds, asset management</w:t>
      </w:r>
    </w:p>
    <w:p>
      <w:r>
        <w:rPr>
          <w:b/>
        </w:rPr>
        <w:t>[Pages 10–12]</w:t>
      </w:r>
    </w:p>
    <w:p>
      <w:r>
        <w:t>12 BULLETIN NO. 29 OF JULY 20, 2020</w:t>
        <w:br/>
        <w:t>individual and supplementary pension products), in the administered savings market, in consumer credit, factoring, leasing, and payment services. ISP is present in all Italian regions and provinces with approximately 3,800 branches.</w:t>
        <w:br/>
        <w:t>2. Its share capital is divided among numerous entities, and only three of them hold a share of the capital exceeding 3%: Compagnia di Sanpaolo, which holds 9.88% of the share capital; Fondazione Cassa di Risparmio delle Province Lombarde, which holds 4.68%; Blackrock Inc., which holds 5%. The revenue generated by ISP in 2018, calculated pursuant to Article 16, paragraph 2, of Law No. 287/90, amounted to approximately [70-80]* billion euros, of which approximately [60-70] billion euros were generated in the European Union and [50-60] billion euros were generated in Italy.</w:t>
        <w:br/>
        <w:t>3. UBI – Unione di Banche Italiane S.p.A. is a company listed on the Milan Stock Exchange, at the head of the eponymous banking group (hereinafter referred to, together with the parent company, as “UBI” or “UBI Group”). The UBI Group primarily engages in traditional banking activities (deposit collection and lending) and also operates in investment banking, the distribution of insurance products in life and non-life sectors, asset management (mutual funds, individual asset management services, supplementary pension products), as well as in consumer credit, factoring and leasing markets, administered savings, and payment services. UBI is active nationwide with a network of approximately 1,600 branches located in almost all Italian regions.</w:t>
        <w:br/>
        <w:t>4. The share capital of UBI is held by numerous entities, among which only those listed below hold a share exceeding 3%: Parvus Asset Management Europe Ltd, which holds 7.9%; Fondazione Cassa di Risparmio di Cuneo, which holds 5.91%; Silchester International Investors LLP, which holds 5.12%; Fondazione Banca del Monte di Lombardia, which holds 4.96%; HSBC Holdings PLC, which holds 4.89%. The revenue of UBI in 2019, calculated pursuant to Article 16, paragraph 2, of Law No. 287/90, amounted to approximately [10-20] billion euros, entirely generated in Italy.</w:t>
        <w:br/>
        <w:t>Intervening Parties</w:t>
        <w:br/>
        <w:t>5. Fondazione Banca del Monte di Lombardia (hereinafter also referred to as “FBML”) is a banking foundation that pursues exclusively social utility purposes and promotes economic development, aimed at achieving objectives that have the direct or indirect function of fostering civil society, preventing, correcting, and improving specific aspects of social reality, and addressing emerging needs of community life. It is particularly attentive to protecting the interests of the local realities in which it operates, namely the provinces of Milan and Pavia. FBML holds a stake in UBI equal to 4.96% of the share capital.</w:t>
        <w:br/>
        <w:t>6. Società Cattolica di Assicurazione - Società Cooperativa (hereinafter also referred to as “Cattolica”) is an Italian law company at the head of the eponymous Cattolica Group, which represents one of the largest operators in the offering of insurance products in Italy. It has commercial distribution relationships in the bancassurance sector with UBI, of which it is also a shareholder with a stake of approximately 1% of the share capital.</w:t>
        <w:br/>
        <w:t>7. Unicredit S.p.A. (hereinafter also referred to as “Unicredit”) is an Italian law company at the head of the eponymous group active, at the national and European level, in the banking, financial, and insurance sectors. In particular, it operates in traditional banking markets of deposit collection and lending, in Corporate and Investment Banking, in Wealth Management, through a national and international network of offices and branches serving clients in 18 countries worldwide.</w:t>
        <w:br/>
        <w:t>8. BPER Banca S.p.A. (hereinafter also referred to as “BPER”) is an Italian law company at the head of the eponymous group that primarily operates in traditional banking (deposit collection and credit provision), as well as in the distribution of insurance products (life and non-life), in investment banking, in the asset management sector (through mutual funds, individual asset management, and supplementary pension products), in the administered savings market, in consumer credit, factoring and leasing, and in payment services.</w:t>
        <w:br/>
        <w:t>II. DESCRIPTION OF THE OPERATION</w:t>
        <w:br/>
        <w:t>9. The operation consists of a total voluntary Public Exchange Offer (hereinafter also referred to as “OPS”), promoted by ISP pursuant to Articles 102 and 106, paragraph 4, of Legislative Decree No. 58 of February 24, 1998 – TUF, concerning the share capital of UBI. In particular, after announcing the decision to proceed with the OPS, made on February 17, 2020, on March 6, 2020, ISP filed the offer document with the National Commission for Companies and the Stock Exchange - CONSOB, in which it is provided that for every ten shares of UBI tendered in acceptance of the OPS, seventeen newly issued ordinary shares of ISP will be granted. To this end, on April 27, 2020, an extraordinary meeting of ISP was held, in which the capital increase to support the operation was approved. Through the OPS, ISP intends to proceed with the delisting of UBI and the subsequent merger of the latter with ISP itself.</w:t>
        <w:br/>
        <w:t>10. The OPS is subject to certain conditions, including: (a) the unconditional authorization from the Authority; (b) the acquisition by ISP of a share equal to at least 50% plus one share of the share capital of UBI; (c) the non-adoption by the corporate bodies of UBI of acts that may result in significant changes to the capital or economic situation of UBI; (d) UBI's abstention from performing acts or operations that may conflict with the objectives of the OPS; (e) the absence of extraordinary circumstances or events that result in significant negative changes in the political, financial, economic, or market situation and that have detrimental effects on the OPS.</w:t>
        <w:br/>
        <w:t>11. Concurrently with the decision to promote the OPS, on February 17, 2020, ISP entered into a binding agreement with BPER, whereby ISP committed to sell and BPER committed to purchase a business unit consisting of approximately [400-500] branches1, previously controlled by UBI (hereinafter also referred to as “UBI Business Unit”). In particular, the agreement provides that, [omitted], BPER will acquire control of the UBI Business Unit, consisting of rights, obligations, and legal relationships related to contracts signed with customers, employment relationships, and lease contracts, [omitted]2.</w:t>
        <w:br/>
        <w:t>1 Pursuant to Article 2 of the agreement signed between ISP and BPER, considering the type of operation and the consequent absence of specific information regarding UBI, the Parties defined the object of the sale based on the total value of the deposits and loans subject to the contract, in each province of interest. To this end, ISP and BPER established that the following will be subject to sale [omitted].</w:t>
        <w:br/>
        <w:t>2</w:t>
        <w:br/>
        <w:t>See Article 1 of the agreement signed between ISP and BPER and, in particular, the definition of Branch.</w:t>
      </w:r>
    </w:p>
    <w:p>
      <w:r>
        <w:t>14 BULLETIN NO. 29 OF JULY 20, 2020</w:t>
        <w:br/>
        <w:t>III. QUALIFICATION OF THE OPERATION</w:t>
        <w:br/>
        <w:t>12. The communicated operation, as it involves the acquisition of exclusive control of a company, constitutes a concentration pursuant to Article 5, paragraph 1, letter b), of Law No. 287/90.</w:t>
        <w:br/>
        <w:t>13. It falls within the scope of application of Law No. 287/90, as the conditions set out in Article 1 of EC Regulation No. 139/04 do not apply, and it is subject to the obligation of prior notification provided for by Article 16, paragraph 1, of the same law (as amended by Article 1, paragraph 177, of Law No. 124 of August 4, 2017, in force since August 29, 2017), as the total revenue, calculated pursuant to Article 16, paragraph 2, of Law No. 287/90, generated in the last financial year at the national level by the group of companies involved was over 504 million euros, and the revenue generated individually, at the national level, by at least two of them exceeds 31 million euros. Furthermore, the Operation does not have a community dimension pursuant to Article 1 of EU Regulation No. 139/2004 concerning the control of concentrations between companies, as each of the Parties generates more than two-thirds of its total revenue in the EU within a single EU State (Italy).</w:t>
        <w:br/>
        <w:t>14. Regarding the agreement between ISP and BPER, at the outset, the Authority considered that, although the agreement between these companies is legally binding and its execution is provided for “within a short period after the first execution,” ([omitted]), there were determining uncertainties regarding the exact definition of the perimeter of assets subject to sale. Therefore, based on what is provided in the consolidated Communication of the European Commission3, the assessment of the operation was conducted including the UBI Business Unit in the acquisition perimeter, due to the significant and determining uncertainties related to the perimeter of the assets subject to sale.</w:t>
        <w:br/>
        <w:t>IV. INITIATION OF THE PROCEDURE AND INVESTIGATIVE ACTIVITY</w:t>
        <w:br/>
        <w:t>15. On February 17, 2020, a communication from ISP regarding the operation in question was received; due to the lack of necessary information to proceed with its assessment, on March 3, 2020, the Authority sent a request for information, resulting in the interruption of deadlines pursuant to Article 5, paragraph 3, of the D.P.R. No. 217 of April 30, 1998. Subsequently, a new communication from ISP was received on April 27, 2020, supplemented on April 30, 2020.</w:t>
        <w:br/>
        <w:t>16. Given the documentation on file, including the observations submitted by UBI on March 19, 2020, on May 11, 2020, the Authority initiated an investigation, pursuant to Article 16, paragraph 4, of Law No. 287/90, against the companies ISP and UBI, considering that the concentration operation in question was likely to create and/or strengthen a dominant position in certain markets – all of which are extensively described below – of deposits, loans to consumer households and small producer households, loans to medium-large enterprises, and loans to public entities, in the asset management markets, in the administered savings market, as well as in certain insurance markets, in a manner that would eliminate or substantially and durably reduce competition therein.</w:t>
        <w:br/>
        <w:t>3 See the consolidated Communication of the Commission on the criteria for jurisdictional competence pursuant to EC Regulation No. 139/2004 of the Council concerning the control of concentrations between companies (Communication 2008/C 95/01, in O.J. EU No. C95/1 of April 16, 2008), paras. 28-33.</w:t>
      </w:r>
    </w:p>
    <w:p>
      <w:r>
        <w:rPr>
          <w:b/>
        </w:rPr>
        <w:t>[Pages 13–15]</w:t>
      </w:r>
    </w:p>
    <w:p>
      <w:r>
        <w:t>BULLETIN NO. 29 OF JULY 20, 2020 15</w:t>
        <w:br/>
        <w:t>17. On May 20, 2020, the companies Cattolica and FBML were admitted to participate in the proceedings. Subsequently, on May 22, 2020, the companies Unicredit and BPER were also admitted to participate in the proceedings.</w:t>
        <w:br/>
        <w:t>18. During the investigation, the Parties were heard in a hearing4 and had access to the documents of the proceedings on May 13, 15, 19, and 29, 20205. On May 30, 2020, a clarifying note was received from ISP, among other things, regarding the effects of the operation. On June 1, 2020, a note was received from Unicredit further discussing the topics addressed in the hearing of May 29, 20206.</w:t>
        <w:br/>
        <w:t>19. Furthermore, requests for information were sent not only to ISP and UBI7, but also to the Bank of Italy8, IVASS9, and other national banks10, as well as to some major insurance companies11. The companies FBML, BPER, Cattolica, and Unicredit were heard in hearings on May 26, 27, and 29, 2020, respectively.</w:t>
        <w:br/>
        <w:t>20. On May 12, 2020, requests for information and documents were sent to ISP, UBI, and Mediobanca S.p.A. through the Special Antitrust Unit of the Guardia di Finanza. The information and documentation thus acquired were filed in the records of the present proceedings12.</w:t>
        <w:br/>
        <w:t>21. On June 5, 2020, the Communication of Investigative Findings was sent to the Parties involved in the operation; on June 8, 2020, the Parties had access to the investigative file. Subsequently, on June 11 and 12, 2020, the companies ISP and UBI made an additional access according to the so-called data room procedures.</w:t>
        <w:br/>
        <w:t>22. On June 15, 2020, the final submissions from the Parties and intervening companies were received, which were made accessible on June 16, as well as observations from the Association of UBI Bank Shareholders. On this occasion, ISP brought to the Authority's attention the transfer of [over 500] branches – most of which to BPER – which will constitute the UBI Business Unit subject to transfer13.</w:t>
        <w:br/>
        <w:t>23. The identification of the aforementioned branches would be - in ISP's intention - aimed at eliminating the critical issues in all the catchment areas (hereinafter also CA) indicated by the CRI concerning the markets of bank deposits and loans to consumer households and small business-producing families, through: [omissis].</w:t>
        <w:br/>
        <w:t>24. With respect to such transfers, some critical CAs remain, as identified by the investigation and located in the provinces of [omissis], regarding which ISP has expressed its willingness to undertake commitments aimed at eliminating such critical issues.</w:t>
        <w:br/>
        <w:t>4 The hearings were held on May 22, 2020 (for ISP doc. 128), May 26, 2020 (for UBI doc. 155).</w:t>
        <w:br/>
        <w:t>5 In particular, for ISP see docs. 50, 63, and 83, for UBI doc. 84 and doc. 158, for FBML doc. 124, for Cattolica doc. 125, for BPER doc. 126, and for Unicredit doc. 127.</w:t>
        <w:br/>
        <w:t>6 Doc. 161.</w:t>
        <w:br/>
        <w:t>7</w:t>
        <w:br/>
        <w:t>See requests for information to UBI of April 14 (doc. 21) and May 13, 2020 (doc. 45); requests for information to ISP of April 17 (doc. 22) and May 13, 2020 (doc. 46).</w:t>
        <w:br/>
        <w:t>8</w:t>
        <w:br/>
        <w:t>Doc. 6 of February 20, 2020, doc. 20 of April 14, 2020, doc. 28 of May 4, 2020.</w:t>
        <w:br/>
        <w:t>9</w:t>
        <w:br/>
        <w:t>Doc. 7 of February 28, 2020.</w:t>
        <w:br/>
        <w:t>10</w:t>
        <w:br/>
        <w:t>See in particular the requests for information of May 13, 2020 sent to Unicredit (doc. 48), Banco BPM Banking Group (doc. 51), Banca Monte dei Paschi S.p.A. (doc. 47), Iccrea Banca (doc. 49), BNL S.p.A. (doc. 50).</w:t>
        <w:br/>
        <w:t>11 See in particular the requests for information sent on May 20, 2020 to Cattolica (doc. 93), Generali (doc. 94), Mutua Assicurazioni (doc. 98), and Poste Italiane (doc. 99).</w:t>
        <w:br/>
        <w:t>12</w:t>
        <w:br/>
        <w:t>Doc. 41 and doc. 50 bis.</w:t>
        <w:br/>
        <w:t>13 Doc. 269.</w:t>
      </w:r>
    </w:p>
    <w:p>
      <w:r>
        <w:t>16 BULLETIN NO. 29 OF JULY 20, 2020</w:t>
        <w:br/>
        <w:t>25. Finally, on June 18, 2020, the final hearing was held before the College14. On the same date, a request for an opinion was made to IVASS pursuant to Article 20, paragraph 4, of Law No. 287/90. The opinion was issued on July 10, 2020.</w:t>
        <w:br/>
        <w:t>V. THE INVESTIGATIVE FINDINGS</w:t>
        <w:br/>
        <w:t>V.1. Premise</w:t>
        <w:br/>
        <w:t>26. In the initiation order, it was highlighted how the operation is likely to have effects on the competitive dynamics of numerous local markets for deposits, loans to consumer households, and loans to small business-producing families, in the markets for loans to medium-large enterprises and public entities, in the markets of asset management and administered savings, as well as in some insurance markets. Furthermore, and even more generally, during the investigation, also due to the position and role of the Parties, as well as some arguments made by them, the effects of the operation were analyzed at the national and systemic level.</w:t>
        <w:br/>
        <w:t>27. Therefore, before examining the investigative findings in the individual relevant markets, an account will be given of what emerged regarding the national banking context and the position of ISP and UBI within it, with particular attention to the role played by the latter.</w:t>
        <w:br/>
        <w:t>a) The national context</w:t>
        <w:br/>
        <w:t>28. Currently, there are a total of 52 banking groups and 104 individual banks not belonging to groups (as well as numerous branches of foreign banks)15. Twelve of these groups16, which account for about 80% of the total activities of the system, have been classified as significant within the framework of the Single Supervisory Mechanism (SSM)17, which is the European banking supervision system that includes the ECB and the national supervisory authorities of the participating countries, whose purposes are to safeguard the safety and soundness of the European banking system, enhance financial integration and stability, and ensure consistent supervision. The introduction of this supervisory system and the related regulatory burdens, to which the "significant" banks in the euro area must comply, has effectively resulted in the major national banks that must conform to these provisions, being complemented by a supranational dimension18.</w:t>
        <w:br/>
        <w:t>29. In this context, the presence of two larger Groups, headed by ISP and Unicredit, emerges in Italy, which operate throughout the national territory, as well as with branches abroad, and are capable of playing a significant role at the supranational level. Alongside them, there are numerous medium-sized groups, active in many, but not all Italian regions, and which generally do not operate outside national borders, including the Group headed by UBI, which is present in 18 out of 20 regions.</w:t>
        <w:br/>
        <w:t>30. This market structure emerges from the analysis of various sector indicators, as outlined below. In particular, in terms of capitalization, ISP represents the first Italian banking group, with approximately 41 billion euros, followed by Unicredit, with approximately 29 billion, and UBI, with approximately 3.3 billion. Among the main operators are the Banco BPM Group, with approximately 3 billion, BPER, with approximately 2.3 billion, and Monte dei Paschi di Siena, with approximately 1.6 billion19.</w:t>
        <w:br/>
        <w:t>31. Conversely, considering net equity, Unicredit represents the first operator (approximately 61.4 billion), followed by ISP (approximately 55.9 billion); among the primary operators are also the Banco BPM Group (approximately 11.8 billion), the ICCREA cooperative group (approximately 11.4 billion), UBI (approximately 9.5 billion), Monte dei Paschi di Siena (approximately 8.5 billion), the CCB Group (approximately 6.7 billion), the Crédit Agricole Group (approximately 6.4 billion), and BPER (approximately 5.2 billion)20.</w:t>
        <w:br/>
        <w:t>b) The position of the Parties and the role of UBI as a maverick and/or aggregating entity</w:t>
        <w:br/>
        <w:t>32. Given this context, during the investigation, information was acquired to understand what the effects of the operation might be on the broader Italian banking, financial, and insurance system.</w:t>
        <w:br/>
        <w:t>33. In this regard, concerns have emerged from various quarters that can be summarized in the fear that the operation, on the one hand, strengthens ISP's already significant position in the market and, on the other hand, neutralizes the competitive pressure exerted by UBI, which - it has been argued - although a medium-sized bank, plays a significant role in the market due to its decentralized structure, technological and innovative component, as well as its strong local presence.</w:t>
        <w:br/>
        <w:t>34. In particular, regarding the position of the post-merger entity, it has emerged that the operation could have a non-negligible impact due to the increase in market shares resulting from the aggregation of the two groups, both in terms of territorial establishments and in terms of the intermediate masses, with a corresponding strengthening in the financial, banking, and insurance markets21.</w:t>
        <w:br/>
        <w:t>35. In this sense, BNL22 has noted that, as these are two operators at the very top of the Italian market in terms of number of branches and market shares, the operation as a whole will have significant effects on the entire sector23: the current context will indeed be modified, on the one hand, due to the strengthening of ISP against the second operator in the Italian market and, on the other hand, due to the disappearance of the third operator by capitalization. From the perspective of the end customer, this could translate into a future, reduced possibility of choice among operators, with more significant effects in certain geographical areas that, following the operation, will experience a more evident concentration of market shares.</w:t>
        <w:br/>
        <w:t>19 Data for the year 2019, sourced from the financial statements of the companies and from Borsa Italiana, available at www.borsaitaliana.it.</w:t>
        <w:br/>
        <w:t>20</w:t>
        <w:br/>
        <w:t>Data for the year 2019, sourced from the financial statements of the companies and from Borsa Italiana, available at www.borsaitaliana.it.</w:t>
        <w:br/>
        <w:t>21 See the response to the request for information (doc. 130), but also the minutes of the hearing of May 27, 2020 (doc. 152).</w:t>
        <w:br/>
        <w:t>22 Doc. 111.</w:t>
        <w:br/>
        <w:t>23</w:t>
        <w:br/>
        <w:t>In a similar vein, Generali expressed itself in the response of May 27, 2020, highlighting that to the extent that this is an operation of coordination between two major market players, it is unlikely that it would not produce effects on the competitive structure of the market (doc. 146).</w:t>
      </w:r>
    </w:p>
    <w:p>
      <w:r>
        <w:rPr>
          <w:b/>
        </w:rPr>
        <w:t>[Pages 16–18]</w:t>
      </w:r>
    </w:p>
    <w:p>
      <w:r>
        <w:t>18 BULLETIN NO. 29 OF JULY 20, 2020</w:t>
        <w:br/>
        <w:t>36. In a similar vein, Unicredit also noted that the operation, given the operators involved, is likely to alter the competitive dynamics of the banking, financial, and insurance sectors concerned, as it is susceptible to having a significant and lasting impact in various areas, such as retail banking, lending to SMEs and medium-large enterprises, asset management, the bancassurance sector, and payment systems24.</w:t>
        <w:br/>
        <w:t>37. In fact, according to Unicredit, the operation concerns the possible integration of two highly competitive entities in the Italian market and in overlapping areas of presence. Consequently, it is very likely that the market shares of the post-merger entity will not be destined to decline in the future due to possible integration difficulties, but rather to increase25.</w:t>
        <w:br/>
        <w:t>38. Conversely, according to Poste Italiane26, ISP already holds a position of absolute significance in the Italian banking and financial sector, so the proposed integration with UBI appears likely to strengthen, rather than significantly alter, ISP's current positioning. Based on estimates made by Poste Italiane that include both the number of branches and the deposit markets, including its own positioning, it does not believe that the operation is likely to produce significant effects on the competitive dynamics of the banking, financial, and insurance sectors concerned.</w:t>
        <w:br/>
        <w:t>39. Regarding UBI's position, the elements provided during the investigation account for its role as a medium-sized banking operator, with possible capacity for integration and aggregation through external growth operations.</w:t>
        <w:br/>
        <w:t>40. In particular, Unicredit observed that UBI is a particularly dynamic operator – a so-called maverick –27 and that its presence in a given local area would tend to lead to an increase in the level of competition and a general lowering of price levels for certain types of financing28. It follows that, through this operation, from a prospective point of view, ISP would eliminate a competitor that exerts considerable competitive pressure on the market. Furthermore, Unicredit itself emphasized that UBI could be considered a potential third banking pole in the Italian market.</w:t>
        <w:br/>
        <w:t>41. In this sense, according to Unicredit, this operation would be characterized by its exceptional nature, being aimed at the acquisition, by the leading market operator, of an operator with concrete growth possibilities, in order to limit competition29. In this perspective, the operation, through the dismantling of UBI, would entail a distortion of the market, aimed at preventing the creation of a third banking pole, or the growth opportunities of a third operator30.</w:t>
        <w:br/>
        <w:t>24 Doc. 114.</w:t>
        <w:br/>
        <w:t>25 Doc. 114. See also the content of the minutes of the hearing of May 29, 2020 (doc. 173 bis, as well as the note of June 1, 2020 (doc. 161) and the subsequent memorandum received on the same date (doc. 180).</w:t>
        <w:br/>
        <w:t>26 Doc. 145.</w:t>
        <w:br/>
        <w:t>27 In this regard, Unicredit emphasizes the established growth trend over the last 7 years, with performance not found in direct competitors (MPS and BPM); the greater capacity for value creation in terms of total shareholder return, performance in the stock market, growth in capitalization, as well as better performance in managing NPLs.</w:t>
        <w:br/>
        <w:t>28 Doc. 255.</w:t>
        <w:br/>
        <w:t>29 In this regard, Unicredit highlighted the specificities of UBI as a particularly aggressive entity that has secured important operations in the field of structured finance services for businesses; capable of quickly providing liquidity to the Italian production system during the Covid emergency, specifically regarding loans not exceeding 25,000 euros; as well as in terms of aggressiveness in talent acquisition activities, attracting professionals from major competitors. See also doc. 255.</w:t>
        <w:br/>
        <w:t>30 Cf. memorandum of June 1, 2020, doc. 180.</w:t>
      </w:r>
    </w:p>
    <w:p>
      <w:r>
        <w:t>BULLETIN NO. 29 OF JULY 20, 2020 19</w:t>
        <w:br/>
        <w:t>42. In this regard, it should be noted that UBI has stated that it has evaluated, at the project level, the possibility of proceeding with forms of aggregation with other medium-sized banking institutions (specifically MPS, BPER, and BPM)31, and in particular with BPER, in relation to which there is documentation of some technical meetings.</w:t>
        <w:br/>
        <w:t>43. On this point, BPER clarified that in the autumn of 2019, some exploratory contacts took place in which the prerequisites for a possible aggregation project between BPER and UBI were examined – in a completely preliminary manner. This dialogue was then interrupted at the end of 2019 upon communication from UBI, made through informal channels, that it wished to focus on other priorities, such as the development of its industrial plan, which was then presented in February32.</w:t>
        <w:br/>
        <w:t>44. There are no further documentary evidentiary elements supporting what was asserted by UBI and BPER.</w:t>
        <w:br/>
        <w:t>45. Furthermore, and more generally, BPER emphasized that, like UBI, it also expresses and will be able to express the dynamism that typically allows it to play a role as an operator capable of regulating the market33. This would be demonstrated by some indicators of commercial performance (for example, customer development rate and marketing data), as well as by the fact that, for years, BPER has pursued sustainability objectives, to strengthen its closeness to the territory through the offering of products and services that allow for greater social inclusion and concrete assistance to companies facing challenges such as the energy transition, seizing every opportunity for innovation and development alongside a competent and credible financial partner.</w:t>
        <w:br/>
        <w:t>46. Finally, it is noted that the Shareholders of UBI – in hoping for the realization of the operation – have pointed out that UBI is a traditional bank, operating with the same business model for many years and whose Industrial Plan 2022 has been prepared with a stand-alone perspective34.</w:t>
        <w:br/>
        <w:t>47. Regarding the position of the post-merger entity, it is noteworthy what was highlighted by Banca d'Italia35 regarding the fact that the operation, involving a significant increase in ISP's customer base, will allow for the development of important synergies, estimated at steady state at approximately [omissis], as well as to implement a significant reduction in the risk profile of UBI's credit portfolio, [omissis]. In this regard, it is noted that the operation has also been positively assessed by the ECB, particularly regarding the aspects of verifying sound and prudent management, the current and prospective stability of the belonging system, the ability to meet capitalization, liquidity, risk portfolio management, customer service level, and compliance with current regulations.</w:t>
        <w:br/>
        <w:t>c) The branch network</w:t>
        <w:br/>
        <w:t>48. During the investigation, concerns also emerged regarding the territorial establishment of the post-merger entity, given the significant increase in the number of branches.</w:t>
        <w:br/>
        <w:t>49. In this regard, it should be noted that the post-merger entity would hold approximately 4,900 branches distributed throughout the national territory. In fact, ISP holds approximately 3,300 branches, with a vast and capillary network present in all Italian regions; UBI, for its part, holds approximately 1,575 branches36 located as follows: Territorial Macro Areas Bergamo and Western Lombardy (265), Marche and Abruzzo (261), Lazio, Tuscany, and Umbria (231), South (226), Brescia and Northeast (201), Milan and Emilia Romagna (196), and Northwest (173).</w:t>
        <w:br/>
        <w:t>50. In terms of branches, the operation thus has an impact on the entire national territory, as also emerges from Figure 1, reproduced below.</w:t>
        <w:br/>
        <w:t>36 Data taken from UBI's financial statements as of December 31, 2019; for IW Bank S.p.A. branches, the territorial location is not indicated.</w:t>
      </w:r>
    </w:p>
    <w:p>
      <w:r>
        <w:rPr>
          <w:b/>
        </w:rPr>
        <w:t>[Pages 19–21]</w:t>
      </w:r>
    </w:p>
    <w:p>
      <w:r>
        <w:t>BULLETIN NO. 29 OF JULY 20, 2020 21</w:t>
        <w:br/>
        <w:t>Figure 1 – Impact of the operation on the branch network.</w:t>
        <w:br/>
        <w:t>51. In this regard, some industry operators also intervened during the investigation. In particular, ICCREA emphasized that the percentage of branches attributable to the post-merger entity (in consolidated terms) would be around 21%, with a territorial coverage of approximately 50% of municipalities with the presence of bank branches. At the regional level, the operation would result in market shares, in terms of branches, exceeding 15% in 16 out of 20 regions, with a significant improvement in market shares and the corresponding ranking in 8 Regions: Abruzzo, Basilicata, Emilia-Romagna, Lazio, Liguria, Lombardy, Molise, and Tuscany37.</w:t>
        <w:br/>
        <w:t>52. In this regard, Unicredit pointed out that both Parties to the operation have a particularly solid territorial presence which, together with the ability to use well-known brands, would allow them to exert a strong attractive potential and customer loyalty38.</w:t>
        <w:br/>
        <w:t>53. Regarding the increase in the number of branches, Poste Italiane highlighted that for banks, the strategic relevance of the size of the physical network is gradually but consistently decreasing, as evidenced by the process of branch closures, which continued in 2019 with over a thousand closures at the system level39.</w:t>
        <w:br/>
        <w:t>d) The local scope</w:t>
        <w:br/>
        <w:t>54. Lastly, the investigation revealed concerns related to some more limited territorial areas. In particular, FBML noted that it shares the concerns expressed by the Authority in the decision to initiate the proceedings regarding the markets for deposits and bank loans, as well as asset management, particularly identifying the risk of the establishment of a dominant position by ISP in the Lombard provinces where it is active, with the possibility of exploiting market power to the detriment of customers and consumers40.</w:t>
        <w:br/>
        <w:t>37 Doc. 106 of May 21, 2020.</w:t>
        <w:br/>
        <w:t>38 Doc. 114 of May 22, 2020, as well as the hearing minutes of May 29, 2020. In a similar sense, but in more general terms, Banco BPM also expressed itself (doc. 110 of May 21, 2020).</w:t>
        <w:br/>
        <w:t>39 Doc. 145 of May 26, 2020.</w:t>
        <w:br/>
        <w:t>40 Doc. 92, participation request of May 20, 2020, see also the minutes of the hearing of May 26, 2020 (doc. 142), as well as the minutes of the final hearing, doc. 296.</w:t>
      </w:r>
    </w:p>
    <w:p>
      <w:r>
        <w:t>22 BULLETIN NO. 29 OF JULY 20, 2020</w:t>
        <w:br/>
        <w:t>55. Similarly, Monte dei Paschi di Siena observed that the effects of the operation could be felt more acutely at the local level for the MPS Group41.</w:t>
        <w:br/>
        <w:t>V.2. The markets concerned</w:t>
        <w:br/>
        <w:t>a) Banking deposit market</w:t>
        <w:br/>
        <w:t>56. The banking deposit market identifies the entirety of direct banking deposits from ordinary customers through free and fixed-term current accounts, savings deposits, savings bonds, as well as certificates of deposit. In this definition of the deposit market, postal deposits are not included, as past analyses conducted by the Authority have shown that for consumers, the services provided by Poste Italiane in the deposit sector are not fully substitutable with those provided by traditional banks, although it should be considered that they still exert some form of competitive pressure42.</w:t>
        <w:br/>
        <w:t>57. Given the low mobility on the demand side, the banking deposit market has local territorial relevance, which, as a rule, the Authority has deemed to correspond in the first approximation to provincial boundaries, conducting, where appropriate, an analysis also at the level of catchment areas43.</w:t>
        <w:br/>
        <w:t>58. With specific regard to this market, but also concerning other banking markets, the information acquired during the most recent concentration investigations conducted by the Authority, which involved the banking sector44, has highlighted that online banking activity is not exactly attributable to the market in question. However, competitive pressure has been recorded on traditional banking operators from online banks, as a non-negligible portion of the population – especially among younger and higher-educated/income groups – would turn to these latter in response to a generalized increase in the prices of traditional current accounts.</w:t>
        <w:br/>
        <w:t>59. Regarding the effects of the operation, following requests for information sent to various market operators, it emerged that: according to BPM, the post-merger entity would hold significant market shares, exceeding 20%, in the main Italian regions and provinces. In numerous provinces, there would also be a significant variation in the degree of market concentration (HHI index); ICCREA, in turn, expressed concerns about the position that the post-merger entity could reach in deposits, particularly regarding the effects on local areas; similarly, Unicredit believes that in some territorial and provincial areas, the positioning of the Parties downstream of the operation would assume positions of absolute relevance. Finally, Poste Italiane, with reference to the main aggregates considered, including direct deposits, believes that the proposed operation could consolidate, rather than significantly alter, the positioning of ISP45.</w:t>
        <w:br/>
        <w:t>60. That said, at the outset, it was represented that the Parties would jointly hold significant market shares, exceeding 35%, in numerous provinces. In particular, the post-merger share would be between 35% and 40%46 in the provinces of Naples, Caserta, Vibo Valentia, Brescia, Brindisi, Arezzo, Pesaro and Urbino, Imperia, Catanzaro, Padua, and Monza-Brianza; it would exceed 40% in the provinces of Ancona, Rieti, Reggio Calabria, Cosenza, Prato, Novara, and Chieti, with peaks exceeding 50% in the provinces of Varese, Pavia, Verbano-Cusio-Ossola, Macerata, and Bergamo.</w:t>
        <w:br/>
        <w:t>61. In this regard, it is noted that, according to the Authority's practice47, the market shares of deposits and loans have been calculated using data collected based on the "branch location" criterion, which appropriately represents the ability of operators to exert their market power over demand; this is particularly true with reference to banking markets with a local dimension (markets for deposits, loans to consumer households, and loans to producer households and small businesses). In fact, as already established by the Authority, from the consumer's perspective, also considering the willingness and/or necessity for users to maintain a relationship with the branch, competition among banks occurs at the local level, in terms of the ability to attract customers to their branches located in the territory48.</w:t>
        <w:br/>
        <w:t>62. In the aforementioned provinces, where the preliminary screening on a provincial basis made it appropriate, a detailed analysis of competitive dynamics was also conducted at the level of catchment areas (so-called catchment area or CA) which allowed for the integration of the examination conducted on a provincial basis49.</w:t>
        <w:br/>
        <w:t>63. In particular, the analysis related to local markets confined to catchment areas was carried out based on the CAs centered on the 1,064 branches of UBI, as resulting from the information provided by ISP50 and by the Bank of Italy, and located in the provinces where the market share of deposits and/or loans to consumer households and/or loans to producer households-small businesses is not less than 35%51. The extent of these catchment areas was defined according to the Authority's practice, considering a maximum travel time of 30 minutes by car, calculated based on the mobility of banking customers52.</w:t>
        <w:br/>
        <w:t>64. More specifically, as a result of the investigative phase, the areas identified as subject to competitive criticality are those in which the post-merger entity would simultaneously hold:</w:t>
        <w:br/>
        <w:t>- a joint market share greater than or equal to 35%53;</w:t>
        <w:br/>
        <w:t>46 It should be noted that, based on the Authority's practice, the market share has been calculated considering the first two decimal places following the comma. Data from the Bank of Italy (2019).</w:t>
        <w:br/>
        <w:t>47</w:t>
        <w:br/>
        <w:t>See, among others, proceeding C12231 - BPER Banca/Unipol Banca, in Boll. 29/2019; proceeding C12138 - Cassa Centrale Raiffeisen dell'Alto Adige/Gruppo Bancario Cooperativo delle Casse Raiffeisen, in Boll. 22/2018.</w:t>
        <w:br/>
        <w:t>48</w:t>
        <w:br/>
        <w:t>See C12138 - Cassa Centrale Raiffeisen dell'Alto Adige/Gruppo Bancario Cooperativo delle Casse Raiffeisen, in Boll. 11/2018 where the results of an ad hoc survey on banking markets, conducted by the Authority and administered to a representative sample of consumers by a market research company, are also reported.</w:t>
        <w:br/>
        <w:t>49</w:t>
        <w:br/>
        <w:t>See C12138 Cassa Centrale Raiffeisen dell'Alto Adige/Gruppo Bancario Cooperativo delle Casse Raiffeisen, in Boll. 11/2018.</w:t>
        <w:br/>
        <w:t>50 It should be noted that ISP had provided a list of 1,086 centroids; the analysis conducted focused instead on 1,064 centroids as some were found to be located in provinces not involved in this investigation. For details of the analysis, reference is made to what is reported in the Appendix.</w:t>
        <w:br/>
        <w:t>51 For details on the construction of the CAs, reference is made to the Methodological Note in the Appendix.</w:t>
        <w:br/>
        <w:t>52 See C12138 Cassa Centrale Raiffeisen dell'Alto Adige/Gruppo Bancario Cooperativo delle Casse Raiffeisen, in Boll. 11/2018 where the results of an ad hoc survey on banking markets, conducted by the Authority and administered to a representative sample of consumers by a market research company, and lastly, C12231 BPER Banca/Unipol Banca, in Boll. 29/2019.</w:t>
        <w:br/>
        <w:t>53 The market shares of the Parties and competitors have been calculated based on value data, in line with the Commission's guidelines; see in this regard the "Commission Communication on the definition of the relevant market for the purposes of applying Community competition law" (p. 53 and 55).</w:t>
      </w:r>
    </w:p>
    <w:p>
      <w:r>
        <w:rPr>
          <w:b/>
        </w:rPr>
        <w:t>[Pages 22–24]</w:t>
      </w:r>
    </w:p>
    <w:p>
      <w:r>
        <w:t>24 BULLETIN NO. 29 OF JULY 20, 2020</w:t>
        <w:br/>
        <w:t>- a Herfindahl-Hirschmann Index (HHI) greater than or equal to 1,000 and less than or equal to 2,000, with a delta of attention not less than 250 or an HHI greater than 2,000 with a delta not less than 15054;</w:t>
        <w:br/>
        <w:t>- a distance from the second operator, in terms of market share, of not less than 10 percentage points.</w:t>
        <w:br/>
        <w:t>Overall, the adoption of this criterion has allowed for the identification of 639 critical areas in the banking deposit market, as well as, as illustrated below, 782 in loans to consumer households and 218 in loans to producer households-small enterprises.</w:t>
        <w:br/>
        <w:t>65. It is appropriate to specify that the absolute number of critical catchment areas identified in the investigation is lower than the sum of the numbers reported above since, in many cases, there is geographical coincidence in the critical areas attributable to different product markets. Furthermore, there is a high degree of overlap between the critical areas, as the same branch of UBI may fall within different catchment areas, being less than 30 minutes' drive from other branches of the same banking group55.</w:t>
        <w:br/>
        <w:t>66. With particular regard to the deposit market, the analysis conducted at the catchment area level has allowed for the identification of 639 critical catchment areas. These areas, as can be seen from the map shown in Figure 2, are primarily concentrated in 3 macro-areas of the country, namely in certain provinces of Lombardy, in the Marche, and in Calabria, as well as in more confined areas of Tuscany (particularly in the province of Arezzo), Abruzzo (particularly in the province of Chieti), and Campania (in the areas of Naples and Caserta). The analysis for catchment areas did not reveal any critical areas in the provinces of Padua and Prato.</w:t>
        <w:br/>
        <w:t>54 Regarding the level of HHI to be considered, see the "Guidelines on the assessment of horizontal concentrations under the Council Regulation on the control of concentrations between undertakings," in OJEC 2004/C 31/03.</w:t>
        <w:br/>
        <w:t>55 Moreover, in some cases, the proximity between UBI branches is such that they register coinciding catchment areas.</w:t>
      </w:r>
    </w:p>
    <w:p>
      <w:r>
        <w:t>BULLETIN NO. 29 OF JULY 20, 2020 25</w:t>
        <w:br/>
        <w:t>Figure 2 – Distribution of critical catchment areas in the deposit market.</w:t>
        <w:br/>
        <w:t>In particular, as indicated in Table 1, regarding Lombardy, the critical catchment areas are concentrated in the provinces of Bergamo and Brescia, as well as in Varese; concerning the Marche, in the provinces of Ancona, Pesaro and Urbino, and Macerata; in Calabria, it involves the provinces of Cosenza, Reggio Calabria, and Catanzaro.</w:t>
      </w:r>
    </w:p>
    <w:p>
      <w:r>
        <w:t>26 BULLETIN NO. 29 OF JULY 20, 2020</w:t>
        <w:br/>
        <w:t>Table 1: Deposit market – critical areas by province.</w:t>
        <w:br/>
        <w:t>Province No. of CA</w:t>
        <w:br/>
        <w:t>Arezzo 33</w:t>
        <w:br/>
        <w:t>Bergamo 120</w:t>
        <w:br/>
        <w:t>Caserta 14</w:t>
        <w:br/>
        <w:t>Chieti 16</w:t>
        <w:br/>
        <w:t>Catanzaro 9</w:t>
        <w:br/>
        <w:t>Monza-Brianza 7</w:t>
        <w:br/>
        <w:t>Macerata 60</w:t>
        <w:br/>
        <w:t>Napoli 23</w:t>
        <w:br/>
        <w:t>Reggio Calabria 17</w:t>
        <w:br/>
        <w:t>Varese 73</w:t>
        <w:br/>
        <w:t>Verbano CO 2</w:t>
        <w:br/>
        <w:t>Vibo Valentia 2</w:t>
        <w:br/>
        <w:t>Ancona 62</w:t>
        <w:br/>
        <w:t>Brindisi 4</w:t>
        <w:br/>
        <w:t>Brescia 122</w:t>
        <w:br/>
        <w:t>Cosenza 26</w:t>
        <w:br/>
        <w:t>Imperia 3</w:t>
        <w:br/>
        <w:t>Novara 5</w:t>
        <w:br/>
        <w:t>Pesaro and Urbino 22</w:t>
        <w:br/>
        <w:t>Pavia 17</w:t>
        <w:br/>
        <w:t>Rieti 2</w:t>
        <w:br/>
        <w:t>Total 639</w:t>
        <w:br/>
        <w:t>67. From a quantitative perspective, it is worth noting that the post-merger market share alone will exceed 50% in 171 of the examined catchment areas and will be between 40% and 50% in 288. In this regard, it is worth recalling that the Commission's Communication on the assessment of horizontal concentrations also highlights that there may be elements that lead to the conclusion of the existence of a dominant market position even in cases where the post-merger share is</w:t>
      </w:r>
    </w:p>
    <w:p>
      <w:r>
        <w:rPr>
          <w:b/>
        </w:rPr>
        <w:t>[Pages 25–27]</w:t>
      </w:r>
    </w:p>
    <w:p>
      <w:r>
        <w:t>BULLETIN NO. 29 OF JULY 20, 2020 27</w:t>
        <w:br/>
        <w:t>ranging between 40% and 50%, and in some cases below 40%56. In this regard, the same practice of the Authority in the analysis of concentration operations in the banking sector is relevant57.</w:t>
        <w:br/>
        <w:t>68. In conclusion, the investigation identified as critical, from a competitive standpoint, the positioning of the post-merger entity in the deposit market in 639 catchment areas located in the provinces of Ancona, Arezzo, Bergamo, Brescia, Brindisi, Caserta, Chieti, Cosenza, Catanzaro, Imperia, Monza-Brianza, Macerata, Naples, Novara, Pesaro and Urbino, Pavia, Reggio Calabria, Rieti, Varese, Verbania Cusio Ossola, and Vibo Valentia.</w:t>
        <w:br/>
        <w:t>b) Loan markets</w:t>
        <w:br/>
        <w:t>69. In the context of loans, various possible technical forms include short-term, medium-term, and long-term credit. From the demand perspective, loans can be distinguished based on the type of entities to whom they are granted: (i) consumer households; (ii) producer households-small enterprises; (iii) medium and large enterprises; and (iv) public entities. These different categories of entities express different financing needs, for which banks offer diversified products/services, and for these reasons, they constitute relevant product markets.</w:t>
        <w:br/>
        <w:t>70. The various forms of expressed demand are also characterized by differences in terms of mobility and, therefore, willingness to substitute the offer by seeking other loans in more or less extensive geographical areas. In particular, the loan markets for households and small enterprises present a local territorial dimension that, in the Authority's practice, has been assessed in the first approximation at the provincial level, conducting, where appropriate, an analysis at the catchment area level, analogous to that of the deposit market.</w:t>
        <w:br/>
        <w:t>b.1) Loans to consumer households and loans to producer households-small enterprises</w:t>
        <w:br/>
        <w:t>71. In the case at hand, both in the market for loans to consumer households and in that for loans to producer households-small enterprises, the joint shares of the Parties are significant in numerous provinces, exceeding 35% and sometimes reaching 40-50%, with peaks exceeding 60%58.</w:t>
        <w:br/>
        <w:t>72. In particular, with reference to the market for loans to consumer households, in the provinces of Monza-Brianza, Viterbo, Teramo, Cosenza, Como, Taranto, Campobasso, Terni, Aosta, Avellino, Perugia, Alessandria, Imperia, Arezzo, Vibo Valentia, Naples, Potenza, Savona, and Matera, the post-merger share of ISP will be between 35% and 40%; in the provinces of Macerata, Isernia, Ancona, Chieti, Reggio Calabria, Barletta-Andria-Trani, Novara, Prato, Brindisi, Pavia, Ascoli Piceno, Fermo, Cagliari, Caserta, Lecco, Foggia, Brescia, and Bari, as a result of the operation, ISP will hold a share between 40% and 50%; in the provinces of Varese, Rieti, and Bergamo, ISP will exceed 50%, with peaks exceeding 60% in Pesaro and Urbino and Verbano-Cusio-Ossola.</w:t>
        <w:br/>
        <w:t>73. Regarding the market for loans to producer households-small enterprises, the post-merger share will be between 35% and 40% in the provinces of Naples, Pesaro and Urbino, Brindisi, Ancona, Perugia, Chieti, Barletta-Andria-Trani, and Foggia; it will exceed 40% in the provinces of Isernia, Ascoli Piceno, Macerata, Cagliari, Pavia, Caserta, Bergamo, Reggio Calabria, Novara, Prato, Rieti, and Fermo; it will exceed 50% in the provinces of Varese and Verbano-Cusio-Ossola.</w:t>
        <w:br/>
        <w:t>56 See, in this regard, the Commission's guidelines on the assessment of horizontal concentration operations, point 17.</w:t>
        <w:br/>
        <w:t>57 See, for example, C8027-Banca Intesa/San Paolo IMI and C12231-BPER Banca/Unipol Banca (cit.).</w:t>
        <w:br/>
        <w:t>58 Data from Bank of Italy (2019).</w:t>
      </w:r>
    </w:p>
    <w:p>
      <w:r>
        <w:t>28 BULLETIN NO. 29 OF JULY 20, 2020</w:t>
        <w:br/>
        <w:t>74. As mentioned, following a more detailed analysis regarding the catchment areas, the investigation highlighted that the positioning of the post-merger entity will be critical in 782 and 218 catchment areas, respectively for the market of loans to consumer households and for the market of loans to producer households-small enterprises.</w:t>
        <w:br/>
        <w:t>75. From a geographical perspective, as illustrated by the following Figure 3, for loans to consumer households, the location of the critical catchment areas mirrors that of the deposit market, although there is an increase in problematic catchment areas in the Marche, Abruzzo, and Puglia, as well as in Umbria, and a slight decrease in Tuscany and Calabria. The analysis by catchment areas did not highlight critical issues for the provinces of Aosta, Cagliari, and Prato.</w:t>
        <w:br/>
        <w:t>Figure 3 – Distribution of critical catchment areas in the market for loans to consumer households.</w:t>
        <w:br/>
        <w:t>Regarding loans to producer households-small enterprises, the critical catchment areas are numerically fewer and are mainly concentrated in Lombardy and the Marche, as well represented by the following Figure 4. In the provinces of Barletta-Andria-Trani, Cagliari, Foggia, and Prato, no problematic catchment areas emerged.</w:t>
      </w:r>
    </w:p>
    <w:p>
      <w:r>
        <w:t>BULLETIN NO. 29 OF JULY 20, 2020 29</w:t>
        <w:br/>
        <w:t>Figure 4 – Distribution of critical catchment areas in the market for loans to producer households-small enterprises.</w:t>
        <w:br/>
        <w:t>A more detailed overview of the location of the critical areas of the two loan markets under examination is provided in Table 2 that follows.</w:t>
      </w:r>
    </w:p>
    <w:p>
      <w:r>
        <w:rPr>
          <w:b/>
        </w:rPr>
        <w:t>[Pages 28–30]</w:t>
      </w:r>
    </w:p>
    <w:p>
      <w:r>
        <w:t>30 BULLETIN NO. 29 OF JULY 20, 2020</w:t>
        <w:br/>
        <w:t>Table 2: Provincial Loan Markets – Critical Areas.</w:t>
        <w:br/>
        <w:t>n. CA Households n. CA Households</w:t>
        <w:br/>
        <w:t>Provinces</w:t>
        <w:br/>
        <w:t>consumers producers-s.m.e.</w:t>
        <w:br/>
        <w:t>Alessandria 15</w:t>
        <w:br/>
        <w:t>Ancona 65 8</w:t>
        <w:br/>
        <w:t>Arezzo 24</w:t>
        <w:br/>
        <w:t>Ascoli Piceno 12 12</w:t>
        <w:br/>
        <w:t>Avellino 1</w:t>
        <w:br/>
        <w:t>Bari 20</w:t>
        <w:br/>
        <w:t>Barletta-Andria-Trani 6</w:t>
        <w:br/>
        <w:t>Bergamo 120 15</w:t>
        <w:br/>
        <w:t>Brescia 129</w:t>
        <w:br/>
        <w:t>Brindisi 9 3</w:t>
        <w:br/>
        <w:t>Campobasso 3</w:t>
        <w:br/>
        <w:t>Caserta 9 6</w:t>
        <w:br/>
        <w:t>Chieti 33 1</w:t>
        <w:br/>
        <w:t>Como 15</w:t>
        <w:br/>
        <w:t>Cosenza 15</w:t>
        <w:br/>
        <w:t>Fermo 18 15</w:t>
        <w:br/>
        <w:t>Foggia 5</w:t>
        <w:br/>
        <w:t>Imperia 3</w:t>
        <w:br/>
        <w:t>Isernia 3 1</w:t>
        <w:br/>
        <w:t>Lecco 5</w:t>
        <w:br/>
        <w:t>Macerata 49 18</w:t>
        <w:br/>
        <w:t>Matera 3</w:t>
        <w:br/>
        <w:t>Monza-Brianza 5</w:t>
        <w:br/>
        <w:t>Napoli 8 5</w:t>
        <w:br/>
        <w:t>Novara 4 4</w:t>
        <w:br/>
        <w:t>Pavia 11 24</w:t>
        <w:br/>
        <w:t>Perugia 18 17</w:t>
        <w:br/>
        <w:t>Pesaro and Urbino 45 3</w:t>
        <w:br/>
        <w:t>Potenza 3</w:t>
      </w:r>
    </w:p>
    <w:p>
      <w:r>
        <w:t>BULLETIN NO. 29 OF JULY 20, 2020 31</w:t>
        <w:br/>
        <w:t>n. CA Households n. CA Households</w:t>
        <w:br/>
        <w:t>Provinces</w:t>
        <w:br/>
        <w:t>consumers producers-s.m.e.</w:t>
        <w:br/>
        <w:t>Reggio Calabria 16 8</w:t>
        <w:br/>
        <w:t>Rieti 3 1</w:t>
        <w:br/>
        <w:t>Savona 4</w:t>
        <w:br/>
        <w:t>Taranto 6</w:t>
        <w:br/>
        <w:t>Teramo 6</w:t>
        <w:br/>
        <w:t>Terni 4</w:t>
        <w:br/>
        <w:t>Varese 70 76</w:t>
        <w:br/>
        <w:t>Verbano Cusio Ossola 2 1</w:t>
        <w:br/>
        <w:t>Vibo Valentia 1</w:t>
        <w:br/>
        <w:t>Viterbo 14</w:t>
        <w:br/>
        <w:t>Total 782 218</w:t>
        <w:br/>
        <w:t>76. From a quantitative perspective, it is noteworthy that, with reference to the market for loans to consumer households, the post-merger market share will exceed 50% in 159 catchment areas, and will be between 40% and 50% in 460 of the examined catchment areas; in the market for loans to producer households-small enterprises, the combined market share will exceed 50% in 39 catchment areas and will be between 40% and 50% in 117.</w:t>
        <w:br/>
        <w:t>77. Consequently, the investigation highlighted how the concentration operation in question leads to a significant positioning of the post-merger entity in the market for loans to consumer households in 782 catchment areas located in the provinces of Alessandria, Ancona, Ascoli Piceno, Arezzo, Avellino, Bari, Bergamo, Brescia, Barletta-Andria-Trani, Brindisi, Caserta, Chieti, Como, Cosenza, Campobasso, Foggia, Fermo, Imperia, Isernia, Lecco, Monza-Brianza, Macerata, Matera, Naples, Novara, Perugia, Pesaro and Urbino, Pavia, Potenza, Reggio Calabria, Rieti, Savona, Taranto, Teramo, Terni, Varese, Verbano Cusio Ossola, Vibo Valentia, and Viterbo; and in the market for loans to producer households-small enterprises in 218 catchment areas located in the provinces of Ancona, Ascoli Piceno, Bergamo, Brindisi, Caserta, Chieti, Fermo, Isernia, Macerata, Naples, Novara, Pavia, Perugia, Pesaro and Urbino, Reggio Calabria, Rieti, Varese, and Verbano Cusio Ossola.</w:t>
        <w:br/>
        <w:t>78. In conclusion, with specific reference to the local markets for direct deposits, as well as for loans to consumer households and to producer households-small enterprises, the analysis conducted has highlighted a significant positioning of the post-merger entity in such a high number of catchment areas that it could lead to potential systemic implications at the national level.</w:t>
        <w:br/>
        <w:t>b.2) Loans to medium-large enterprises</w:t>
        <w:br/>
        <w:t>79. As for the market for loans to medium-large enterprises, it has a territorial dimension assessed in the first approximation at the regional level, given the greater mobility of such entities compared to the previous segments of demand.</w:t>
        <w:br/>
        <w:t>80. In this regard, during the investigation, ISP provided some arguments in favor of a different definition of the geographical dimension of the market, to be considered at least national. In particular, the Party emphasized that the supply conditions in relation to such markets are defined by banks at a centralized level, through specific corporate structures, and therefore, such relationships would be contestable on a national scale59; consequently, in this area, the conditions applied by the branches can only vary locally to a limited extent and in specific cases, depending on the customer's risk profile, their business segment or the activity they carry out, their strategic importance for the bank, the value of the transaction, as well as the negotiating power of the customer itself.</w:t>
        <w:br/>
        <w:t>81. Furthermore, according to ISP, medium-large enterprises, in their demand for financing, turn not only to local operators but to all those active on a national or international scale, sometimes even resorting to tender procedures. Again, for the aforementioned reasons, in ISP's opinion, in this market it would be more appropriate to use the criterion of "counterparty residence," given that banks also provide loans to enterprises located in other regions and that the same medium and large enterprises access bank credit also from operators located outside the regional territory.</w:t>
        <w:br/>
        <w:t>82. This issue was the subject of in-depth analysis during the investigation. In this regard, Unicredit60 stated that, although standard economic conditions are defined centrally, the powers and responsibilities for setting the conditions to be applied for each active and passive transaction are sub-delegated from the center to macro-areas (which take on regional boundaries) that have wide discretion, while operating within the framework of the limits and guidelines set centrally by the Pricing Policy. Furthermore, Unicredit specified that the granting of loans generally occurs in favor of enterprises located in the same geographical area where the branch granting the loan is located, with few exceptions related to clients who are part of economic groups based in different territorial areas. Therefore, the proposal put forward by ISP of a market with a geographical dimension equal to the entire national territory61 does not seem realistic.</w:t>
        <w:br/>
        <w:t>83. In a similar vein, Banco BPM62 expressed that, at the central level, reference metrics are defined, while at the local level, on a Macro Regional dimension, specific pricing strategies are exercised based on, for example, the specifics of the counterparty, the entrepreneurial fabric, and the individual territory.</w:t>
        <w:br/>
        <w:t>84. Similarly, MPS reported a table showing a very high percentage of deviations from standard pricing conditions, except for so-called Large Corporates, for which – while the loans are granted at the territorial level, although the organizational unit is centralized – the competence regarding credit decisions is almost exclusively at the central level.</w:t>
        <w:br/>
        <w:t>85. ICCREA also highlighted that the commercial policies are defined by each of the cooperative credit banks adhering to the Group individually, on a territorial basis, except for the more sophisticated, differentiated, and customized operations, which are instead mainly carried out by the subsidiary ICCREA BancaImpresa, which operates at the national level. More specifically, the granting of such loans is in favor of enterprises located in the same geographical area where the branch granting the loan is located, given the cooperative nature of the banks adhering to the Group and the supervisory provisions applicable to them, which clearly impose the perimeter and regulatory limits of their operations, in terms of credit exercise – predominantly towards their own members – providing that the possibility of exposures towards</w:t>
      </w:r>
    </w:p>
    <w:p>
      <w:r>
        <w:rPr>
          <w:b/>
        </w:rPr>
        <w:t>[Pages 31–33]</w:t>
      </w:r>
    </w:p>
    <w:p>
      <w:r>
        <w:t>BULLETIN NO. 29 OF JULY 20, 2020 33</w:t>
        <w:br/>
        <w:t>entities other than cooperative members shall in any case be towards entities that are resident or operating continuously within the "territorial competence area"63.</w:t>
        <w:br/>
        <w:t>86. Conversely, BNL emphasized that, for loans to medium-large enterprises, commercial policies are defined at the central/national level and the terms of offer are applied on a national basis, without the possibility of differentiation at the sub-national level64.</w:t>
        <w:br/>
        <w:t>87. Based on the evidence collected during the investigation and summarized here, it is not considered that sufficient elements have emerged to justify a deviation from the "branch localization" criterion, nor to modify the regional geographical definition of the market for loans to medium-large enterprises. Against this reconstruction stands the almost unanimous market practice of not adopting a national pricing policy, but recognizing broad possibilities for exceptions within the national territory, at least at the regional level. For this reason, the regional geographical dimension concerning the market in question has thus been confirmed.</w:t>
        <w:br/>
        <w:t>88. That said, as already highlighted in the initiation provision, the operation will lead ISP to hold a significant post-merger share in several Regions, as highlighted in the following Table 3.</w:t>
        <w:br/>
        <w:t>63 The "territorial competence area" includes the municipalities where the bank has its headquarters, its branches, or a number of members, relative to the resident population, at least equal to that calculated according to the methodology specifically defined by the same secondary regulation, and the neighboring municipalities. The Statute of Cooperative Credit Banks may provide that a share, "not exceeding 5% of the total exposures," may be taken outside the territorial competence area.</w:t>
        <w:br/>
        <w:t>64 Doc. 111.</w:t>
      </w:r>
    </w:p>
    <w:p>
      <w:r>
        <w:t>34 BULLETIN NO. 29 OF JULY 20, 2020</w:t>
        <w:br/>
        <w:t>Table 3: Loans to medium-large enterprises – market shares.</w:t>
        <w:br/>
        <w:t>Regions ISP UBI Market Share</w:t>
        <w:br/>
        <w:t>Piedmont [45-50]% [1-5]% [50-55]%</w:t>
        <w:br/>
        <w:t>Marche [15-20]% [15-20]% [35-40]%</w:t>
        <w:br/>
        <w:t>Umbria [25-30]% [5-10]% [35-40]%</w:t>
        <w:br/>
        <w:t>Sardinia [35-40]% [0-5]% [35-40]%</w:t>
        <w:br/>
        <w:t>Calabria [20-25]% [10-15]% [35-40]%</w:t>
        <w:br/>
        <w:t>In particular, the share is over 35% in the Regions of Marche, Umbria, Sardinia, and Calabria, while it exceeds 50% in Piedmont65. Additionally, the increase in market share attributable to UBI appears particularly significant in some cases, specifically in Umbria, Calabria, and Marche, amounting to [5-10]%, [10-15]%, and [15-20]%, respectively, in the latter case effectively doubling ISP's market share, leading to a consolidation of ISP's position.</w:t>
        <w:br/>
        <w:t>b.3) Loans to public entities</w:t>
        <w:br/>
        <w:t>89. In relation to the market for loans to public entities, in light of the recent in-depth analyses conducted by the Authority66, it is possible to consider that this market has a predominantly national geographical scope, provided that, given the heterogeneity of public entities (by nature and size), in certain specific circumstances a more restricted identification of the geographical area concerned may be necessary. In particular, during these in-depth analyses, it was verified that Cassa Depositi e Prestiti S.p.A. (hereinafter also "CDP") has taken on an increasing role both in cash/treasury services and in medium-long term financing, which are the two forms of loans traditionally associated with the financing demand of public entities.</w:t>
        <w:br/>
        <w:t>90. With reference to the market for loans to public entities, also following the aforementioned in-depth analyses conducted by the Authority, ISP provided some arguments regarding the appropriateness of including the loans granted by Cassa Depositi e Prestiti (hereinafter CDP) in the calculation of market shares; in this regard, ISP also noted that, in order to take into account the role of CDP, it would be more appropriate in this specific market to apply the "counterparty residence" criterion and that the geographical dimension of the market should be of a national nature.</w:t>
        <w:br/>
        <w:t>91. In order to further explore ISP's arguments, data on the loans granted to public entities by CDP67 were requested from the Bank of Italy.</w:t>
        <w:br/>
        <w:t>92. Regarding this area, UBI contested the existence of a national market, rather than a regional one, emphasizing that, to identify the bank to assign the cash and treasury service, public entities consider among the main qualifying criteria the number of branches held in the territory of the entity, which must be maintained for the entire duration of the agreement (averaging from 3 to 5 years)68.</w:t>
        <w:br/>
        <w:t>93. Despite UBI's contrary assertions, which refer to specific cases and not to the general operating methods of the market, the elements acquired during the investigation confirm that this market has a predominantly national geographical scope, while still allowing for the possibility that there may be territorial specificities due to the heterogeneity of public entities (by nature and size).</w:t>
        <w:br/>
        <w:t>94. In particular, the typical methods of awarding treasury services, through tender, lead to the conclusion that this segment of the loan market tends to have a national geographical scope, although in certain circumstances, for example where there are no active operators on a national scale interested in developing their activities in certain local areas, it may be more appropriate to refer to a more limited geographical scope. These considerations regarding the market's extent also apply to smaller local entities, as it has emerged from the in-depth analyses that these can directly approach CDP, which operates based on transparent and homogeneous conditions.</w:t>
        <w:br/>
        <w:t>95. Regarding medium-long term financing services, investigations have shown that for several years, changes to the regulatory framework governing the financing of public entities and the crisis of the banking system have contributed to an overall reduction in the flows of financing granted by the banking system to public entities; at the same time, CDP has taken on an increasing role in the provision of financing, thus making its economic conditions increasingly a reference point for the market, which is also subject to specific regulatory limits. The banking system and CDP operate, in this area, in compliance with common rules for both credit channels, also regarding the cases and methods of resorting to indebtedness.</w:t>
        <w:br/>
        <w:t>96. Due to the aforementioned regulatory constraints and a structure of offer conditions, including price, that are substantially homogeneous across the national territory and that are influenced by the presence of CDP, it seems reasonable to consider that this segment of the market for loans to public entities also has a national geographical scope; provided that, given the heterogeneity of public entities (by nature and size), in certain specific circumstances, for example concerning smaller local entities or certain non-territorial public entities, a more restricted identification of the market concerned at the geographical level may be necessary.</w:t>
        <w:br/>
        <w:t>97. In light of this, in order to highlight the role of CDP in the analysis of the market positioning of operators active in loans to public entities, given that CDP's only physical branch is located in Lazio, the "counterparty residence" criterion has been adopted. Given CDP's role in this market, the investigation has highlighted that, even considering the joint shares of the Parties in the individual regions, the operation will lead them to position themselves at average values below 10% and in any case never exceeding 20%, with UBI's increases on average not exceeding 3%.</w:t>
        <w:br/>
        <w:t>c) Market for administered savings</w:t>
        <w:br/>
        <w:t>98. The services of administered savings include the activity of collecting, transmitting, and negotiating orders in financial instruments on behalf of an investor who has made the conferment of individual orders to the same intermediaries. The provision of services related to the administered savings market is closely linked to traditional banking activity and, in</w:t>
      </w:r>
    </w:p>
    <w:p>
      <w:r>
        <w:rPr>
          <w:b/>
        </w:rPr>
        <w:t>[Pages 34–36]</w:t>
      </w:r>
    </w:p>
    <w:p>
      <w:r>
        <w:t>36 BULLETIN NO. 29 OF JULY 20, 2020</w:t>
        <w:br/>
        <w:t>particularly, with the banking collection market, considering the high correlation between holding a current account and a securities account at the same banking institution69. The administered savings market has a provincial dimension, given the limited willingness of the end customer to move.</w:t>
      </w:r>
    </w:p>
    <w:p>
      <w:r>
        <w:t>99. Given the close connection that exists between administered savings and collection, as highlighted earlier, it can be argued that if an individual requires administered savings services and therefore needs to open a securities account, they will turn to the bank where they already have a current account. Therefore, in accordance with the Authority's practice, it is believed that the demand expressed by banking collection is thus the proxy that can also be used for the analysis of the administered savings market.</w:t>
      </w:r>
    </w:p>
    <w:p>
      <w:r>
        <w:t>100. Based on this approach, confirmed by ISP during the investigation, the operation appears likely to have significant effects on competition in the same areas that have been evaluated within the collection market, where a possible alteration of competitive structures could occur.</w:t>
      </w:r>
    </w:p>
    <w:p>
      <w:r>
        <w:t>101. In this regard, it should be noted that UBI, following the initiation of the investigation, provided estimates regarding its market positioning in administered savings, which sometimes appear to deviate – in a positive or negative sense – from the share recorded for collection. However, it should be noted that these shares were calculated based on criteria that differ from those commonly used by the Authority70.</w:t>
      </w:r>
    </w:p>
    <w:p>
      <w:r>
        <w:t>102. Therefore, in the case at hand, also to ensure a correct examination of the effects of the operation and in line with previous cases, an analysis was conducted of the competitive effects of the operation in the administered savings market, also in defined local areas at the CA level, using the position of the Parties in the direct collection markets as a proxy, without the need for a separate and independent assessment in relation to the latter.</w:t>
      </w:r>
    </w:p>
    <w:p>
      <w:r>
        <w:t>d) Managed savings markets</w:t>
        <w:br/>
        <w:t>103. Within the managed savings sector, various activities are included that correspond to distinct product markets and are related to: (i) management of mutual investment funds; (ii) individual management of financial assets (GPM) and in funds (GPF); and (iii) management of supplementary pension products.</w:t>
      </w:r>
    </w:p>
    <w:p>
      <w:r>
        <w:t>104. Furthermore, the services offered within managed savings typically have an upstream management phase and a downstream distribution phase, each of which leads to the identification of distinct markets along the supply chain, both in geographical and product terms. The production phase, according to the Authority's consistent practice, has a national geographical dimension, being normally centralized and homogeneous throughout the Italian territory. Regarding the distribution market, however, considering the limited mobility of demand, the geographical dimension has been defined by the Authority, in the first approximation, at the provincial level; with reference to the pension sector, there are differences between contractual pension funds, open pension funds, and PIPs that can influence the definition of the geographical market, which may have a broader, typically national scope, but, also depending on the relevance of individual memberships, may require an extended screening even to smaller local areas71.</w:t>
      </w:r>
    </w:p>
    <w:p>
      <w:r>
        <w:t>105. With specific regard to the distribution phase, ISP has argued that the distinct products that make up the sector would constitute a single market for the distribution of managed savings services due to the coincidence of distribution channels and distributors.</w:t>
      </w:r>
    </w:p>
    <w:p>
      <w:r>
        <w:t>106. On this point, the investigation did not reveal unequivocal elements in favor of the thesis supported by ISP; on the contrary, several operators have indicated that they diversify the distribution methods of the products that fall within the managed savings sector.</w:t>
      </w:r>
    </w:p>
    <w:p>
      <w:r>
        <w:t>107. In particular, MPS has indicated that the different segments belonging to the managed savings market are offered according to specific lines of credit72. In the same direction, Unicredit73, ICCREA74, and Poste Italiane75 have also indicated.</w:t>
      </w:r>
    </w:p>
    <w:p>
      <w:r>
        <w:t>108. Conversely, Banco BPM76 and Cattolica77 have expressed that it would be more accurate to consider a single distribution market due to the economic characteristics of the activities included in managed savings, which leads these companies to a unified commercial planning of the aforementioned products.</w:t>
      </w:r>
    </w:p>
    <w:p>
      <w:r>
        <w:t>109. Given the non-univocal position of the entities operating in the market, there are currently insufficient elements to modify the Authority's established practice, and therefore, the analysis was conducted considering the distribution of mutual investment funds, supplementary pension products, and individual management of financial assets (GPM) and in funds (GPF) as distinct markets.</w:t>
      </w:r>
    </w:p>
    <w:p>
      <w:r>
        <w:t>110. In this context, in order to assess the competitive conditions in these markets, according to the Authority's practice, the positioning in direct and indirect banking collection was taken into consideration, which constitutes a fundamental reference driver for operators. This is also due to the low reliability of the estimates produced by the Parties, as they are not the result of a census, are provided as of December 31, 201778, and are calculated based on criteria different from those commonly used by the Authority. In this case, the combination of these circumstances has made it more appropriate, also to ensure a correct examination of the effects of the operation in the distribution markets of managed savings, including in defined local areas at the CA level, to use the data from direct and indirect collection as a proxy for assessing the effects of the operation.</w:t>
      </w:r>
    </w:p>
    <w:p>
      <w:r>
        <w:t>111. In this regard, it is also necessary to consider the importance of distribution in the value chain of managed savings, as evidenced by the fact that SGRs return approximately 70% of the commissions received to placement networks. Regarding the weight of the banking channel in distribution, it is noted that banking groups occupy a dominant position, placing almost all mutual funds in retail offerings, 70% through branch channels and 30% through the network of consultants79.</w:t>
      </w:r>
    </w:p>
    <w:p>
      <w:r>
        <w:t>112. With reference to these markets, the investigation has revealed some concerns mainly related to the extensive territorial presence, the vertical integration of these operators, as well as the breadth of the range in the upstream phase80. With specific regard to distribution aspects, it has been observed that, being connected to banking collection, the post-merger entity, with a very widespread network, could have significant bargaining power in the managed savings industry, attracting the attention of all major Asset Managers who could propose exclusive offers on certain products81.</w:t>
      </w:r>
    </w:p>
    <w:p>
      <w:r>
        <w:t>113. Furthermore, Generali has noted the possibility for the post-merger entity to strategically optimize its presence within one market to reduce competition in other markets82.</w:t>
      </w:r>
    </w:p>
    <w:p>
      <w:r>
        <w:t>114. Unicredit, on the other hand, has highlighted that, given the strong integration between the production and distribution phases already existing today in ISP and the low openness to the distribution of third-party products, external growth operations such as the one in question can consolidate the strong link between production and distribution and lead to the integration of the two respective networks in the distribution phase, allowing the post-merger entity to increase the market shares of its products at the expense of third-party products83.</w:t>
      </w:r>
    </w:p>
    <w:p>
      <w:r>
        <w:t>d.1) Management of mutual investment funds</w:t>
        <w:br/>
        <w:t>115. A mutual investment fund is an autonomous asset, divided into shares, belonging to multiple participants, managed upstream. As mentioned, the activity related to mutual investment funds presents two phases that identify two distinct markets: production and distribution. In this context, based on the information provided by the Parties, it appears that both ISP and UBI are active in both the production and distribution phases.</w:t>
      </w:r>
    </w:p>
    <w:p>
      <w:r>
        <w:t>116. In particular, regarding production, ISP has a share of approximately [15-20]% while UBI's share is approximately [1-5]%, resulting in the Parties holding a post-merger national share of approximately [20-25]%.</w:t>
      </w:r>
    </w:p>
    <w:p>
      <w:r>
        <w:t>117. However, in a vertically integrated group structure along the supply chain, between the management/production market and the distribution market, the position of the Parties also appears to be evaluated in light of the distribution capacity of the new entity. The latter, as mentioned and for the reasons outlined above, has been analyzed using the position of the Parties in direct and indirect collection as a proxy, to which reference is made.</w:t>
      </w:r>
    </w:p>
    <w:p>
      <w:r>
        <w:t>d.2) Individual management of financial assets (GPM) and in funds (GPF)</w:t>
        <w:br/>
        <w:t>118. Individual management of financial assets (GPM) is an activity carried out by banks, investment firms, and asset management companies, based on a mandate given by the client. Unlike collective management, the assets of each client remain distinct from those of others. The management of assets in funds (GPF) also has the peculiarity that the financial resources of the client are invested in shares of mutual investment funds. GPFs are assimilated to collective management even though, from a contractual point of view, they have a common element with individual management, as the client can request the manager to modify the composition of the portfolio, always choosing from shares of mutual funds.</w:t>
      </w:r>
    </w:p>
    <w:p>
      <w:r>
        <w:rPr>
          <w:b/>
        </w:rPr>
        <w:t>[Pages 37–39]</w:t>
      </w:r>
    </w:p>
    <w:p>
      <w:r>
        <w:t>BULLETIN NO. 29 OF JULY 20, 2020 39</w:t>
        <w:br/>
        <w:t>119. The Parties have communicated that they are active both in the production phase and in the distribution phase of individual management services (GPM and GPF). In particular, in the production phase, ISP is active through its subsidiaries Eurizon Capital SGR S.p.A. and Fideuram – Intesa Sanpaolo Private Banking S.p.A. and holds a market share of approximately [15-20]%; as for UBI, it is active through the company Pramerica SGR S.p.A., with a market share of approximately [1-5]%. Following the operation, therefore, the post-merger entity will hold a national market share of approximately [20-25]%.</w:t>
        <w:br/>
        <w:t>120. Even in this market, however, given the vertically integrated nature of the services, the market share held by the Parties in production must also be evaluated in light of the market share in the distribution of the same management services.</w:t>
        <w:br/>
        <w:t>121. The latter, as previously mentioned and for the reasons outlined above, has been analyzed using the position of the Parties in direct and indirect collection as a proxy, to which reference is made.</w:t>
        <w:br/>
        <w:t>d.3) Management of supplementary pension products</w:t>
        <w:br/>
        <w:t>122. Supplementary pension aims to meet the income needs of workers during their retirement phase. This objective is pursued in Italy through a pension structure based on two different modes of intervention: (i) mandatory pension; (ii) supplementary pension, realized through the use of negotiated pension funds (or closed), open pension funds, and individual pension policies (PIP).</w:t>
        <w:br/>
        <w:t>123. As mentioned, there are differences between negotiated pension funds, open pension funds, and PIPs that may influence the definition of the geographical market. In particular, negotiated pension funds are established for individual companies or groups of companies, for categories of workers, sometimes for territorial grouping; they are subject to a national collective agreement or company agreements or regulations and are managed, based on contributions, by SGRs, insurance companies, or banks. Open pension funds, on the other hand, are established and managed directly by banks, insurance companies, and SGRs and can be either collectively subscribed (like negotiated funds) or individual. Finally, PIPs are individual subscription supplementary pension contracts.</w:t>
        <w:br/>
        <w:t>124. In the production market, ISP holds a market share of approximately [10-15]% while UBI is only marginally active, with a share of less than 1%.</w:t>
        <w:br/>
        <w:t>125. Even in this market, however, given the vertically integrated nature of the services, the market share held by the Parties in production must also be evaluated in light of the market share in the distribution of the same management services. The latter, as specified for the previous markets and for the reasons outlined above, has been analyzed using the position of the Parties in direct and indirect collection as a proxy, to which reference is made.</w:t>
        <w:br/>
        <w:t>126. In conclusion, also considering the concerns that emerged during the investigation and are briefly recalled here, the analysis conducted of the asset management sector has taken into account the vertically integrated structure that ISP would hold post-merger, considering the extensive network of branches that could, on the one hand, hinder market access for producers and, on the other hand, lead to a consolidation of ISP's position. In this regard, it is noted that at the production level, following the operation, ISP will hold a market share still below 25%, with an increase attributable to UBI's market share still below 5% and, in the supplementary pension markets, significantly below 1%.</w:t>
        <w:br/>
        <w:t>84 With specific regard to this market, it should be noted that, considering the estimates provided by ISP (as previously mentioned, UBI did not provide any estimates), the only province where the post-merger market share exceeds 35% is Ascoli Piceno, where the Parties will hold a share of [35-40]%, with an increase due to UBI's position significantly below 1%.</w:t>
      </w:r>
    </w:p>
    <w:p>
      <w:r>
        <w:t>40 BULLETIN NO. 29 OF JULY 20, 2020</w:t>
        <w:br/>
        <w:t>127. With respect to these upstream market shares, in the distribution phase, what has already been observed regarding the markets of direct and indirect collection is relevant, to whose conclusions, as previously mentioned, reference is made.</w:t>
        <w:br/>
        <w:t>e) Insurance markets</w:t>
        <w:br/>
        <w:t>128. With reference to the life and non-life insurance markets, according to the established orientation of the Authority, each branch of the life and non-life insurance sectors represents a distinct market. This distinction regarding individual insurance branches is primarily based on the object of the service rendered, the risks assumed, and the insurance coverage objective expressed by the demand of each individual branch. Furthermore, the non-life and life insurance markets are distinct, each between the production phase, which has a national geographical dimension, and the distribution phase, which is characterized by its local dimension, considered in the first approximation at the provincial level according to the Authority's practice.</w:t>
        <w:br/>
        <w:t>129. Due to the activities carried out by the Parties, the operation concerns the production market of life branches and the distribution markets of life and non-life branches.</w:t>
        <w:br/>
        <w:t>130. It is first highlighted that, from the investigative activity, it was found that an agreement ("Unipol Agreement") was signed by ISP on February 17, 2020, with UnipolSai Assicurazioni S.p.A. ("UnipolSai"). The Unipol Agreement provides for UnipolSai's commitment to purchase a business unit including certain assets and liabilities of UBI's bancassurance vehicles concerning the clientele of the UBI Business Unit, in the event that, following the completion of the operation, UBI [omitted]. The Unipol Agreement, conditioned upon the successful transfer to BPER of the UBI Business Unit, as per the agreement between ISP and BPER, and the obtaining of the necessary authorizations, does not fall – in ISP's reconstruction – within the scope of the present operation and, therefore, its possible effects will not be evaluated here, also considering the uncertainty of its realization.</w:t>
        <w:br/>
        <w:t>131. As for the production phase of life branches, in which ISP operates through Intesa Sanpaolo Vita and Fideuram Vita, the operation will concern branches I, III, and VI. In particular, considering UBI's contribution through its subsidiary BancAssurance Popolari S.p.A. (hereinafter, "BAP"), as well as the participations AVIVA Vita and Lombarda Vita S.p.A., the post-merger entity will hold a significant position in branch I (human life) with a share of approximately [15-20]%, in branch III (investment funds) with a share of approximately [20-25]%, and in branch VI (pension funds) where the joint share will reach approximately [30-35]%. It is noted that UBI's contribution, through captive companies, is below [1-5]%. However, in a vertically integrated group structure along the supply chain, between the management/production market and the distribution market, the position of the Parties also appears to be evaluated in light of the distribution capacity of the new entity.</w:t>
        <w:br/>
        <w:t>132. Regarding the distribution phase of life policies, ISP has market shares exceeding 15% in numerous provinces and exceeds 25% in the provinces of Imperia, Verbano-Cusio-Ossola, Novara, Prato, Padua, and Rovigo; concerning UBI, it should be emphasized that it distributes, in addition to BAP's policies, at least also the life policies of Aviva Vita and Lombarda Vita. Therefore, based on the data made available by IVASS, the positioning attributable to UBI appears to exceed 25% in the provinces of Bergamo, Brescia, and Macerata; while it exceeds 15% in the provinces of Pavia, Varese, and Pesaro Urbino.</w:t>
        <w:br/>
        <w:t>133. Consequently, the joint position of the post-merger entity is likely to reach market shares exceeding 35% in the provinces of Bergamo ([40-45]%), Brescia ([40-45]%), Rovigo ([35-40]%), Varese ([35-40]%), Pavia ([35-40]%), Imperia ([35-40]%), and Macerata ([35-40%]).</w:t>
        <w:br/>
        <w:t>134. As for the production in the various non-life branches, the only markets where the joint share of the Parties, following the concentration, will reach a certain significance are branch 2, in which the post-merger entity's share will be slightly above [20-25]%, and branch 16, in which the cumulative share of the Parties will be slightly below [10-15]%89.</w:t>
        <w:br/>
        <w:t>135. Regarding the distribution phase of non-life policies, it should be highlighted that, based on the information provided, ISP's share exceeds 15% only in the province of Treviso, where it holds a share of approximately [15-20]%. In this market, UBI, through its subsidiaries, holds an absolutely marginal share, below one percentage point, so the only province where, following the operation, the joint share of the Parties will exceed 15% is the province of Treviso with an estimated share of approximately [15-20]%.</w:t>
        <w:br/>
        <w:t>136. Also concerning distribution through various distribution channels, bank branches, financial promoters, and brokers, the operation allows for achieving a share slightly below [25-30]% in the financial promoters channel; a channel that weighs, compared to other distribution channels, merely [10-15]%, against the [55-60]% represented by bank branches, a channel on which the post-merger entity will hold a joint share of approximately [20-25]%.</w:t>
        <w:br/>
        <w:t>137. Regarding its positioning in these markets, UBI has stated that it distributes insurance products mainly through its branch network, while products Ibips and supplementary pension products are also distributed through so-called Private Centers, which consist of offices dedicated to top private clients; and a network of financial consultants who place products in an "off-site" manner.</w:t>
        <w:br/>
        <w:t>138. Regarding the possible changes in the competitive structure of the insurance markets following the operation – according to ICCREA – given ISP's strong focus on the development of bancassurance, particularly in non-life branches, it is conceivable that even at the new branches resulting from the acquisition, this component will constitute an important development asset, with likely impacts on competitive dynamics in the markets where the overlap of the Parties' shares in terms of the number of branches held is greatest. Similarly, BNL has indicated that the concentration operation could lead to a further strengthening of the position of ISP's two captive companies, which already at this moment have a significant market share in both the life and non-life sectors.</w:t>
        <w:br/>
        <w:t>139. Unicredit has emphasized the importance of the vertical integration that characterizes ISP and UBI in the value chain, as integrated entities also in production, for example, in the</w:t>
      </w:r>
    </w:p>
    <w:p>
      <w:r>
        <w:rPr>
          <w:b/>
        </w:rPr>
        <w:t>[Pages 40–42]</w:t>
      </w:r>
    </w:p>
    <w:p>
      <w:r>
        <w:t>42 BULLETIN NO. 29 OF JULY 20, 2020</w:t>
        <w:br/>
        <w:t>markets of asset management and bancassurance. By expanding its client base following the operation, the new entity will have an extensive customer base, amounting to approximately [15-20] million individuals, to whom it can offer the products of its captive companies, making it difficult for third-party operators to access these markets.93</w:t>
      </w:r>
    </w:p>
    <w:p>
      <w:r>
        <w:t>140. Cattolica has also expressed concerns regarding the effects of the operation in certain non-life insurance markets, especially in light of the agreement signed between ISP and UnipolSai for the potential transfer to the latter of the business units active in the insurance sector, held by UBI.94 In particular, Cattolica – for which UBI represents one of the main distribution channels – has highlighted the interest it places in the operation since this consolidated partnership has strategic significance for Cattolica, for which the banking channel is the main distribution channel. In this context, Cattolica has emphasized that it is important for the company to understand whether the existing contract will be renewed by UBI.95</w:t>
      </w:r>
    </w:p>
    <w:p>
      <w:r>
        <w:t>141. Generali has highlighted, particularly with reference to bancassurance, the risk that the operation may reduce the competitive scope of competitors due to the size and positioning of the two entities involved. Regarding the relationships with ISP and UBI, Generali has disclosed that it entered into an indefinite agreement in 2009, with the option for both Parties to withdraw, for the distribution of insurance products (guarantees for the coverage of leased tangible assets) with UBI Leasing S.p.A.96</w:t>
      </w:r>
    </w:p>
    <w:p>
      <w:r>
        <w:t>142. MPS, while believing that the operation will not change the relationships between the management and development of the offering catalog and its distribution phase, points out the significance that the post-merger entity's growth could assume with the effect of: further increasing market shares, as well as pursuing additional economies of scale, generating greater efficiency on the cost side, and thus increasing the attractiveness of the customer base through product pricing strategies, thanks to increased territorial coverage, and therefore increasing profitability by generating more resources to be dedicated to investments.97</w:t>
      </w:r>
    </w:p>
    <w:p>
      <w:r>
        <w:t>143. According to BPM, the operation is likely to strengthen the market power of the post-merger entity, especially in terms of product manufacturing compared to ISP's captive companies. In any case, the operation should not limit the ability of other banking entities to operate as distributors of insurance products.98</w:t>
      </w:r>
    </w:p>
    <w:p>
      <w:r>
        <w:t>144. Conversely, Poste Italiane99 does not believe the operation is likely to significantly alter the insurance markets, as, even without considering the potential impact of the Unipol Agreement, the inevitable consolidation of the Parties' positioning would not be likely to alter the ranking of insurance companies in the Italian market, as Generali would remain the leading operator at the national level, followed by ISP, which is already positioned as the second operator. Cattolica's ranking should also not undergo changes. Regarding its own positioning, Poste Italiane stated that the production and distribution dynamics of Poste Vita should not be affected by the operation in question, as the acquired experience allows Poste Vita to independently develop and innovate its product range based on the characteristics of the clientele served by the Poste Italiane network. This clientele is often multi-banked and allocates part of its savings with Poste Italiane for diversification of the intermediary.</w:t>
      </w:r>
    </w:p>
    <w:p>
      <w:r>
        <w:t>145. Regarding these observations, the documentation acquired during the investigation has highlighted the following. Concerning production in the life branches, only in branch VI does a significant share of approximately [30-35]% reach, against a marginal increase contributed by UBI. In this market, ISP will continue to be the third operator, after Generali and Unipol, maintaining the previous ranking and leaving the previous competitive dynamics substantially unchanged. Regarding production in the non-life branches, the joint share of the Parties appears to be marginal in almost all branches, except for branches II and VI, in which the post-merger entity will become the second operator, after Generali and slightly distancing Unipol, holding shares of [20-25]% and [10-15]%, respectively.</w:t>
      </w:r>
    </w:p>
    <w:p>
      <w:r>
        <w:t>146. As for the distribution markets, it is highlighted that the positioning of the post-merger entity appears significant in some provinces, particularly for life products. Indeed, in five provincial areas, the joint share of the Parties, following the operation, will exceed 35% (Rovigo, Varese, Pavia, Imperia, and Macerata), while in two provinces this share will be above 40% (Bergamo and Brescia). Achieving these shares entails, due to the contribution made by UBI, a significant strengthening of ISP's positioning. Finally, regarding the distribution markets of non-life branches, where the Parties' shares are more contained, the 15% share is exceeded only in the province of Treviso.</w:t>
      </w:r>
    </w:p>
    <w:p>
      <w:r>
        <w:t>VI. THE ARGUMENTS OF THE PARTIES</w:t>
        <w:br/>
        <w:t>147. During the proceedings, and particularly in the final submissions filed on June 15, 2020, and during the subsequent hearing held before the College on June 18, 2020, the Parties had the opportunity to present their position regarding certain procedural aspects as well as, on the merits, regarding the purposes and effects of the operation; this will be briefly summarized in the following paragraphs.</w:t>
      </w:r>
    </w:p>
    <w:p>
      <w:r>
        <w:t>The procedural issues</w:t>
        <w:br/>
        <w:t>148. From a procedural standpoint, ISP noted the presence of some anomalies in the conduct of the investigation, which would not have been carried out according to the established practice regarding concentrations, but rather based on the procedures typical of investigations into antitrust violations, such as agreements and abuses of dominant position.101 This deviation would particularly concern the position granted to the other parties in the proceedings (including UBI), to whom rights to a fair hearing similar to those of ISP would have been guaranteed.</w:t>
      </w:r>
    </w:p>
    <w:p>
      <w:r>
        <w:t>149. Furthermore, ISP expressed doubts regarding the scope of the operation examined by the Authority, which, according to the notifying party, would be different and broader than that communicated, "thus undermining ISP's right to submit the operation for the AGCM's authorization in the exact terms in which it was configured."102 This is due to the signing of the agreement with BPER, the subject of which should not have been included in the Authority's assessment.</w:t>
      </w:r>
    </w:p>
    <w:p>
      <w:r>
        <w:t>150. BPER shares the same view, highlighting that the agreement signed with ISP precisely identifies "the assets subject to transfer and their geographical locations on a provincial basis and thus the revenue-generating assets."103 The same company admitted that "naturally, it is possible that, in certain situations, the information available to the parties may not be sufficient for completing the analysis according to the criteria set by the Authority. This typically occurs when, for example, the buyer cannot rely on the cooperation of the target [as in the present case]." Therefore, even in the absence of all the information, the Authority should have examined the operation by separating the Business Unit subject to the contract.</w:t>
      </w:r>
    </w:p>
    <w:p>
      <w:r>
        <w:t>151. Conversely, UBI argued that the presentation of corrective measures by ISP on June 15, 2020, substantially modifies the scope of the operation, to the point that ISP should proceed with a new notification.</w:t>
      </w:r>
    </w:p>
    <w:p>
      <w:r>
        <w:t>The substantive issues: the effects of the operation at the national level</w:t>
        <w:br/>
        <w:t>152. On the merits, ISP first highlighted that the present operation should be framed not only in the national context but in the broader context of the euro area, where all banking operators are subject to the same rules imposed by the SME and the ECB, which have profoundly changed the way of "doing banking" in recent years.104 [Omitted].</w:t>
      </w:r>
    </w:p>
    <w:p>
      <w:r>
        <w:t>153. To this end, also considering the competition exerted by technological operators that have entered the sector, [omitted].</w:t>
      </w:r>
    </w:p>
    <w:p>
      <w:r>
        <w:t>154. In this market context, ISP [omitted] and, more generally, the risk that UBI currently cannot optimize due to its income statement.</w:t>
      </w:r>
    </w:p>
    <w:p>
      <w:r>
        <w:t>155. That said, from a strictly antitrust perspective, ISP believes that the notified operation would not present any critical issues from a national standpoint, as it is not likely to produce either unilateral or coordinated effects. In particular, the post-merger market shares would not be significant, and there would be a modest incremental contribution from UBI; moreover, the HHI index, which currently stands below the level of 1,000 points, would remain below this threshold even post-merger, with a delta that would be very contained.</w:t>
      </w:r>
    </w:p>
    <w:p>
      <w:r>
        <w:t>156. This, according to ISP, in a context characterized, on the one hand, by the presence of numerous competitors, which would represent a share of approximately 75% of the various national markets examined, including: Unicredit, whose size is comparable to that of ISP, a large group of medium-sized operators with a solid network of branches and the necessary financial resources, and a high number of smaller banks, but sometimes particularly sophisticated and specialized; on the other hand, by the presence and constant growth of Bancoposta, both in terms of volumes and services, and the increasing spread of home banking services.</w:t>
      </w:r>
    </w:p>
    <w:p>
      <w:r>
        <w:t>157. In this context, ISP believes there is no evidence that UBI is a particularly dynamic operator capable of implementing disruptive (or even "maverick") commercial initiatives, and indeed there is evidence to the contrary given: i) the analysis of the mortgages substituted to ISP from 2019 to the present; ii) the trend of UBI's market shares, which would be stable, if not even decreasing; iii) the company's statements following the presentation of the "Industrial Plan 2022," which would indicate the closure of 175 branches and a 35% reduction in full cash branches.103 Doc. 266, final submission BPER.104 Doc. 128. See also the submission of June 15, 2020, doc. 262, as well as the intervention during the final hearing on June 18, 2020, recorded in the relevant minutes, doc. 296.</w:t>
      </w:r>
    </w:p>
    <w:p>
      <w:r>
        <w:rPr>
          <w:b/>
        </w:rPr>
        <w:t>[Pages 43–45]</w:t>
      </w:r>
    </w:p>
    <w:p>
      <w:r>
        <w:t>BULLETIN NO. 29 OF JULY 20, 2020 45</w:t>
        <w:br/>
        <w:t>158. As for the circumstance that UBI would be an "aggregating subject," ISP emphasized that in the recent past, UBI would have only made acquisitions related to small local entities, under very particular conditions, that the 2022 Industrial Plan would have been conceived from a stand-alone perspective, and that discussions with BPER would have been interrupted, as stated by BPER itself.</w:t>
        <w:br/>
        <w:t>159. Finally, ISP noted that the operation would be capable of generating numerous synergies related to: i) the integration of IT systems and digitization that will allow the post-merger entity to optimize the use of technologies in order to provide its clientele with products and services in line with those of currently more advanced operators; ii) the possibility of stimulating innovation and modernization of the banking service offering, through a broader and more diversified offering; iii) the efficiency gains resulting from the rationalization of the branch network so that customers will have access to an expanded network, with easier access to them; iv) improvements in risk management; v) improvements in asset quality, in light of the lower incidence of non-performing loans on the balance sheet of the post-merger entity.</w:t>
        <w:br/>
        <w:t>160. UBI, on the other hand, expressed a different opinion, stating that, in line with the position expressed in the European Commission Guidelines on concentrations, the competitive impact of certain operations should be assessed not only with regard to the market shares held by the companies subject to acquisition but also to the role that such companies play in the market.</w:t>
        <w:br/>
        <w:t>161. To this end, UBI highlighted that it has historically played the role of an aggregator of medium-small Italian banks, as evidenced by the acquisitions made in recent years, and in this perspective, it stated that before ISP promoted the OPS, it itself was evaluating possible acquisitions or integrations with other banks, for which it had also allocated funds, as represented in the preceding paragraphs regarding the investigative findings. Therefore, the present operation would eliminate from the market the only competitor, among those of medium size, capable of initiating a consolidation path in the banking sector, at the national level, independently and, thus, of creating in the short/medium term a third pole alternative to ISP and Unicredit: in fact, none of the medium-sized banks could play the role of aggregator, with the consequence that authorizing the operation would mean giving up the creation of a third banking pole, in the face of the further strengthening of the market leader. That this is the real purpose of the operation would be demonstrated, according to UBI, by the methods adopted by ISP to implement the project, atypical for the banking sector, through a hostile OPS, procedurally complex.</w:t>
        <w:br/>
        <w:t>162. Furthermore, in UBI's view, the operation would lead to the elimination of an important competitor, namely the only entity that, due to its commercial dynamism and its vocation for innovation, would be able to exert significant competitive pressure on the main players (so-called maverick). To demonstrate the significant competitive pressure exerted, UBI reported: i) some elaborations based on the APR data from a well-known mortgage portal, in certain Italian provinces, from which it would appear that the rate applied by UBI is always the lowest; ii) comparison tables of the average rates on loans applied by UBI with the average rates of the defined sample of the Italian Banking Association, representative of about 80% of the banking market, in the period between the third quarter of 2010 and the first quarter of 2020, from which it would appear that UBI's rate is very competitive.</w:t>
        <w:br/>
        <w:t>163. Finally, UBI emphasized that, at the national level, the operation would impact competitive dynamics at the systemic level considering the significant size that the post-merger entity will assume (in terms of operating revenues and number of customers and branches) and due to the solid vertically integrated structure.</w:t>
      </w:r>
    </w:p>
    <w:p>
      <w:r>
        <w:t>46 BULLETIN NO. 29 OF JULY 20, 2020</w:t>
        <w:br/>
        <w:t>164. In the same direction as UBI are the observations made by Unicredit, which believes that the operation would not have a real economic rationale but would be aimed solely at eliminating a formidable competitor "given that ISP, following the announced sale of branches to BPER, would retain only a portion of UBI, appearing substantially uninterested in the economic (and industrial) convenience of the Operation."</w:t>
        <w:br/>
        <w:t>165. To this end, Unicredit observed that UBI would apply substantially lower rates and more favorable financing, with "a more intense pricing dynamic especially on companies with high credit standing."</w:t>
        <w:br/>
        <w:t>The substantive issues: the effects of the operation on local markets</w:t>
        <w:br/>
        <w:t>166. Regarding the analysis of individual relevant markets, ISP represented that the methodology chosen to proceed with the analysis for CA, "in addition to deviating from the previous decision-making practice of the Authority, would be purely mechanistic, as such unsuitable to capture the specificities of each considered market." In this sense, according to ISP, first of all, the Authority should have conducted the analysis for CA only with reference to the provinces where the joint share of the parties was equal to or greater than 40%, and not 35% as was done in the CRI. Furthermore, the analysis for CA would be flawed because i) the estimates of loans to households would include every type of loan; ii) the increasing competitive pressure from Bancoposta and digital online/mobile banking services would have been overlooked; and iii) the same relevance threshold (35%) would have been adopted for both the deposit and loan markets, whereas only deposits would constitute the essential driver for competition in traditional banking markets, with the consequence that the Authority should have adopted two different thresholds.</w:t>
        <w:br/>
        <w:t>167. Conversely, UBI argued that the specific criteria used in the CRI, considering the systemic effects, would appear excessively cautious. In particular, given the particularly fragmented structure of the banking sector at the national level and UBI's role in the competitive process, it should be considered that reaching a share of 30% within a CA already signals the existence of competitive problems, if combined with an increase in market power attributable to the operation, a market structure already concentrated within the CA, and the absence of another operator of appreciable size within the CA. Also, the criterion regarding the distance between the first and second operator would appear excessively cautious. Finally, with specific regard to loans to public entities, in UBI's view, the market should be segmented on a local, and likely regional, basis, and should exclude loans granted by CDP, whose operational scope would not overlap with that of commercial banks.</w:t>
        <w:br/>
        <w:t>The corrective measures presented by ISP</w:t>
        <w:br/>
        <w:t>168. Regarding the corrective measures presented by ISP, UBI and Unicredit preliminarily argued that there can be no certainty regarding the realization of the hypothesized remedies because, in the event that the Offer gathers less than 66.67% of acceptances, ISP would have no possibility of imposing the merger in the Extraordinary Assembly and such divestitures for the controlled UBI would be prohibited by Article 2497 of the Civil Code, as contrary to the principles of sound and prudent management. Such a significant divestiture would irreparably alter UBI.</w:t>
        <w:br/>
        <w:t>169. On the merits, the competitive issues generated by the operation would be such that they could not be remedied through the imposition of remedies. This is because the operation would deprive the banking sector of an important opportunity to create a third pole capable of competing with ISP and Unicredit; and, more immediately, it would eliminate an operator that, leveraging its capacity to innovate and its pricing positioning, already exerts a significant competitive constraint on ISP and other banks.</w:t>
      </w:r>
    </w:p>
    <w:p>
      <w:r>
        <w:t>BULLETIN NO. 29 OF JULY 20, 2020 47</w:t>
        <w:br/>
        <w:t>170. Furthermore, the commitments may not be effective as, both for reasons of reputation and for reasons of the quality of services offered, customers of the branches subject to divestiture may be driven to change operators and, more specifically, to go to the branches subject to acquisition by ISP.</w:t>
        <w:br/>
        <w:t>171. Finally, BPER would not be a suitable buyer from a remedial perspective as it would not have the characteristics to replace UBI in its role as a particularly dynamic company in the market.</w:t>
        <w:br/>
        <w:t>VII. THE OPINION OF IVASS</w:t>
        <w:br/>
        <w:t>172. In an opinion received on July 10, 2020, IVASS noted that the operation in question does not appear capable of permanently altering the competitive balance of the life and non-life insurance production and distribution markets.</w:t>
        <w:br/>
        <w:t>VIII. EVALUATION OF THE OPERATION</w:t>
        <w:br/>
        <w:t>173. The evaluation of the notified operation will be structured to take into account, in light of the findings of the investigation carried out, also the numerous observations received from the Parties and third parties regarding the conclusions reached in the document of Communication of Investigative Findings, as well as the corrective measures proposed by the notifying Party on June 15, which defined the scope of the proposed divestitures. These divestitures, in ISP's intentions, constitute remedies aimed at resolving the competitive issues raised in the CRI, which had led to the conclusion that the operation was not authorizable.</w:t>
        <w:br/>
        <w:t>174. Therefore, going forward, the procedural and methodological objections raised by the Parties will be analyzed, particularly in the final memoranda and final hearing, as well as providing an assessment of the effects of the operation on the individual relevant markets. Finally, the impact of the measures proposed by the notifying Party in the communication of June 15 will be examined105 on the various markets on which they are deemed capable of impacting.</w:t>
        <w:br/>
        <w:t>Procedural issues</w:t>
        <w:br/>
        <w:t>175. First of all, it should be noted that ISP has maintained since the notification of the contested initiation provision that the Authority would have examined a different operation from that notified, as it would not have analyzed the position of the Parties net of the business unit of UBI subject to divestiture in favor of BPER. According to ISP, in fact, in relation to the short time frame between the acquisition of UBI and the divestiture of about one-third of its branches to BPER, ISP would not have acquired, under antitrust law, control of those branches; therefore, the operation should have been evaluated net of the business unit subject to divestiture to BPER, with the related consequences in terms of the market positioning of the post-merger entity.</w:t>
        <w:br/>
        <w:t>176. In this regard, it is worth noting again that the operation evaluated in the initiation provision of the investigation, as well as in the Communication of Investigative Findings, was the only one correctly assessable by the Authority, since the methods of identifying the business unit subject to divestiture, in terms of the amount of deposits and loans and according to a counterparty residency criterion, were not such as to allow for the exact definition of the perimeter of the assets subject to divestiture.</w:t>
        <w:br/>
        <w:t>177. To confirm the above, it is noteworthy that in ISP's communication of June 15, 2020, the perimeter of the business unit subject to divestiture was identified according to the normal criteria adopted by the Authority for established practice – a practice validated by the judge105.</w:t>
      </w:r>
    </w:p>
    <w:p>
      <w:r>
        <w:rPr>
          <w:b/>
        </w:rPr>
        <w:t>[Pages 46–48]</w:t>
      </w:r>
    </w:p>
    <w:p>
      <w:r>
        <w:t>48 BULLETIN NO. 29 OF JULY 20, 2020</w:t>
        <w:br/>
        <w:t>administrative – that is to say in terms of the transfer of branches, individually identified, and not in terms of the amount of deposits and loans, as well as based on the criterion of the location of the branch for the attribution of the volumes transacted and the market positioning attributable to them.</w:t>
        <w:br/>
        <w:t>178. Secondly, with regard to the identification of the business unit subject to transfer, it is necessary to refute UBI's position, most recently expressed during the final hearing106, according to which, following the corrective measures presented by ISP on June 15, 2020, the operation, assuming a different perimeter compared to what was notified with the form of April 27, 2020, would be substantially different from that subject to notification and therefore would need to be re-notified to the Authority.</w:t>
        <w:br/>
        <w:t>179. This objection does not merit acceptance since the operation under evaluation by the Authority has always been that concerning the acquisition of UBI by ISP, with respect to which the proposals regarding the transfer of a business unit of UBI represent only a tool aimed, from ISP's perspective, at resolving the competitive issues, in terms of market positioning of the post-merger entity, that would inevitably arise due to the size and competitive positioning of the Parties involved, regardless of the concentration under examination.</w:t>
        <w:br/>
        <w:t>180. Therefore, with the communication of June 15, 2020, ISP – far from presenting to the Authority a new and different operation compared to that subject to the notification of April 27 of this year – limited itself to precisely identifying, in a manner consistent with the type of assessment that the Authority is called to carry out, the business unit of UBI that would be subject to transfer, in order to avoid the establishment or strengthening of a dominant position for the post-merger entity in some of the relevant geographic or product markets, as defined in the CRI.</w:t>
        <w:br/>
        <w:t>181. Regarding the proposed corrective measures, UBI and Unicredit, most recently during the final hearing107, raised the issue of uncertainty regarding ISP's ability to ensure their implementation in the event that, acquiring a share of the share capital below 66.67%, it could not proceed with the merger with that company (the so-called corridor hypothesis). In this scenario, according to UBI, ISP would not have the majority of the board members and could therefore not ensure the successful outcome of the transfer of the business unit. Furthermore, according to Unicredit, since they are listed companies, pursuant to Article 17 of the Markets Regulation, the majority of the board members is represented by independent directors, so in any case ISP could not control the decisions of the board.</w:t>
        <w:br/>
        <w:t>182. In response to these objections, ISP emphasized that the divestiture of branches is a rational and appropriate choice in the banking sector that does not prejudice the position and interests of consumers or shareholders, since the sale of UBI's branches will involve payment by the buyer of a price that will be paid to UBI; therefore, there will be no infringement of UBI's interests, even towards the bank's shareholders, with the consequence that the operation will also be approved by the independent directors, as it complies with the provisions of Article 2497 of the Civil Code.</w:t>
        <w:br/>
        <w:t>183. Regarding this issue, it should be noted that, regardless of the specific civil and corporate law issues, the measures imposed by the Authority are such as to prevent the operation from resulting in the elimination or substantial and lasting reduction of competition; in fact, if ISP fails to transfer all or some of UBI's branches, ISP is required to transfer its own branches106.</w:t>
        <w:br/>
        <w:t>184. In any case, the failure to implement the imposed measures, in addition to being liable to constitute a breach (Article 19, Law No. 287/1990), may result in an intervention by the Authority pursuant to Article 18, paragraph 3, of Law No. 287/90, with the prescription for the deconcentration of the operation carried out in a manner inconsistent with the content of the conditional authorization.</w:t>
        <w:br/>
        <w:t>185. Another issue raised by ISP concerns the conduct of the procedure which, in its view, would have guaranteed an excessive right to contradiction in favor of UBI and the other interveners, distorting the authorization nature of the concentration assessment procedure, as outlined in Article 6 of Law No. 287/90.</w:t>
        <w:br/>
        <w:t>186. In this regard, it should be noted that, even taking into account the characteristics of the operation, the procedure was conducted, pursuant to Article 6 of Law No. 287/90, in full compliance with the rights of defense and contradiction of the notifying Party, while ensuring contradiction to the company subject to acquisition and to third parties intervening, to whom a specific interest in participating in the procedure was recognized, pursuant to Article 7 of Presidential Decree No. 217/98. This occurred in line with the regulatory provisions and with the established practice of this Authority regarding concentrations which, as demonstrated by the institution of publishing on the institutional website the notices of concentration operations that exceed the turnover thresholds for notification, has always provided for interaction with the parties interested, in various capacities, in the operation108.</w:t>
        <w:br/>
        <w:t>187. ISP also argued that, in analyzing the effects of the operation, the Authority would have deviated from the indications provided by the applicable regulations, as well as from its application practice, to carry out systemic assessments of the effects of the operation that would fall outside the traditionally conducted analysis. In this regard, ISP stated that such a substantial change in the evaluation criteria for concentration operations should have been made known to the market, if not shared with it.</w:t>
        <w:br/>
        <w:t>188. In this regard, it is highlighted that the analysis carried out by the Authority was conducted in line with both established and more recent practice, through the application of the dominance test and all the criteria related to it109. In particular, for the purpose of assessing the circumstance under which the concentration operation in question may lead to the establishment and/or strengthening of a dominant position in the relevant markets such as to eliminate or substantially and durably reduce competition, the well-known and customary criteria were taken into account, such as the position in the markets of the companies involved, with the analysis of market shares conducted both with an initial screening at the provincial level and, where appropriate, at the CA level; the structure of the markets and their competitive situation, with the analysis of the HHI and the distance from the second operator in the various local markets examined, and more generally the position of competitors, as well as the current and future disciplining capacity of the target company. Furthermore, elements such as barriers to entry and the trends in demand and supply in the various banking, financial, and insurance products and services were also considered.</w:t>
        <w:br/>
        <w:t>189. In any case, due to the specificity of the operation – which involves the leading operator in the Italian market and one of the main medium-large entities in the Italian banking context, both active at the national level with a widespread territorial coverage and a specific territorial rooting in economically more developed areas of the country – the Authority has duly carried out some more general and systemic assessments to fully grasp the effects of the concentration in question on the overall national banking and financial context.</w:t>
        <w:br/>
        <w:t>The effects of the operation</w:t>
        <w:br/>
        <w:t>The impact of the operation on the banking and financial sector in Italy</w:t>
        <w:br/>
        <w:t>190. Before proceeding to examine the effects of the operation on the individual relevant geographic and product markets, it is noted that – according to the reconstruction carried out during the procedure by UBI and Unicredit – the notified operation could be susceptible to having a systemic impact on the broader national scope due to the size of the operators involved and their potential, considering their characteristics.</w:t>
        <w:br/>
        <w:t>191. In this regard, it is recalled that, based on community indications and, in particular, the Guidelines on the control of horizontal concentrations pursuant to the Regulation on the control of concentrations between enterprises, the principle applies that “some companies have a greater influence on the competitive process than their market shares or other similar measurement systems would suggest. A concentration involving such a company can significantly alter competitive dynamics in an anti-competitive manner, particularly when the market is already concentrated”110.</w:t>
        <w:br/>
        <w:t>192. The notified operation fits into the national context characterized by the presence of two main players, a large number of small operators (despite recent merger processes affecting cooperative credit), and medium-sized operators, rooted territorially in different areas of the country. In this context, one of the two market leaders (ISP and Unicredit) acquires a medium-sized banking operator, altering the previous structure of the markets, which would be deprived of the presence of a medium-sized operator such as UBI and would see the substantial symmetry between the first two national banking groups surpassed, with the significant growth and strengthening of ISP.</w:t>
        <w:br/>
        <w:t>193. During the procedure, both UBI and Unicredit111 insisted on emphasizing the peculiar nature of UBI, which would represent the maverick market operator with the ability to exert a certain competitive discipline over larger competitors, the only entity with possible integration and aggregation capacity, through external growth operations, which could prospectively be considered as a possible third banking pole, active in the Italian market112.</w:t>
        <w:br/>
        <w:t>194. Regarding the characterization of UBI as a maverick operator, it is recalled that, according to jurisprudence and established practice, such is usually a new entrant with strong innovative drive and disruptive capacity concerning the existing market structure; such a characterization</w:t>
      </w:r>
    </w:p>
    <w:p>
      <w:r>
        <w:rPr>
          <w:b/>
        </w:rPr>
        <w:t>[Pages 49–51]</w:t>
      </w:r>
    </w:p>
    <w:p>
      <w:r>
        <w:t>BULLETIN NO. 29 OF JULY 20, 2020 51</w:t>
        <w:br/>
        <w:t>has been recognized by jurisprudence and community practice only in rare cases, in the presence of specific and defined characteristics of individual operators113. In particular, the specific circumstance that the operator is substantially distinguished from its competitors in terms of behaviors and commercial policies adopted, in such a way as to counteract the potential coordination of other market operators, has been significant. Furthermore, in cases where the maverick characterization has been recognized, these were small operators that engaged in aggressive competition, allowing them significant growth in the market in recent years.</w:t>
        <w:br/>
        <w:t>195. Such characteristics do not appear to be present in an operator such as UBI, as acknowledged by the Party itself during the final hearing114, which presents itself as a traditional banking operator, with a strong territorial presence: nor have any evidences emerged from the investigation file, particularly from the documentation provided by the Parties, regarding the disruptive capacity attributable to UBI.</w:t>
        <w:br/>
        <w:t>196. In fact, with particular reference to pricing positioning, the analysis conducted by UBI on a well-known portal (MutuiOnline) regarding its APR and that of some competitors in various provinces does not appear significant, as it concerns only a limited number of operators and only a limited number of provinces; nor are all the parameters used specified. Also with reference to pricing policies for loans to households, and the comparison made by UBI on its average rates compared to a sample defined by ABI and representative of approximately 80% of the banking market during the period from the third quarter of 2010 to the first quarter of 2020, it should be emphasized that in recent years there has been a general decrease in rates and that, although starting from lower initial values, the difference with the average rate of the sample has gradually narrowed, particularly in the last 3 years, especially concerning non-financial companies. Finally, it is worth noting that, in light of the data presented by UBI and Unicredit, ISP has provided data on substitutions that go in the opposite direction; it therefore emerges that the documentation in the file does not support UBI's thesis regarding the competitive pressure, in terms of pricing, exerted by this bank compared to its direct competitors.</w:t>
        <w:br/>
        <w:t>197. During the investigation, UBI, supported on this point by Unicredit115, claimed to be the only possible aggregator of banking institutions, alternative to ISP and Unicredit and, consequently, to be the only operator capable of reaching sizes comparable to those of the main Italian players (ISP and Unicredit) and to compete on equal terms with them.</w:t>
        <w:br/>
        <w:t>198. In this regard, it should be noted that the documents in the investigation file, particularly the documentation provided by the Parties, did not reveal any evidence, either certain or unambiguous, regarding UBI's real ability to establish a third banking pole – becoming the aggregator of medium-sized Italian banks such as BPER, MPS, BPM – as the counterfactual elements provided by the Parties116 are limited to mere working hypotheses related to very preliminary phases of UBI's aggregation projects with other operators, not shared or presented at the board level or in assembly.</w:t>
        <w:br/>
        <w:t>199. Therefore, in light of what has been highlighted so far, in the absence of sufficient elements to characterize UBI as an operator exerting competitive pressure capable of influencing market dynamics and the choices of other competitors, the acquisition of the same does not appear suitable to alter market structures, limiting the level of existing competition at the systemic level; this, also considering both the presence of other operators capable of exerting similar competitive pressure, and, more specifically, the factual circumstance that – following the implementation of the corrective measures proposed by ISP – there could be a significant dimensional growth of the new buyer that could reach sizes comparable to those currently held by UBI.</w:t>
        <w:br/>
        <w:t>The effects of the operation: the analysis of individual markets</w:t>
        <w:br/>
        <w:t>200. As already noted, the investigative activity focused both on the possible national effects of the operation and on the specific impact in the numerous affected markets, with particular attention to the significant local repercussions. The analysis conducted has, in fact, highlighted that the operation is likely to significantly alter competitive dynamics in certain specific commodity and geographic markets, as outlined below.</w:t>
        <w:br/>
        <w:t>201. In particular, the investigation has concerned the local markets for banking deposits, loans to consumer households, loans to producer households-small businesses, as well as administered savings, managed savings, and insurance markets. The investigation also covered the markets for loans to medium-large enterprises and loans to public entities.</w:t>
        <w:br/>
        <w:t>202. Before delving into the details of the individual markets, it should be noted, regarding the effects of the operation – with respect to which ISP has highlighted the gains in terms of efficiencies that would derive from the concentration in terms of synergies in IT technologies, expansion and diversification of the offer, efficiency and rationalization of the distribution network and administrative functions, expected improvements in risk management and asset quality – that there is a trend towards the consolidation of local realities in the banking and financial markets at the supranational level, which on one hand seeks to react to the entry into the market of new fintech operators, who have investment capabilities not comparable to those of traditional banking operators and are able to directly reach their target clientele, and on the other hand moves in a perspective of stability and security of the banking system, as required by the sector's regulatory authorities.</w:t>
        <w:br/>
        <w:t>203. In this context, banking operators are increasingly called upon to have advanced digital tools, such as specific and continuously updated hardware and software provisions, networks, and platforms for accessing various digital services. In particular, the issue of cybersecurity is significant, which entails continuous investments, the magnitude of which is closely linked to the quality of the applications and their security, as well as to the number of transactions that pass through them. In this context, economies of scale appear to play a fundamental role as their failure, or partial achievement, can affect the quality of the products offered and/or lead to higher unit costs.</w:t>
        <w:br/>
        <w:t>204. That said, regarding the local markets for direct deposits, loans to consumer households, and loans to producer households-small businesses, an analysis of market shares at the provincial level was first conducted, then enriched by an examination of market shares at the catchment area level, which allowed for a more precise delineation of the effects of the operation.</w:t>
        <w:br/>
        <w:t>205. Market shares were calculated based on the "branch localization" criterion, which, for the reasons highlighted previously, appears more adequate to express the market power of banks in local markets.</w:t>
        <w:br/>
        <w:t>206. From the preliminary screening conducted on provincial market shares, it emerged that as a result of the operation ISP would hold particularly high shares in numerous provinces in both the local deposit and loan markets117. The subsequent examination of the local areas defined at the catchment area level identified as critical, from a competitive standpoint, the positioning of the post-merger entity118:</w:t>
        <w:br/>
        <w:t>- in the deposit market, in 639 catchment areas located in the provinces of Ancona, Arezzo, Bergamo, Brescia, Brindisi, Caserta, Chieti, Cosenza, Catanzaro, Imperia, Monza-Brianza, Macerata, Naples, Novara, Pesaro and Urbino, Pavia, Reggio Calabria, Rieti, Varese, Verbania Cusio Ossola, and Vibo Valentia;</w:t>
        <w:br/>
        <w:t>- in the market for loans to consumer households, in 782 catchment areas located in the provinces of Alessandria, Ancona, Ascoli Piceno, Arezzo, Avellino, Bari, Bergamo, Brescia, Barletta-Andria-Trani, Brindisi, Caserta, Chieti, Como, Cosenza, Campobasso, Foggia, Fermo, Imperia, Isernia, Lecco, Monza-Brianza, Macerata, Matera, Naples, Novara, Perugia, Pesaro and Urbino, Pavia, Potenza, Reggio Calabria, Rieti, Savona, Taranto, Teramo, Terni, Varese, Verbano Cusio Ossola, Vibo Valentia, and Viterbo;</w:t>
        <w:br/>
        <w:t>- in the market for loans to producer households-small businesses, in 218 catchment areas located in the provinces of Ancona, Ascoli Piceno, Bergamo, Brindisi, Caserta, Chieti, Fermo, Isernia, Macerata, Naples, Novara, Pavia, Perugia, Pesaro and Urbino, Reggio Calabria, Rieti, Varese, and Verbano Cusio Ossola.</w:t>
        <w:br/>
        <w:t>207. Moreover, it should be reiterated that the criticalities observed in the deposit market (the only market reserved for banking institutions and Poste Italiane under current regulations) represent a fundamental indicator in assessing the overall effects of the operation, considering that direct deposits can influence competitive conditions in adjacent markets, such as loans and indirect deposits. Regarding both the activity of Poste Italiane S.p.A. and the role of online services, while recognizing some form of competitive pressure, the Authority has already established the non-substitutability of both types of services compared to traditional offerings119.</w:t>
        <w:br/>
        <w:t>208. According to UBI, the criteria used to define the critical catchment areas would be excessively cautious. In particular, according to UBI, a market share of at least 30% should have been used, rather than 35%, and a strictly positive distance between the first and second operator, rather than at least 10% in terms of market share. However, these considerations do not appear to be shareable.</w:t>
        <w:br/>
        <w:t>117 In particular, in the deposit market, the post-merger share will be between 35% and 40% in the provinces of Naples, Caserta, Vibo Valentia, Brescia, Brindisi, Arezzo, Pesaro and Urbino, Imperia, Catanzaro, Padua, and Monza-Brianza; it will exceed 40% in the provinces of Ancona, Rieti, Reggio Calabria, Cosenza, Prato, Novara, and Chieti, with peaks above 50% in the provinces of Varese, Pavia, Verbano-Cusio-Ossola, Macerata, and Bergamo; regarding the market for loans to consumer households, in the provinces of Monza-Brianza, Viterbo, Teramo, Cosenza, Como, Taranto, Campobasso, Terni, Aosta, Avellino, Perugia, Alessandria, Imperia, Arezzo, Vibo Valentia, Naples, Potenza, Savona, and Matera, the post-merger share of ISP will be between 35% and 40%; in the provinces of Macerata, Isernia, Ancona, Chieti, Reggio Calabria, Barletta-Andria-Trani, Novara, Prato, Brindisi, Pavia, Ascoli Piceno, Fermo, Cagliari, Caserta, Lecco, Foggia, Brescia, and Bari, as a result of the operation ISP will hold a share between 40% and 50%; in the provinces of Varese, Rieti, and Bergamo ISP will exceed 50%, with peaks above 60% in Pesaro and Urbino and Verbano-Cusio-Ossola; finally, regarding the market for loans to producer households-small businesses, the post-merger share will be between 35% and 40% in the provinces of Naples, Pesaro and Urbino, Brindisi, Ancona, Perugia, Chieti, Barletta-Andria-Trani, and Foggia; it will exceed 40% in the provinces of Isernia, Ascoli Piceno, Macerata, Cagliari, Pavia, Caserta, Bergamo, Reggio Calabria, Novara, Prato, Rieti, and Fermo; it will exceed 50% in the provinces of Varese and Verbano-Cusio-Ossola.</w:t>
        <w:br/>
        <w:t>118 It is recalled that as a result of the CRI, the areas identified as having competitive criticality are those where the post-merger entity would simultaneously hold i) a joint market share greater than or equal to 35%; ii) a Herfindahl-Hirschmann Index (HHI) greater than or equal to 1000 and less than or equal to 2000, with a delta of attention not less than 250 or an HHI greater than 2000 with a delta not less than 150; iii) a distance from the second operator, in terms of market share, not less than 10 percentage points.</w:t>
        <w:br/>
        <w:t>119 See C12138 Cassa Centrale Raiffeisen dell'Alto Adige/Gruppo Bancario Cooperativo delle Casse Raiffeisen, in Boll. 11/2018.</w:t>
      </w:r>
    </w:p>
    <w:p>
      <w:r>
        <w:rPr>
          <w:b/>
        </w:rPr>
        <w:t>[Pages 52–54]</w:t>
      </w:r>
    </w:p>
    <w:p>
      <w:r>
        <w:t>54 BULLETIN NO. 29 OF JULY 20, 2020</w:t>
        <w:br/>
        <w:t>209. With reference to the 35% market share threshold, it is emphasized that this is more stringent than the 40% threshold of concern indicated by the Commission Guidelines regarding the assessment of horizontal concentration operations120 and used by the Authority to detect competitive issues in other recent concentrations in the banking sector121. This choice, in this case, was made considering the characteristics of the operation, such as the position of the parties at the national level and the presence of widespread overlaps in multiple geographical areas.</w:t>
        <w:br/>
        <w:t>210. Regarding UBI's objection concerning the definition of the criterion of a 10 percentage point distance between the first and second operator within each CA, it is stated that this criterion, aimed at qualifying the mere calculation of market share, has been adopted in this case, considering the importance of the presence and disciplining capacity of another operator in the same local market.</w:t>
        <w:br/>
        <w:t>211. On another note, UBI's argument regarding the circumstance that the analysis at the CA level was conducted only for the combinations of provinces and products for which a joint provincial share exceeding 35% was detected at the outset is of little merit. In fact, as per practice, the catchment areas have been analyzed based on the provincial markets identified as critical at the outset, while markets identified differently fall outside the investigative perimeter. It is worth noting that, with the presentation of remedies by ISP, regardless of the market identified as actually critical within each CA, the divestiture of a branch has effects across all markets of the involved CA.</w:t>
        <w:br/>
        <w:t>212. Based on the preceding considerations, meeting the requirements that collectively define a catchment area as an object of competitive concern appears capable of creating significant obstacles to competition in the local markets of direct deposits and loans due to the creation and/or strengthening of dominant positions held by ISP; in this regard, elements such as the breadth of the branch network it enjoys, its strong presence particularly in certain territorial realities, the strength and recognition of the brand, the presence in almost all markets of banking-financial products, and the organization according to a vertically integrated structure come into play.</w:t>
        <w:br/>
        <w:t>213. The overall elements described will allow ISP to hold and/or strengthen a competitive advantage over other operators active in the examined local markets of deposits and loans, further compromising the ability of competitors to exert effective competitive pressure, and may also incentivize the new entity not to pass on any benefits obtained through the integration to consumers.</w:t>
        <w:br/>
        <w:t>214. Regarding the market for loans to medium and large enterprises, the operation appears to produce significant alterations in competitive conditions in Piedmont (post-merger share of [50-55]%), Marche ([35-40]%), Umbria ([35-40]%), Calabria ([35-40]%), and Sardinia ([35-40]%). In this regard, ISP observes that this market should have a national dimension, both because the supply conditions are defined by banks at a centralized level and considering the particular mobility of demand from this category of enterprises. However, the investigations conducted during the inquiry have confirmed, in light of the information provided by the main banking operators, that there are currently insufficient elements to modify the regional geographical definition of this market nor, consequently, to resort to the "branch location" criterion.</w:t>
        <w:br/>
        <w:t>215. As for market positioning, it is noteworthy that in Marche, Umbria, and Calabria, the post-merger entity is positioned as the first operator at the provincial level by a significant margin, with a market share increase attributable to UBI being quite substantial (respectively [15-20]% in Marche, [10-15]% in Calabria, and [5-10]% in Umbria); in Piedmont, the post-merger entity exceeds the 50% share, clearly becoming the first operator. It should be emphasized that in the regions examined here, with the partial exception of Sardinia, some of the CAs are considered at risk of the establishment and/or strengthening of a dominant position for deposits, loans to small producer families, and especially for loans to consumer families. In this scenario, the contribution made by UBI can only further strengthen the market power of the new entity, and in any case, this contribution is still significant, being close to [1-5]%.</w:t>
        <w:br/>
        <w:t>216. Regarding the competitive situation in the market for loans to medium and large enterprises in Sardinia, it should be noted that although as a result of the operation the joint share of the Parties exceeds the 35% threshold of concern, this occurs against an increase, due to the overlap of the Parties' shares, significantly below one percentage point, approximately [0-1%]. Therefore, due to the small increase in the positioning of the Parties, in terms of market shares – analogous to what was done in the analysis of other markets and in accordance with the Authority's practice, which has always considered marginal increases below one percentage point of the joint share of the Parties irrelevant for market structures – the operation does not appear to be capable of altering the pre-existing competitive dynamics, nor of limiting the competitive constraints present therein.</w:t>
        <w:br/>
        <w:t>217. Regarding the market for loans to public entities, the investigative findings have highlighted several elements that contribute to identifying a geographical market with a tendency towards a national extension, although in some cases it may be necessary to resort to an analysis concerning more circumscribed geographical areas. Since, in this case, the joint market shares of the Parties at the national level, integrating the role of CDP and thus adopting the "counterparty residence" criterion, position themselves at a value below [1-5]%, the operation does not appear to raise competitive concerns in this market.</w:t>
        <w:br/>
        <w:t xml:space="preserve">218. According to UBI, the market for loans to public entities should be defined geographically on a regional basis, and CDP should not be considered among the active operators in the market in question. Regarding cash and treasury services, UBI notes that CDP provides treasury advances to local entities for small municipalities (up to five thousand inhabitants), while the management of the treasury service is entrusted to Poste Italiane; concerning medium-long term financing, UBI emphasizes that CDP would offer conditions that cannot be replicated in the market by private operators. In this regard, it is noted that, as emerged from previous investigations122, the system of banks and CDP operates in this area in compliance with common rules for both credit channels, including regarding the cases and methods of resorting to indebtedness. Regarding the geographical dimension, it has already been highlighted in the CRI that the market may tendentially have a national geographical extension, a consideration also supported by UBI, which emphasizes that the methods of awarding treasury services foresee the use of tender procedures, a circumstance that clearly tends towards a national market dimension. </w:t>
        <w:br/>
        <w:t>In any case, while admitting, as noted by the Party, that CDP should not be considered an actual competitor of traditional operators, it is worth emphasizing that the national positioning of the post-merger entity without considering CDP (and thus resorting to the "branch location" criterion) would be below [25-30]%. Regarding this market, the operation does not appear to create significant obstacles to competition in any case.</w:t>
        <w:br/>
        <w:t>219. In relation to the administered savings market, the competitive effects of the operation have been analyzed, including in local areas defined at the CA level, using the position of the Parties in the direct deposit markets as a proxy.</w:t>
        <w:br/>
        <w:t>220. Regarding the managed savings markets, and in particular the markets for mutual funds and individual management of financial assets and funds, the concentration operation under examination will have substantially similar effects to those observed for direct and indirect deposits.</w:t>
        <w:br/>
        <w:t>221. In the insurance markets, the positioning of the post-merger entity appears significant in some provinces, regarding the distribution of life products. In fact, in five provincial areas, the joint share of the Parties, following the operation, will exceed 35% (Rovigo, Varese, Pavia, Imperia, and Macerata), while in two provinces this share will be above 40% (Bergamo and Brescia), resulting, also due to the contribution made by UBI, in a significant strengthening of ISP's position, likely to significantly and durably alter the previous market structure.</w:t>
        <w:br/>
        <w:t>222. With particular regard to the province of Rovigo, given the circumstance that during the proceedings the Parties highlighted the absence of UBI branches in this territorial area, there are no effects related to the operation on this local insurance distribution market through the banking channel.</w:t>
        <w:br/>
        <w:t>223. In conclusion, in light of all the considerations made above, the concentration operation under examination appears capable of producing the establishment and/or strengthening of ISP's dominant position in some local banking deposit markets, loans to consumer families, and loans to small producer families, with reference to the critical catchment areas identified above, as well as in the administered savings, mutual funds, and individual management of financial assets (GPM) and funds (GPF), as well as in the markets for loans to medium and large enterprises and the distribution of life insurance products as defined above, substantially and durably reducing competition in the same markets.</w:t>
        <w:br/>
        <w:t>IX. CORRECTIVE MEASURES PROPOSED BY THE PARTY</w:t>
        <w:br/>
        <w:t>224. On June 15, 2020, ISP proposed the divestiture of [over 500] branches, as listed in the annex to this provision, of which over 500 could be acquired by BPER, subject to the necessary authorizations. These divestitures, in ISP's intention, are suitable to dispel the competitive concerns arising from the concentration operation.</w:t>
        <w:br/>
        <w:t>225. The divestiture of these branches has been proposed in order to eliminate the concerns in all the CAs indicated by the CRI regarding the banking deposit markets and loans to consumer families and small producer families, through [omitted].</w:t>
      </w:r>
    </w:p>
    <w:p>
      <w:r>
        <w:rPr>
          <w:b/>
        </w:rPr>
        <w:t>[Pages 55–57]</w:t>
      </w:r>
    </w:p>
    <w:p>
      <w:r>
        <w:t>BULLETIN NO. 29 OF JULY 20, 2020 57</w:t>
        <w:br/>
        <w:t>226. Furthermore, considering that, with respect to these divestitures, some critical catchment areas remain located in the provinces of [omissis], on which the aforementioned branch divestitures do not have an impact, ISP has declared its willingness to eliminate the issues highlighted in the CRI, through the signing of [omissis].</w:t>
        <w:br/>
        <w:t>227. The proposed divestiture of branches would ensure a significant reduction of post-merger shares in the markets i) of loans to medium-large enterprises, ii) of administered savings, as well as iii) of the distribution of asset management products and iv) of the distribution of life insurance products, the placement of which occurs through the banking branch channel. With particular reference to the market of loans to medium-large enterprises, ISP emphasizes that the divestitures will bring post-merger shares below the threshold of 35% in the Marche, Umbria, and Calabria, while reducing the increase in the share in Piedmont to around 1%, where ISP is already positioned above that threshold.</w:t>
        <w:br/>
        <w:t>228. At the same time, the proposed divestiture of branches could allow the buyer to achieve a national market share comparable to that currently held by UBI, strengthening its competitive positioning.</w:t>
        <w:br/>
        <w:t>Evaluation of the proposed measures</w:t>
        <w:br/>
        <w:t>229. The divestitures proposed by ISP, which concern a total of [over 500] branches, are deemed suitable to resolve all the competitive issues identified in the investigation with reference to the individual catchment areas analyzed. In particular, in approximately [about 1,000] catchment areas, the branch that constitutes the centroid of the catchment area is being divested or, as a result of the proposed divestitures, one of the aforementioned cumulative criticality parameters set in the CRI is no longer met (i.e.: i) a post-merger market share exceeding 35%; ii) a Herfindahl-Hirschmann Index (HHI) greater than or equal to 1000 and less than or equal to 2000, with a delta of attention not less than 250 or an HHI greater than 2000 with a delta not less than 150; iii) a distance from the second operator, in terms of market share, of not less than 10 percentage points). In the remaining catchment areas, the divestitures will completely neutralize the specific effect of the concentration by sterilizing the increase in market share due to the operation123.</w:t>
        <w:br/>
        <w:t>230. In this regard, it should first be noted that the number of branches subject to divestiture has significantly increased compared to the first version of the Agreement with BPER, proposed at the time of notification of the operation, which referred to approximately [400-500]124 branches.</w:t>
        <w:br/>
        <w:t>231. Furthermore, the proposed divestitures, involving all the activities managed by a banking branch, will have effects on other affected markets, resulting in a reduction of post-merger shares both in the markets "connected" to direct and indirect banking deposits and in those whose distribution depends, in fact, on the banking branch channel. More specifically, the proposed divestitures will ensure a reduction of the joint share also in the markets of administered savings and asset management, for which the positioning of the Parties in the markets of direct and indirect deposits serves as a proxy for evaluation. Similarly, the distribution capacity of the post-merger entity for life insurance products through the banking channel – a channel whose weight in the placement of such policies is predominant compared to others – is limited as a result of the divestitures to such an extent that it excludes the occurrence of harmful overlaps for competition in these relevant local markets. The proposed divestitures also appear suitable to overcome the competitive issues in the market for loans to medium and large enterprises. In fact, precisely in the regions where the most significant effects would have occurred, the proposed divestitures will reduce market shares and their increases below the critical thresholds as already defined.</w:t>
        <w:br/>
        <w:t>232. Finally, the divestiture of such a large number of branches creates the conditions for the specific role of competitive discipline exercised by UBI to be assumed by one or more of the other competitors operating in the affected markets.</w:t>
        <w:br/>
        <w:t>233. Given that the measures proposed by ISP are suitable to remove the competitive issues arising from the concentration operation under examination, the Authority deems it necessary to impose on ISP, should it fail to divest all or some of the UBI branches subject to the structural measures, the divestiture of its own branches capable of producing, in the affected markets, effects at least equivalent to those resulting from the divestiture of the UBI branches proposed by ISP, so as to preserve, in any case, the unfolding of competitive dynamics following the concentration operation.</w:t>
        <w:br/>
        <w:t>X. CONCLUSIONS</w:t>
        <w:br/>
        <w:t>234. In conclusion, the investigation in question has established that the concentration under examination would lead to the establishment or strengthening of the dominant position of the new entity in the markets identified above to such an extent as to eliminate or substantially and durably reduce competition therein.</w:t>
        <w:br/>
        <w:t>235. All of this considered, the corrective measures proposed by ISP are deemed suitable to address the competitive issues analyzed above. In any case, should ISP fail to divest all or some of the UBI branches, the divestiture of ISP branches capable of producing, in the affected markets, effects at least equivalent to those resulting from the divestiture of the UBI branches proposed by ISP is anticipated. In light of the above, the notified concentration operation is therefore susceptible to being authorized conditionally upon the prescription, pursuant to Article 6, paragraph 2, of Law No. 287 of October 10, 1990, of the divestiture of the branches, as identified by ISP or equivalent, and reported in the annex to this provision.</w:t>
        <w:br/>
        <w:t>CONSIDERING, therefore, based on the elements emerged in the investigation, that the operation in question is likely to determine, pursuant to Article 6, paragraphs 1 and 2, of Law No. 287/90 the creation and strengthening of a dominant position in the relevant markets identified above such as to eliminate or substantially and durably reduce competition therein;</w:t>
        <w:br/>
        <w:t>CONSIDERING it necessary to prescribe to the company Intesa Sanpaolo S.p.A., pursuant to Article 6, paragraph 2, of Law No. 287/90, measures aimed at preventing such consequences;</w:t>
        <w:br/>
        <w:t>CONSIDERING, therefore, that the communicated concentration operation is authorized subject to the full and effective execution of all the measures prescribed in this provision;</w:t>
        <w:br/>
        <w:t>CONSIDERING that any failure to implement the aforementioned measures results in the realization of a concentration operation in violation of the prohibition set forth in Article 6, paragraph 1, of Law No. 287/90;</w:t>
        <w:br/>
        <w:t>RESOLVES</w:t>
        <w:br/>
        <w:t>to authorize the communicated concentration operation, provided that Intesa Sanpaolo S.p.A. fully and effectively executes the following measures, adopted pursuant to Article 6, paragraph 2, of Law No. 287/90:</w:t>
        <w:br/>
        <w:t>1) the divestiture of [over 500] branches, reported in the annex to this provision;</w:t>
      </w:r>
    </w:p>
    <w:p>
      <w:r>
        <w:t>BULLETIN NO. 29 OF JULY 20, 2020 59</w:t>
        <w:br/>
        <w:t>2) the activity subject to divestiture must include all assets that contribute to its current management and/or that are necessary to ensure its profitability and competitiveness over time. Specifically, contracts for the divestiture of one or more business units must be concluded, including [omissis];</w:t>
        <w:br/>
        <w:t>3) the buyer of the business unit(s) must meet the following requirements: be independent, not a shareholder of the new post-merger banking entity, equipped with adequate financial means and necessary technical expertise, as well as in possession of the authorizations from the competent Supervisory Authority;</w:t>
        <w:br/>
        <w:t>4) the divestiture must occur with the following methods and timelines: i) the agreements related to the divestiture of the identified branches must be concluded, subject to submission to the Authority for approval of the identity of the buyer(s) and the agreements themselves, by [omissis]; ii) if all identified branches have not been divested by [omissis], the Parties must grant an irrevocable mandate to an independent and qualified entity, previously approved by the Authority, to divest control of the remaining identified branches, within [omissis];</w:t>
        <w:br/>
        <w:t>5) if all or some of the UBI branches indicated in point 1) have not been divested by [omissis], ISP, through the trustee identified pursuant to point 4), must divest by [omissis] its own branches capable of producing, in the affected markets, effects at least equivalent to those resulting from the divestitures referred to in point 1), informing the Authority, which must pre-approve the branches subject to divestiture identified by ISP, the identity of the buyer(s), and the divestiture agreements;</w:t>
        <w:br/>
        <w:t>6) the full validity and effectiveness of the divestiture of all identified branches must in any case be realized by, and no later than, [omissis];</w:t>
        <w:br/>
        <w:t>7) Intesa Sanpaolo S.p.A. (or the independent entity responsible for the divestiture) must provide sufficient information on the identified branches, to allow potential buyers to assess their value and presumed commercial capacity;</w:t>
        <w:br/>
        <w:t>8) in the period between the date of authorization of the operation and the full validity and effectiveness of the divestiture of the branches, Intesa Sanpaolo S.p.A. must preserve the economic operation, marketability, and competitiveness of the identified branches, in accordance with good commercial practice;</w:t>
        <w:br/>
        <w:t>9) Intesa Sanpaolo S.p.A. may not [omissis];</w:t>
        <w:br/>
        <w:t>10) after [omissis], Intesa Sanpaolo S.p.A. must send a report to the Authority on the implementation of the prescribed measures.</w:t>
        <w:br/>
        <w:t>The prescribed corrective measures will take effect from the notification of the authorization provision of the concentration.</w:t>
        <w:br/>
        <w:t>This provision will be notified to the interested parties and published in the Bulletin of the Antitrust Authority.</w:t>
        <w:b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rPr>
          <w:b/>
        </w:rPr>
        <w:t>[Pages 58–60]</w:t>
      </w:r>
    </w:p>
    <w:p>
      <w:r>
        <w:t>60 BULLETIN NO. 29 OF JULY 20, 2020</w:t>
        <w:br/>
        <w:t>THE SECRETARY GENERAL THE PRESIDENT</w:t>
        <w:br/>
        <w:t>Filippo Arena Roberto Rustichelli</w:t>
      </w:r>
    </w:p>
    <w:p>
      <w:r>
        <w:t>BULLETIN NO. 29 OF JULY 20, 2020 61</w:t>
        <w:br/>
        <w:t>ACTIVITIES OF REPORTING AND CONSULTATION</w:t>
        <w:br/>
        <w:t>AS1685 – ROME CAPITAL - LIBERALIZATION OF POSTAL NOTIFICATION SERVICES FOR JUDICIAL ACTS AND ROAD CODE VIOLATIONS</w:t>
        <w:br/>
        <w:t>Rome, June 15, 2020</w:t>
        <w:br/>
        <w:t>Rome Capital</w:t>
        <w:br/>
        <w:t>In relation to the request for an opinion submitted by this Municipality, received on September 25, 2019, regarding the actual liberalization of postal notification services for both judicial acts and related communications, as well as for violations of the Road Code, and concerning the mandatory or merely indicative nature of the related tariffs applied by Poste Italiane S.p.A. - aimed at verifying the existence of the conditions to initiate the related public tender procedures for the assignment of postal notification services for judicial acts and related communications of Rome Capital concerning violations of the Road Code pursuant to Legislative Decree No. 285 of April 30, 1992 and violations under Law No. 689 of November 24, 1981 detected by the Local Police of the city - in the meeting of June 10, 2020, the Authority intended to formulate the following observations, pursuant to Article 22 of Law No. 287 of October 10, 1990.</w:t>
        <w:br/>
        <w:t>With reference to the question regarding the appropriateness, on the part of this Administration, to announce a tender procedure for postal notification services for judicial acts and related communications, it is highlighted that, in general, resorting to public tender procedures is always desirable as they represent a suitable tool to allow the full expression of competitive market dynamics.</w:t>
        <w:br/>
        <w:t>In this specific case, given the revision of the Guidelines of the Ministry of Justice on February 5, 20201, with the consequent possibility for alternative operators to organize the training courses required for those responsible for postal notification of judicial acts and violations of the Road Code as outlined in Article 9 of Annex A to Resolution No. 77/18/CONS of AGCom, as deemed by the Authority in opinion AS1651 issued on February 4, 2020, there is now the possibility to identify participation in and passing the training courses as an eligibility requirement for a future tender as outlined by the Ministry of Justice in the aforementioned new Guidelines.</w:t>
        <w:br/>
        <w:t>1 Reference is made to the publication of February 5, 2020, on the website www.giustizia.it, of the new Guidelines for those responsible for postal notification of judicial acts and violations of the Road Code by the Ministry of Justice.</w:t>
      </w:r>
    </w:p>
    <w:p>
      <w:r>
        <w:t>62 BULLETIN NO. 29 OF JULY 20, 2020</w:t>
        <w:br/>
        <w:t>Furthermore, given the current regulatory framework, it may be appropriate to provide for the division of the service into multiple functional and geographical lots, in order to allow the widest participation of postal operators, including those holding regional individual licenses or possessing the professional and operational requirements for carrying out upstream and downstream services related to the notification activity in the strict sense.</w:t>
        <w:br/>
        <w:t>Attention is also drawn to the necessity of duly considering the appropriate and minimum dimensional parameters identified by AGCom in Resolution No. 77/18/CONS, regarding, respectively, the number of personnel required for carrying out postal notification services and the number of collection points. In relation to this latter aspect, the possible use of alternative tools to collection points, suitable to avoid the risk of non-delivery, such as, by way of example, new and additional delivery attempts by operators, telephone appointments, and deliveries agreed with the recipient, is recalled. Such tools appear even more favorable to consumers as they minimize the inconveniences arising from non-delivery for both the sender and the recipient.</w:t>
        <w:br/>
        <w:t>Lastly, with reference to the question regarding “the mandatory nature of the tariffs [...], or their merely indicative nature” of the tariffs applied by Poste Italiane S.p.A. for the universal service, it is represented that the issue pertains to the regulatory competencies of the sector Authority AGCom, where a review and definition of the maximum tariffs for postal notification services for judicial acts and related communications, and for violations of the Road Code, is currently underway, a procedure initiated with Resolution No. 307/19/CONS of AGCom of July 9, 20192 and merged with Resolution No. 469/19/CONS of November 27, 20193 in the ongoing procedure concerning all tariffs for universal postal services4.</w:t>
        <w:br/>
        <w:t>In this regard, it is emphasized that in any case the price forecasts approved by AGCom constitute maximum prices, therefore, freely derogable downwards.</w:t>
        <w:br/>
        <w:t>In conclusion, the Authority, while sharing the approach of this Municipality to proceed with the assignment of the recently liberalized notification services, making use of public tender procedures, underscores the importance of such a tool to ensure full contestability of the market and equal treatment of all interested economic operators and hopes that the above-mentioned indications will be adequately taken into consideration.</w:t>
        <w:br/>
        <w:t>This opinion will be published in the Bulletin referred to in Article 26 of Law No. 287/90, unless any reasons opposing publication are presented within 30 days from the receipt of this communication, specifying the reasons.</w:t>
        <w:br/>
        <w:t>2 Resolution No. 307/19/CONS of July 9, 2019, concerning the “Public consultation regarding the review of maximum tariffs for postal notification services (judicial acts and related communications, road code violations).”</w:t>
        <w:br/>
        <w:t>3 Resolution No. 469/19/CONS of November 27, 2019, concerning the “Tariffing methods for related communications within postal notification services (judicial acts and related communications, road code violations).”</w:t>
        <w:br/>
        <w:t>4 Communication initiating the procedure, published on AGCom's website on October 21, 2019, concerning the “Initiation of the investigative procedure for the analysis of the correspondence services market and determination of maximum tariffs for universal postal services.”</w:t>
      </w:r>
    </w:p>
    <w:p>
      <w:r>
        <w:rPr>
          <w:b/>
        </w:rPr>
        <w:t>[Pages 61–63]</w:t>
      </w:r>
    </w:p>
    <w:p>
      <w:r>
        <w:t>BULLETIN NO. 29 OF JULY 20, 2020 63</w:t>
        <w:br/>
        <w:t>THE PRESIDENT</w:t>
        <w:br/>
        <w:t>Roberto Rustichelli</w:t>
      </w:r>
    </w:p>
    <w:p>
      <w:r>
        <w:t>64 BULLETIN NO. 29 OF JULY 20, 2020</w:t>
        <w:br/>
        <w:t>UNFAIR COMMERCIAL PRACTICES</w:t>
        <w:br/>
        <w:t>PS11564 – ENEL/SEN - TWO-YEAR LIMITATION</w:t>
        <w:br/>
        <w:t>Notice of initiation of investigation</w:t>
        <w:br/>
        <w:t>ANTITRUST AUTHORITY</w:t>
        <w:br/>
        <w:t>Notice of the initiation of the investigation, due to the significant number of intervention requests received, pursuant to Article 6, paragraph 2, of the Regulation on investigative procedures regarding misleading and comparative advertising, unfair commercial practices, and unfair clauses (hereinafter, Regulation), adopted by the Authority with resolution of April 1, 2015, in relation to the procedure PS11564 – ENEL/SEN – TWO-YEAR LIMITATION.</w:t>
        <w:br/>
        <w:t>I. THE PARTIES</w:t>
        <w:br/>
        <w:t>Enel Energia S.p.a., as a professional pursuant to Article 18, paragraph 1, letter b), of the Consumer Code. The company is active in the sale of electricity and natural gas, among others, to final customers in the domestic sector in the free market.</w:t>
        <w:br/>
        <w:t>Servizio Elettrico Nazionale S.p.a., as a professional, pursuant to Article 18, letter b), of the Consumer Code. The Company is active in the sale of electricity and natural gas to final users other than customers in the free market.</w:t>
        <w:br/>
        <w:t>II. THE COMMERCIAL PRACTICE</w:t>
        <w:br/>
        <w:t>From various consumer reports, the hypothesis of an unfair commercial practice has emerged, carried out separately by each of the aforementioned Professionals, regarding the handling of requests made by their respective users - pursuant to the 2018 Budget Law and subsequent Resolutions of the energy sector Regulator - for recognition of the two-year limitation accrued on credits related to consumption dating back in time, exceeding two years from the date of issuance of the multi-year electricity or natural gas consumption bill. In response to the request for reversal of charges – generally high and often billed with considerable delay – both companies, in some cases, have remained silent – sometimes proceeding, at the same time, to send letters of formal notice and warning of disconnection of supply – but largely have rejected the requests for two-year limitation on the basis of insufficient, irrelevant, or pretextual reasons, more often attributing to the customer the responsibility for the billing delay based on mere statements – not adequately substantiated – made by local Distributors regarding the impossibility of accessing the meters to carry out the readings.</w:t>
        <w:br/>
        <w:t>It has also been hypothesized, regarding both Professionals, aggressive conduct related to the immediate acquisition of payments related to credits subject to the two-year limitation in cases where users opted for direct debit as a payment method, a conduct in violation of the current regulation on the matter.</w:t>
        <w:br/>
        <w:t>III. NOTICE</w:t>
        <w:br/>
        <w:t>Through this notice, interested parties who have submitted a request for intervention pursuant to Article 4 of the Regulation are informed that, with communication dated July 6, 2020, prot.</w:t>
      </w:r>
    </w:p>
    <w:p>
      <w:r>
        <w:t>BULLETIN NO. 29 OF JULY 20, 2020 65</w:t>
        <w:br/>
        <w:t>n. 0053218, an investigative procedure has been initiated against the Professionals, aimed at ascertaining any violation of Articles 20, 24, and 25 of the Consumer Code.</w:t>
        <w:br/>
        <w:t>It is also informed that interested parties have the right to intervene in the ongoing procedure by submitting a specific act, duly signed, containing the elements indicated in Article 10 of the Regulation.</w:t>
        <w:br/>
        <w:t>For any communication addressed to the Authority regarding the procedure in question, please refer to the A- Primary Industry, Energy, Transport, and Trade Directorate of the General Directorate for Consumer Protection and the reference PS11564.</w:t>
      </w:r>
    </w:p>
    <w:p>
      <w:r>
        <w:rPr>
          <w:b/>
        </w:rPr>
        <w:t>[Pages 64–66]</w:t>
      </w:r>
    </w:p>
    <w:p>
      <w:r>
        <w:t>66 BULLETIN NO. 29 OF JULY 20, 2020</w:t>
        <w:br/>
        <w:t>PS11569 – ENI - TWO-YEAR LIMITATION</w:t>
        <w:br/>
        <w:t>Notice of initiation of investigation procedure</w:t>
        <w:br/>
        <w:t>ANTITRUST AUTHORITY</w:t>
        <w:br/>
        <w:t>Notice of initiation of the investigation, due to the significant number of intervention requests received, pursuant to Article 6, paragraph 2, of the Regulation on investigation procedures regarding misleading and comparative advertising, unfair commercial practices, and unfair clauses (hereinafter, Regulation), adopted by the Authority with resolution of April 1, 2015, in relation to the procedure PS11569 – ENI – TWO-YEAR LIMITATION.</w:t>
        <w:br/>
        <w:t>I. THE PARTIES</w:t>
        <w:br/>
        <w:t>Eni Gas e Luce S.p.A., as a professional pursuant to Article 18, paragraph 1, letter b), of the Consumer Code. The company operates in the sale of electricity and natural gas to end customers in the domestic sector.</w:t>
        <w:br/>
        <w:t>II. THE COMMERCIAL PRACTICE</w:t>
        <w:br/>
        <w:t>From various consumer reports, the hypothesis of an unfair commercial practice carried out by the aforementioned Professional has emerged, regarding the handling of requests made by users – pursuant to the 2018 Budget Law and subsequent resolutions of the energy sector Regulator – for recognition of the two-year limitation accrued on credits related to consumption dating back in time, exceeding two years from the date of issuance of the multi-year electricity or natural gas consumption bill. In response to the request for reversal of charges – generally high and often billed with considerable delay – the company, in some cases, has remained silent – sometimes proceeding, at the same time, to send letters of formal notice and pre-notification of supply disconnection – but often has rejected the requests for two-year limitation on the basis of insufficient, irrelevant, or pretextual reasons, more often attributing to the customer the responsibility for the billing delay based on mere statements – inadequately substantiated – made by the local Distributor regarding the impossibility of accessing the meters to carry out the readings.</w:t>
        <w:br/>
        <w:t>III. NOTICE</w:t>
        <w:br/>
        <w:t>Through this notice, interested parties who have submitted a request for intervention pursuant to Article 4 of the Regulation are informed that, with communication of July 6, 2020, prot. no. 0053220, an investigation procedure has been initiated against the aforementioned Professional, aimed at ascertaining any violation of Articles 20, 24, and 25 of the Consumer Code. It is also informed that interested parties have the right to intervene in the ongoing procedure by submitting a specific act, duly signed, containing the elements indicated in Article 10 of the Regulation.</w:t>
      </w:r>
    </w:p>
    <w:p>
      <w:r>
        <w:t>BULLETIN NO. 29 OF JULY 20, 2020 67</w:t>
        <w:br/>
        <w:t>For any communication addressed to the Authority regarding the procedure in question, please refer to the Directorate A - Primary Industry, Energy, Transport, and Trade of the Directorate General for Consumer Protection and the reference PS11569.</w:t>
      </w:r>
    </w:p>
    <w:p>
      <w:r>
        <w:t>Antitrust Authority Weekly Bulletin</w:t>
        <w:br/>
        <w:t>of Competition and the Market Year XXX - No. 29 - 2020</w:t>
        <w:br/>
        <w:t>Editorial Coordination Giulia Antenucci</w:t>
        <w:br/>
        <w:t>Editorial Staff Sandro Cini, Valerio Ruocco, Simonetta Schettini,</w:t>
        <w:br/>
        <w:t>Manuela Villani</w:t>
        <w:br/>
        <w:t>Antitrust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