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https://www.agcm.it/dotcmsdoc/bollettini/2019/3-19.pdf</w:t>
      </w:r>
    </w:p>
    <w:p>
      <w:r>
        <w:t>Pages translated : 133</w:t>
      </w:r>
    </w:p>
    <w:p/>
    <w:p>
      <w:r>
        <w:rPr>
          <w:b/>
        </w:rPr>
        <w:t>[Pages 1–3]</w:t>
      </w:r>
    </w:p>
    <w:p>
      <w:r>
        <w:t>Bulletin</w:t>
        <w:br/>
        <w:t>Weekly</w:t>
        <w:br/>
        <w:t>Year XXIX - No. 3</w:t>
        <w:br/>
        <w:t>Published on the website www.agcm.it</w:t>
        <w:br/>
        <w:t>January 21, 2019</w:t>
      </w:r>
    </w:p>
    <w:p>
      <w:r>
        <w:t>SUMMARY</w:t>
        <w:br/>
        <w:t>AGREEMENTS AND ABUSE OF DOMINANT POSITION 5</w:t>
        <w:br/>
        <w:t>I811 - AUTO FINANCING</w:t>
        <w:br/>
        <w:t>Decision No. 27497∗ 5</w:t>
        <w:br/>
        <w:t>I811 - AUTO FINANCING</w:t>
        <w:br/>
        <w:t>Decision No. 27498 107</w:t>
        <w:br/>
        <w:t>ACTIVITIES OF REPORTING AND CONSULTATION 110</w:t>
        <w:br/>
        <w:t>AS1557 – TUSCANY REGION – COMMERCIAL CODE 110</w:t>
        <w:br/>
        <w:t>UNFAIR TRADE PRACTICES 114</w:t>
        <w:br/>
        <w:t>PS10949 - HOUSE TO HOUSE - FALSE PRODUCT CHARACTERISTICS</w:t>
        <w:br/>
        <w:t>Decision No. 27482 114</w:t>
        <w:br/>
        <w:t>PS11138 - MULPOR - INTERNATIONAL FAIRS DIRECTORY</w:t>
        <w:br/>
        <w:t>Notice of communication of the conclusion of the investigation phase 128</w:t>
        <w:br/>
        <w:t>∗</w:t>
        <w:br/>
        <w:t>This decision No. 27497 is published in the corrected version following the resolution of January 16, 2019,</w:t>
        <w:br/>
        <w:t>No. 27498 also published in this Bulletin.</w:t>
      </w:r>
    </w:p>
    <w:p>
      <w:r>
        <w:t>BULLETIN NO. 3 OF JANUARY 21, 2019 5</w:t>
        <w:br/>
        <w:t>AGREEMENTS AND ABUSE OF DOMINANT POSITION</w:t>
        <w:br/>
        <w:t>I811 - AUTO FINANCING</w:t>
        <w:br/>
        <w:t>Decision No. 27497(*)</w:t>
        <w:br/>
        <w:t>THE ANTITRUST AUTHORITY</w:t>
        <w:br/>
        <w:t>IN ITS MEETING of December 20, 2018;</w:t>
        <w:br/>
        <w:t>HEARD the Rapporteur Professor Michele Ainis;</w:t>
        <w:br/>
        <w:t>HAVING REGARD to Article 101 of the Treaty on the Functioning of the European Union (TFEU);</w:t>
        <w:br/>
        <w:t>HAVING REGARD to Council Regulation (EC) No. 1/2003 of December 16, 2002, concerning</w:t>
        <w:br/>
        <w:t>the application of the competition rules laid down in Articles 101 and 102 of the TFEU;</w:t>
        <w:br/>
        <w:t>HAVING REGARD to Law No. 287 of October 10, 1990;</w:t>
        <w:br/>
        <w:t>HAVING REGARD to the Presidential Decree No. 217 of April 30, 1998;</w:t>
        <w:br/>
        <w:t>HAVING REGARD to the oral request for non-imposition of sanctions pursuant to the Communication</w:t>
        <w:br/>
        <w:t>on non-imposition and reduction of sanctions under Article 15 of Law No. 287 of October 10, 1990, submitted by Daimler AG and its controlled companies on March 3, 2014, concerning conduct carried out in the area of commercial products (in particular leasing and financing) with which captive banks primarily support the purchase of vehicles of the respective "brand partner," likely to constitute a restrictive agreement under competition law;</w:t>
        <w:br/>
        <w:t>HAVING REGARD to the subsequent integrations of said oral request, on August 3, 2016, and October 21, 2016, the completion on January 31, 2017, and the last integration on December 15, 2017;</w:t>
        <w:br/>
        <w:t>HAVING REGARD to its resolution of April 28, 2017, which initiated an investigation pursuant to Article 14 of Law No. 287/90, against the companies Banca PSA Italia S.p.A., BMW Bank Gmbh, FCA Bank S.p.A., FCE Bank Plc., General Motor Financial Italia S.p.A., Mercedes Benz Financial Services Italia S.p.A., RCI Banque SA, Toyota Financial Services Plc., Volkswagen Bank Gmbh and the associations Assilea - Italian Leasing Association and Assofin - Italian Association of Consumer and Real Estate Credit, to ascertain the existence of violations of Article 101 of the TFEU;</w:t>
        <w:br/>
        <w:t>HAVING REGARD to the request for participation in the proceedings submitted on June 14, 2017, by the consumer association Altroconsumo, pursuant to Article 7, paragraph 1, letter b), of Presidential Decree No. 217/98;</w:t>
        <w:br/>
        <w:t>HAVING REGARD to the communications through which the companies Toyota Financial Services Plc., FCA Bank S.p.A., Banca PSA Italia S.p.A., Volkswagen Bank Gmbh, FCE Bank Plc., BMW Bank Gmbh, General Motor Financial Italia S.p.A., respectively on August 2, August 4, and August 7, 2017, submitted commitments, pursuant to Article 14-ter of Law No. 287/90;</w:t>
        <w:br/>
        <w:t>(*)</w:t>
        <w:br/>
        <w:t>This decision No. 27497 is published in the corrected version following the resolution of January 16, 2019,</w:t>
        <w:br/>
        <w:t>No. 27498, with reference to table No. 1, table No. 3, and point b) of the ruling.</w:t>
      </w:r>
    </w:p>
    <w:p>
      <w:r>
        <w:rPr>
          <w:b/>
        </w:rPr>
        <w:t>[Pages 4–6]</w:t>
      </w:r>
    </w:p>
    <w:p>
      <w:r>
        <w:t>6 BULLETIN NO. 3 OF JANUARY 21, 2019</w:t>
      </w:r>
    </w:p>
    <w:p>
      <w:r>
        <w:t>HAVING REGARD to its resolution of September 14, 2017, which rejected the commitments submitted by the aforementioned companies;</w:t>
      </w:r>
    </w:p>
    <w:p>
      <w:r>
        <w:t>HAVING REGARD to its resolution of September 27, 2017, by which the proceedings were extended to the companies Banque PSA Finance SA, Santander Consumer Bank S.p.A., Bayerische Motoren Werke Aktiengesellschaft, CA Consumer Finance SA, FCA Italy S.p.A., Ford Motor Company, General Motors Company, Daimler AG, Renault SA, Toyota Motor Corporation, and Volkswagen AG;</w:t>
      </w:r>
    </w:p>
    <w:p>
      <w:r>
        <w:t>HAVING REGARD to its resolution of March 28, 2018, by which, in light of the requests received from the Parties to the proceedings, the deadline for closing the investigation was extended to December 31, 2018;</w:t>
      </w:r>
    </w:p>
    <w:p>
      <w:r>
        <w:t>HAVING REGARD to the Communication of Investigative Results, sent to the Parties on October 5, 2018, pursuant to Article 14 of the D.P.R. April 30, 1998, No. 217;</w:t>
      </w:r>
    </w:p>
    <w:p>
      <w:r>
        <w:t>HAVING REGARD to the final submissions of the companies Banca PSA Italia S.p.A., Banque PSA Finance SA, Santander Consumer Bank S.p.A., BMW Bank GmbH, BMW AG, FCA Bank S.p.A., CA Consumer Finance SA, FCA Italy S.p.A., FCE Bank Plc., Ford Motor Company, Opel Finance S.p.A. (formerly General Motors Financial Italia S.p.A.), General Motors Company, RCI Banque SA, Renault SA, Toyota Financial Services Plc., Toyota Motor Corporation, Volkswagen Bank GmbH, Volkswagen AG, Mercedes Benz Financial Services Italia S.p.A., Daimler AG, as well as the associations Assilea - Italian Leasing Association and Assofin - Italian Association of Consumer and Real Estate Credit, received between November 23 and 28, 2018;</w:t>
      </w:r>
    </w:p>
    <w:p>
      <w:r>
        <w:t>HAVING HEARD in the final hearing the representatives of the companies Banca PSA Italia S.p.A., Banque PSA Finance SA, Santander Consumer Bank S.p.A., BMW Bank GmbH, BMW AG, FCA Bank S.p.A., CA Consumer Finance SA, FCA Italy S.p.A., FCE Bank Plc., Ford Motor Company, Opel Finance S.p.A. (formerly General Motors Financial Italia S.p.A.), General Motors Company, RCI Banque S.A., Toyota Financial Services Plc., Toyota Motor Corporation, Volkswagen Bank GmbH, Volkswagen AG, Mercedes Benz Financial Services Italia S.p.A., Daimler AG, as well as the associations Assilea - Italian Leasing Association and Assofin - Italian Association of Consumer and Real Estate Credit, on December 3, 2018;</w:t>
      </w:r>
    </w:p>
    <w:p>
      <w:r>
        <w:t>HAVING REGARD to the acts of the proceedings and the documentation acquired during the investigation;</w:t>
      </w:r>
    </w:p>
    <w:p>
      <w:r>
        <w:t>CONSIDERING the following:</w:t>
      </w:r>
    </w:p>
    <w:p>
      <w:r>
        <w:t>(I) INTRODUCTION</w:t>
      </w:r>
    </w:p>
    <w:p>
      <w:r>
        <w:t>1. On April 28, 2017, the Authority initiated an investigation to ascertain the existence of an agreement, in violation of Article 101 of the Treaty on the Functioning of the European Union (TFEU), aimed at coordinating commercial strategies among the companies Banca PSA Italia S.p.A., BMW Bank GmbH, FCA Bank S.p.A., FCE Bank Plc., General Motors Financial Italia S.p.A., Mercedes Benz Financial Services Italia S.p.A., RCI Banque SA, Toyota Financial Services Plc., and Volkswagen Bank GmbH (the so-called captive banks), particularly hypothesizing a distortion of competitive dynamics among the captive banks active in Italy in providing financial services aimed at the purchase of vehicles, with a possible distortion also of the competitive dynamics related to the choice of vehicles. According to the initial hypothesis, such conduct would have also taken place within, and with the assistance of, the trade associations Assilea and Assofin.</w:t>
      </w:r>
    </w:p>
    <w:p>
      <w:r>
        <w:t>2. In particular, the agreement concerns the main 'captive' operators present in the national territory, namely, Banque PSA Finance SA, Banca PSA Italia S.p.A., BMW Bank GmbH, FCA Bank S.p.A., FCE Bank Plc., General Motors Financial Italia S.p.A. (now Opel Finance S.p.A.), Mercedes Benz Financial Services Italia S.p.A., RCI Banque SA, Toyota Financial Services Plc., Volkswagen Bank GmbH (the so-called 'captive banks') as well as the associations Assilea - Italian Leasing Association and Assofin - Italian Association of Consumer and Real Estate Credit.</w:t>
      </w:r>
    </w:p>
    <w:p>
      <w:r>
        <w:t>3. The agreement, as already specified in the initiation order and further detailed in the Communication of Investigative Results, was realized through a pervasive and regular exchange of information, bilaterally and multilaterally, also within the associations, concerning the commercial policies of the Parties related to the economic and contractual conditions applied to dealers and end consumers, such as, for example, the base rate, the TAN, the TAEG, the charges applied to buyers as well as the volumes of financial products placed, through bilateral and multilateral contacts.</w:t>
      </w:r>
    </w:p>
    <w:p>
      <w:r>
        <w:t>4. The proceedings were subsequently extended subjectively to the companies Banque PSA Finance SA, Santander Consumer Bank S.p.A., BMW AG, CA Consumer Finance SA, FCA Italy S.p.A., Ford Motor Company, General Motors Company, Daimler AG, Renault SA, Toyota Motor Corporation, and Volkswagen AG, considering their role as parent companies of the companies already Parties to the proceedings, as well as the circumstance that the captive banks, due to statutory provisions, by virtue of agreements or by their very nature, operate with the aim of promoting and supporting the activities carried out by the respective controlling automotive groups.</w:t>
      </w:r>
    </w:p>
    <w:p>
      <w:r>
        <w:t>(II) THE PARTIES</w:t>
      </w:r>
    </w:p>
    <w:p>
      <w:r>
        <w:t>5. Banca PSA Italia S.p.A. (hereinafter also "Banca PSA Italia") is an Italian law company established equally by Banque PSA Finance S.A. and Santander Consumer Bank S.p.A. and is subject to the direction and coordination of the latter. It was established in 2014 and has been active since January 1, 2016, following the transfer by Banque PSA Finance S.A. of its Italian consumer lending activities, consisting, in particular, of the placement of financial products aimed at the sale of vehicles produced by the PSA automotive group, under the brands Peugeot, Citroën, and DS. Until December 31, 2015, this activity was carried out by the Italian branch of Banque PSA Finance S.A. The revenue generated by the company in 2017 was equal to OMISSIS.</w:t>
      </w:r>
    </w:p>
    <w:p>
      <w:r>
        <w:t>6. Banque PSA Finance S.A. (hereinafter also "Banque PSA Finance") is a French law company active in the sector of financial products for the purchase of vehicles. It belongs to the PSA Group and currently holds 50% of the share capital of Banca PSA. From August 31, 2003, until December 31, 2015, Banque PSA Finance was active in Italy in the provision of financial products for the sale of vehicles of the PSA Group. The consolidated revenue generated by the Group to which the company belongs in 2017 was equal to OMISSIS.</w:t>
      </w:r>
    </w:p>
    <w:p>
      <w:r>
        <w:t>7. Santander Consumer Bank S.p.A. (hereinafter also "Santander") is an Italian law company, part of the international banking group Santander and directly controlled by Santander Consumer Finance S.A. Santander is active in Italy in the consumer credit sector, through the placement of loans, credit cards, personal loans, salary-backed loans, and auto leasing. It holds a 50% stake in Banca PSA Italia.</w:t>
      </w:r>
    </w:p>
    <w:p>
      <w:r>
        <w:t>8. BMW Bank GmbH (hereinafter also "BMW Bank") is a German law company, with a secondary office in Italy, which belongs to the BMW group, whose holding is BMW AG. BMW Bank has been operating in Italy as a branch of a foreign bank since 2013 and, within the BMW Group, it provides financial services aimed at the sale of vehicles and motorcycles produced by its affiliates. It replaced, in the captive bank activity of the BMW Group, BMW Financial Services S.p.A., which operated as a financial intermediary and which, following the transfer of the activity to BMW Bank, ceased its operations.</w:t>
      </w:r>
    </w:p>
    <w:p>
      <w:r>
        <w:t>9. BMW AG (hereinafter also "BMW") is the holding company of the BMW Group, which primarily engages in the production and marketing of vehicles and motorcycles under the brands BMW, Mini, and Rolls-Royce. BMW holds 100% of the shares of BMW Bank. The consolidated revenue generated by the BMW Group in 2017 was equal to 98,678,000,000 euros.</w:t>
      </w:r>
    </w:p>
    <w:p>
      <w:r>
        <w:t>10. FCA Bank S.p.A. (hereinafter also "FCA Bank") is an Italian law company active in the credit sector in its various forms and primarily operates in favor of the industrial companies of the FIAT group and, subsequently, since 2009, of the Fiat Chrysler Automobiles Group – FCA, whose holding is FCA NV. The FCA group is listed on the Italian stock exchange and on the NYSE. The capital of FCA Bank is held 50% by CA Consumer Finance SA and 50% by FCA Italy S.p.A. FCA Bank has been active since December 28, 2006. The total revenue generated by the company in 2017 was equal to OMISSIS. Prior to that date, in Italy, the financial products related to the sale of vehicles of the then FIAT Group were placed, as a captive bank, by FIAT Sava S.p.A., an Italian law company, whose capital was entirely held by Fidis Retail Italia S.p.A.; the capital of the latter was, in turn, divided between Fiat Auto S.p.A., which held 49%, and Synesis Finanziaria S.p.A. which held 51% (which was equally participated by Banca Intesa S.p.A., Banca di Roma S.p.A., IMI Investimenti S.p.A. and Unicredito Italiano S.p.A.). Effective from December 28, 2006, Fiat Sava S.p.A. was merged into Fidis Retail Italia S.p.A., resulting in the cessation of the company and the transfer to the absorbing company of rights and obligations. At the same time, FCA Italy S.p.A. acquired all the shares of Fidis Retail Italia S.p.A., proceeded with a capital increase of the same Fidis Retail Italia S.p.A. and transferred 50% of the shares of the latter to CA Consumer Finance SA, prior to the establishment of FCA Bank.</w:t>
      </w:r>
    </w:p>
    <w:p>
      <w:r>
        <w:t>11. CA Consumer Finance S.A. (hereinafter also "CA Consumer Finance") is a French law company, part of the Crédit Agricole Group, whose holding is the company Crédit Agricole SA. Within the Group, it primarily operates in the consumer credit sector, through the placement of financial products, also in the automotive sector, through companies present in 17 countries, both European and non-European. Among these, CA Consumer Finance holds 50% of the share capital of FCA Bank.</w:t>
      </w:r>
    </w:p>
    <w:p>
      <w:r>
        <w:t>12. FCA Italy S.p.A. (hereinafter also "FCA Italy") is an Italian law company belonging to the FCA Group, whose capital is entirely held by Fiat Chrysler Automobiles NV. The FCA group is primarily active in the production and marketing of vehicles.</w:t>
      </w:r>
    </w:p>
    <w:p>
      <w:r>
        <w:rPr>
          <w:b/>
        </w:rPr>
        <w:t>[Pages 7–9]</w:t>
      </w:r>
    </w:p>
    <w:p>
      <w:r>
        <w:t>BULLETIN NO. 3 OF JANUARY 21, 2019 9</w:t>
        <w:br/>
        <w:t>and motorcycles under the brands Fiat, Alfa Romeo, Lancia, Abarth, Maserati, Ferrari, Chrysler, and Jeep. FCA Italy holds 50% of the share capital of FCA Bank.</w:t>
      </w:r>
    </w:p>
    <w:p>
      <w:r>
        <w:t>13. FCE Bank Plc. (hereinafter also “FCE Bank”) is a company under English law whose share capital is wholly and indirectly owned by Ford Motor Company, the holding company of the Ford automotive group. In particular, the share capital of FCE Bank, except for one share, is held by FCSH GmbH, which is a wholly-owned indirect subsidiary of Ford Motor Credit Company LLC. The share capital of the latter is wholly owned by Ford Holdings LLC, whose share capital is wholly owned by Ford Motor Company. Within the Ford Group, FCE Bank provides financial services to dealers and buyers of vehicles of the same Ford Group.</w:t>
      </w:r>
    </w:p>
    <w:p>
      <w:r>
        <w:t>14. Ford Motor Company (hereinafter also “Ford MC”) is a company under U.S. law and the holding company of the Ford Group, which operates globally primarily in the production and distribution of vehicles under the Ford and Lincoln brands. Ford MC indirectly controls, among others, FCE Bank, based on the chain of holdings described in the preceding paragraph. The consolidated revenue generated by the Ford Group in 2017 amounted to 130,722,921,704 euros3.</w:t>
      </w:r>
    </w:p>
    <w:p>
      <w:r>
        <w:t>15. General Motor Financial Italia S.p.A. (hereinafter also “GMF” or “Opel Finance”) is a company under Italian law whose share capital is wholly and indirectly owned by GM Company, the holding company of the General Motors group. In particular, since April 1, 2013, GMF's capital has been 99.6% owned by GMF Europe Holdco, whose capital is, in turn, wholly owned by GMF Europe LLP; the latter is wholly owned by General Motors Financial Company Inc., which is itself wholly owned by GM Holdings LLC, whose capital is wholly owned by GM Company. Before April 2013, GMF was controlled by Ally Financial Inc. Since 2007, GMF has operated in Italy in place of GMAC Italia S.p.A., a company that has definitively ceased operations. Effective November 1, 2017, GMF was acquired by Banque PSA Finance S.A. and BNP Paribas Personal Finance S.A.; following this operation, the extraordinary shareholders' meeting resolved to change the company's name to Opel Finance S.p.A. At the time to which the conduct subject to this proceeding refers, GMF was active in Italy in providing financial services related to the purchase of vehicles from the General Motors group.</w:t>
      </w:r>
    </w:p>
    <w:p>
      <w:r>
        <w:t>16. General Motors Company (hereinafter also “GM Company”) is a company under U.S. law that produces and distributes vehicles (automobiles, motorcycles, and commercial vehicles), spare parts, and services related to such products worldwide. Currently, the brands marketed by GM Company are Buick, Cadillac, Chevrolet, GMC, Holden, and Wuling; until 2017, the General Motors Group also marketed vehicles under the Opel brand. Until October 31, 2017, GM Company indirectly held all of GMF's share capital. The consolidated revenue generated by the General Motors Group in 2017 amounted to 121,394,146,585 euros4.</w:t>
      </w:r>
    </w:p>
    <w:p>
      <w:r>
        <w:t>17. Mercedes Benz Financial Services Italia S.p.A. (hereinafter also “Mercedes FS”) is a company under Italian law whose capital is wholly and indirectly owned by Daimler AG, through Mercedes Benz Italia S.p.A. Mercedes FS primarily operates in the provision of financial and insurance products, particularly concerning products aimed at the sale of vehicles under the Mercedes and SMART brands.</w:t>
      </w:r>
    </w:p>
    <w:p>
      <w:r>
        <w:t>18. Daimler AG (hereinafter also “Daimler”) is a company under German law, listed on the Frankfurt Stock Exchange, at the head of the Daimler Group, which operates globally in the production and distribution of vehicles and commercial vehicles under the Mercedes and SMART brands. Daimler AG directly and indirectly holds a total stake in Mercedes FS. The consolidated revenue generated by the Daimler Group in 2017 amounted to 164,330,000,000 euros.</w:t>
      </w:r>
    </w:p>
    <w:p>
      <w:r>
        <w:t>19. RCI Banque SA (hereinafter also “RCI Banque”) is a company under French law, with a secondary office in Italy, that engages in consumer credit activities, particularly in the placement of financial products aimed at the sale of vehicles from the Renault Group and the so-called Alliance (brands Renault, Dacia, Nissan, Infiniti). In particular, it has operated since 2007 as the Italian branch of a foreign bank. Before that date, the placement of financial products, as a captive of the Renault Group, was carried out by RNC, which operated in the market under the brands Finrenault and Nissan Finanziaria; in 2007, this company was merged into RCI Banque. The share capital of RCI Banque is wholly and indirectly owned by Renault SA, the holding company of the Renault automotive group, through Renault SAS.</w:t>
      </w:r>
    </w:p>
    <w:p>
      <w:r>
        <w:t>20. Renault SA (hereinafter also “Renault”) is a company under French law at the head of the Renault Group, which is active in the production and marketing of vehicles worldwide under the Renault, Dacia, and Alpine brands. The Renault Group also offers services related to the vehicles produced, such as the supply of spare parts, assistance services, and financial services. Renault SA indirectly holds all of RCI Banque's capital. The consolidated revenue generated by the Renault Group in 2017 amounted to 58,770,000,000 euros.</w:t>
      </w:r>
    </w:p>
    <w:p>
      <w:r>
        <w:t>21. Toyota Financial Services Plc. (hereinafter also “TFS”) is a company under English law, with a secondary office in Italy, whose capital is wholly owned by Toyota Financial Services Co., which, in turn, is wholly owned by Toyota Motor Corporation, the holding company of the Toyota automotive group. TFS is active in providing financial intermediation services, primarily for buyers of vehicles under the Toyota, Daihatsu, and Lexus brands.</w:t>
      </w:r>
    </w:p>
    <w:p>
      <w:r>
        <w:t>22. Toyota Motor Corporation (hereinafter also “TMC”) is a company under Japanese law at the head of the Toyota automotive group, which produces and markets vehicles under the Toyota, Daihatsu, and Lexus brands and operates globally. TMC indirectly holds, among others, a total stake in TFS. The consolidated revenue generated by the group headed by TMC in the fiscal year ending March 31, 2018, amounted to 224,014,487,228 euros5.</w:t>
      </w:r>
    </w:p>
    <w:p>
      <w:r>
        <w:t>23. Volkswagen Bank GmbH (hereinafter also “Volkswagen Bank”) is a company under German law, with a secondary office in Italy, active in providing banking and financial services related to the sale of products from the Volkswagen Group, of which it is a part. Its share capital is wholly owned by Volkswagen Financial Services AG, whose capital is in turn wholly owned by Volkswagen AG, the holding company of the Volkswagen automotive group.</w:t>
      </w:r>
    </w:p>
    <w:p>
      <w:r>
        <w:t>24. Volkswagen AG (hereinafter also “Volkswagen”) is a company under German law at the head of the Volkswagen Group, which operates globally in the production and marketing of automobiles under the Volkswagen, Audi, SEAT, Škoda Auto, Bentley, Bugatti, Lamborghini, and Porsche brands, motorcycles under the Ducati brand, and commercial vehicles under the Volkswagen Commercial Vehicles, Scania AB, and MAN brands. The Group also offers related and ancillary services for the sale of vehicles. Volkswagen indirectly holds a total stake in the share capital of Volkswagen Bank. The consolidated revenue generated by the Volkswagen Group in 2017 amounted to 230,682,000,000 euros.</w:t>
      </w:r>
    </w:p>
    <w:p>
      <w:r>
        <w:t>25. Assilea - Associazione Italiana Leasing (hereinafter also “Assilea”) is a national association that represents leasing companies before sector organizations operating in various institutional, national, and international venues. To this end, Assilea promotes studies and research, maintains relationships with public and private institutions, formulates behavioral guidelines, and carries out specific initiatives aimed at promoting leasing products in all their forms and at regulating leasing activities in line with the nature and specific characteristics of the related operations. To date, Assilea has about 80 members, including almost all of the captive banks involved in this proceeding. The membership contributions paid by its members amounted, for 2017, to approximately OMISSIS, of which approximately OMISSIS were paid by the captive banks.</w:t>
      </w:r>
    </w:p>
    <w:p>
      <w:r>
        <w:t>26. Assofin - Associazione Italiana del Credito al Consumo e Immobiliare (hereinafter also “Assofin”) is a national association, established in 1992, that brings together the main financial operators in the family credit sectors. To date, it has 61 members, typically belonging to national and international industrial and banking groups (including almost all of the captive banks involved in this proceeding) that represent the majority of active operators in the consumer credit and real estate financing sectors provided by specialized intermediaries. The association serves as a coordination and information body on relevant issues for its members as well as representing them in the competent venues, also to promote constant dialogue with administrative and legislative bodies. The membership contributions paid by its members amounted, for 2017, to approximately OMISSIS, of which just over OMISSIS were paid by the captive banks.</w:t>
      </w:r>
    </w:p>
    <w:p>
      <w:r>
        <w:t>Intervening party</w:t>
      </w:r>
    </w:p>
    <w:p>
      <w:r>
        <w:t>27. The Association Altroconsumo is a non-profit consumer association registered with the National Council of Consumers and Users, based in Milan, with approximately 300,000 members.</w:t>
      </w:r>
    </w:p>
    <w:p>
      <w:r>
        <w:t>(III) THE INSTRUCTIONAL ACTIVITY CARRIED OUT</w:t>
      </w:r>
    </w:p>
    <w:p>
      <w:r>
        <w:t>28. This proceeding was initiated on April 28, 2017, following the submission of a leniency application OMISSIS - received on March 3, 20146, perfected on January 31, 20177, and lastly supplemented on December 15, 20178 - and its conclusion deadline, initially set for July 31, 2018, was extended, following requests from the Parties9, to December 31, 2018, by order of March 28, 201810.</w:t>
      </w:r>
    </w:p>
    <w:p>
      <w:r>
        <w:t>29. As mentioned in the introduction, the proceeding was originally initiated against 9 companies: Banca PSA Italia, BMW Bank, FCA Bank, FCE Bank, GMF, Mercedes FS, RCI Banque, TFS, Volkswagen Bank, and the two trade associations Assilea and Assofin.</w:t>
      </w:r>
    </w:p>
    <w:p>
      <w:r>
        <w:t xml:space="preserve">30. On April 28, 2017, inspections were authorized at the premises of the aforementioned companies, which took place on May 4, 2017. </w:t>
        <w:br/>
        <w:t>6</w:t>
        <w:br/>
        <w:t>Doc. 1.</w:t>
        <w:br/>
        <w:t>7</w:t>
        <w:br/>
        <w:t>Doc. 7.</w:t>
        <w:br/>
        <w:t>8</w:t>
        <w:br/>
        <w:t>Doc. 1841.</w:t>
        <w:br/>
        <w:t>9</w:t>
        <w:br/>
        <w:t>Doc. 1866, 1923, and 1932.</w:t>
        <w:br/>
        <w:t>10</w:t>
        <w:br/>
        <w:t>Docs. from 1953 to 1977.</w:t>
      </w:r>
    </w:p>
    <w:p>
      <w:r>
        <w:rPr>
          <w:b/>
        </w:rPr>
        <w:t>[Pages 10–12]</w:t>
      </w:r>
    </w:p>
    <w:p>
      <w:r>
        <w:t>12 BULLETIN NO. 3 OF JANUARY 21, 2019</w:t>
      </w:r>
    </w:p>
    <w:p>
      <w:r>
        <w:t>31. On June 21, 2017, the association Altroconsumo was admitted to participate in the proceedings, following the relevant request received on June 14, 201711.</w:t>
      </w:r>
    </w:p>
    <w:p>
      <w:r>
        <w:t>32. On July 13, 201712, requests for information were sent to the Parties regarding the entities exercising control, either individually or jointly, over them, specifying their shareholding in the share capital or the presence of shareholders' agreements.</w:t>
      </w:r>
    </w:p>
    <w:p>
      <w:r>
        <w:t>33. Based on the information acquired, the proceedings were subjectively extended, on September 27, 2017, to the companies Banque PSA Finance, Santander, BMW, CA Consumer Finance, FCA Italy, Ford MC, GM Company, Daimler, Renault, TMC, and Volkswagen due to their roles as shareholders of each of the original parties, as well as the purpose of the agreement which also aims to promote and support the sale/leasing of automobiles produced by the manufacturing companies.</w:t>
      </w:r>
    </w:p>
    <w:p>
      <w:r>
        <w:t>34. Concurrently with the extension, and considering that the share capital of Banca PSA is held 50% by Banque Finance and 50% by Santander, and that the share capital of FCA Bank is held 50% by CA Consumer Finance and 50% by FCA Italy, the Authority decided to conduct inspections at the premises of Banca PSA Italia, Santander, FCA Bank, and FCA Italy. The inspection activity took place on October 5, 2017.</w:t>
      </w:r>
    </w:p>
    <w:p>
      <w:r>
        <w:t>35. Following the subjective extension of the proceedings, numerous requests for an extension of the deadline for closing the investigation were submitted by the Parties; therefore, with a resolution dated March 28, 2018, the Authority extended the deadline for closing the investigation to December 31, 2018.</w:t>
      </w:r>
    </w:p>
    <w:p>
      <w:r>
        <w:t>36. On July 26, 201713, information was requested from the Parties both regarding the methods of placement of financing and regarding the distribution methods in Italy of the vehicles of each of their respective groups, specifying what the commercial networks were and their relative weight, as well as the operational distribution methods. The Parties responded to these requests with communications received on dates between September 8 and 26, 201714.</w:t>
      </w:r>
    </w:p>
    <w:p>
      <w:r>
        <w:t>37. All Parties to the proceedings, except for FCA Italy and Renault SA, requested to be heard, and all related requests were accepted15.</w:t>
      </w:r>
    </w:p>
    <w:p>
      <w:r>
        <w:t>38. The company FCA Bank was heard in a hearing on September 8, 201716; FCE Bank was heard on September 15, 201717; the association Assofin was heard on September 28, 2017, and June 13, 201818; BMW Bank was heard on October 18, 201719; Assilea was heard on October 24, 201720; Mercedes FS was heard on October 27, 201721; Banca PSA Italia was heard in hearings on December 5, 2017, and April 9, 201822; on December 5, 2017, the company RCI Banque23 was also heard; TMC was heard on February 14, 201824; the company Santander was heard on March 22, 201825; BMW on June 12, 201826, and Banque PSA Finance on June 15, 201827.</w:t>
      </w:r>
    </w:p>
    <w:p>
      <w:r>
        <w:t>39. Regarding the companies that chose not to participate in the hearing, the Authority's Offices, in order to acquire the necessary elements to instruct the proceedings, on December 4, 2017, sent requests for information to GMF, TFS, and Volkswagen Bank regarding, among other things, the procedure for drafting and approving the annual budget and marketing plan; the methods of determining interest rates (TAN and TAEG) to be applied to the final customers both in the case of promotions and in the case of standard interest rates; the methods of setting the commissions recognized in favor of the dealers28. Responses to these requests were received on December 22 and 29, 2017, and January 2, 201829.</w:t>
      </w:r>
    </w:p>
    <w:p>
      <w:r>
        <w:t>40. On October 31, 201730, the collaboration of the Guardia di Finanza was requested for the administration of a questionnaire to numerous dealers, which asked for information regarding the methods of placement of financing and the degree of autonomy of the dealers in quantifying the financing rate to be applied to the final customer. The results of these questionnaires were provided by the Guardia di Finanza, lastly, on January 5, 201831.</w:t>
      </w:r>
    </w:p>
    <w:p>
      <w:r>
        <w:t>41. During the proceedings, the following companies were also heard: Compass Banca S.p.A. (on January 11, 2018)32, Fiditalia S.p.A. (January 15, 2017)33, Findomestic Banca S.p.A. (June 13, 2018)34, and Agos Ducato S.p.A. (July 10, 2018)35, as entities operating in the sector of providing financing aimed at the purchase of automobiles.</w:t>
      </w:r>
    </w:p>
    <w:p>
      <w:r>
        <w:t>42. The Parties also requested and exercised on several occasions the right to access the documents of the proceedings on June 21 and 23, 201736, October 26, 201737, November 13 and 23, 201738, December 5 and 7, 201739, December 20 and 21, 201740, January 10 and 11, 201841, February 9 and 13, 201842, April 17, 201743, May 8, 201844, June 13 and 20, 201845, August 1 and 3, 201846, October 8, 201847, and November 29, 201848.</w:t>
      </w:r>
    </w:p>
    <w:p>
      <w:r>
        <w:t>43. In the context of the proceedings, in a communication dated August 2, 2017, TFS submitted commitments pursuant to Article 14-ter of Law No. 287/9049; subsequently, on August 4, 2017, FCA Bank, Banca PSA Italia, Volkswagen Bank, FCE Bank, and BMW Bank also submitted commitments50. Lastly, on August 7, 2017, commitments were received from the company GMF51.</w:t>
      </w:r>
    </w:p>
    <w:p>
      <w:r>
        <w:t>44. With decisions dated September 14, 201752, the Authority rejected the proposed commitments as they related to a proceeding concerning conduct that could be assessed as likely to constitute a serious violation of competition rules, such as to lead to the imposition of a monetary penalty and, therefore, - in line with community law, as well as with what is expressly provided in paragraph 6 of the "Communication on the procedures for the application of Article 14-ter of Law No. 287/90" - they had to be considered inadmissible. The Authority, in any case, considered that the commitments submitted were, overall, manifestly inadequate to remove the anticompetitive profiles highlighted in the initiation decision as they merely aimed to implement conduct already imposed by the existing antitrust legislation.</w:t>
      </w:r>
    </w:p>
    <w:p>
      <w:r>
        <w:t>45. The Parties submitted written statements and clarifications during the proceedings, the contents of which have been duly considered in this decision.</w:t>
      </w:r>
    </w:p>
    <w:p>
      <w:r>
        <w:t>46. Some companies submitted documentation regarding the implementation of an antitrust compliance program. In particular, on December 22, 2017, BMW Bank submitted the program implemented by the BMW Group, providing an update on April 9, 201853; on February 12, 2018, TFS submitted its compliance program54; on February 14, 2018, during the hearing, TMC reported on the implementation of a compliance program, submitting the related documentation55; FCE Bank transmitted its program on March 12, 201856; on April 9, 2018, Banca PSA Italia illustrated in the hearing the implementation of a compliance program, which was then submitted on June 11, 201857; on April 17, 2018, with a subsequent integration on September 26, 201858, FCA Bank provided documentation regarding the implementation of the antitrust compliance program; on May 8, 2018, Assilea also submitted a compliance program59; Volkswagen Bank reported on the implementation of its compliance program.</w:t>
      </w:r>
    </w:p>
    <w:p>
      <w:r>
        <w:rPr>
          <w:b/>
        </w:rPr>
        <w:t>[Pages 13–15]</w:t>
      </w:r>
    </w:p>
    <w:p>
      <w:r>
        <w:t>BULLETIN NO. 3 OF JANUARY 21, 2019 15</w:t>
        <w:br/>
        <w:t>of the compliance program of the Volkswagen Financial Services Group dated September 14, 201860.</w:t>
      </w:r>
    </w:p>
    <w:p>
      <w:r>
        <w:t>47. On October 5, 2018, the Investigative Results of the proceedings were sent to the Parties.</w:t>
      </w:r>
    </w:p>
    <w:p>
      <w:r>
        <w:t>48. Between October 10 and 22, 2018, requests for an extension of the procedural deadlines of the investigation were received from the companies: BMW Bank, BMW, CA Consumer Finance, FCE Bank, Ford MC, Banque PSA Finance, Banca PSA Italia, GMF, TFS, Volkswagen, FCA Bank, TMC, Volkswagen Bank, GM Company, Santander, RCI Banque, FCA Italy, as well as from the associations Assilea and Assofin61. These requests were accepted by the College with a resolution dated October 24, 2018, granting an extension of the deadline for the conclusion of the preliminary phase of the investigation and setting the new date for the final hearing on December 3, 201862.</w:t>
      </w:r>
    </w:p>
    <w:p>
      <w:r>
        <w:t>49. Between November 23 and 28, 2018, the final submissions of the Parties63 were received, to which they had access on November 29, 2018.</w:t>
      </w:r>
    </w:p>
    <w:p>
      <w:r>
        <w:t>50. On December 3, 2018, the final hearing was held before the College, with representatives of the companies Banca PSA Italia, Banque PSA Finance, Santander, BMW Bank, BMW, FCA Bank, CA Consumer Finance, FCA Italy, FCE Bank, Ford MC, GMF (now Opel Finance), GM Company, RCI Banque, TFS, TMC, Volkswagen, Volkswagen, Mercedes FS, Daimler, as well as the associations Assilea - Italian Leasing Association and Assofin - Italian Association of Consumer and Real Estate Credit64.</w:t>
      </w:r>
    </w:p>
    <w:p>
      <w:r>
        <w:t>(IV) THE RELEVANT SECTOR</w:t>
      </w:r>
    </w:p>
    <w:p>
      <w:r>
        <w:t>51. The Parties involved in the conduct of these proceedings operate in the provision of financial products aimed at the sale of automobiles produced by their respective Groups and related services. To this end, and as far as relevant for these proceedings, it is noted that such sales can occur through the provision of two types of financial products: consumer credit and financial leasing (or financial rental).</w:t>
      </w:r>
    </w:p>
    <w:p>
      <w:r>
        <w:t>52. Consumer credit in the automotive sector consists of a facilitation granted at the time of purchasing a vehicle to a natural person acting for purposes unrelated to their entrepreneurial or professional activity.</w:t>
      </w:r>
    </w:p>
    <w:p>
      <w:r>
        <w:t>53. It is subject to specific community-based regulations65 incorporated into Articles 121 and following of the Consolidated Banking Act (TUB)66 and its implementing regulations (essentially consisting of resolutions of the CICR and provisions of the Bank of Italy) as well as, for consumer-related aspects, in the Consumer Code67.</w:t>
      </w:r>
    </w:p>
    <w:p>
      <w:r>
        <w:t>54. There are various types of consumer credit in the automotive sector. Among these, the most commonly used are: classic installment credit, which provides that the financial company disburses (instead of the buyer) a predetermined sum in favor of a third party (the car manufacturer whose asset is purchased), and its gradual amortization by the buyer with a plan of constant installments and normally fixed interest; credit with a balloon payment, which involves the buyer paying a reduced portion of the price at the time of delivery of the asset, periodic installments of a not high amount aimed at amortizing part of the sum disbursed by the financial company, and a final installment of more significant value (so-called balloon payment) at the expiration of a predetermined period; revolving credit, in which the customer has a credit line available to finance the purchase of the vehicle and/or related services.</w:t>
      </w:r>
    </w:p>
    <w:p>
      <w:r>
        <w:t>55. In all these cases, a contract is signed between the party requesting the credit and the company providing it, the essential elements of which are represented by:</w:t>
        <w:br/>
        <w:t>- TAN – Nominal Annual Rate – which indicates the interest rate, as a percentage of the total sum, to be paid annually for the disbursement of the financing (in other words, the TAN is the price of the financing); however, it does not express the total price of the financing, as additional costs, charges, and accessory commissions that may be applied must be added;</w:t>
        <w:br/>
        <w:t>- TAEG - Annual Percentage Rate – which indicates the total price of the financing borne by the consumer, including interest and all other charges to be incurred for the use of the credit itself; it is also expressed as a percentage of the total sum and on an annual basis;</w:t>
        <w:br/>
        <w:t>- expenses, charges, and accessory commissions, such as application fees, payment domiciliation fees, etc. (also defined by companies as 'fixed costs applied to the customer').</w:t>
      </w:r>
    </w:p>
    <w:p>
      <w:r>
        <w:t>56. The same elements are also found in the financial leasing contract. The latter consists of the granting of use, for a specified period of time and against the payment of a periodic fee (rent), of an asset purchased from a third supplier, at the choice and indication of the customer (user), who assumes the risks and, in some cases, retains the option at the expiration of the contract to purchase the asset at a predetermined price or to possibly extend its use under predetermined or determinable economic conditions or, finally, to return the asset.</w:t>
      </w:r>
    </w:p>
    <w:p>
      <w:r>
        <w:t>57. Unlike the consumer credit contract, the financial leasing contract has traditionally been classified, by doctrine and jurisprudence, within the category of atypical contracts, an expression of private contractual autonomy under Article 1322 of the Civil Code, as it is not expressly regulated by the Civil Code among the typical contractual types. Only in 2017, with the entry into force of the Law for the Market and Competition68, did the legislator introduce a precise definition of the financial leasing contract and a related regulation, followed by coordination rules with other regulatory provisions69.</w:t>
      </w:r>
    </w:p>
    <w:p>
      <w:r>
        <w:t>68. See Law No. 124 of August 4, 2017 containing Provisions aimed at removing regulatory obstacles to market opening, promoting competition development, and ensuring consumer protection, also in application of the principles of European Union law regarding free movement, competition, and market opening, as well as European competition policies.</w:t>
      </w:r>
    </w:p>
    <w:p>
      <w:r>
        <w:t>69. See Article 1, paragraph 136 and following of Law No. 124 of August 4, 2017. On February 16, 1998, Directive 98/7/EC was issued, amending the previous Directive 87/102/EEC. The latter was definitively repealed with the introduction of Directive 2008/48, which introduced significant changes to the legislative framework regarding consumer credit, implemented in Italy by Legislative Decree No. 141 of August 13, 2010.</w:t>
      </w:r>
    </w:p>
    <w:p>
      <w:r>
        <w:t>BULLETIN NO. 3 OF JANUARY 21, 2019 17</w:t>
        <w:br/>
        <w:t>58. In general, it is observed that the sale of motor vehicles, also occurring through the provision of financial products, recorded, after a contraction phase between 2008 and 2012 linked to the economic crisis, an initial recovery (see Fig. 1), and in this context, subsidized financing has taken on an increasing weight, which in recent years has reached and surpassed that of market-rate financing (see Fig. 2)70.</w:t>
      </w:r>
    </w:p>
    <w:p>
      <w:r>
        <w:t>Fig. 1 - Financing and leasing from 2003 to 2016 compared to registered automobiles</w:t>
        <w:br/>
        <w:t>data in volume – sources Assofin Assilea and Unrae</w:t>
      </w:r>
    </w:p>
    <w:p>
      <w:r>
        <w:t>70. To this end, it is emphasized that the data on the total number of financed vehicles have been processed based on information provided by Assofin and collected from its members; therefore, this data, according to the Association itself, "is estimated to represent almost the entirety of the market." However, it should be noted that "the data regarding the share of auto financing compared to total financing may be underestimated as part of the financing used to purchase cars are actually personal loans, which consumers obtain directly from financial companies" (doc. 2041).</w:t>
      </w:r>
    </w:p>
    <w:p>
      <w:r>
        <w:rPr>
          <w:b/>
        </w:rPr>
        <w:t>[Pages 16–18]</w:t>
      </w:r>
    </w:p>
    <w:p>
      <w:r>
        <w:t>18 BULLETIN NO. 3 OF JANUARY 21, 2019</w:t>
      </w:r>
    </w:p>
    <w:p>
      <w:r>
        <w:t>Fig. 2 - Market and promotional financing</w:t>
        <w:br/>
        <w:t>Data in value – Source Assofin</w:t>
      </w:r>
    </w:p>
    <w:p>
      <w:r>
        <w:t>59. According to current regulations, financial products provided in the context of the sale of motor vehicles can be placed by credit institutions and financial institutions registered in the register referred to in Article 106 of the Consolidated Banking Act (TUB). These entities can be distinguished into two categories of operators: the so-called captive banks, that is, the financial companies that belong to automotive groups, and independent financial companies, which may belong to national or foreign banking or financial groups, and which provide financing in various commercial sectors and areas of consumer credit and leasing.</w:t>
      </w:r>
    </w:p>
    <w:p>
      <w:r>
        <w:t>60. Captive banks are distinguished from independent financial companies by their affiliation with an industrial group, of which they usually bear the name, active in the production and marketing of vehicles, to which the range of financial products they offer is dedicated.</w:t>
      </w:r>
    </w:p>
    <w:p>
      <w:r>
        <w:t>61. From this peculiar situation it follows that captive banks, in addition to having as their objective the achievement of profit in terms of the profitability of the products placed, have as their primary task the support and promotion of the sale/leasing of vehicles of the affiliated group.</w:t>
      </w:r>
    </w:p>
    <w:p>
      <w:r>
        <w:t>62. Therefore, they place both products at so-called standard rates and products at promotional rates, which may in themselves be unprofitable but respond to the need to promote vehicle sales; for this reason, as will be seen, sales at promotional rates benefit from the financial support of the industrial group to which the captive belongs.</w:t>
      </w:r>
    </w:p>
    <w:p>
      <w:r>
        <w:t>63. The role of captive banks in supporting the sales of vehicles of the affiliated group is reflected in the fact that each of them places almost exclusively financial products related to the sale of the vehicles of the industrial group to which they belong. This placement activity for the automotive group generates at least 95% of the revenue of each captive.</w:t>
      </w:r>
    </w:p>
    <w:p>
      <w:r>
        <w:t>64. Conversely, with particular regard to the activity related to auto financing, during the investigation it emerged that independent operators, unlike captives, have as their sole objective the "remuneration of equity net of provisions for risk. […] In this [the position of independent financial companies] differs from the position of captive banks which, in addition to the remuneration of financing, have as their objective the registration of new cars of their affiliated group."</w:t>
      </w:r>
    </w:p>
    <w:p>
      <w:r>
        <w:t>65. The corporate integration between the captive bank and the automobile manufacturer is also reflected in the method of placing products, which occurs exclusively through the network of dealers selected by the affiliated industrial group. The captive bank or financial institution thus benefits from the distribution network already contracted at the national level by the automobile manufacturer.</w:t>
      </w:r>
    </w:p>
    <w:p>
      <w:r>
        <w:t>66. In this regard, the investigation revealed that captive banks also offer dealers certain financial products in order to support their vehicle resale activities. The operational scope of captive banks indeed extends both "to dealers, to whom financing services and lines of credit are offered, [and] to end customers to finance the purchase of vehicles of the group."</w:t>
      </w:r>
    </w:p>
    <w:p>
      <w:r>
        <w:t>67. From the perspective of retail end consumers (so-called end users), captive banks offer various financial solutions both for the purchase of the vehicle and for the purchase of ancillary services for the vehicle or post-sale services (for example, insurance, post-sale maintenance, etc.).</w:t>
      </w:r>
    </w:p>
    <w:p>
      <w:r>
        <w:t>68. From the elements outlined above, it emerges that captive banks, in addition to being characterized by peculiar operating conditions, play a supportive role, through the placement of financial products, in the sale of motor vehicles, a role that is not in any way fulfilled by independent financial companies. In this context, as also emphasized by independent operators, the financing provided by captive banks has a significant weight exceeding 70% of the total auto financing. In this regard, it is interesting to note how captive banks have increased their presence in the market "during the crisis of the automotive sector when financing constituted an important lever to avoid losing further sales volumes in the auto market. This strategy had a significant impact particularly on 'price sensitive' customers," that is, customers who purchase a car in the presence of favorable financial conditions.</w:t>
      </w:r>
    </w:p>
    <w:p>
      <w:r>
        <w:t>69. These statements are also confirmed by the data collected during the proceedings, insofar as, following the economic crisis that affected the auto sector starting from the second half of 2008, the financing provided by independent operators – corresponding to the difference between the total financing and the financing placed by the captive banks examined in the graph below – has significantly diminished.</w:t>
      </w:r>
    </w:p>
    <w:p>
      <w:r>
        <w:t>20 BULLETIN NO. 3 OF JANUARY 21, 2019</w:t>
      </w:r>
    </w:p>
    <w:p>
      <w:r>
        <w:t>Fig. 3 – Financing placed by captive banks compared to total financing</w:t>
        <w:br/>
        <w:t>Data in volume – Source Assofin</w:t>
      </w:r>
    </w:p>
    <w:p>
      <w:r>
        <w:t>Fig. 4 – Leasing placed by captive banks compared to total leasing</w:t>
        <w:br/>
        <w:t>Data in volume – Source Assilea</w:t>
      </w:r>
    </w:p>
    <w:p>
      <w:r>
        <w:t>70. Furthermore, from an overall reading of the data presented in the preceding figures, it emerges that the recovery of motor vehicle sales recorded in recent years is linked to the increase in the share of financing provided by captive banks, demonstrating the fundamental role of these operators in promoting the sale/leasing of automobiles.</w:t>
      </w:r>
    </w:p>
    <w:p>
      <w:r>
        <w:t>(V) INVESTIGATIVE FINDINGS</w:t>
      </w:r>
    </w:p>
    <w:p>
      <w:r>
        <w:t>a. The information provided by the leniency applicant within the leniency program</w:t>
      </w:r>
    </w:p>
    <w:p>
      <w:r>
        <w:t>71. On March 3, 2014, the company Daimler (also on behalf of its subsidiaries, including Mercedes FS) submitted an oral application for non-imposition of the penalties.</w:t>
      </w:r>
    </w:p>
    <w:p>
      <w:r>
        <w:rPr>
          <w:b/>
        </w:rPr>
        <w:t>[Pages 19–21]</w:t>
      </w:r>
    </w:p>
    <w:p>
      <w:r>
        <w:t>BULLETIN NO. 3 OF JANUARY 21, 2019 21</w:t>
        <w:br/>
        <w:t>penalty, subsequently supplemented on August 3 and October 21, 2016, concerning the leasing and financing services offered by the captive banks of the Groups active in the sale of automobiles.</w:t>
      </w:r>
    </w:p>
    <w:p>
      <w:r>
        <w:t>72. By letter dated January 10, 2017, the Offices requested Daimler to [OMISSIS]. Daimler was also informed of the availability, in principle, of the benefit of non-imposition of the penalty.</w:t>
      </w:r>
    </w:p>
    <w:p>
      <w:r>
        <w:t>73. In compliance with the request, on January 31, 2017, Daimler produced 145 documents, which account for a secret agreement (cartel) established through a pervasive exchange of sensitive information among the main captive banks, Parties to this proceeding, active in providing financial products (leasing and financing in the strict sense) functional to the sale of automobiles of the respective brand partner/car manufacturer, which took place at least from 2003 until 2017.</w:t>
      </w:r>
    </w:p>
    <w:p>
      <w:r>
        <w:t>74. In particular, the exchange underlying the agreement concerned sensitive variables in setting the conditions for granting financing and leasing.</w:t>
      </w:r>
    </w:p>
    <w:p>
      <w:r>
        <w:t>75. From the reading of the documentation submitted, it emerges that the agreement between the Parties occurred through direct bilateral and multilateral contacts among the companies, accompanied by the compilation and sending of forms, also structured, called for example 'benchmarking for success'.</w:t>
      </w:r>
    </w:p>
    <w:p>
      <w:r>
        <w:t>76. Furthermore, numerous documents in the case file account for meetings among the captive banks, which also involved corporate executives, and which addressed various topics, including: APR, early repayment of loans, “sharing together the current difficult moment,” risk trends, and further exchanges of data on “volume distribution, renting, dealer network, approval rate, auto rejection, approval rate calculation,” spreads, and applied rates.</w:t>
      </w:r>
    </w:p>
    <w:p>
      <w:r>
        <w:t>77. The agreement also took place within the associations Assilea and Assofin, which, in carrying out their activities, collected information from the captive banks, which was then returned to the members also in disaggregated form.</w:t>
      </w:r>
    </w:p>
    <w:p>
      <w:r>
        <w:t>78. In conclusion, the documentation submitted by the leniency applicant accounts for a complex secret agreement between the Parties aimed at eliminating or significantly reducing uncertainty regarding their respective commercial policies, through the periodic sharing of data and information related to the conditions applied, costs, and volumes, as well as additional information shared from time to time based on current needs.</w:t>
      </w:r>
    </w:p>
    <w:p>
      <w:r>
        <w:t>b. The evidence on record</w:t>
      </w:r>
    </w:p>
    <w:p>
      <w:r>
        <w:t>79. What follows describes the extensive documentary evidence related to the complex agreement implemented by the Parties, also through a pervasive exchange of sensitive information bilaterally and multilaterally, including through trade associations, during the period from June 2003 to April 2017, which involved numerous economic variables that influence the commercial strategies of the captive banks. The volume of documentation on record reflects the significance of the agreement implemented for the annual preparation of the budget and marketing plan by each captive, as well as for the subsequent monitoring throughout the year of the activities carried out by each competitor.</w:t>
      </w:r>
    </w:p>
    <w:p>
      <w:r>
        <w:t>80. Therefore, the following will: 1) first describe the evidence acquired regarding the subject and contents of the agreement during its complex implementation; 2) subsequently, account for the documentation from which the purpose of the information exchange underlying the agreement emerges; 3) in this context, in order to better understand the peculiar dynamics of the sector, also describe the position of the dealers, who represent the subjects that exclusively place the financial products of the captive banks; 4) furthermore, clarify the role played in the market by independent companies and the position of the captives in relation to them; 5) finally, clarify the role of the companies that control (directly or indirectly) the captive banks or that, in any case, hold a stake in their capital.</w:t>
      </w:r>
    </w:p>
    <w:p>
      <w:r>
        <w:t>b.1) The evidence regarding the contents of the agreement</w:t>
      </w:r>
    </w:p>
    <w:p>
      <w:r>
        <w:t>81. As mentioned, the documentation in the case file accounts for the continuous and pervasive sharing among the Parties of a set of sensitive information, suitable for excluding or significantly reducing uncertainty regarding their respective commercial policies.</w:t>
      </w:r>
    </w:p>
    <w:p>
      <w:r>
        <w:t>82. The exchange, both bilateral and multilateral, also in association meetings, appears to have been very extensive in scope, with the Parties sharing disaggregated information on prices and quantities, both current and forecasted. In some cases, the case file only shows the sending of the information request but not the response, or vice versa. However, the entirety of the documentation, the content of the messages, and their temporal development demonstrate that the exchange also occurred in such cases, except for what will be said later regarding the antitrust concerns that led some companies to question the legitimacy of the exchange and, in some cases, to dissociate from it.</w:t>
      </w:r>
    </w:p>
    <w:p>
      <w:r>
        <w:t>83. The exchange appears to be consistently organized, to the extent that it assumes its own designation, Benchmarking for success, articulated as BM Captives [i.e., Benchmark related to only captive banks], BM Rates, BM Collection Costs, BM Insurance Products, BM Captives Conditions, BM Final Balloon Payment, BM Dealer Financing, for which updates were quarterly or annual depending on the topic. It was then enriched by additional information shared based on the needs that arose from time to time.</w:t>
      </w:r>
    </w:p>
    <w:p>
      <w:r>
        <w:t>84. In this regard, in summary, it is represented that, at least from 2003 until the early months of 2017 – with the differences outlined below – the Parties shared a complete information set, concerning disaggregated prices and quantities, as well as related to further and different topics that were relevant from time to time for determining commercial policies and for adapting the information set available to the evolution of the market. To this end, the companies also modified the sharing format, providing in the exchange, from time to time, the maxi-rate and leasing products, the products offered and the conditions applied to dealers (so-called Benchmark dealer financing or Benchmark Subvention), post-sale products, such as guarantees, repairs, etc. (so-called Benchmark Post Sale).</w:t>
      </w:r>
    </w:p>
    <w:p>
      <w:r>
        <w:t>85. This evolution is documented in various documents. Among these, an example is provided by the email sent by RCI Banque to the other captives aimed at exchanging price information such as 'minimum and maximum financeable', 'APR', 'minimum installment', 'maximum duration', etc. related to 'new sources of profitability'. It reads: “I am writing this email to invite you to participate in the compilation of a new Benchmark regarding Post Sale financing. The collapse of car registrations in recent years has drastically reduced the market share available to the Captives, and this has led us to analyze new sources of profitability such as Post Sale.”</w:t>
      </w:r>
    </w:p>
    <w:p>
      <w:r>
        <w:t>86. The exchanged information appears to be disaggregated, current, and sometimes prospective, as will be better explained below, and specifically relates to:</w:t>
        <w:br/>
        <w:t>• applied prices, i.e., minimum, average, and maximum APR and TAEG, processing and opening fees, minimum and maximum loan amounts, entry rate, minimum and maximum repayment duration, required guarantees, dealer commissions, residual values in case of leasing;</w:t>
        <w:br/>
        <w:t>• quantities, i.e., sales volumes, distinguished between financing contracts and leasing contracts, between new and used, specifying the number of contracts so-called 'in campaign' (i.e., with a contribution, even minimal, from the parent company or dealer) and those with a final balloon payment, the number of cars sold (both the official data and the so-called 'adjusted sales', i.e., the number of cars net of those on rental), the percentage of 'penetration' (i.e., the percentage of financed cars compared to the total of 'financeable' cars sold) and the number of insurance contracts provided by the captive banks;</w:t>
        <w:br/>
        <w:t>• specific issues based on emerging needs from time to time.</w:t>
      </w:r>
    </w:p>
    <w:p>
      <w:r>
        <w:t>87. The concertation among the captive banks also appears to have passed through trade associations (Assofin and Assilea), which received competitively sensitive information from each captive and made it available in disaggregated form to all captive banks, according to methods that have changed over time, as illustrated in the following. In particular, the documentation on record accounts for how, alongside the direct exchange among the captive banks, the associations also played a role in facilitating the sharing of sensitive information.</w:t>
      </w:r>
    </w:p>
    <w:p>
      <w:r>
        <w:rPr>
          <w:b/>
        </w:rPr>
        <w:t>[Pages 22–24]</w:t>
      </w:r>
    </w:p>
    <w:p>
      <w:r>
        <w:t>24 BULLETIN NO. 3 OF JANUARY 21, 2019</w:t>
      </w:r>
    </w:p>
    <w:p>
      <w:r>
        <w:t>captives, some information related to prices and quantities was also exchanged within Assofin and Assilea, both during meetings and through the electronic submission of documentation.</w:t>
      </w:r>
    </w:p>
    <w:p>
      <w:r>
        <w:t>87. The agreement established by the Parties, based on the documentation on record, took place at least from 2003 until the early months of 2017.</w:t>
      </w:r>
    </w:p>
    <w:p>
      <w:r>
        <w:t>88. For the sake of completeness, and to account for the volume of documentation on record, the following will describe the evidence acquired following a chronological order and highlighting the most significant documents, emphasizing from now that these documents constitute, in the words of administrative jurisprudence98, 'pieces of a mosaic'. As specified, the evidence on record testifies to the sharing of all elements necessary to eliminate or significantly reduce uncertainty regarding the commercial strategies adopted by the captive banks in the provision of their financial products intended for the sale of the automobiles of the respective Group, resulting in an artificial transparency of the market.</w:t>
      </w:r>
    </w:p>
    <w:p>
      <w:r>
        <w:t>b.1.i) Analytical description of the evidence</w:t>
      </w:r>
    </w:p>
    <w:p>
      <w:r>
        <w:t> 2003 - First documents on record concerning direct and associative exchanges of prices and quantities</w:t>
      </w:r>
    </w:p>
    <w:p>
      <w:r>
        <w:t>89. As anticipated, the documentation present in the file shows how the agreement among the captive banks began at least in 2003, the year in which the first evidence of illicit contacts between the Parties to the proceedings dates back.</w:t>
      </w:r>
    </w:p>
    <w:p>
      <w:r>
        <w:t>90. In particular, it is noted that already with an email dated June 17, 200399, FCE Bank, TFS, Banque PSA Finance, Mercedes FS, GMF, Volkswagen Bank, BMW Bank, FCA Bank, and RCI Banque exchanged disaggregated and sensitive price information among themselves. In the text of the document, it reads: “I thought it might be useful for us to have a periodic exchange of information on the conditions applied by the captives... considering the latest cut in interest rates, I propose we exchange the forms between the end of June and the beginning of July (...)”. The 'price conditions', referred to in the text of the email, are then reported in the attached form, which provides for each 'financial solution'100 the indication of: 'entry rate', 'higher rate'101, 'duration', '% minimum advance'102, 'vehicle age' [in the case of used vehicles], 'maximum financeable amount', 'processing fees'103, 'seller commissions'104, 'dealer commissions'105, 'rappel'106.</w:t>
      </w:r>
    </w:p>
    <w:p>
      <w:r>
        <w:t>98</w:t>
        <w:br/>
        <w:t>See, inter alia, TAR Lazio, judgment of July 28, 2017, No. 9048, in case I783 - Agreement among operators in the Vending sector; Council of State, judgment of June 30, 2016, No. 2947, in case I765 - Management tenders for sludge in Lombardy and Piedmont.</w:t>
      </w:r>
    </w:p>
    <w:p>
      <w:r>
        <w:t>99</w:t>
        <w:br/>
        <w:t>Doc. 20. On record, there are responses with data from all the captive banks (docs. 16, 17, 18, 19, 22, 23, and 24).</w:t>
      </w:r>
    </w:p>
    <w:p>
      <w:r>
        <w:t>100</w:t>
        <w:br/>
        <w:t>The listed solutions are: Classic New Installment Financing, TCM (Opel Choice, Fiat Formula, Solution R, Ford Idea, etc.), Financial Leasing, Operational Leasing, Classic Used Installment Financing, Vehicle Stock Financing.</w:t>
      </w:r>
    </w:p>
    <w:p>
      <w:r>
        <w:t>101</w:t>
        <w:br/>
        <w:t>The higher rate is the highest interest rate provided by the captive bank for auto financing.</w:t>
      </w:r>
    </w:p>
    <w:p>
      <w:r>
        <w:t>102</w:t>
        <w:br/>
        <w:t>This is a minimum amount, quantified as a percentage of the total value of the asset being purchased, that the consumer is required to pay at the time of the provision of the financial product.</w:t>
      </w:r>
    </w:p>
    <w:p>
      <w:r>
        <w:t>103</w:t>
        <w:br/>
        <w:t>Numerous documents on this matter, see, inter alia, docs. 8, 10, 11, 12, 13, 14, 15 related to the request to provide the base rate applied to dealers, indicating the effective rate and processing fees.</w:t>
      </w:r>
    </w:p>
    <w:p>
      <w:r>
        <w:t>104</w:t>
        <w:br/>
        <w:t>These are the commissions paid to those who place the financial product, in cases where they are not the dealers.</w:t>
      </w:r>
    </w:p>
    <w:p>
      <w:r>
        <w:t>105</w:t>
        <w:br/>
        <w:t>These are the commissions paid to dealers at the time they place the financial product.</w:t>
      </w:r>
    </w:p>
    <w:p>
      <w:r>
        <w:t>106</w:t>
        <w:br/>
        <w:t>The rappel is a bonus awarded to the dealer upon reaching certain thresholds of intermediated volumes over the course of the calendar year.</w:t>
      </w:r>
    </w:p>
    <w:p>
      <w:r>
        <w:t>BULLETIN NO. 3 OF JANUARY 21, 2019 25</w:t>
      </w:r>
    </w:p>
    <w:p>
      <w:r>
        <w:t>It should be noted that in the text the author writes: “I thought it might be useful for us to have a periodic exchange of information on the conditions applied by the captives (...)” (emphasis added), thereby showing a practice already in place among the captives regarding periodic exchanges of sensitive, non-public information.</w:t>
      </w:r>
    </w:p>
    <w:p>
      <w:r>
        <w:t>91. In this sense, the emails107 from the same period concerning disaggregated quantity data, and in particular data on volumes of financial products placed, should be read, in which, confirming the presence of an ongoing practice among the Parties, it reads: “as usual, you will find attached the data in question [i.e., volume data]. Awaiting your feedback…” (emphasis added).</w:t>
      </w:r>
    </w:p>
    <w:p>
      <w:r>
        <w:t>92. In addition to the direct exchange, it appears that in 2003 the Parties also acquired disaggregated information regarding the contractual and economic conditions applied by each competitor at Assofin (so-called Survey of conditions applied by associates to certain typical operations)108. In particular, Assofin collected from each company and disseminated in a disaggregated manner to all participants information related to: 'financing disbursement time'; 'minimum/maximum financing amount'; 'minimum/maximum repayment duration'; 'fees and commissions'; 'amount of the installment'; 'TAN and TAEG applied'; 'guarantees required'109. To ensure full intelligibility of the data, they referred to a so-called typical operation, namely the financing of a new car worth 12,000 euros with repayment in 48 monthly installments. This exchange took place until 2010, the year in which it was 'suspended' due to identified antitrust issues.</w:t>
      </w:r>
    </w:p>
    <w:p>
      <w:r>
        <w:t> 2004/2010 – Intensification of bilateral and multilateral contacts, direct and associative, regarding prices, quantities, and other relevant topics from time to time</w:t>
      </w:r>
    </w:p>
    <w:p>
      <w:r>
        <w:t>93. In a perspective of continuity with what has been described, also in relation to the proposal for “periodic exchange of information on the conditions applied by the captives,” the Parties continued their exchanges in the following years:</w:t>
      </w:r>
    </w:p>
    <w:p>
      <w:r>
        <w:t>94. In the years 2004/2005, several contacts are recorded, among which some examples are reported:</w:t>
        <w:br/>
        <w:t>- in an email dated May 18, 2004, disaggregated information related to prices is shared. It reads: “I kindly ask you to inform me regarding the type and conditions (costs, margins, contributions…) of the services offered”110.</w:t>
        <w:br/>
        <w:t>- similarly, in an email dated June 28, 2004, the significant subject Rates clarifies the focus of the sharing: “I write to kindly ask you to communicate the standard rates (the highest and the lowest) applied by you […] Regarding the available services, I kindly ask you to indicate the price of the service to the end customer and its calculation model”111.</w:t>
      </w:r>
    </w:p>
    <w:p>
      <w:r>
        <w:t>95. In 2005, the same disaggregated information is shared in the so-called Captive Matrix, as evidenced by the email dated August 9, 2005112, in which the usual price data related to TAN (minimum, maximum, and most used), fees (processing, RID collection, and postal collection), services (Credit Insurance, Fire and Theft Service, Warranty Extension, Maintenance Service, RC Auto, Kasko Service, and Others) are reported. This time, considering the historical moment, the shared data appears distinct between 'installment' (constant installment and maxi-installment) and 'leasing'.</w:t>
      </w:r>
    </w:p>
    <w:p>
      <w:r>
        <w:t>96. The information set is completed by documentation related to the sharing of quantity data, and in particular quarterly information, disaggregated by company, related to registration volumes and placed financing113.</w:t>
      </w:r>
    </w:p>
    <w:p>
      <w:r>
        <w:t>97. Furthermore, to this basic set of information, during this period, spot requests or clarifications were added, such as:</w:t>
        <w:br/>
        <w:t>- the request from January 2004, which reads: “In a perspective of collaboration among competing companies (... the whole world is a village...), I would ask you if you can answer the following questions: a) are there campaigns in place for the year 2004? Are there contributions from dealers on some campaigns? And if so, is it calculated with % or flat? b) what is the regime of residual values in leasing? Are they differentiated by model/engine? c) Is there a mandatory buyback for your dealers”114. It should be noted that the author defines the relationship with other captives as “collaboration among competing companies.” It should also be noted that the request pertains to future commercial strategies, as it is asked in January what is planned for the newly started year;</w:t>
        <w:br/>
        <w:t>- the email dated May 3, 2005, regarding “collection fees for the leasing product only”115. On record are the responses from the captives, among which FCE Bank's response appears interesting: “for the moment, collection fees on the leasing product are not foreseen, after the summer they will be equal to € 1.5,” thus evidently providing, in this case as well, a future data;</w:t>
        <w:br/>
        <w:t>- the request dated October 28, 2005, regarding Payment Methods, which reads: “we are conducting an analysis on payment methods for the purchase of new vehicles (excluding leasing). For this reason, it would be very useful for us to know what your mix is between RID and CCP [Postal Current Account] regarding 2005 (first 9 months). In this way, we can see how aligned we are with the market”116, from which the motivation for the exchange clearly emerges.</w:t>
      </w:r>
    </w:p>
    <w:p>
      <w:r>
        <w:t>98. The sharing of the described information set continued also in the period 2006/2010 with the modifications and enrichments described below.</w:t>
      </w:r>
    </w:p>
    <w:p>
      <w:r>
        <w:t>99. In particular, the Parties shared the usual disaggregated information regarding prices first in the form of Benchmarking pricing, related to “Average minimum TAN applied (excluding the minimum of the minimums), Average maximum TAN applied (excluding the maximum of the maximums), Opening fees, Total commissions to the network - dealers and sellers - net of any recognitions for achieving objectives, pressure, local initiatives, etc. [average values referred to the proposed structure (48 months or something else you will indicate) for the min and max TAN]”117.</w:t>
      </w:r>
    </w:p>
    <w:p>
      <w:r>
        <w:t>100. Subsequently, the exchange continued in the form of:</w:t>
      </w:r>
    </w:p>
    <w:p>
      <w:r>
        <w:rPr>
          <w:b/>
        </w:rPr>
        <w:t>[Pages 25–27]</w:t>
      </w:r>
    </w:p>
    <w:p>
      <w:r>
        <w:t>BULLETIN NO. 3 OF JANUARY 21, 2019 27</w:t>
      </w:r>
    </w:p>
    <w:p>
      <w:r>
        <w:t>- Benchmark Rates, relating to "rates normally applied, naturally not in campaign"118, distinctly for Personal Loan, Wholesale interest free period, Wholesale non free interest period, New installment, Used installment, Maxi installment, Leasing;</w:t>
        <w:br/>
        <w:t>- this document was completed by the usual update of the Fixed Cost Survey and rounding of the installment applied to customers also defined as Benchmark effective fees for customers119 concerning the "fees charged to the customer during the course of the financing"120. It is very interesting to note the clarification that emerges from one of the emails related to the update: "what matters are the actual expenses incurred and not those reported in the illustrative sheets displayed at the dealerships"121, which testifies that the exchange concerned non-public data that could not be otherwise obtained;</w:t>
        <w:br/>
        <w:t>- exchange of the dealer's base rate and Rappel122.</w:t>
      </w:r>
    </w:p>
    <w:p>
      <w:r>
        <w:t>101. To these, requests for detail were then added, such as that made by Banque PSA Finance in 2008: "what actions have you taken following the recent increase of 25 basis points in the cost of money communicated by the ECB? Have you adjusted the rates of your products or the amount of the processing fees? If you have not yet implemented corrective measures, do you plan to do so 'shortly' or postpone everything to 2009?"123.</w:t>
      </w:r>
    </w:p>
    <w:p>
      <w:r>
        <w:t>102. With specific regard to the leasing product, additional price information is added regarding:</w:t>
        <w:br/>
        <w:t>- "minimum advance, maximum redemption, duration of contracts" and "whether the dealer has the obligation of buy-back"124;</w:t>
        <w:br/>
        <w:t>- "an update on the leasing product. Could you kindly inform me: residual value (min. and max.) based on durations; mileage penalties (always based on durations). Since a meeting regarding leasing is scheduled for Monday morning, I ask you to respond to me no later than Friday afternoon"125. The response from FCA Bank to the request from Mercedes FS for data from the other captives is interesting: "(...) if the subject was leasing, yesterday I asked for information only from the major competitors of Alfa Romeo identified in addition to Mercedes/Daimler in Audi/Volkswagen and BMW," from which the competitive relationship between the captives clearly emerges;</w:t>
      </w:r>
    </w:p>
    <w:p>
      <w:r>
        <w:t>118</w:t>
        <w:br/>
        <w:t>Doc. 31, 1065 and 1066 (email between GMF, FCA Bank, TFS, Banque PSA Finance, Volkswagen Bank, RCI Banque, FCE Bank, BMW Bank, Mercedes FS).</w:t>
        <w:br/>
        <w:t>119</w:t>
        <w:br/>
        <w:t>Doc. 47 (email between Mercedes FS and FCA Bank), 48 (email between all other captives), 49 (email between GMF, FCA Bank, Banque PSA Finance, TFS, BMW Bank, Volkswagen Bank, Mercedes FS, FCE Bank, RCI Banque), 50 (email between all other captives), 51 (email between Volkswagen Bank, GMF, FCA Bank, Banque PSA Finance, TFS, Mercedes FS, FCE Bank, RCI Banque), 52 (email between FCA Bank and all other captives), 53 (email between FCA Bank and all other captives) and 600 (email between all other captives). The responses from the captives are on record (for example, doc. 51). See also doc. 53 from FCA Bank to the other captives, which also reports data from TFS and RCI Banque. The responses from the Parties are on record (doc. 50 and 51).</w:t>
        <w:br/>
        <w:t>120</w:t>
        <w:br/>
        <w:t>Doc. 52 (email between FCA Bank, Banque PSA Finance, TFS, BMW Bank, GMF, Volkswagen Bank, Mercedes FS, FCE Bank, RCI Banque).</w:t>
        <w:br/>
        <w:t>121</w:t>
        <w:br/>
        <w:t>Doc. 49 (email between GMF, Banque PSA Finance, TFS, BMW Bank, Volkswagen Bank, Mercedes FS, FCE Bank, RCI Banque, FCA Bank).</w:t>
        <w:br/>
        <w:t>122</w:t>
        <w:br/>
        <w:t>Doc. 8, 10, 11, 12 and 13 (email between Volkswagen Bank and Mercedes FS, as well as internal emails from Mercedes FS). The dealer's base rate is the standard interest rate offered to dealers. Typically, when the dealer proposes financing to an end customer, they apply a markup on the standard interest rate, which will essentially constitute the commission for the intermediation of the financing contract. The rappel is a bonus awarded to the dealer upon reaching certain thresholds of volumes intermediated over the calendar year.</w:t>
        <w:br/>
        <w:t>123</w:t>
        <w:br/>
        <w:t>Doc. 29 (email between Banque PSA Finance, FCA Bank, TFS, BMW Bank, GMF, Volkswagen Bank, Mercedes FS, FCE Bank, RCI Banque).</w:t>
        <w:br/>
        <w:t>124</w:t>
        <w:br/>
        <w:t>Doc. 110 and 116 (email between FCA Bank, FCE Bank, Banque PSA Finance, RCI Banque, Volkswagen Bank, GMF, TFS, Mercedes FS, BMW Bank). The responses from the Parties are on record.</w:t>
        <w:br/>
        <w:t>125</w:t>
        <w:br/>
        <w:t>Doc. 38 and 39 (email between Mercedes FS, FCA Bank, Volkswagen Bank, BMW Bank).</w:t>
      </w:r>
    </w:p>
    <w:p>
      <w:r>
        <w:t>28 BULLETIN NO. 3 OF JANUARY 21, 2019</w:t>
      </w:r>
    </w:p>
    <w:p>
      <w:r>
        <w:t>- Residual Values [related to leasing contracts] applied by the various captives divided by model and engine type and distinguished in 12, 24, 36, 48 and 60 months126.</w:t>
      </w:r>
    </w:p>
    <w:p>
      <w:r>
        <w:t>In this regard, it is useful to clarify that "Residual Values" or RV identify the price of the vehicle (in percentage) that, after a certain period of time and use of the asset (specifically "12, 24, 36, 48 and 60 months"), remains in existence (residual) and consequently determines the price of the vehicle itself in the market.</w:t>
      </w:r>
    </w:p>
    <w:p>
      <w:r>
        <w:t>103. During this period, it is interesting to report the text of one of the emails related to 'benchmarking pricing', particularly its preamble which states: "I imagine that all of us marketers will be busy in the coming months giving our best for the marketing plan. For this reason, I ask you if we can exchange pricing information. (...)"127. The purpose of the request, evidently linked to the drafting of the marketing plan, emerges very clearly.</w:t>
      </w:r>
    </w:p>
    <w:p>
      <w:r>
        <w:t>104. In the same vein, for example, another email dated September 13, 2007, regarding the economic conditions applied to insurance in the case of leasing, states: "I know that during this period we are all very busy with the marketing plan, but it is precisely for this reason that starting today I ask for your utmost cooperation and promptness in the benchmark that I am about to propose. Obviously, we are all available for further exchanges. In this first benchmark, we are talking about insurance products Theft / Fire and Kasko. (...) If you have the kasko policy both on the installment and on the leasing, do you have different conditions for the customer? We ask this because in leasing, since there is no VAT, the product would be more expensive than that proposed for the installment. Could you please indicate whether you lower the price so that there is parity with the installment or fill the price gap by adding additional coverage" (emphasis added)128.</w:t>
      </w:r>
    </w:p>
    <w:p>
      <w:r>
        <w:t>Also from the text of this email, the climate of 'maximum cooperation' among the captives during the definition of the marketing plan emerges clearly, for which the data is exchanged, the urgency of the exchange to effectively take it into account for its drafting and thus in the definition of their respective commercial policies, as well as the 'obvious' availability for further exchanges.</w:t>
      </w:r>
    </w:p>
    <w:p>
      <w:r>
        <w:t>105. Regarding the exchange of quantities, it is noted that in compliance with the previously described need to adapt the exchange to market developments, in 2006 the Parties felt the need to enrich the form related to quantities, prior to the insertion of new and more detailed items. In particular, the new file129, now defined as BM Captives (i.e., Benchmark Captives), provides for the disaggregated indication of the volumes of financial products placed, distinguished between financing contracts and leasing contracts, between new and used, with the specification of the number of so-called 'in campaign' contracts, that is, with a contribution, even minimal, from the parent company or dealer, and those with a maxi-final installment. The format used also provides for the indication of the number of cars sold (both the official data and the so-called 'adjusted sales', i.e., the number of cars net of those rented), with the calculation of the 'penetration' percentage, that is, the percentage of financed cars compared to the total of 'financable' cars sold. Finally, the indication of the number of insurance contracts provided by the captive banks is reported, distinguished by the different types of insurance products, with further distinction, for each, between new and used cars.</w:t>
      </w:r>
    </w:p>
    <w:p>
      <w:r>
        <w:t>126</w:t>
        <w:br/>
        <w:t>Doc. 40, 1069 and 1070 (email between TFS, FCA Bank, Mercedes FS, FCE Bank, RCI Banque, GMF, Banque PSA Finance, Volkswagen Bank).</w:t>
        <w:br/>
        <w:t>127</w:t>
        <w:br/>
        <w:t>Doc. 32 (email between Mercedes FS and FCA Bank).</w:t>
        <w:br/>
        <w:t>128</w:t>
        <w:br/>
        <w:t>Doc. 108 (email between all the captives).</w:t>
        <w:br/>
        <w:t>129</w:t>
        <w:br/>
        <w:t>By way of example, inter alia, doc. 71, 72, 73 (email between TFS, FCA Bank, Mercedes FS, FCE Bank, RCI Banque, GMF, Banque PSA Finance, Volkswagen Bank, BMW Bank).</w:t>
      </w:r>
    </w:p>
    <w:p>
      <w:r>
        <w:t>BULLETIN NO. 3 OF JANUARY 21, 2019 29</w:t>
      </w:r>
    </w:p>
    <w:p>
      <w:r>
        <w:t>Sometimes, the file is accompanied by in-depth analyses, for example on the maxi-installment130. The quarterly cadence remains unchanged as well as the disaggregation of information for each captive bank and, sometimes, for each brand.</w:t>
      </w:r>
    </w:p>
    <w:p>
      <w:r>
        <w:t>106. To demonstrate the importance of the exchange for the individual participating companies, it is interesting to emphasize how the described changes were adopted by the 'company executives', as clearly emerges from the email sent by FCA Bank on April 3, 2006: "following the meeting of March 29 held in Turin at the FiatSava headquarters among the company executives of all the captive companies, I am sending you the file of the new report for the collection and sharing of information" (emphasis added)131.</w:t>
      </w:r>
    </w:p>
    <w:p>
      <w:r>
        <w:t>107. This evolutionary process continued in 2007 as well, as evidenced by an email from FCA Bank: "Regarding the production data that you have already sent me and that I have appropriately redistributed, I ask for further in-depth analysis. This time I am launching it as a spot job; but if many of you find it useful, we could share this type of information by including it in the quarterly report. But let's get to the point. In the report that is now shared by everyone, there is one piece of data missing: the volumes of installment and maxi-installment divided into promo and non-promo. For everyone's clarity, I may also be repetitive, contracts in promo are considered all those contracts with any (even minimal) contribution from the brand. As is now customary, I am attaching an excel sheet with pre-filled parts to complete"132.</w:t>
      </w:r>
    </w:p>
    <w:p>
      <w:r>
        <w:t>108. Again in 2008, FCA Bank writes: "throughout last year I carefully listened to the needs and suggestions from all of you and I realized that changes needed to be made to the Input and Output file. Obviously, before making it 'official', I need to share it with you. If there are any other needs, please let me know so that we have time to evaluate them together. In fact, I would like to make the new file operational starting from the exchange of the 1st quarter of 2008"133. The changes see the involvement and participation of all the captives. For example, BMW Bank responds: "The only reports concern the Insurance data, as for us the new business can be financed or paid cash, while renewals can only be paid cash and are not considered new business. Therefore, unless you indicate otherwise and as we have always done, we will include the new financed policies in the line 'therefore new financed services' and the new cash policies in the line 'renewals or paid in cash', leaving out what does not refer to new business. Regarding the split Credit Life 'New + Leasing' or 'Used', in our opinion it would be more appropriate to split the data between loan or leasing or between new and used"134.</w:t>
      </w:r>
    </w:p>
    <w:p>
      <w:r>
        <w:t xml:space="preserve">109. Furthermore, during this period, numerous emails were exchanged on specific topics such as: types of payment used and related economic conditions and commissions135, insurance policies136, mapping of services offered137, warranty extensions on used cars and policies of </w:t>
        <w:br/>
        <w:t>130</w:t>
        <w:br/>
        <w:t>For example, doc. 702, 705, 707, 710, 715 and 826 (email between all the captives).</w:t>
        <w:br/>
        <w:t>131</w:t>
        <w:br/>
        <w:t>Doc. 68 (email from FCA Bank to Mercedes FS).</w:t>
        <w:br/>
        <w:t>132</w:t>
        <w:br/>
        <w:t>Doc. 70 (email between all the captives).</w:t>
        <w:br/>
        <w:t>133</w:t>
        <w:br/>
        <w:t>Doc. 71 (email between all the captives).</w:t>
        <w:br/>
        <w:t>134</w:t>
        <w:br/>
        <w:t>Doc. 830, but also doc. 703.</w:t>
        <w:br/>
        <w:t>135</w:t>
        <w:br/>
        <w:t>Doc. 118 (email between all the captives).</w:t>
        <w:br/>
        <w:t>136</w:t>
        <w:br/>
        <w:t>Doc. 108 (email between all the captives), 106 (email between all the captives) and 588 (email between all the captives).</w:t>
        <w:br/>
        <w:t>137</w:t>
        <w:br/>
        <w:t>Doc. 89, 811 and 812 (email between all the captives and responses).</w:t>
      </w:r>
    </w:p>
    <w:p>
      <w:r>
        <w:rPr>
          <w:b/>
        </w:rPr>
        <w:t>[Pages 28–30]</w:t>
      </w:r>
    </w:p>
    <w:p>
      <w:r>
        <w:t>30 BULLETIN NO. 3 OF JANUARY 21, 2019</w:t>
      </w:r>
    </w:p>
    <w:p>
      <w:r>
        <w:t>scoring138, initiatives towards clients residing in earthquake-affected areas139, reaction “to address the economic situation due to the possible consequences on the banking/credit market in Italy resulting from the financial crash stemming from the sub-prime crisis and Lehman Brothers. Can effects be configured in terms of funding, credit policy, or pricing?”140.</w:t>
      </w:r>
    </w:p>
    <w:p>
      <w:r>
        <w:t>110. Finally, the documentation on record shows how during this period the Parties organized several meetings concerning, inter alia, the “APR, with particular reference to PROMO, and early terminations with particular reference to the termination of services”141.</w:t>
      </w:r>
    </w:p>
    <w:p>
      <w:r>
        <w:t>111. During the same period, it appears that meetings were held among the captive banks, so-called captive meetings, for example in 2008142 and in 2009143, also at Assofin organized directly by the companies after the 'institutional' meetings; this is evident from the email dated December 10, 2008, where the representative of Banque PSA Finance writes: “What do you say, shall we have a little captive meeting afterwards?”144.</w:t>
      </w:r>
    </w:p>
    <w:p>
      <w:r>
        <w:t> 2010 – Sharing among companies of the illicit nature of the information exchange but persistence of behaviors</w:t>
      </w:r>
    </w:p>
    <w:p>
      <w:r>
        <w:t>112. In light of the documentation on record, in 2010, awareness emerged among the Parties regarding the illicit nature, from an antitrust perspective, of the ongoing information exchange. In particular, that year the “Survey of conditions applied by associates to certain typical operations” was suspended, which, as previously mentioned, had been ongoing at Assofin since 2003, due to the antitrust issues arising from such sharing. In the words of the Association: “SURVEY OF CONDITIONS APPLIED BY ASSOCIATES TO CERTAIN TYPICAL OPERATIONS […] the survey in question, relating to the average quarterly conditions applied by associates in certain typical operations, is suspended until further notice, following the issues encountered in managing such potentially sensitive data” (emphasis in original)145.</w:t>
      </w:r>
    </w:p>
    <w:p>
      <w:r>
        <w:t>113. It should be noted, however, that this awareness that emerged at Assofin did not prevent the companies from continuing to exchange sensitive disaggregated information both within the association and directly, bilaterally, and multilaterally.</w:t>
      </w:r>
    </w:p>
    <w:p>
      <w:r>
        <w:t>114. In particular, following the communication of 2010, at Assofin the sending and return of data occurred - still on a quarterly basis - through the Assofin Observatory, which appears to have disseminated, even for the years 2012, 2013, 2014, 2015, and 2016, disaggregated data by company relating to the 'value of financed operations' and the 'number of financed operations', to 'outstanding credit' and 'securitized credit'146.</w:t>
      </w:r>
    </w:p>
    <w:p>
      <w:r>
        <w:t>115. The importance and usefulness of such data for the captives, even in the new guise, emerges from a chain of emails among them regarding the methods of providing the data requested by the association for its Observatory: “since […] very often the direct BM data is compared/processed with those of Assofin, I would like to know if there could also be interest on your part to modify the direct captive quarterly BM in order to make the data homogeneous and comparable. For this reason, as a first appointment, I would request the participation in the conference call of the person who processes and sends the data to Assofin and yours since you are directly involved in the captive quarterly benchmark” (emphasis added)147.</w:t>
      </w:r>
    </w:p>
    <w:p>
      <w:r>
        <w:t>116. Furthermore, outside the association, the documentation accounts for numerous emails that testify to the persistence of the exchange of the described information set, relating to prices and quantities, in disaggregated form, and, in particular:</w:t>
        <w:br/>
        <w:t>- to the applied TAN148;</w:t>
        <w:br/>
        <w:t>- to the usual Benchmark fixed costs, for which updates are requested, urging the “maximum cooperation” of the other captives given the usefulness of the data for the definition of the marketing plan, through the use of the same format and wording as previous requests: “I know that during this period we are all very busy with the marketing plan, but it is precisely for this reason that I ask for your maximum cooperation and promptness in responding to the benchmark that I am about to propose to you: fixed costs incurred by customers (application and collection fees, sending documentation, various changes, etc.)”149;</w:t>
        <w:br/>
        <w:t>- to the Benchmark Contractual Documentation and management practice costs applied, in which, in particular, it is asked: “What are your management practice costs? Are they flat across all products or differentiated depending on the offer?”150 (emphasis in original);</w:t>
        <w:br/>
        <w:t>- to the BM Captive on quantities, through the usual and now consolidated exchange of volumes, enriched over the years, to which more specific requests151 are added. Among these, the email dated September 1, 2010, sent by FCA Bank, is interesting, from which the importance for each captive of the volume data of the other companies for the definition of the budget emerges. In fact, it reads: “For a preliminary budget hypothesis for 2011 and for a better understanding of the market, I would ask you to indicate, even approximately, your forecast for the closing of the REGISTRATIONS of the automotive sector for 2010 and possibly for 2011. […]”152.</w:t>
      </w:r>
    </w:p>
    <w:p>
      <w:r>
        <w:t>117. From the documentation on record, it also emerges that the Parties met on September 16, 2010, at TFS. Considering the preparatory documentation for the meeting prepared by GMF, it is clear that during this captive meeting the Parties discussed some relevant elements for the budget, such as volumes, losses, and risk factors153 as well as an overview and market sales prospects, scenario and trends of auto financing at dealerships, exchange of Key Performance Indicators154.</w:t>
      </w:r>
    </w:p>
    <w:p>
      <w:r>
        <w:t>118. It should be noted that, at times, contacts also took place bilaterally:</w:t>
        <w:br/>
        <w:t>- with an email dated February 1, 2010, FCA Bank asks BMW Bank: “For a presentation in holding, I would need to know how much the maxi-rate product weighs solely on the BMW brand. Or rather, with 100 being the installment and maxi-rate financing of 2009, what is the percentage of the maxi-rate. In the quarterly benchmark, I have the total for BMW and MINI. Additionally, I would need to know the weight of the maxi-rate on the BMW Series 3 model alone”155;</w:t>
        <w:br/>
        <w:t>- with an email dated June 8, 2010, BMW Bank asks Volkswagen Bank: “We are preparing a benchmark for Munich on customer pricing of motor products. I would need a quote for fire theft events and assistance on an Audi A4 in Rome for 36 months. Also, I wanted to know if you sell motor policies to customers who do not finance the vehicle with you”156.</w:t>
      </w:r>
    </w:p>
    <w:p>
      <w:r>
        <w:t>119. Finally, from 2010 there are also emails related to specific topics such as:</w:t>
        <w:br/>
        <w:t>- Benchmark retail and wholesale products, concerning the relationship with dealers and in particular the wholesale and retail products offered to dealerships, which also include data on incentives and bonuses paid to dealers. Again, the captives, from whom the information is requested, are expressly qualified as “competitors”157;</w:t>
        <w:br/>
        <w:t>- Comparison FAQ TEG and calculation of 12 months of insurance burden for financing, relating to the methods of calculating the TEG: “Hi, a question for comparison among captives on the new FAQ TEG. Do you have variable or predefined insurance burdens in Fire Theft financing and in Fire Theft leasing? In our case, the customer knows from the beginning the amount of the insurance burden they will pay for the coverage of their vehicle for the entire duration of the financing/leasing (I imagine this is also the case for most of you). In calculating the TEG, will you use this clause (insurance burden amount only for the first 12 months) or not? […]. The provision of the “12 months of policy” which aimed to provide a rule for calculating the TEG in the presence of variable insurance burdens remains not completely clear, but has ended up creating an illogical disparity of treatment that does not seem acceptable.” The email concludes by specifying: “I look forward to receiving comparative responses in order to hypothesize being able to make a common decision (if you are not dealing with it, could you kindly inquire internally and let me know?)”158;</w:t>
        <w:br/>
        <w:t>- Pro Veneto initiative, following the floods: “I would need your collaboration to know if, due to the recent floods in Veneto, you intend to carry out any initiatives as a financial company. E.g. Suspension of payments, extra discount for those who lost their car, favorable rate, aid fund, etc.”159.</w:t>
      </w:r>
    </w:p>
    <w:p>
      <w:r>
        <w:t> 2011/2014 – The continuation of the information exchange</w:t>
      </w:r>
    </w:p>
    <w:p>
      <w:r>
        <w:t>120. The documentation shows how the Parties continued the agreement even during the period 2011/2014, through the sending of the usual disaggregated updates regarding prices160 and quantities161 but also with new formats.</w:t>
      </w:r>
    </w:p>
    <w:p>
      <w:r>
        <w:rPr>
          <w:b/>
        </w:rPr>
        <w:t>[Pages 31–33]</w:t>
      </w:r>
    </w:p>
    <w:p>
      <w:r>
        <w:t>BULLETIN NO. 3 OF JANUARY 21, 2019 33</w:t>
      </w:r>
    </w:p>
    <w:p>
      <w:r>
        <w:t>121. Among all, the email dated April 18, 2011, is reported, with the subject 'Benchmark dealer financing', in which, in relation to the relationship with dealers, a "Detailed analysis regarding the financing of New Stock Cars: duration, interest rate charged to the dealer, documents and guarantees (...)" is shared. The commissions recognized to the sales network are also shared with particular regard to the placement of the insurance products CPI and F/I.</w:t>
      </w:r>
    </w:p>
    <w:p>
      <w:r>
        <w:t>122. Particularly interesting is the email from August 2013, from which the evolution of the market clearly emerges and, consequently, the modification of the scope of exchanges between the captives. This time, the focus is on the prices applied to the Post-Sale product (so-called Benchmark Post-Sale Products). It reads: “I am writing this email to invite you to participate in the compilation of a new Benchmark regarding Post-Sale financing. The collapse of car registrations in recent years has drastically reduced the market that can be targeted by the Captives, and this has led us to analyze new sources of profitability such as Post-Sale.” In the attached file, 'minimum and maximum financeable', 'maximum duration', 'TAN', 'minimum installment', etc. are requested. It should be noted that, even in this case, the sharing concerns future strategies: “the collapse of registrations... has led us to analyze new sources of profitability such as Post-Sale.”</w:t>
      </w:r>
    </w:p>
    <w:p>
      <w:r>
        <w:t>123. Likewise, the email dated May 9, 2014, with the subject Benchmark Financing Characteristics, or disaggregated information on financing characteristics, also includes price information: “I am writing this email to invite you to participate in the compilation of a new Benchmark regarding the characteristics of financing for the purchase of Private Vehicles and the purchase, leasing, or rental of Commercial Vehicles. We would like to know, from those who would be pleased and interested in participating, how the characteristics of financing (installment amount, down payment amount, etc.) vary depending on the model and the financial product (Classic Credit, Credit with Maxi Installment, Leasing, and Rental). The data concerns contracts opened in the first 4 months of 2014.” Specifically, in the attached Excel file, data related to “Average Installment; Average Financed Amount; Average TAN; Average Financing Duration; Average Down Payment” are requested for private vehicles, distinguished between Classic Credit and Credit with maxi installment.</w:t>
      </w:r>
    </w:p>
    <w:p>
      <w:r>
        <w:t>124. Similarly, in the email dated November 5, 2014, with the subject Benchmark Subvention Captives related to the contributed campaigns reported in the general Benchmark report, and in particular: “the average rate of the campaigns that are contributed and in what proportion the parent company and network contribute.”</w:t>
      </w:r>
    </w:p>
    <w:p>
      <w:r>
        <w:t>125. The BM Captive related to quantities also appears to be subject to improvements: “At the request of Volkswagen, the New/Used distinction has been introduced, already present for Credit Life and EW services, also for Theft/Fire and Kasko services: I hope this introduction can be of interest to all of you.” And the response from Volkswagen Bank: “I take this opportunity to thank you for the modification made regarding the Theft/Fire and Kasko insurance services, and to ask you if the same criterion can be used for the GAP Package, dividing it between New and Used, to maintain consistency in the presentation of results.”</w:t>
      </w:r>
    </w:p>
    <w:p>
      <w:r>
        <w:t>126. Among other topics addressed, the following are mentioned by way of example:</w:t>
        <w:br/>
        <w:t>- Benchmark maxi-installment, concerning the characteristics of the maxi-installment product, as per the email dated February 28, 2011: “What is the average down payment made by customers for products with maxi-installment? (in %); What is the guaranteed future value for plans of 24 and 36 months? (average in %); What is the percentage of repurchase (with financing) of customers with an expiring maxi-installment plan?; What is the overall percentage of repurchase (with financing) of customers with expiring financing?”.</w:t>
        <w:br/>
        <w:t>- BM Extension Guarantee, related to the economic conditions in case of extension of the guarantee, as per the email dated February 9, 2011, which states: “I kindly ask you to share some information regarding the extension of the guarantee.” In the attached file, information is requested about 'technical cost', 'cost to the final customer', 'commissions to the EDV [Sales Entity]';</w:t>
        <w:br/>
        <w:t>- BM Early Extinguishments, related to the reimbursement of commissions to the dealer and the seller in case of early extinguishment of the financing, as per the email dated July 15, 2013: “aimed at understanding whether, in the case of early extinguishment of financing contracts, your companies reimburse the dealers and sellers the commissions possibly recognized at the time of disbursement”;</w:t>
        <w:br/>
        <w:t>- Benchmark Acceptance, concerning the acceptance rate of financing, which affects the determination of the maximum level of risk that each company intends to undertake in granting financing and which, evidently, has become a central issue given the “difficult economic scenario.” In the email dated April 27, 2012, it states: “in order to monitor the quality of the proposals received in this difficult economic scenario,” and in particular: Proposals received; Suspended proposals; Rejected proposals; Rejection rate; Acceptance rate;</w:t>
        <w:br/>
        <w:t>- Benchmark mortgage, dated June 19, 2015, in which the topic of the mortgage as a guarantee in the credit approval phase is shared.</w:t>
      </w:r>
    </w:p>
    <w:p>
      <w:r>
        <w:t>127. Finally, in January 2014, an email was sent to convene a captive meeting among the company executives, stating: “I would be in favor of organizing a Captive meeting that could be held at Toyota Financial Services in Rome to comment on the benchmark results and have an opportunity to discuss the current scenario of the car market.”</w:t>
      </w:r>
    </w:p>
    <w:p>
      <w:r>
        <w:t>128. During this period, the activities carried out at Assilea also become of interest. In particular, it appears that, at least since 2014, Assilea has proceeded to share among its members the so-called rankings of contracts signed, which concerned information related to: monthly disaggregated data by company regarding leasing contracts signed, with a comparison to the corresponding period of the previous year; semi-annual disaggregated data regarding existing contracts and outstanding debts (so-called outstanding contracts); annual ranking containing, for each company, disaggregated information regarding the number and value of contracts concluded during the year; monthly signed data with aggregated data related to the auto sector; other issues: “in general, compared to 2013, how has the cost of funding (parameters + spread on parameters) changed for your company? […] Indicate the average gross margin currently applied on the cost of your supply (parameters + spread on parameters) calculated gross of commissions.”</w:t>
      </w:r>
    </w:p>
    <w:p>
      <w:r>
        <w:t>129. Also at Assilea, documentation has been acquired that certifies the exchange of information regarding the average spread applied (both gross and net of commissions) in various sectors, including the auto sector, among the members of the Association, as well as an exchange on price elements and volumes, related to financing that continued in the following years until 2014.</w:t>
      </w:r>
    </w:p>
    <w:p>
      <w:r>
        <w:t>130. Similarly, exchanges took place throughout 2015 regarding the statistics of monthly signed contracts that provide forecast data, for example on quantities and promotional initiatives.</w:t>
      </w:r>
    </w:p>
    <w:p>
      <w:r>
        <w:t>131. Finally, it is noted that in 2014 there was the hypothesis of moving the meetings between captives, which were previously held directly at the company offices, to Assilea, believing that such meetings would be more compliant with antitrust guidelines. In an email from January 2014, Mercedes FS writes: “In compliance with antitrust laws, my participation or that of employees of the Daimler group can only occur after evaluating the agenda and the specific points to be discussed. To ensure maximum transparency, it would be desirable to have a meeting within an association, for example Assilea.” In response to this proposal, TFS states: “the meeting we intended to organize was aimed at the benchmark results in terms of operational and organizational efficiency that can solely benefit the end customer. However, I find the idea of organizing the meeting at Assilea with the agenda fully focused on the benchmark already implemented in compliance with antitrust regulations excellent.”</w:t>
      </w:r>
    </w:p>
    <w:p>
      <w:r>
        <w:rPr>
          <w:b/>
        </w:rPr>
        <w:t>[Pages 34–36]</w:t>
      </w:r>
    </w:p>
    <w:p>
      <w:r>
        <w:t>36 BULLETIN NO. 3 OF JANUARY 21, 2019</w:t>
      </w:r>
    </w:p>
    <w:p>
      <w:r>
        <w:t> 2015/2017 – The dissociation of certain companies due to compliance with antitrust regulations and the modification of Assofin and Assilea reporting</w:t>
      </w:r>
    </w:p>
    <w:p>
      <w:r>
        <w:t>132. The mere change of the meeting location could not resolve the antitrust issues related to the topics discussed, as evidenced by an internal email from Mercedes FS in February 2015 in which the opportunity to participate in a meeting within Assofin concerning, among other things, "the presentation of recent market dynamics and leasing forecasts for 2015" is commented on, stating: "I advise against participation [...] we are not authorized to exchange forecast data. And we are not even interested in doing so"187 (emphasis added).</w:t>
      </w:r>
    </w:p>
    <w:p>
      <w:r>
        <w:t>133. In reality, the same doubts also arise regarding Assofin's activities following the described suspension of sharing methods188. In particular, in 2016, Mercedes FS expressed concerns regarding the antitrust non-compliance of one of the agenda items for a meeting scheduled by Assofin for June 23, specifying: "I wanted to express our difficulty in participating due to Daimler's stringent antitrust policies. The second item on the agenda [...] is not very clear and could be interpreted ambiguously"189. This agenda item reads: "discussion on possible evolutionary scenarios of auto credit offerings in light of the ongoing and prospective changes related to consumers' mobility usage and evaluation of any possible integrations of the associative statistical survey schemes"190.</w:t>
      </w:r>
    </w:p>
    <w:p>
      <w:r>
        <w:t>134. That the companies participating in the meeting on June 23, 2016, also shared their future commercial strategies emerges from an internal comment from Volkswagen Bank on the contents of the meeting: "I am forwarding the slides from the ASSOFIN meeting at the end of June. Toyota took care of the 'trend' part, which took the opportunity to highlight 'Pay per Drive' --- &gt; they will soon launch the maxirate also on used cars (ex PpD). Another area they are focusing on – starting from the 'physical' Network, because in the 'Digital' area it is currently more important to concentrate on the 'search' phase of information on the WEB by customers/prospects, rather than on direct sales – is the opening of dedicated 'Lounges' for renewals"191 (emphasis added).</w:t>
      </w:r>
    </w:p>
    <w:p>
      <w:r>
        <w:t>135. In June 2016, concerns also emerged within BMW Bank regarding the sending of information to Assofin and Assilea: "Before participating in meetings/committees, please share the necessity and objective of participating in such meetings"192 and, to avoid improper communications with the associations, it is specified: "any information requested from you by the associations Assilea and Assofin must be conveyed by them ONLY by the undersigned [Compliance &amp; Regulations Manager]"193.</w:t>
      </w:r>
    </w:p>
    <w:p>
      <w:r>
        <w:t>136. The concerns raised by some captives led the two associations first to obscure the information obtainable from the associates and then to modify the format of the sending, which caused the discontent of some companies, clearly expressed in an email dated January 23, 2017: "all information on LEASING numbers has been obscured ... Therefore, I am unable to determine: the leasing sales trends of competing captives (data obscured in June/July 2016), the sales volumes of the LEASING CHANNEL of competing manufacturers (data obscured in January 2017).... I cannot produce almost all the slides with the details of the individual manufacturers" (emphasis added)194. Furthermore: "I am writing to inform you of a new problem regarding Assilea. After obscuring the data on captives in June/July 2016, it has also blocked access to all data that is not ours [...]. Consequently, I can no longer obtain information on leasing registrations of various manufacturers and therefore prepare the analysis documents (including the 'Monthly Flash' so dear to Dr. .... [Country Manager Italy of FCA Bank])" (emphasis added)195.</w:t>
      </w:r>
    </w:p>
    <w:p>
      <w:r>
        <w:t>137. In April 2017, Assofin also informed its associates of the new reporting method adopted: "the new rankings (data disaggregated by company and by macro-product) [...] will be annual (and no longer quarterly); they will contain only absolute values (and not var% and market shares); they will be published in March/April of the year following the year of detection; they will be made available in the public area of the Assofin website"196; and hopes in this way: "to be able to resume activities with new methods, as soon as possible, bringing back on board the Associates (linked to the auto market) who have temporarily interrupted their contribution"197.</w:t>
      </w:r>
    </w:p>
    <w:p>
      <w:r>
        <w:t>138. On this point, BMW Bank requests clarifications, particularly regarding "the elimination of the monthly flow"198. Assofin, on April 3, 2017, clarified that "the elimination of indicative monitoring on the average aggregated APRs" has been decided and that "the individual items in the aggregated output reports refer to clusters of at least 5 respondents [...] the monthly survey has always been disclosed solely in aggregated mode and not disaggregated by individual operator"199.</w:t>
      </w:r>
    </w:p>
    <w:p>
      <w:r>
        <w:t>b.2) The motivations underlying the sharing of information</w:t>
      </w:r>
    </w:p>
    <w:p>
      <w:r>
        <w:t>139. Before delving into the documentation related to the motivations underlying the aforementioned information exchange, it seems appropriate to provide some clarifications regarding the commercial policy of captive banks.</w:t>
      </w:r>
    </w:p>
    <w:p>
      <w:r>
        <w:t>140. From the reading of the documentation on record, it emerges that, in the sector in question, "the general commercial policy [of each captive] is expressed through the annual budget"200, the preparation of which begins between July and September of each year and concludes in December, with its final approval. Most companies have stated that they prepare the budget as the only programming document; however, some companies201 distinguish between the actual budget (which reports the objectives set for the following year) and the marketing plan (which defines the commercial policy in more detail). For simplicity, in the following paragraphs, reference will be made generally to the budget, encompassing both documents where present.</w:t>
      </w:r>
    </w:p>
    <w:p>
      <w:r>
        <w:t>141. The budget represents "the activity through which the business profit and sales objectives are defined"202. It constitutes an accounting tool for programming and controlling the company's activities: with the definition of the budget, in fact, and based on it, companies plan their activities for the following year; moreover, through its consultation during the year, companies are able to detect any deviations from what was planned, possibly adopting the necessary measures to return to the programmed lines. In other words, with the budget, among other things, the commercial policies of each company are determined, and therefore the competitive levers used by each company.</w:t>
      </w:r>
    </w:p>
    <w:p>
      <w:r>
        <w:t>142. In this sense, from the investigative documentation, it emerges how through the budget "the rates [i.e. non-promotional rates] and the total amount to be allocated to promotional campaigns are determined"203. As specified by Banca PSA Italia, during the annual budget, the general commercial policy and "the so-called campaigns (e.g. advantageous rate conditions, ZERO RATE) that are dedicated to providing direct benefits in terms of better purchasing conditions for customers"204 are determined.</w:t>
      </w:r>
    </w:p>
    <w:p>
      <w:r>
        <w:t>143. According to what was stated by Banca PSA Italia itself, in the market in question, the budget "is initially based on three factors: registrations (...), financial penetration (i.e. the share of cars financed by the captive bank ...) and profitability at production. This is because the activity of the captive bank depends on the sales volumes estimated by the car manufacturer it refers to"205. Similarly, RCI Banque stated in the hearing that "the definition of the budget is based on the forecast of vehicle registrations of the group manufacturer (Renault) in the national market and the penetration rate"206.</w:t>
      </w:r>
    </w:p>
    <w:p>
      <w:r>
        <w:t>144. Mercedes FS stated in the hearing that for the planning activity for the following year "the key data is represented by the 'penetration rate', determined based on historical data and historical series. In addition, there is the estimate of registrations made by Mercedes Benz cars, from which the estimate of contracts to be financed derives, integrated with the margin objectives that the company aims to achieve, which are shared with the financial parent company"207. The same applies to the responses provided by TFS208, GMF209, and Volkswagen Bank210 to the respective requests for information made by the Offices.</w:t>
      </w:r>
    </w:p>
    <w:p>
      <w:r>
        <w:t>145. In summary, from the statements of the companies, it follows that for the programming of their activities for the following year, captive banks start from: (i) volume data of the cars of the belonging Group and (ii) expected or otherwise possible penetration rate.</w:t>
      </w:r>
    </w:p>
    <w:p>
      <w:r>
        <w:t>146. As specified by the Parties, the forecasts of registrations and the penetration rate "are elaborated based on historical data"211.</w:t>
      </w:r>
    </w:p>
    <w:p>
      <w:r>
        <w:rPr>
          <w:b/>
        </w:rPr>
        <w:t>[Pages 37–39]</w:t>
      </w:r>
    </w:p>
    <w:p>
      <w:r>
        <w:t>BULLETIN NO. 3 OF JANUARY 21, 2019 39</w:t>
      </w:r>
    </w:p>
    <w:p>
      <w:r>
        <w:t>147. Once these elements are determined, the estimation of expected profitability and average expected financial conditions is carried out. Banca PSA Italia explains: “To these initial parameters [data on volumes and penetration] are added: the cost of money, expenses (application fees, direct debit, and all expenses related to the acquisition of the contract), contributions paid by dealers and the car manufacturer to the bank (e.g., in the case of the “0% rate”). Based on these parameters, simulations of the commercial policy model are carried out which, among other things, report the proposed APR to customers. The simulations also include data on the average financed capital, the average APR, the rounding of installments, data based on the bank's historical data”212.</w:t>
      </w:r>
    </w:p>
    <w:p>
      <w:r>
        <w:t>148. The same elements are also present in the budget drafts of FCA Bank, acquired during the inspection213 as well as in the statements provided by TFS, GMF, and Volkswagen Bank in their respective responses to the requests for information made by the Offices214.</w:t>
      </w:r>
    </w:p>
    <w:p>
      <w:r>
        <w:t>149. That said, it is noted that the elements outlined in the statements above regarding the definition of the commercial policy by the captive banks correspond to those subject to the exchange of information described in the preceding paragraphs, namely volumes, penetration rate, expenses, contributions paid to the dealer, minimum, maximum, and average APR, acceptance rate of proposals, and others.</w:t>
      </w:r>
    </w:p>
    <w:p>
      <w:r>
        <w:t>150. Moreover, one of the main reasons underlying the exchange was the preparation of the budget, as confirmed in numerous documents acquired in the case file.</w:t>
      </w:r>
    </w:p>
    <w:p>
      <w:r>
        <w:t>151. For example, in an email dated September 5, 2006, FCA Bank, while requesting information regarding “Average Minimum APR applied; Average Maximum APR applied; Application opening fees; Total commissions to the Network - Dealers and Sellers - net of any recognitions for achieving targets, pressure; local initiatives,” specifies: “I imagine that all of us marketers will be busy in the coming months giving our best for the marketing plan. For this reason, I ask if we can exchange pricing information. I propose to standardize the data with a basic structure on standard installments (new and used) for 48 months and financed at 10,000 euros. (…)” (emphasis added)215.</w:t>
      </w:r>
    </w:p>
    <w:p>
      <w:r>
        <w:t>152. Of the same tenor, an email sent by FCA Bank on September 13, 2007, with the subject Benchmark Insurance Products, states: “I know that during this period we are all very busy with the marketing plan, but it is precisely for this reason that today I ask for your utmost cooperation and promptness in responding to the benchmark that I am about to propose to you. Obviously, we are all available for further exchanges” (emphasis added)216.</w:t>
      </w:r>
    </w:p>
    <w:p>
      <w:r>
        <w:t>153. A similar introduction leads the request for volume data, made by FCA Bank in an email dated July 1, 2010, which states: “Since I think that all the data for this semester is important also for the marketing plan, I invite you to be as punctual as possible, both in terms of data and time” (emphasis added)217. The same is stated in the email regarding the Expense Benchmark dated September 7, 2010218.</w:t>
      </w:r>
    </w:p>
    <w:p>
      <w:r>
        <w:t>154. Moreover, and precisely for this purpose, numerous exchanges occur between July and November of each year, the period for preparing the budget. Furthermore, several documents show urgency in acquiring information and consequent reminders to the captives that are late. For example, an email exchange from March 2013 in which both Banque PSA Finance and GMF remind FCA Bank for the volume data219.</w:t>
      </w:r>
    </w:p>
    <w:p>
      <w:r>
        <w:t>155. To confirm this use, it is interesting to note that in the budget of FCA Bank acquired during the inspection, data from competing captive banks also emerge, in particular: the penetration percentage, the percentage of “promomix” on total units, and the estimated budget for the following year (in terms of registered car volumes), which are reported with the label “Direct captive source”220.</w:t>
      </w:r>
    </w:p>
    <w:p>
      <w:r>
        <w:t>156. Other documentation shows how the exchange of data is also necessary to monitor the persistence of alignment between the captive banks. To this end, an internal email from Mercedes FS dated January 7, 2010221, in response to the request for the base rate applied by the two main competitors BMW Bank and Volkswagen Bank, the representative of Mercedes FS writes: “(...) I do not like the difference from our 6.62 with the 7.40 or 7.20 of BMW and VW. I would not want to trigger discussions that lead us to have to raise our rates. Are we sure these are their rates?”. This document clearly shows the Parties' objective to avoid excessive reductions in the rates applied.</w:t>
      </w:r>
    </w:p>
    <w:p>
      <w:r>
        <w:t>157. In the same direction, an email dated February 22, 2010, with the subject Comparison FAQ TEG and calculation of 12 months of insurance burden for financing concludes as follows: “I look forward to having comparison responses in order to hypothesize being able to make a common decision (if you do not take care of it, could you kindly inquire internally and let me know?)”222 (emphasis added).</w:t>
      </w:r>
    </w:p>
    <w:p>
      <w:r>
        <w:t>158. Again, in an internal email from GMF it states: “This [i.e. Benchmark Acceptance Rate Financing] on approval rates seemed interesting to me to understand how we are positioned compared to others”223.</w:t>
      </w:r>
    </w:p>
    <w:p>
      <w:r>
        <w:t>b.3) The role of dealers regarding commercial strategies</w:t>
      </w:r>
    </w:p>
    <w:p>
      <w:r>
        <w:t>159. During the proceedings, some Parties highlighted how the definition of the rates applied to individual financings is determined by the dealers, thus considering themselves excluded from any involvement in their determination.</w:t>
      </w:r>
    </w:p>
    <w:p>
      <w:r>
        <w:t>160. This position was particularly expressed by FCA Bank, which emphasized that “the final price to the customer is set by the dealer, who enjoys a very wide margin of maneuver, both in terms of the product offered (standard financing, so-called maxi installment, leasing, etc.) and the value of the applied rate,” while acknowledging that this does not apply to “promotional campaigns, which weigh on FCA Bank for about 75% of the business, which are determined based on individual agreements with FCA Automobile and to which the dealer is bound to comply with the indicated contractual conditions. In the case of a campaign, FCA Automobile pays a financial contribution to FCA Bank”224.</w:t>
      </w:r>
    </w:p>
    <w:p>
      <w:r>
        <w:t>161. The same position was expressed by BMW Bank, which highlighted that OMISSIS225.</w:t>
      </w:r>
    </w:p>
    <w:p>
      <w:r>
        <w:t>162. In contrast to them, other Parties emphasized the absence of discretion on the part of the dealers regarding the financing rate applied. For example, FCE Bank emphasized “that dealers have no autonomy in this regard. When they offer FCE Bank financing, they cannot change the conditions at all. On the contrary, they can decide to offer the customer a different financial product, offered by another financial operator, as there are no exclusive contracts binding them to offer only Ford financing”226.</w:t>
      </w:r>
    </w:p>
    <w:p>
      <w:r>
        <w:t>163. Mercedes FS stated that it establishes “a standard rate within which the dealer's remuneration is included, which can eventually be reduced or increased by modifying the rate applied to the customer. This possibility is completely excluded in the case of promotions OMISSIS”227.</w:t>
      </w:r>
    </w:p>
    <w:p>
      <w:r>
        <w:t>164. In the same sense of non-derogability, Banca PSA Italia stated “that dealers can choose among the various options offered by Banca PSA, but once an option is chosen, they are bound by its conditions in terms of costs applied to customers (APR)”228.</w:t>
      </w:r>
    </w:p>
    <w:p>
      <w:r>
        <w:t>165. Similarly, RCI Banque stated that it offers “the dealer a panel of financial products from which it can choose which to propose to the end customer; this product can never be modified by the dealer in the sales conditions, both for standard financing and for promotional ones”229.</w:t>
      </w:r>
    </w:p>
    <w:p>
      <w:r>
        <w:t>166. In order to better clarify the issue of the margin of autonomy recognized to dealers in applying financing rates for the purchase of cars, the Authority sought the collaboration of the Special Antitrust Unit of the Guardia di Finanza to administer a questionnaire to the main dealers – single-brand or multi-brand – active in various areas of the national territory230.</w:t>
      </w:r>
    </w:p>
    <w:p>
      <w:r>
        <w:t>167. The questionnaire aimed to ascertain:</w:t>
        <w:br/>
        <w:t>- what financing was proposed as the first choice to the end customer and on what basis;</w:t>
        <w:br/>
        <w:t>- whether there was the possibility of derogating from the conditions offered by the captive bank both in the case of standard rates and in the case of promotions;</w:t>
        <w:br/>
        <w:t>- what the methods of calculating the commission recognized to dealers were.</w:t>
      </w:r>
    </w:p>
    <w:p>
      <w:r>
        <w:t>168. From the responses acquired in the records through the Guardia di Finanza231, it emerged that, in almost all cases (40 out of 41), the financing primarily placed by dealers is that offered by the captive. This financing is requested by the consumer, who is aware of the ongoing promotional campaigns advertised by the automotive group, or the financing is proposed to the consumer by the dealer, as</w:t>
      </w:r>
    </w:p>
    <w:p>
      <w:r>
        <w:rPr>
          <w:b/>
        </w:rPr>
        <w:t>[Pages 40–42]</w:t>
      </w:r>
    </w:p>
    <w:p>
      <w:r>
        <w:t>42 BULLETIN NO. 3 OF JANUARY 21, 2019</w:t>
      </w:r>
    </w:p>
    <w:p>
      <w:r>
        <w:t>allows the latter to achieve greater incentives (bonuses), the attainment of sales targets or because the captive is the only financial institution with which the dealer works.</w:t>
      </w:r>
    </w:p>
    <w:p>
      <w:r>
        <w:t>169. Regarding the possibility of modifying the interest rate conditions set by the captive banks for individual financial products offered, only in a few cases (3 out of 41) do the dealers claim to have decision-making power in this matter; in many responses, it is highlighted that such a possibility must be agreed upon with the captive bank and, in any case, the share to be returned to the latter is fixed. Therefore, any downward modification of the interest rates of the captive bank's financing is entirely borne by the dealer (in this sense, 9 responses). In all other cases, the dealers indicated that they have no power to modify the financing conditions offered by the captive banks. This position also applies to dealers who sell BMW and FCA vehicles, contrary to what the respective captive banks claimed during the hearing.</w:t>
      </w:r>
    </w:p>
    <w:p>
      <w:r>
        <w:t>170. Finally, regarding the commission recognized by the captive banks to the dealers, in most cases it is calculated as a percentage of the value and/or volume of the financing placed; in other cases, it is calculated as a percentage of the applied rate; in a single case, it appears to be determined at a fixed amount.</w:t>
      </w:r>
    </w:p>
    <w:p>
      <w:r>
        <w:t>171. This reconstruction is confirmed by the documentation sent by the Parties in response to the Authority's requests for information regarding the sales network, the methods of placing the financing, and the role of the dealers. The captive banks have produced contractual documentation from which it emerges that the placement of financing occurs, for the vast majority, through the dealers' network, towards which there are no exclusivity constraints but there are sales targets to be achieved. Although in some standard agreements that govern the relationship with the dealers, the latter are defined as autonomous and independent entities – a circumstance that does not appear contestable from a commercial law perspective – in other cases it is expressly stated that they are obliged to apply the conditions established by the captive banks; this applies, moreover, absolutely, in the case of promotional campaigns, as they cannot deviate from the financing conditions predetermined by the captive in agreement with the parent manufacturing company.</w:t>
      </w:r>
    </w:p>
    <w:p>
      <w:r>
        <w:t>b.4) The role of independent financial institutions</w:t>
      </w:r>
    </w:p>
    <w:p>
      <w:r>
        <w:t>172. As mentioned, the financial products in question are also offered by independent companies. However, these latter have emphasized that they cannot "compete with the captive banks in terms of pricing, particularly in the case of promotions, as the rates applied by the captives are not replicable in the absence of subsidization by the automotive manufacturer. In this regard, it is highlighted that promotional credit accounts for about 50% of the auto financing market."</w:t>
      </w:r>
    </w:p>
    <w:p>
      <w:r>
        <w:t>173. This arises from the fact that, in order to promote the sale/leasing of vehicles of their respective automotive group, "the captive banks benefit from the ability to make promotions at favorable rates (or at zero rate), which independent financiers are unable to replicate or cannot replicate for profitability reasons as they constitute a commercial policy of difficult sustainability." Furthermore, in the same perspective, "the captive banks have a greater propensity to accept the financial risk of a customer compared to independent financial institutions, as the former have a greater interest in selling the car."</w:t>
      </w:r>
    </w:p>
    <w:p>
      <w:r>
        <w:t>174. According to generalist financial institutions, the main drivers for purchasing a car are "the brand, after-sales systems, and price, which includes the possibility of requesting financing and from which the importance of promotional credit derives."</w:t>
      </w:r>
    </w:p>
    <w:p>
      <w:r>
        <w:t>175. From the data available to generalist companies – which in some cases compile a Market Observatory on auto financing that reports the data and information acquired from the dealer network – "the importance of financing emerges as about 80% of consumers would not proceed with the purchase of new cars – or would postpone it – in the absence of financing."</w:t>
      </w:r>
    </w:p>
    <w:p>
      <w:r>
        <w:t>176. From the documents acquired in the case file, it emerges that, from the perspective of the captive banks, they consider generalist companies as only partially competing operators in the placement of financing for the purchase of cars, with which they have a need to compare: "we will never be competitive with the rates of banks (like the 1.9 below) especially at this moment of free money from the ECB; (...) compared to other captives and the advertised offers we are absolutely aligned (a few tens of basis points may vary), this is important and we can and must compare ourselves with them."</w:t>
      </w:r>
    </w:p>
    <w:p>
      <w:r>
        <w:t>b.5) The relationship with the parent companies in defining commercial strategies</w:t>
      </w:r>
    </w:p>
    <w:p>
      <w:r>
        <w:t>177. As mentioned in the section regarding the Investigative Procedure, on September 27, 2017, the Authority decided on a subjective extension to the companies Banque PSA Finance, Santander, BMW, CA Consumer Finance, FCA Italy, Ford MC, GM Company, Daimler, Renault, TMC, and Volkswagen due to the role they play as parent companies of each of the original Parties to the proceedings and the circumstance that the captives operate, by statutory provisions or by virtue of agreements, also with the aim of promoting and supporting the sales activity of vehicles carried out by the respective parent companies.</w:t>
      </w:r>
    </w:p>
    <w:p>
      <w:r>
        <w:t>178. In this regard, it is noted that, in the market in question, the relationship between the captive banks and their shareholders, especially those of an industrial nature, is entirely peculiar. This point is clearly highlighted by the statements made by the Parties during the investigation. Exemplary among these is the statement made by FCE Bank during the hearing, which highlighted: "the instrumental role of financing in the sale of vehicles. In this context, the objective of a captive bank is different from that of a financial institution that wants to maximize profit on each individual financing. The interest of the captive, in fact, is the promotion of the sale of the group's cars and customer loyalty, and for this purpose, it prepares ad hoc financial instruments, such as Idea Ford. The close relationship between the captive bank and the automotive sector is also demonstrated by the fact that the automotive manufacturer can intervene with subsidies in favor of the captive bank to push the sale of certain products. (...) Given the nature of captives, the competitive relationships between captive banks are attributable to the respective automotive groups."</w:t>
      </w:r>
    </w:p>
    <w:p>
      <w:r>
        <w:t>179. In this context, the role of promotional campaigns aimed at supporting the sale/leasing of specific car models is significant. In these cases, in fact, the financing activity of the captive is effectively determined by the manufacturer that defines the rate and the favorable conditions of the financing, committing to compensate the captive for the economic burdens incurred; thereby consolidating the close dependence of the latter on the sales policies established by the manufacturing company of the group.</w:t>
      </w:r>
    </w:p>
    <w:p>
      <w:r>
        <w:t>180. Moreover, this interdependence has also been recognized by the European Commission in the case concerning the state aid that the French government would have provided to the PSA Group, in the form of a guarantee of bond emissions from Banque PSA Finance SA. The decision states: "if BPF had not received the state guarantee, its financing capacity would have decreased to such an extent as to cause a significant reduction in its penetration rate. Furthermore, this would have resulted in a parallel decrease in the volumes sold considering the central role of captive banks for car sales. According to the French authorities, such a collapse would not allow for a restoration of profitability and would drag PSA into a vicious circle of repeated downgrading of its rating and that of BPF, simultaneously generating additional losses for the group" (emphasis added).</w:t>
      </w:r>
    </w:p>
    <w:p>
      <w:r>
        <w:t>181. The close relationship between the captive bank and its parent company also emerges from some documents in the case file: in an email dated February 1, 2010, FCA Bank writes to BMW Bank: "For a presentation in holding, I would need to know how much the maxirata product weighs solely on the BMW brand. Or rather, given 100 the installment and maxirata financing of 2009, what percentage is the maxirata. In the quarterly benchmark, I have the total BMW and MINI. Additionally, I would need to know the weight of the maxirata on the BMW Series 3 model only" (emphasis added).</w:t>
      </w:r>
    </w:p>
    <w:p>
      <w:r>
        <w:t>182. Similarly, in an email dated June 8, 2010, BMW Bank writes to Volkswagen Bank: "I apologize for bothering you, but I would like to ask if you could forward me a contact to get information about your motor products. We are preparing a benchmark for Munich on customer pricing of motor products. I would need a quote for fire theft events and assistance on an Audi A4 in Rome for 36 months. Also, I wanted to know if you sell motor policies to customers who do not finance the vehicle with you" (emphasis added).</w:t>
      </w:r>
    </w:p>
    <w:p>
      <w:r>
        <w:t>(VI) THE ARGUMENTS OF THE PARTIES</w:t>
      </w:r>
    </w:p>
    <w:p>
      <w:r>
        <w:t>183. Regarding the allegations made by the Authority in the initiation order and in the subsequent subjective extension of the proceedings, as finalized in the Communication of Investigative Findings, the involved Parties have represented their position, both during the hearings held with the Offices and during the submission of final briefs and in the final hearing held before the College on December 3, 2018.</w:t>
      </w:r>
    </w:p>
    <w:p>
      <w:r>
        <w:rPr>
          <w:b/>
        </w:rPr>
        <w:t>[Pages 43–45]</w:t>
      </w:r>
    </w:p>
    <w:p>
      <w:r>
        <w:t>BULLETIN NO. 3 OF JANUARY 21, 2019 45</w:t>
      </w:r>
    </w:p>
    <w:p>
      <w:r>
        <w:t>184. Below are summarized the main observations and arguments made by the companies in order to demonstrate the lawfulness of their conduct and the absence of any collusive intent aimed at altering the competitive market context.</w:t>
      </w:r>
    </w:p>
    <w:p>
      <w:r>
        <w:t>185. As already anticipated in the previous section of this document, some Parties have highlighted that within their companies there are antitrust compliance policies in place, already established prior to the initiation of this investigation, or implemented following its commencement248.</w:t>
      </w:r>
    </w:p>
    <w:p>
      <w:r>
        <w:t>186. The Parties contested the reconstruction of the case made in the CRI based on the following points: the presence of procedural defects within the proceedings; the absence of actual competitive relationships between the Parties that could justify the existence of an agreement; the absence of competitive sensitivity of the exchanged data; the lack of analysis of the market context necessary even in the assessments of so-called object agreements; the incorrect configuration of episodic and sporadic information exchanges as a single, complex, and ongoing agreement; the application of the theory of parental liability in the absence of the conditions provided by practice and jurisprudence in the matter; a reading of the documents that goes beyond what was stated by the leniency applicant.</w:t>
      </w:r>
    </w:p>
    <w:p>
      <w:r>
        <w:t>The contested procedural defects</w:t>
      </w:r>
    </w:p>
    <w:p>
      <w:r>
        <w:t>187. Some Parties highlighted the presence of serious procedural defects that would have resulted in a significant compression of their rights of defense. In particular, the long time elapsed between the first statement of the leniency applicant and the initiation of the investigation249, from which, according to the jurisprudence of the Council of State250, the Authority would have lost its power to sanction the alleged agreement251. In this regard, some Parties argued that the Authority's delay in initiating the proceedings, compared to the submission of the leniency application, would have effectively prejudiced their position as they would have continued to engage in the behaviors deemed unlawful for a period of over three years following the first statement of the leniency applicant. In this way, the Authority did not prevent the alleged agreement from taking place and induced the Parties to continue with the unlawful conduct, thereby extending the duration of the infringement, with the related sanctioning consequences252.</w:t>
      </w:r>
    </w:p>
    <w:p>
      <w:r>
        <w:t>188. Regarding the application submitted by the leniency applicant, it was contested that, on the one hand, there would not be full correspondence between the scope of the reported agreement – in terms of identifying the market and the parties involved – and what was contested in the initiation order, as detailed in the CRI; and on the other hand, the application would not refer to the conclusion of a cartel but rather to a mere exchange of information253. Therefore, pursuant to the combined provisions of Articles 3 and 7 of the Authority's Communication on leniency, the requirements to grant immunity to the leniency applicant would be lacking254.</w:t>
      </w:r>
    </w:p>
    <w:p>
      <w:r>
        <w:t>189. Furthermore, the short duration of the extension granted after the submission of the CRI for the filing of final submissions, amounting to only 19 days compared to requests for 3 months255, as well as the short time available to exercise the right of defense during the final hearing256, were contested. Additionally, access to part of the documentation in the case file was denied, as it was deferred until the date of submission of the CRI, and the consequent impossibility, until that date, of being heard in the hearing, as they were not aware of the entire investigation file257.</w:t>
      </w:r>
    </w:p>
    <w:p>
      <w:r>
        <w:t>190. Banque PSA Finance raised the violation of its right of defense due to the extension of the proceedings against it only at the time of the submission of the CRI, without the sending of a formal order in this regard258. This particularly concerns the period between 2003 and 2015 when the company operated directly in Italy, as a branch of a foreign bank259. Furthermore, it stated that the company has not been a member of Assilea since January 1, 2014, and therefore, the contested behaviors in that context cannot be attributed to it.</w:t>
      </w:r>
    </w:p>
    <w:p>
      <w:r>
        <w:t>191. The Parties also highlighted the contradiction between the initiation order and the CRI in identifying the relevant market, which would alternatively be found in that of financial products for the sale of cars, or in that of car sales through financial products260. In this regard, the Parties pointed out that the two markets are absolutely different and the only connection between them is represented by the ancillary relationship of the financing service with respect to the purchase of the primary good261, also emphasizing the absolute absence, on the part of the Authority, of analysis of the competitive dynamics of the market for car sales through financial products262. If the market underlying the agreement were that of car sales through financial products, the behaviors of captive banks could not be considered unlawful, as such companies do not operate in this market263.</w:t>
      </w:r>
    </w:p>
    <w:p>
      <w:r>
        <w:t>192. Finally, it was highlighted that in previous community and national cases, the markets for leasing and consumer credit have always been distinct and that the change in approach of the CRI, which identifies a single market for financial and leasing products for the purchase of cars, is not justified264.</w:t>
      </w:r>
    </w:p>
    <w:p>
      <w:r>
        <w:t>The alleged absence of competitive relationships between the Parties</w:t>
      </w:r>
    </w:p>
    <w:p>
      <w:r>
        <w:t>193. According to the Parties, the data exchanged between the captive banks concerns a limited number of operators who cannot be classified as competitors. The auto financing sector, in fact, must be divided into two large blocks depending on the nature of the company offering the financing: the offer of independent financial intermediaries and that of the captive companies of car manufacturers. In this context, there are no overlaps between the captive banks since they operate exclusively for the cars of their parent group265, with the affiliated dealers; independent financial companies, on the other hand, offer financing on any vehicle brand and affiliate dealers of all car manufacturers. Consequently, captive companies face competition from independent financial companies in the financing offered to consumers who have already chosen the car of that particular brand; conversely, captives cannot compete in the financing offered by independent financial companies to consumers who have already chosen a car from other brands266.</w:t>
      </w:r>
    </w:p>
    <w:p>
      <w:r>
        <w:t>194. In this sense, some Parties have highlighted the only relative importance of financing in the choice of purchasing a car267 - compared to other parameters such as style and status - and how the difference between price and financing cannot be overlooked, which, in the CRI, seem to be equated268.</w:t>
      </w:r>
    </w:p>
    <w:p>
      <w:r>
        <w:t>195. In particular, considering that the activity of captive banks, due to their corporate mission, is limited to offering financing for the cars produced by the parent industrial company, they "cannot be considered competitors of other captive banks; on the contrary, they are placed in arbitration by dealers with independent financial operators"269.</w:t>
      </w:r>
    </w:p>
    <w:p>
      <w:r>
        <w:t>196. In this reconstruction, "the final price to the customer is set by the dealer, who enjoys a very wide margin of maneuver, both in terms of the product offered (standard financing, so-called maxi installment, leasing, etc.) and the value of the applied rate"270, therefore the investigative hypothesis of an agreement between the captive banks does not appear consistent with the actual market dynamics271. The position expressed by the dealers in the questionnaire administered by the Authority, according to which they would be bound by the choices of the captive banks, would be the result of a misunderstanding since,</w:t>
      </w:r>
    </w:p>
    <w:p>
      <w:r>
        <w:t>265</w:t>
        <w:br/>
        <w:t>Annex to doc. 2397, Economic Memorandum Lexecon, doc. 2399, Memorandum Banque PSA Finance, doc. 2397, Memorandum Banca PSA Italia.</w:t>
        <w:br/>
        <w:t>266</w:t>
        <w:br/>
        <w:t>Doc. 1823. The distinction between captive banks and generalist financial companies was also highlighted by Santander: "captive banks are emanations of the 'brands' and their objective is to push the sale of the products of the automotive group to which they belong. In this sense, they benefit from contributions from the car manufacturer that allow them to propose promotional campaigns that are substantially not replicable by independent financial companies like SCB" (doc. 1942). See also the final memoranda of FCA Bank (doc. 2379), FCE Bank (doc. 2412), RCI Banque (doc. 2404), GM Company (doc. 2409), TFS (doc. 2406), as well as Santander (doc. 2419).</w:t>
        <w:br/>
        <w:t>267</w:t>
        <w:br/>
        <w:t>They speak of "marginality of choices related to financing," doc. 2399, Memorandum Banque PSA Finance and doc. 2397, Memorandum Banca PSA Italia.</w:t>
        <w:br/>
        <w:t>268</w:t>
        <w:br/>
        <w:t>Doc. 2400, Memorandum Volkswagen, doc. 2402, Memorandum Opel Finance, doc. 2399, Memorandum Banque PSA Finance, doc. 2397, Memorandum Banca PSA Italia.</w:t>
        <w:br/>
        <w:t>269</w:t>
        <w:br/>
        <w:t>Doc. 1463, doc. 1983 and doc. 2379, Memorandum FCA Bank, doc. 2409, Memorandum GM Company, doc. 2405, Memorandum Volkswagen Bank, doc. 2417, Memorandum BMW Bank, doc. 2406, Memorandum TFS, doc. 2402, Memorandum Opel Finance.</w:t>
        <w:br/>
        <w:t>270</w:t>
        <w:br/>
        <w:t>This, by express admission of the Party, does not apply in the case of promotional campaigns that account for about 75% of the financing granted (doc. 1463).</w:t>
        <w:br/>
        <w:t>271</w:t>
        <w:br/>
        <w:t>Doc. 1463, also doc. 1983 and, again, FCA Bank memorandum, doc. 2379, GM memorandum, doc. 2409.</w:t>
      </w:r>
    </w:p>
    <w:p>
      <w:r>
        <w:rPr>
          <w:b/>
        </w:rPr>
        <w:t>[Pages 46–48]</w:t>
      </w:r>
    </w:p>
    <w:p>
      <w:r>
        <w:t>48 BULLETIN NO. 3 OF JANUARY 21, 2019</w:t>
      </w:r>
    </w:p>
    <w:p>
      <w:r>
        <w:t>In fact, the dealers would be free to choose from a "rich and varied bouquet of financial offers provided by the captives"272.</w:t>
      </w:r>
    </w:p>
    <w:p>
      <w:r>
        <w:t>197. Although captive banks represent a competitive leverage for manufacturers, they cannot be considered in competition273. According to FCE Bank, the objective of a captive bank is different from that of a financial institution that wants to maximize profit on each individual financing: "the interest of the captive, in fact, is the promotion of the sale of the group's cars and customer loyalty, and for this purpose, it prepares ad hoc financial instruments, [...]. The close relationship between the captive bank and the automotive sector is also demonstrated by the fact that the car manufacturer can intervene with subsidies in favor of the captive bank to boost the sale of the products"274. Therefore, given the captive nature, the competitive relationships between captive banks can be traced back to their respective automotive groups.</w:t>
      </w:r>
    </w:p>
    <w:p>
      <w:r>
        <w:t>198. It would have been merely an error by the Parties involved in some email exchanges to define the captives as competitors275.</w:t>
      </w:r>
    </w:p>
    <w:p>
      <w:r>
        <w:t>199. In support of their defensive arguments, the captive banks referred to the Commission's precedents regarding the absence of competitive relationships among captive banks276, specifying how the belief in the absence of such a link had led them to establish benchmarks with a view to improving market efficiency to face the competition from independent financial institutions277.</w:t>
      </w:r>
    </w:p>
    <w:p>
      <w:r>
        <w:t>200. Furthermore, the CRI would have severely underestimated the importance of independent financial institutions, which would be the actual competitors of captive banks, a circumstance that should have led to an assessment of the non-existence of the alleged agreement278. Moreover, the documentation provided by the leniency applicant accounts for the participation of independent financial institutions in the alleged agreement, which, however, were not involved in the proceedings. The non-involvement of these latter should demonstrate the legality of the behaviors exhibited by the captive banks, or constitutes an additional procedural flaw in the ongoing investigation279.</w:t>
      </w:r>
    </w:p>
    <w:p>
      <w:r>
        <w:t>The absence of competitive relevance of the exchanged data</w:t>
      </w:r>
    </w:p>
    <w:p>
      <w:r>
        <w:t>201. Regarding the content of the benchmarks shared among the captive companies, the Parties, also in analogy with what was established by the Authority in case I791 – Long-term Rental280, argued that they were completely devoid of strategic significance for competitive purposes, having "historical data, aggregated in a market characterized by high volatility and extreme transparency (imposed by banking sector regulations), as well as by the extreme diversification of financial products"281. In fact, these would be data that did not concern prices or components of the price, but the penetration of the captives, and therefore, performance data published in the annual report of each company.</w:t>
      </w:r>
    </w:p>
    <w:p>
      <w:r>
        <w:t>202. In this regard, the Parties contested the CRI's reconstruction, according to which the exchanged data would have been aimed at preparing budgets and marketing plans282. The exchanged information, in fact, would be unsuitable to eliminate uncertainty about the commercial strategies of other captive banks, considering the high heterogeneity of the types of products offered and the economic and contractual conditions applied283. Moreover, the average data collected based on a typical case would be "much less reliable than historical and statistical data"284 and, in any case, the absence of systematicity in the exchange of data would render the exchange useless285. The non-sensitive or strategic nature of the exchanged data is demonstrated in fact by the absence of effects observed in the market286.</w:t>
      </w:r>
    </w:p>
    <w:p>
      <w:r>
        <w:t>203. Furthermore, the participation of some of the captive banks in these direct surveys has been "entirely sporadic, discontinuous over time, and disinterested, given that the company provided the data late and was often prompted"287.</w:t>
      </w:r>
    </w:p>
    <w:p>
      <w:r>
        <w:t>204. Moreover, the exchange of information regarding the benchmarks would not have strategic relevance as it occurred between non-competing companies offering consumers products that cannot be considered substitutes for each other288.</w:t>
      </w:r>
    </w:p>
    <w:p>
      <w:r>
        <w:t>205. Such exchanges, therefore, would be aimed at improving the decision-making processes of each company289 and would have assumed a pro-competitive value, to enhance the efficiency of captive banks in relation to their true competitors, the independent financial institutions290.</w:t>
      </w:r>
    </w:p>
    <w:p>
      <w:r>
        <w:t>206. FCA Bank, emphasizing, like other Parties291, the allegedly sporadic and episodic nature of the information exchanges between the captive banks, highlighted that, although it emerged from the proceedings that "FCA Bank participated in many information exchanges with other captive banks both directly and through trade associations, the rationale for such exchanges has been pro-competitive, aimed at sharing information among captive banks to avoid proximity to independent operators, the true competitors of the captives themselves. In this context, it is true that the direct channel has lent itself to improper uses, due to the use of inappropriate terminology by employees. The company's management has always considered the exchange irrelevant and for this reason abandoned it over time. In any case, the benchmark data were devoid of strategic significance, as they were historical and aggregated in a market characterized by high transparency (imposed by sector regulations) and by the diversification of products"292.</w:t>
      </w:r>
    </w:p>
    <w:p>
      <w:r>
        <w:t>207. In this regard, another Party highlighted that "the promoter of the initiative (as well as responsible for sending the formats, processing, and sending the consolidated report) has always been FCA Bank"293.</w:t>
      </w:r>
    </w:p>
    <w:p>
      <w:r>
        <w:t>The agreement by object</w:t>
      </w:r>
    </w:p>
    <w:p>
      <w:r>
        <w:t>208. The Parties have highlighted that in this case it would not be possible to identify a restriction by object, also in light of the Cartes Bancaires jurisprudence test which requires a sufficient degree of harmfulness, to be proven based on the content or tenor of the provisions, the objectives, and the economic and legal context294. At most, in this case, there could be grounds to contest a coordinated practice295. In fact, the information exchanges would not contain future and individual intentions regarding prices – or components of the price – or other commercial conditions applied by the captives themselves and therefore information that would allow for the identification of a violation by object296, "except for some episodic exchange of aggregated average values (entry rate, average advance, TAN and average TAEG) entirely unsuitable to provide strategic information on the commercial policy of the operators"297. Similarly, for the exchanges related to the costs associated with the provision of financing, as "public domain information, easily obtainable, the dissemination of which, moreover, is mandatory by law"298.</w:t>
      </w:r>
    </w:p>
    <w:p>
      <w:r>
        <w:t>209. Secondly, the economic and legal context is incompatible with a restriction by object, as there is no competition among captive banks and the services in question are of a differentiated nature, given the dispersiveness and variety of financial offers from the captives that would render the median values exchanged unsuitable to allow any form of coordination299. The same characteristics of the market, in fact, are also incompatible with a restriction by effect, given the absence of substitutability/competition among the financing services provided by the captives and the presence, instead, of a highly competitive market between each captive and independent consumer credit institutions300. Furthermore, from the economic analyses conducted by the Parties – in light of the lack of investigative activity carried out by the Authority301 – there do not appear to have been any restrictive effects on the market302.</w:t>
      </w:r>
    </w:p>
    <w:p>
      <w:r>
        <w:rPr>
          <w:b/>
        </w:rPr>
        <w:t>[Pages 49–51]</w:t>
      </w:r>
    </w:p>
    <w:p>
      <w:r>
        <w:t>BULLETIN NO. 3 OF JANUARY 21, 2019 51</w:t>
      </w:r>
    </w:p>
    <w:p>
      <w:r>
        <w:t>210. It has also been emphasized that, in this case, one cannot speak of a unique and complex agreement, as some subjects lack the substantive requirements: the sharing of a general plan pursuing a common objective; the intentional contribution of the Party to that objective303; the knowledge of the Party regarding the unlawful behaviors of the other participants in the alleged infringement304. Moreover, the circumstance that some of the benchmarks have not been responded to would suggest that in this case one should speak at most of "attempts at an agreement"305. In any case, the attribution of the data exchanged between the captive banks and those conveyed through trade associations to a single case306 is contested.</w:t>
      </w:r>
    </w:p>
    <w:p>
      <w:r>
        <w:t>The position of the parent companies and parental liability</w:t>
      </w:r>
    </w:p>
    <w:p>
      <w:r>
        <w:t>211. The parent companies involved in the subjective extension of the proceedings have contested the total absence, in the case file, of documentation attesting to their direct or indirect participation in the contested agreement307. Therefore, in the absence of any involvement that can emerge from the abundant documentation on record, the attribution of behaviors to the parent companies would derive from a mere and pedantic application of the principle of parental liability presumption, which is also contrary to the most recent orientations of the Authority itself (case I/742 Tondini for Cemento Armato)308, as well as in violation of the principles of presumption of innocence and personal responsibility in case of wrongdoing, as expressly clarified by Law No. 689/81, on the legal basis of which antitrust sanctions are also imposed309, and applicable in this context also due to the quasi-criminal nature of antitrust matters, according to the European Court of Human Rights310.</w:t>
      </w:r>
    </w:p>
    <w:p>
      <w:r>
        <w:t>212. In this regard, it has been highlighted that the presumption in question is only relative, pursuant to the Akzo jurisprudence311, and according to Ford MC, Renault, GM Company, Volkswagen, and BMW, there is a lack of any element capable of demonstrating their exercise of decisive influence over the respective controlled captive banks312. According to the Parties, such influence cannot be perceived based solely on the existing chain of control between the two companies and their governance313. Therefore, the CRI would be lacking in motivation on this point, attributing to the parent companies the behaviors contested to the captive banks solely based on the corporate control held by the former over the latter314.</w:t>
      </w:r>
    </w:p>
    <w:p>
      <w:r>
        <w:t>213. Regarding the individual companies, Renault has emphasized that, being merely a financial holding company, it does not engage in any production and sale of vehicles that would allow it to exercise decisive influence over the group's captive bank, which is, moreover, subject to direct supervision by the ECB315.</w:t>
      </w:r>
    </w:p>
    <w:p>
      <w:r>
        <w:t>214. BMW has specified that it is not involved in the activities carried out by BMW Bank, also due to the separation obligations between industrial and financial activities provided for by German banking regulations316. Moreover, BMW Bank, as an entity engaged in banking activities, is subject to the supervision of the Bank of Italy, just as the parent financial company is subject to that of the ECB. BMW, as a shareholder, appoints the Board of Directors of BMW Bank; however, since the latter is a banking institution, the relevant regulations require the appointment of individuals with specific banking expertise. This results in substantial decision-making autonomy on the part of BMW Bank compared to the parent company. Consequently, OMISSIS.</w:t>
      </w:r>
    </w:p>
    <w:p>
      <w:r>
        <w:t>215. TMC has also represented its total non-involvement in the events in question, contesting the automatic application of the presumption of objective liability of the parent company317. The Party has emphasized that TMC and TFS are two branches of the Toyota Group that operate in total autonomy due to the corporate structure, governance, and regulatory framework governing their activities, highlighting the absence of overlap of executives between Toyota Motor Italia (TMI) and TFS and between TMC and TFS. Furthermore, TMC does not play any role in the preparation of TFS's budget, nor in its strategic commercial choices. Regarding the contested behaviors, the Party has emphasized the absence of economic/financial ties between the automotive market and the financial market318.</w:t>
      </w:r>
    </w:p>
    <w:p>
      <w:r>
        <w:t>216. FCA Italy, which jointly controls FCA Bank with CA Consumer Finance, has highlighted that, in the absence of exclusive control, to attribute the presumption of parental liability, the Authority would have had to demonstrate the existence of a decisive influence of the parent company over the subsidiary, as well as the actual exercise of such influence; a circumstance that is not evident in this case, as the minimum requirements of functional autonomy exist and there is no evidence of the involvement of the parents in the strategies of the subsidiary319. A similar position has been represented by CA Consumer Finance in its defense memorandum, which has highlighted that, in this case, the companies cannot be qualified as a single economic entity and that the CRI, on this point, is characterized by a serious evidentiary defect320.</w:t>
      </w:r>
    </w:p>
    <w:p>
      <w:r>
        <w:t>217. Banque PSA Finance has also asserted its non-involvement in the behaviors contested to Banca PSA Italia, highlighting that this entity is an autonomous company that does not depend on the parent companies (Banque PSA Finance and Santander), but enjoys total functional and structural independence, as established by the European Commission in a ruling in case M.7369 Santander/PSA/JVs. Regarding the Italian company, Banque PSA Finance limits itself to identifying performance objectives, as for all JVs, as well as establishing profitability, volume, and risk targets, which are decided during the annual budget definition phase321. Moreover, there is no specific evidence in the case file regarding the exercise of decisive influence by the parent over the subsidiary, such that the presumption of liability of the parent company cannot apply, placing the burden on the Authority to demonstrate that the parent company has de facto exercised its control powers, thereby determining the conduct of the subsidiary322.</w:t>
      </w:r>
    </w:p>
    <w:p>
      <w:r>
        <w:t>218. Similarly, Santander has represented its absolute non-involvement in the events subject to the proceedings, highlighting the absolute independence and functional autonomy of Banca PSA Italia. Moreover, at the time of the alleged facts, Banca PSA Italia was not operational, as it was established and became operational only in 2016, and therefore, prior to that date, no involvement in the events in question can be attributed to Santander323. Until January 2016, the active entity in auto financing in Italy for the Peugeot group was Banque PSA Finance324. In any case, Santander has specified that its objective, as a shareholder of Banca PSA Italia, is the economic sustainability of operations from the perspective of profitability expected by shareholders and from the perspective of risk factors. For this reason, in internal meetings concerning Banca PSA Italia, topics related to commercial and marketing strategies are not addressed, and the participation of individuals dealing with such topics is also prohibited (so-called Chinese walls), as recognized in the CRIs that link the activities of Banca PSA Italia to the operations of Banque PSA Finance. These topics, in fact, as well as promotional campaigns, concern the car manufacturer and are therefore discussed with Banque PSA Finance. For this reason, for example, the budget of Banca PSA Italia is sent to Santander only once approved.</w:t>
      </w:r>
    </w:p>
    <w:p>
      <w:r>
        <w:t>219. For their part, the captive banks have specified that they operate autonomously from their industrial parent company; regarding the rates applied for auto financing, the captive banks have stated that they have general profitability objectives identified at the banking level and, in this context, determine the level of prices to be applied. At the beginning of the year, this level is negotiated with individual dealers325.</w:t>
      </w:r>
    </w:p>
    <w:p>
      <w:r>
        <w:t>220. Regarding the application of the financing rate, some captive banks have specified that dealers are independent entrepreneurs, lacking an exclusive contract with the captive financial companies, and therefore, they enjoy margins of autonomy, being able to decide both which financing to propose to the consumer and, in the case of captive financing, which rate to apply, and in the case of a higher rate than that established by the captive, the difference is to their full advantage326. In theory, it is also possible to apply a lower rate than that indicated by the captive banks, in which case the difference is borne by the dealer who must pay the captive the base rate327.</w:t>
      </w:r>
    </w:p>
    <w:p>
      <w:r>
        <w:t>221. The relationship between captives and manufacturers appears to be akin to a commercial partnership, similar to what occurs between companies that are not linked to each other by</w:t>
      </w:r>
    </w:p>
    <w:p>
      <w:r>
        <w:rPr>
          <w:b/>
        </w:rPr>
        <w:t>[Pages 52–54]</w:t>
      </w:r>
    </w:p>
    <w:p>
      <w:r>
        <w:t>54 BULLETIN NO. 3 OF JANUARY 21, 2019</w:t>
      </w:r>
    </w:p>
    <w:p>
      <w:r>
        <w:t>corporate constraints328. In this regard, it has been noted that in the CRI the cost of the car asset was not distinguished from the cost of financing, not considering that only the former is relevant for the consumer in terms of their purchasing choice and that no competitive leverage can be found in the financing conditions329.</w:t>
      </w:r>
    </w:p>
    <w:p>
      <w:r>
        <w:t>Trade associations</w:t>
      </w:r>
    </w:p>
    <w:p>
      <w:r>
        <w:t>222. Assilea, in the hearing of October 23, 2017330 and subsequently in the memorandum of November 27, 2018 and in the final hearing of December 3, 2018331, highlighted that it associates the majority of companies active in the leasing sector in Italy, including some of the captive banks involved in the proceedings, as well as numerous independent finance companies. In particular, Assilea pointed out that, out of 82 members, only 5 are captive banks. Therefore, the Party highlighted that it has an interest opposed to the distortion of competition in the auto financing sector, to the detriment of the majority of its membership base (independent and generalist finance companies). Regarding the behaviors contested in the initiation order, Assilea emphasized that it has modified since July 2016 the format of its data processing shared with its members. Therefore, as of July 2016, the information shared with members concerns the contracts signed, in terms of volumes, and the portfolio of companies, in aggregated form and no longer, as previously, in disaggregated form, with a historical period of no less than 1 year and 3 months, compared to the previous annual frequency (for contracts signed) or semi-annual (for the portfolio). Assilea has never participated in the information exchange among the captive banks, of which it became aware only after the initiation of the investigation, nor has it ever constituted an occasion for contact between the Parties, which, on the contrary, has always considered it as an obstacle.</w:t>
      </w:r>
    </w:p>
    <w:p>
      <w:r>
        <w:t>223. Therefore, within the reconstruction carried out in the CRI, Assilea does not appear to be imputable for participating in a unique, continuous, and complex agreement, since, even due to the only marginal time frame of participation in the alleged infringement, it cannot be attributed to Assilea: the sharing of a general plan pursuing a common objective; the intentional contribution of the Party to that objective; the Party's knowledge of the unlawful behaviors of the other participants in the alleged infringement.</w:t>
      </w:r>
    </w:p>
    <w:p>
      <w:r>
        <w:t>224. More specifically, Assilea highlighted that there are no documents on record that testify to the association's involvement in the direct exchange between the captive banks, but that the only allegations concern: a meeting of the Observatory held in July 2013, the relocation of the so-called captive meetings to Assilea's premises, the dissemination of data among members of statistics on contracts signed, benchmarks on costs and ancillary charges of services, and statistics on spreads.</w:t>
      </w:r>
    </w:p>
    <w:p>
      <w:r>
        <w:t>225. In this regard, Assilea pointed out that no captive banks involved in the procedure participated in the Observatory meeting; that in reality no meeting among captives took place at the association's premises but was instead moved to the premises of one of them in Turin; finally, that all information conveyed by Assilea to its members has been managed in strict compliance with antitrust principles. The benchmark on costs and ancillary charges of services, in particular, also concerned other sectors, in addition to auto financing, and was conducted once in 2013 to contribute to a study by the Bank of Italy. Only Mercedes FS participated in the average spread measurements, so it cannot be considered that such processing contributed to the unlawful information exchange contested to the captive banks. As for the statistics on contracts signed, they concerned the entire membership base and not just the captive banks, also involving all sectors of the leasing industry and not just the auto sector under investigation here, and therefore, such conduct cannot be considered part of the broader concerted plan implemented by the captive banks. Regarding its own behaviors, Assilea also contests the secret nature of the alleged infringement332.</w:t>
      </w:r>
    </w:p>
    <w:p>
      <w:r>
        <w:t>226. With reference to the exchange that took place in Assilea, RCI Banque highlighted the lack of interest in this regard, providing leasing contracts in an absolutely minor measure and has nevertheless pointed out that the data disseminated by the Association has always been of an aggregated nature333. The exchange that took place within Assilea could not be attributed solely to the captive banks, in light of other parties involved in it and against whom the present proceedings have not been initiated334.</w:t>
      </w:r>
    </w:p>
    <w:p>
      <w:r>
        <w:t>227. Assofin, during the hearings held before the Offices and in the final memorandum335, as well as in the final hearing336, having premised the association's attention to consumer protection and antitrust compliance issues, highlighted that the documentation on record would not account for an exchange of sensitive information among captive banks within the association. Initially, the unreasonableness of such a reconstruction was raised, considering the membership base of Assofin, which is largely composed of independent finance companies that would have been harmed by the alleged cartel established by the captives also through the association.</w:t>
      </w:r>
    </w:p>
    <w:p>
      <w:r>
        <w:t>228. On the merits, the association - highlighting that there are no documents on record attesting to its involvement in the information exchange among the captive banks of which it became aware only during the present proceedings - noted that the documents on which the Authority contests the unlawfulness of the behaviors carried out by Assofin would be inconsistent and lacking factual support. It suffices to think that: no meeting among captives has ever actually taken place at Assofin; during the Assofin Conference of 2016, participants did not discuss future commercial strategies, but rather sociological trends and consequent market evolutions. On the contrary, the initiatives undertaken by Assofin appear to be in line with European guidelines on horizontal cooperation agreements, according to which an exchange of information that is genuinely public can be beneficial for consumers.</w:t>
      </w:r>
    </w:p>
    <w:p>
      <w:r>
        <w:t>229. Regarding the data collected and disseminated by Assofin during the period 2003-2010, "the first documents are quarterly surveys requested by journalists and published in the press"337. In this context, given the promotional purpose of the dissemination of data, they could not be considered representative of the conditions actually applied by the captive banks, as demonstrated by the divergence from the trend of rates recorded, during the same period, by the Bank of Italy338. "Since 2011, Assofin has disseminated two different surveys. Firstly, it disseminated a survey conducted by KPMG (Benchmark Report), based on predominantly balance sheet data, which included aggregated and anonymous data, to which only one captive bank participated and, moreover, only on two occasions. Secondly, there was the Assofin Quarterly Observatory, concerning consumer credit in general and where there were volume data, aggregated at the company level (cars, new and used, commercial vehicles, and motorcycles), which did not concern economic conditions. Furthermore, Assofin made available a survey on the average APR, aggregated among all those providing the information (captive banks and independents), without disclosing either the number of participating companies or their identity"339. Such information could not contribute to the contested agreement, as the information disseminated was unsuitable to provide any useful indication to define the commercial policy of the captives, nor usable for the purposes of presenting budgets and marketing plans340.</w:t>
      </w:r>
    </w:p>
    <w:p>
      <w:r>
        <w:t>230. It is nonetheless worth noting that for Assofin "the auto financing sector, which originally played a dominant role, has now lost relevance compared to other types of financing, so much so that today captive banks account for 14% of consumer credit flows in the Association and just over half of auto financing"341. Nevertheless, from 2011 to 2015, the market share of captive banks in financing aimed at the purchase of motor vehicles increased from 45% to 60%.</w:t>
      </w:r>
    </w:p>
    <w:p>
      <w:r>
        <w:t>231. To demonstrate this, Assofin highlighted "that captive banks constitute a marketing lever for the manufacturer for the sale of cars of the respective group. Therefore, their commercial strategies are supported by the parent companies, through promotions, campaigns, and commissions for dealers. This differentiates them from independent operators who cannot sustain the same costs for providing financing. Precisely for this reason, a car dealer works 50-60% with captive banks"342.</w:t>
      </w:r>
    </w:p>
    <w:p>
      <w:r>
        <w:t>The cessation of the contested behaviors and their duration</w:t>
      </w:r>
    </w:p>
    <w:p>
      <w:r>
        <w:t>232. On the merits of the contested behaviors, FCE Bank highlighted that it ceased all direct contact with other captive banks starting from July 2011, following a directive issued by the parent company, in compliance with antitrust regulations. Prior to that date, the company participated in the exchange of information, regarding which it did not express its nature. Regarding the exchange of information within Assofin, the Party emphasized that the exchanged information was "historical and aggregated information. In any case, pending the present proceedings, and awaiting its outcome, FCE Bank has interrupted participation in any exchange within Assofin"343. The exchange of such information, therefore, must be considered absolutely lawful. In this regard, FCE Bank also highlighted the circumstance of not being associated with Assilea, whose potential unlawful behaviors cannot be attributed to it.</w:t>
      </w:r>
    </w:p>
    <w:p>
      <w:r>
        <w:t>338</w:t>
        <w:br/>
        <w:t>Doc. 2413, Memorandum Assofin. Supported also by Banque PSA Finance (doc. 2399).</w:t>
        <w:br/>
        <w:t>339</w:t>
        <w:br/>
        <w:t>Doc. 1484.</w:t>
        <w:br/>
        <w:t>340</w:t>
        <w:br/>
        <w:t>Doc. 2413, Memorandum Assofin. This position is also supported by the memoranda of other Parties. In this sense, see the memorandum of Banca PSA Italia (doc. 2397) which highlights the lawfulness of the exchanges that took place in Assofin.</w:t>
        <w:br/>
        <w:t>341</w:t>
        <w:br/>
        <w:t>Doc. 1484.</w:t>
        <w:br/>
        <w:t>342</w:t>
        <w:br/>
        <w:t>Doc. 1484.</w:t>
        <w:br/>
        <w:t>343</w:t>
        <w:br/>
        <w:t>Doc. 1472 and doc. 2412, Memorandum FCE Bank.</w:t>
      </w:r>
    </w:p>
    <w:p>
      <w:r>
        <w:rPr>
          <w:b/>
        </w:rPr>
        <w:t>[Pages 55–57]</w:t>
      </w:r>
    </w:p>
    <w:p>
      <w:r>
        <w:t>BULLETIN NO. 3 OF JANUARY 21, 2019 57</w:t>
      </w:r>
    </w:p>
    <w:p>
      <w:r>
        <w:t>233. TFS highlighted that, due to the market share held by independent companies until 2012, the agreement, in order to be considered substantial, could not be attributed to the period prior to 2013.</w:t>
      </w:r>
    </w:p>
    <w:p>
      <w:r>
        <w:t>234. FCA Italy also pointed out that, in any case, the duration of the infringement cannot be attributed to it prior to December 28, 2006, the date on which the company acquired joint control of FCA Bank.</w:t>
      </w:r>
    </w:p>
    <w:p>
      <w:r>
        <w:t>235. RCI Banque stated that it completely ceased its participation in such benchmarks directed since 2015, following compliance indications from corporate, inspired by criteria of particular prudence. RCI Banque continued to participate in exchanges at the association level, following the modification of the data format, now exchanged in aggregated form.</w:t>
      </w:r>
    </w:p>
    <w:p>
      <w:r>
        <w:t>236. Volkswagen Bank contested the attribution of the contested behaviors to itself as, from the documentation in the case file, there is no evidence of the company's active participation in the information exchanges that took place.</w:t>
      </w:r>
    </w:p>
    <w:p>
      <w:r>
        <w:t>237. GMF (now Opel Finance) represented that it does not belong to Assofin or Assilea, therefore, it cannot be attributed the information exchange that occurred through these trade associations. Furthermore, the Party highlighted that for the period between 2009 and 2012, the financing activity was not carried out by it but, based on a contract, by the independent financial company BBVA. Therefore, any participation of GMF in the exchanges at the association level cannot be considered unlawful, given GMF's absence from the market itself. In this reconstruction, the behaviors exhibited until 2009 must be considered time-barred, while for the behaviors after 2012, there are no direct exchanges with other captives, for which there would be no behaviors for which GMF could be sanctioned344.</w:t>
      </w:r>
    </w:p>
    <w:p>
      <w:r>
        <w:t>238. Banque PSA Finance highlighted that the exchanges involving it ceased in 2014. Moreover, the exchanges related to rate or fee information concerned at the latest July 2010. Therefore, regarding these exchanges, the statute of limitations for their sanctionability must be considered to have intervened345. Additionally, the Party emphasized the recognized suspension, in the CRIs, from the agreement for the period between May 2014 and March 2015. The Party also highlighted the absence of the subjective element against it, necessary for the potential imposition of a monetary sanction346.</w:t>
      </w:r>
    </w:p>
    <w:p>
      <w:r>
        <w:t>239. Banca PSA Italia emphasized that its involvement is subsequent to January 2016 and, therefore, the Party cannot be accused of participating in the exchange of information between captives but only in the Assofin exchange which, by itself, due to the exchanged data – historical and aggregated – cannot be deemed unlawful. Nor can the Party be accused of participating in exchanges at Assilea, as it does not belong to that association347.</w:t>
      </w:r>
    </w:p>
    <w:p>
      <w:r>
        <w:t>240. Almost all Parties contested the non-severity of the contested infringement and, therefore, its non-sanctionability, highlighting how an agreement whose negative effects are not proven cannot be defined as very serious348. RCI Banque finally contested the application, in the case at hand, of the multiplier criterion for the years of the alleged agreement, which would lead to a violation of the principle of proportionality and appears to be in contrast with the nature of the contested infringement, as the "particular disvalue determined by the reiteration of the anticompetitive conduct" has not been demonstrated349. The Party also contested the applicability to it of the aggravating circumstance for having played a particularly active role within the cartel350.</w:t>
      </w:r>
    </w:p>
    <w:p>
      <w:r>
        <w:t>241. Almost all Parties contested that the value of sales in the market of cars purchased through financial products could be included in the calculation of turnover, as well as the secret nature of the alleged agreement and the peculiarity of captive banks, for the purposes of the sanction, as single-product companies.</w:t>
      </w:r>
    </w:p>
    <w:p>
      <w:r>
        <w:t>The economic memoranda</w:t>
      </w:r>
    </w:p>
    <w:p>
      <w:r>
        <w:t>242. During the presentation of the final memoranda, the Parties also attached economic studies and expert reports aimed at supporting their defensive position351. In summary, the arguments proposed, which largely reiterate what has already been represented above, can be summarized as follows: i) there cannot be an agreement between subjects that are not competitors with each other, and captive banks are not (in this context, the data showing how captive banks only finance the brands of their parents are relevant); ii) independent companies should be included in the relevant market, to which about half of consumers turn; iii) the exchanged data are not strategic, as the budget and marketing plan take into account more granular and different information from that exchanged; iv) there are no effects of the agreement, as the rates applied are characterized by great variability; v) lacking a competitive relationship between captive banks, the exchange of information served to benchmark the sector and push for progressively greater efficiency of individual captive banks.</w:t>
      </w:r>
    </w:p>
    <w:p>
      <w:r>
        <w:t>243. In this context, an economic memorandum prepared by the company Compass Lexecon on behalf of the companies Banca PSA Italia, Banque PSA Finance, BMW Bank, FCA Bank, FCE Bank, Opel Finance, RCI Banque, Toyota Financial Services, Volkswagen Bank, and the association Assofin352 was received. This memorandum highlights that the analysis conducted on over 6 million financing contracts entered into by the Parties during the period 2003-2017 shows a high degree of heterogeneity both in terms of contractual conditions and economic conditions, finding no evidence of coordination among captive banks in terms of types of financing offered and/or commercial policies, following the alleged exchange of information.</w:t>
      </w:r>
    </w:p>
    <w:p>
      <w:r>
        <w:t>244. Even examining the degree of dispersion of the economic offers made by captive banks in relation to a typical contractual profile, in terms of rates applied to financing contracts during the relevant period, a significant heterogeneity and a high degree of dispersion emerge both of the TAN and of the TAEG practiced by each of the captive banks. According to the analysis conducted, the TAN offered on the typical contractual profile varies from 2.4% to 12.2%; while the TAEG varies from 4.0% to 16.2%. Furthermore, the level and evolution of average rates over time vary substantially from captive bank to captive bank, showing a high heterogeneity of the offer among captives and an absence of coordination regarding the average rates applied.</w:t>
      </w:r>
    </w:p>
    <w:p>
      <w:r>
        <w:t>245. This evidence would be poorly compatible with the conclusions of the CRIs and with a hypothetical coordination of the commercial policies of captive banks following the exchange of information. In fact, if such coordination had taken place, it would have been logical to expect, also based on the Authority's precedents and economic literature, that this would have led to a level of dispersion that is decidedly more limited, both concerning the TAN and in relation to the TAEG. Therefore, according to the Parties, there is no indication that the information exchange contested by the AGCM led to a coordination of the commercial policies of the captive banks, neither at the level of rates nor at the level of other commercial variables.</w:t>
      </w:r>
    </w:p>
    <w:p>
      <w:r>
        <w:t>246. Partially analogous positions emerge from other economic studies. In particular353, it has been highlighted that the analysis of the CRI is lacking to the extent that it does not include independent financial companies in the market and, consequently, in the perimeter of the agreement354. Furthermore, since the captives are not competitors with each other, there could be no restrictive agreement on competition, also due to the differentiation of the financing products offered, the determination of which would, moreover, be delegated to individual dealers.</w:t>
      </w:r>
    </w:p>
    <w:p>
      <w:r>
        <w:t>247. It has also been observed that, in the choice of purchasing a car, the main driver would be the brand and, only subsequently, the price355. Only at a later stage after the choice of the vehicle to be purchased would the consumer highlight the choice of financing. Since financing intervenes only at this stage of the consumer's decision-making process, it follows that captive banks would not be in competition with each other but only against independent financial companies. This, despite the recognition that "automakers are competing with each other and outline their commercial strategies also through promotional campaigns for certain models and brands."</w:t>
      </w:r>
    </w:p>
    <w:p>
      <w:r>
        <w:t>248. It has also been emphasized that the data exchanged among captives were not sensitive and were not necessary for the preparation of budget documents or marketing plans356. In fact, "given the extremely differentiated nature of the contracts offered [...] the shared information, as disaggregated and apparently abundant as it may be, does not allow for the elimination of any uncertainty regarding the commercial policies of the captives"357. This exchange would therefore have had mere benchmarking purposes.</w:t>
      </w:r>
    </w:p>
    <w:p>
      <w:r>
        <w:t>The position of the leniency applicant</w:t>
      </w:r>
    </w:p>
    <w:p>
      <w:r>
        <w:t>249. With a memorandum received on November 27, 2018, as well as during the final hearing on December 3, 2018358, the companies Daimler and Mercedes FS highlighted the full cooperation provided by them during the proceedings, for which the conditions set out in paragraph 2 of the Authority's Communication regarding the application of Article 15 bis of Law 287/90 are fully respected. In this regard, the Party emphasized how the duration of the infringement cannot be attributed to it beyond the date "when the various behaviors were represented to the Authority, [as] the companies have always complied with the behavioral indications received from the Offices"359.</w:t>
      </w:r>
    </w:p>
    <w:p>
      <w:r>
        <w:rPr>
          <w:b/>
        </w:rPr>
        <w:t>[Pages 58–60]</w:t>
      </w:r>
    </w:p>
    <w:p>
      <w:r>
        <w:t>60 BULLETIN NO. 3 OF JANUARY 21, 2019</w:t>
      </w:r>
    </w:p>
    <w:p>
      <w:r>
        <w:t>(VII) EVALUATIONS</w:t>
      </w:r>
    </w:p>
    <w:p>
      <w:r>
        <w:t>(A) PROCEDURAL OBJECTIONS</w:t>
      </w:r>
    </w:p>
    <w:p>
      <w:r>
        <w:t>250. During the proceedings, the Parties raised numerous objections aimed at highlighting procedural defects - particularly related to anomalies in the management of the leniency application and compressions of the adversarial process and defense rights - capable of invalidating the entire investigative procedure.</w:t>
      </w:r>
    </w:p>
    <w:p>
      <w:r>
        <w:t>251. The Parties360 - as reported in the previous section of the document - contested the long time elapsed between the first statement of the leniency applicant (made on March 3, 2014) and the initiation of the investigative proceedings (notified to the Parties on May 4, 2017), from which, according to the aforementioned jurisprudence of the Council of State, the Authority would have lost its power to sanction the agreement361. Moreover, the delay of the Authority in initiating the proceedings would have prejudiced the position of the Parties, who continued to engage in the behaviors deemed unlawful, extending the duration of the infringement with the related sanctioning consequences362.</w:t>
      </w:r>
    </w:p>
    <w:p>
      <w:r>
        <w:t>252. In this regard, it is noted, as a matter of fact, that the leniency application was submitted OMISSIS.</w:t>
      </w:r>
    </w:p>
    <w:p>
      <w:r>
        <w:t>253. Furthermore, it must be considered that, based on established jurisprudence, it is now a well-accepted principle that Article 14 of Law No. 287/90 "does not provide a start date for the proceedings and does not apply Article 14 of Law No. 689 of 1981: in fact, the reference, even in terms of applicability, to the provisions of Chapter I, Sections I and II, of Law No. 689 of 1981 is valid only for the purposes of administrative pecuniary sanctions, but not for the regulation of the investigative phase of the proceedings. (Cons. Stato, VI, July 26, 2001, No. 4118; April 3, 2009, No. 2092), in relation to which the case is distinctly and autonomously regulated (Cons. Stato, VI, July 22, 2014, No. 3893)"363.</w:t>
      </w:r>
    </w:p>
    <w:p>
      <w:r>
        <w:t>254. Therefore, in proceedings concerning agreements, the applicability of Article 14, Law No. 689/1981, must be excluded, contrary to what the Parties have asserted, since the reference, even in terms of applicability, to the provisions of Chapter I, Sections I and II, of Law No. 689/81 is valid only for the purposes of administrative pecuniary sanctions and not for the regulation of the investigative phase of the proceedings364.</w:t>
      </w:r>
    </w:p>
    <w:p>
      <w:r>
        <w:t>255. As clearly stated by the supreme administrative judge365, even if one were to recognize, "for the sake of argument," the applicability of Article 14 of Law No. 689/81 to antitrust proceedings, "the time within which the AGCM must notify the violation under Article 14 is linked not to the commission of the violation, but to the time of ascertaining the infringement, therefore not to the news of the sanctionable fact, but to the acquisition of full knowledge of the unlawful conduct, involving the verification of the existence and consistency of the infringement and its effects; therefore from the completion of the verification activity of the existence of the infringement, including the investigations aimed at verifying the existence of all subjective and objective elements (Cons. Stato, VI, February 2, 2012, No. 582; August 5, 2013, No. 4085; July 22, 2014, No. 3896)".</w:t>
      </w:r>
    </w:p>
    <w:p>
      <w:r>
        <w:t>256. In this case, such a term appears to start from January 31, 2017, the date from which the Authority had access to the documentation supporting the statements made, and only as a result of an assessment of the extensive documentation produced on that occasion, can it be considered that the Authority acquired the "full knowledge of the unlawful conduct" required by administrative jurisprudence.</w:t>
      </w:r>
    </w:p>
    <w:p>
      <w:r>
        <w:t>257. Therefore, considering that the completion of the leniency application occurred only on January 31, 2017, OMISSIS, and that the Authority decided to initiate the present investigative proceedings on April 28, 2017 (notified to the Parties on the subsequent May 4 during the inspections carried out), it is evident that the Authority did not unreasonably prolong the pre-investigative phase in the absence of objective justifications366.</w:t>
      </w:r>
    </w:p>
    <w:p>
      <w:r>
        <w:t>258. It is reiterated that, due to OMISSIS and the date on which the leniency applicant completed the application, the duration of the pre-investigative phase is clearly attributable to the "objective reasons" required by the administrative judge, moreover in a case that is distinguished by its secret nature.</w:t>
      </w:r>
    </w:p>
    <w:p>
      <w:r>
        <w:t>259. The Parties also highlighted the atypicality of the leniency application which - not explicitly referring to the conclusion of a cartel, nor indicating the objectives pursued by the alleged agreement - would lack the requirement of Article 3, letter b) of the Authority's Communication on leniency, necessary to grant the benefit of immunity to the leniency applicant367. Moreover, there would be no full correspondence between the scope of the agreement reported by the leniency applicant - in terms of identifying the market and the parties involved - and what was contested in the initiation order, as detailed in the CRI. Therefore, also from this aspect, in the opinion of the Parties, the requirements for admission to the benefit of immunity368 would be lacking.</w:t>
      </w:r>
    </w:p>
    <w:p>
      <w:r>
        <w:t>260. In this regard, it is noted that it is a well-established principle recognized by jurisprudence that it is the Authority's responsibility to legally reconstruct the case, as well as to delineate the scope of the unlawful behaviors documented by the leniency applicant. Following such assessments, there may therefore be a non-overlap between the reconstructions of the leniency applicant and those of the Authority. Therefore, the different legal reconstruction of the case "information exchange" or "cartel" does not seem to undermine the presence of the necessary requirements for the recognition of immunity. Jurisprudence is clear on this point: "as much as the company may accompany the documentary and investigative contribution provided with a parallel activity of reconstruction and presentation, even legal, of the facts, the activity of evaluation and legal qualification in the strict sense is entrusted to the exclusive competence of the Authority," with decision-making autonomy369.</w:t>
      </w:r>
    </w:p>
    <w:p>
      <w:r>
        <w:t>261. With the same argument, it seems necessary to respond to the alleged absence of correspondence between the scope of the agreement reported by the leniency applicant and what was contested by the Authority. In the words of the administrative judge: "As jurisprudence has noted, it is inherent that the ascertainment of the unlawful act contained in the final provision of the Authority may differ, even if only in part, from the fact represented and admitted by the collaborating company at the time of admission to the leniency program (Cons. Stato, Sez.VI, January 29, 2016, No. 362). In other words, once the information set and the necessary and concretely sufficient evidentiary material have been acquired, it is exclusively up to the AGCM to evaluate, in complete autonomy, the relevance for the purposes of competition law of the practices identified"370.</w:t>
      </w:r>
    </w:p>
    <w:p>
      <w:r>
        <w:t>262. Furthermore, the Parties contested the short duration of the extension granted, after the submission of the Investigative Results, for the submission of final statements, which was only 19 days compared to requests for 3 months371, as well as the short time available to exercise the right of defense during the final hearing372. Additionally, the lack of access to part of the documentation in the case file was contested, as it was deferred until the date of submission of the CRI and the consequent impossibility, until that date, of being heard in the hearing, as they were not aware of the entire investigative file373.</w:t>
      </w:r>
    </w:p>
    <w:p>
      <w:r>
        <w:t>263. In this regard, it should be recalled that Article 14 of the D.P.R. No. 217/98 - titled Communication of the investigative results and final hearing of the interested companies - establishes in paragraph 2 that: "The offices communicate to the subjects referred to in Article 6, paragraph 4, the deadline for closing the investigation, as well as the results of the latter, at least thirty days before the expiration of that deadline." According to this provision, therefore, the minimum period that must elapse between the Communication of the Investigative Results and the date of the final hearing (the deadline for closing the investigative phase) must be 30 days. In this case, as recognized by the Parties themselves, the period between the CRI and the final hearing was 54 days, that is, almost double the period required by law. This additional period was granted to the Parties precisely to fully guarantee the right to defense, due to the extensive documentation in the case file and the various aspects subject to contestation, even though these had already been outlined in the initiation and extension orders of the procedure and had been the subject of hearings held or requests for information made during the proceedings.</w:t>
      </w:r>
    </w:p>
    <w:p>
      <w:r>
        <w:t>264. Regarding the limited time granted, during the final hearing, to each Party to argue their defense theses, it should be noted that the procedure before the Authority provides for the broadest participation of the Parties in the adversarial process, which occurs not only orally but also in writing. This circumstance is demonstrated, in this case, by the large number of statements, both legal and economic in nature, also accompanied by extensive documentation, submitted by the Parties within the five days preceding the closure of the investigative phase of the proceedings. Moreover, it is appropriate to emphasize how a comparison between the submitted statements and the minutes of the final hearing demonstrates the absolute coincidence of the arguments and topics addressed. Therefore, any extension of the time granted to the Parties for the oral presentation of their respective defenses would not have added new elements for the evaluations of the Panel.</w:t>
      </w:r>
    </w:p>
    <w:p>
      <w:r>
        <w:t>265. As for the deferral of access to part of the documentation attached to the leniency application, it should be recalled that Article 13, paragraph 10, of the D.P.R. No. 217/97 provides that: "The office may reasonably defer access to the requested documents until their relevance for proving the infringements is ascertained, and in any case not beyond the communication of the investigative results referred to in Article 14."</w:t>
      </w:r>
    </w:p>
    <w:p>
      <w:r>
        <w:rPr>
          <w:b/>
        </w:rPr>
        <w:t>[Pages 61–63]</w:t>
      </w:r>
    </w:p>
    <w:p>
      <w:r>
        <w:t>BULLETIN NO. 3 OF JANUARY 21, 2019 63</w:t>
      </w:r>
    </w:p>
    <w:p>
      <w:r>
        <w:t>266. By virtue of this provision, the administrative jurisprudence has shared the modus operandi of the Offices, stating that “the Authority correctly represented that the [leniency application], along with the attached documentation, would have been made accessible with the Communication of the investigative findings, specifying that access to the confession statement would have been granted if the company was found to be the recipient of the charges formulated; and this, in accordance with point 10-bis of the national leniency program (resolution and communication of the Authority of February 15, 2007), which refers to Article 13, paragraph 10, of Presidential Decree No. 217/1998; as well as to the Commission Communication regarding immunity from fines or reduction of their amounts in cases of cartels among companies (2006/C 298/11), points 32, 33, and 34”374.</w:t>
      </w:r>
    </w:p>
    <w:p>
      <w:r>
        <w:t>267. Lastly, it is necessary to respond to the objection raised by Banque PSA Finance, which claimed, in its final submissions375, the alleged violation of its right of defense due to the extension of the proceedings against it only at the time of the sending of the CRI, in the absence of a formal provision to that effect.</w:t>
      </w:r>
    </w:p>
    <w:p>
      <w:r>
        <w:t>268. In this regard, it is noted that Banque PSA Finance was the recipient of the extension order of the proceedings dated September 27, 2017, within which the same behaviors attributed to that company – as to the other companies subject to the same – were charged, which were the same behaviors contested in the initiation order of April 28, 2017. Therefore, from the notification of the aforementioned provision, Banque PSA Finance was aware of the scope of the behaviors attributable to it. Consequently, the company's thesis that it would have been informed of the actual scope of the charges against it only after receiving the CRI appears unfounded.</w:t>
      </w:r>
    </w:p>
    <w:p>
      <w:r>
        <w:t>(B) THE RELEVANT MARKET</w:t>
      </w:r>
    </w:p>
    <w:p>
      <w:r>
        <w:t>269. The set of elements described in the first part of this document confirms, as will be extensively argued below, the existence of an agreement established between the companies Banque PSA Finance, Banca PSA Italia, BMW Bank, FCA Bank, FCE Bank, GMF, Mercedes FS, RCI Banque, TFS, and Volkswagen Bank, as well as the associations Assilea and Assofin, during the period from 2003 to 2017 – subject to the limitations that will be specified below – related to the sale of motor vehicles through the placement of financial products (strictly speaking, financing and leasing) offered by the captives of the automotive groups.</w:t>
      </w:r>
    </w:p>
    <w:p>
      <w:r>
        <w:t>270. As illustrated below, the conduct is also attributable to the companies Santander Consumer Bank, Banque PSA Finance, BMW, Ford MC, GM Company, Daimler, Renault, TMC, Volkswagen, CA Consumer Finance, and FCA Italy.</w:t>
      </w:r>
    </w:p>
    <w:p>
      <w:r>
        <w:t>271. This concertation, as better argued in the following paragraphs, constitutes a secret, unique, complex, and ongoing agreement, in violation of Article 101 TFEU, aimed at coordinating the commercial policies of the aforementioned companies through the exchange of sensitive information, which artificially rendered the market in question transparent.</w:t>
      </w:r>
    </w:p>
    <w:p>
      <w:r>
        <w:t>272. With regard to the identification of the relevant market, it is represented that, in adherence to the established jurisprudential orientation376, in investigations related to agreements, the definition of the relevant market is subsequent to the identification of the agreement, as it is the breadth and the object of the agreement that circumscribe, from a product and territorial perspective, the market in which the illicit act is committed. This definition is, therefore, functional to identifying the economic and legal context in which the agreement can restrict or distort the competitive mechanism and to deciphering its degree of offensiveness.</w:t>
      </w:r>
    </w:p>
    <w:p>
      <w:r>
        <w:t>273. That said, based on the evidentiary findings, the hypothesis of the agreement under examination involves the captive banks of the automotive groups active in the placement of financial products offered to support the sale of the related automobiles; therefore, the relevant market consists of the sale of cars through financing provided by the captive banks (strictly speaking, financing and leasing). From a geographical perspective, considering that the activity carried out by the involved companies extends throughout the national territory and that in this territory the conditions are uniformly applied, it is believed that the geographical market has a national dimension.</w:t>
      </w:r>
    </w:p>
    <w:p>
      <w:r>
        <w:t>The competitive relationship among the captive banks</w:t>
      </w:r>
    </w:p>
    <w:p>
      <w:r>
        <w:t>274. In order to correctly identify the economic and legal context in which the agreement has restricted the competitive mechanism, considering the criticism raised by the Parties that the captives would not be in competition with each other but would only compete with independent financial institutions, it is appropriate to clarify from the outset how the competitive dynamics develop in the provision of the financial products in question.</w:t>
      </w:r>
    </w:p>
    <w:p>
      <w:r>
        <w:t>275. As described in the first part of this document, although the financial products aimed at the sale of automobiles are offered by both captive banks and independent financial institutions, these categories of operators have different profit objectives, as the remuneration of the captive banks and their respective automotive groups is connected not only to the provision of financial products but also, unlike independent operators, to the registrations of vehicles achieved by the group.</w:t>
      </w:r>
    </w:p>
    <w:p>
      <w:r>
        <w:t>276. In particular, the captive banks, due to their affiliation with an automotive group, to whose activity they are evidently closely linked, serve as a sales and marketing tool for the vehicles of the respective group, as well as a customer loyalty tool in case of vehicle change. Through their activity, in fact, car manufacturers are able to 'regulate' the sale of their vehicles (for example, by activating specific promotions, such as the so-called zero percent rate, car manufacturers can support the sale of one or more specific models), receiving, in such cases, specific contributions directly from the parent company (unlike traditional financial operators)377.</w:t>
      </w:r>
    </w:p>
    <w:p>
      <w:r>
        <w:t>277. It follows that for the captive banks, the financing activity is not an end in itself, as in the case of traditional operators, but necessarily fits into the industrial dynamics of the affiliated group378. Borrowing the words of the European Commission, captive banks are “key components of the strategy of automotive groups”379 (emphasis added).</w:t>
      </w:r>
    </w:p>
    <w:p>
      <w:r>
        <w:t>278. This role, moreover, is peacefully recognized by the Parties to the proceedings. Among others, VW Bank stated: “as is known, captives play a fundamental role in the market for the offering of financial products and are linked to the relevant Industrial Group active in the production or marketing of cars”380 (emphasis added).</w:t>
      </w:r>
    </w:p>
    <w:p>
      <w:r>
        <w:t>279. FCE Bank also stated: “The interest of the captive, in fact, is the promotion of the sale of the group's cars and customer loyalty, and for this purpose, it prepares ad hoc financial instruments, […]. The close relationship between the captive bank and the automotive sector is also demonstrated by the fact that the car manufacturer can intervene with subsidies in favor of the captive bank to boost the sale of those products”381 (emphasis added).</w:t>
      </w:r>
    </w:p>
    <w:p>
      <w:r>
        <w:t>280. The words of Assofin are also clear: “captive banks constitute a marketing lever for the manufacturer for the sale of the cars of the relevant group. Therefore, their commercial strategies are supported by the parent companies, through promotions, campaigns, and commissions for dealers. This differentiates them from independent operators who cannot sustain the same costs for the provision of financing”382 (emphasis added).</w:t>
      </w:r>
    </w:p>
    <w:p>
      <w:r>
        <w:t>281. Assilea also expressed itself in the same sense: “captives act in the market according to the interest of the automotive company”383 (emphasis added).</w:t>
      </w:r>
    </w:p>
    <w:p>
      <w:r>
        <w:t>282. However, captives can perform this “fundamental role” and be effectively “a marketing lever” only to the extent that their activity comes into play at the time of choosing the car to purchase. Only for this reason, borrowing the words of the European Commission, “the loan offers [of captive banks] have a direct impact on car sales and constitute one of the main factors for the development of these sales”384.</w:t>
      </w:r>
    </w:p>
    <w:p>
      <w:r>
        <w:t>283. This is possible because, as is peacefully recognized by the Parties385 as well as by third parties heard in the hearings during the proceedings386, for a consumer intending to purchase a car, the price represents one of the main drivers of choice. And for a price-sensitive consumer, the financial product (in the form of a monthly installment) effectively coincides with the final price of the car. These considerations are confirmed by the numerous advertisements for cars in which the price is even indicated exclusively through the installment of financing/leasing387.</w:t>
      </w:r>
    </w:p>
    <w:p>
      <w:r>
        <w:t>284. In this sense, the documents in the case file388 that show comparative tables between cars of the same segment but from different car manufacturers, with the respective conditions applied by each captive bank, should also be read.</w:t>
      </w:r>
    </w:p>
    <w:p>
      <w:r>
        <w:t>285. Therefore, if it is true, as the Parties assume, that a consumer intending to purchase a car when visiting the dealer can theoretically choose to proceed with the purchase using financing from the captive bank or from another independent operator, in reality, the consumer is led – upstream – to choose the car by identifying at</w:t>
      </w:r>
    </w:p>
    <w:p>
      <w:r>
        <w:rPr>
          <w:b/>
        </w:rPr>
        <w:t>[Pages 64–66]</w:t>
      </w:r>
    </w:p>
    <w:p>
      <w:r>
        <w:t>66 BULLETIN NO. 3 OF JANUARY 21, 2019</w:t>
      </w:r>
    </w:p>
    <w:p>
      <w:r>
        <w:t>prior to only the category of car to be purchased (e.g. city car or SUV)389; once the segment is chosen, the consumer will select the car also based on price, and thus also based on the financing offered by the various captive banks, comparing, for example, FIAT, Renault, PSA, and Toyota city cars and the financing offered by their respective captive banks.</w:t>
      </w:r>
    </w:p>
    <w:p>
      <w:r>
        <w:t>286. In this direction go the statements of the FIAT Group during the aforementioned proceedings before the European Commission: “the attractiveness of its ‘Punto’ model [compared to other cars] would fundamentally depend on the financing conditions. Competitors that do not offer attractive financial conditions would be less represented among customer preferences”390.</w:t>
      </w:r>
    </w:p>
    <w:p>
      <w:r>
        <w:t>287. From the above, it follows that, contrary to what the Parties have claimed, although the captive banks finance each almost exclusively the cars of their respective groups, the dynamics of the market are such that there exists a relationship of effective competition between captive banks, as they operate in order to “exert a direct impact on the sales of the cars” of their respective automotive groups391. The words of FCE Bank are very clear on this point: “given the captive nature, the competitive relationships between the captive banks are attributable to their respective automotive groups”392.</w:t>
      </w:r>
    </w:p>
    <w:p>
      <w:r>
        <w:t>288. Moreover, it is noted that the captives themselves define each other as competitors. This is clearly evident from the reading of the documentation on record; for example, an internal email from GMF states that, in the context of an internal assessment regarding the antitrust legality of a request for information made by RCI Banque, it is written: “I recommend that the data in the attached files and emails not be shared and that GMF does not share this type of information with competitors. (…) The shared data, in fact, are not public and would not be intended for end customers (as, for example, Quattroruote does regarding vehicle prices)”393 (emphasis in original).</w:t>
      </w:r>
    </w:p>
    <w:p>
      <w:r>
        <w:t>289. In the same vein, an internal email from Mercedes FS states that, regarding a presentation showing the interest rates of competitors of Mercedes FS in some European countries including Italy, “the base interest rate without commission of the two largest captive competitors BMW FS and VW FS”394 (emphasis added) is shown.</w:t>
      </w:r>
    </w:p>
    <w:p>
      <w:r>
        <w:t>290. Also, in an exchange of information on February 22, 2007395 between FCA Bank, Volkswagen Bank, Mercedes FS, and BMW Bank, it is stated: “(...) if the topic was leasing, yesterday I asked for information only from the major competitors of Alfa Romeo identified besides Mercedes/Daimler in Audi/Volkswagen and BMW” (emphasis added).</w:t>
      </w:r>
    </w:p>
    <w:p>
      <w:r>
        <w:t>291. From the above, it therefore emerges the existence of a competitive relationship between the captive banks.</w:t>
      </w:r>
    </w:p>
    <w:p>
      <w:r>
        <w:t>389</w:t>
        <w:br/>
        <w:t>Moreover, that the consumer intending to purchase a car refers to the segment (and not to the brand as the Parties assume) and within this scope makes the choice also based on price, is confirmed by the established jurisprudence of the European Commission regarding the market for the sale of cars, and by the numerous studies commissioned by it also due to the prior existence of the block exemption Regulation.</w:t>
      </w:r>
    </w:p>
    <w:p>
      <w:r>
        <w:t>390</w:t>
        <w:br/>
        <w:t>European Commission Decision 2016/2068 of July 29, 2013, regarding State aid S.A. 35611 which France intends to implement in favor of the PSA Peugeot Citroën SA group.</w:t>
      </w:r>
    </w:p>
    <w:p>
      <w:r>
        <w:t>391</w:t>
        <w:br/>
        <w:t>European Commission Decision 2016/2068 of July 29, 2013, regarding State aid S.A. 35611 which France intends to implement in favor of the PSA Peugeot Citroën SA group.</w:t>
      </w:r>
    </w:p>
    <w:p>
      <w:r>
        <w:t>392</w:t>
        <w:br/>
        <w:t>Doc. 1472.</w:t>
      </w:r>
    </w:p>
    <w:p>
      <w:r>
        <w:t>393</w:t>
        <w:br/>
        <w:t>Doc. 1023.</w:t>
      </w:r>
    </w:p>
    <w:p>
      <w:r>
        <w:t>394</w:t>
        <w:br/>
        <w:t>Doc. 11.</w:t>
      </w:r>
    </w:p>
    <w:p>
      <w:r>
        <w:t>395</w:t>
        <w:br/>
        <w:t>Doc. 38 and 39.</w:t>
      </w:r>
    </w:p>
    <w:p>
      <w:r>
        <w:t>BULLETIN NO. 3 OF JANUARY 21, 2019 67</w:t>
      </w:r>
    </w:p>
    <w:p>
      <w:r>
        <w:t>292. Finally, a clarification regarding the position of so-called independent financial companies appears useful, which, according to the Parties, “are very valid competitors that collectively achieve significant market shares”396 and, therefore, play a very important role in the market.</w:t>
      </w:r>
    </w:p>
    <w:p>
      <w:r>
        <w:t>293. As already stated, independent financial companies, contrary to what the Parties assert, have different industrial and commercial dynamics compared to the captives. Independent financial companies, in fact, are not a “marketing lever” for the sale of cars, as they do not belong to any group active in the sale of cars; moreover, they do not have the same capacity as the captives to activate promotional products, not benefiting from subsidies/contributions from the automotive parent company.</w:t>
      </w:r>
    </w:p>
    <w:p>
      <w:r>
        <w:t>294. This position is clearly evident from the statements of Compass: “due to the nature of being independent from car manufacturers, Compass aims for the remuneration of equity net of provisions for risk. […] it differs from the position of captive banks which, in addition to the remuneration of financing, aim for the registration of new cars of their respective group. In this context, captive banks benefit from the ability to make promotions at favorable rates (or at zero rate), which independent financiers are unable to replicate or do not intend to replicate for profitability reasons”397.</w:t>
      </w:r>
    </w:p>
    <w:p>
      <w:r>
        <w:t>295. Similarly, it has been stated by Fiditalia: “the ultimate goal of independent financial companies is to ensure the profitability of the financing granted; regarding this objective, the dynamics of captive banks partly diverge from those of independent financial companies as, in addition to the margin of financing, captives have a presumed interest in promoting the sale of cars of their respective group”398.</w:t>
      </w:r>
    </w:p>
    <w:p>
      <w:r>
        <w:t>(C) THE CONTESTED BEHAVIORS AND THE QUALIFICATION OF THE FACTS</w:t>
      </w:r>
    </w:p>
    <w:p>
      <w:r>
        <w:t>296. In the present proceedings, the entirety of the elements described in the first part of the document confirms the existence of a secret cartel among the companies Banque PSA Finance, Banca PSA Italia, BMW Bank, FCA Bank, FCE Bank, GMF, Mercedes FS, RCI Banque, TFS, Volkswagen Bank, also through the associations Assilea and Assofin, during the period from 2003 to 2017 – subject to the limitations that will be specified below – related to the placement of financial products linked to the sale of cars. This conduct also involved the respective parent companies, to the extent that will be described.</w:t>
      </w:r>
    </w:p>
    <w:p>
      <w:r>
        <w:t>297. Specifically, from the documentation on record, it emerges that, from June 2003 until April 2017, the Parties engaged in a secret anti-competitive horizontal agreement aimed at eliminating or significantly reducing uncertainty regarding the determination of the commercial strategy of each of the companies involved. In particular, the agreement was realized through an intense bilateral and multilateral exchange, also at the associative level, of competitively sensitive information, due also to the intensity, type of information shared, as well as the market context399. In this context, the associations Assofin and Assilea are involved in the cartel, having collected and disseminated sensitive information from an antitrust perspective which, together with the substantial amount of exchanges already in place between the captive banks, contributed to artificially increasing the transparency of the market in question.</w:t>
      </w:r>
    </w:p>
    <w:p>
      <w:r>
        <w:t>298. In particular, referring for details to the documentation extensively described in the first part of this provision, it is represented that the captive banks, also through trade associations, established a cartel, through a periodic and systematic exchange of information on the minimum, average, and maximum TAN, on the APR, on the rate applied to dealers, on the costs applied to end customers, on the volumes of financial products, and on residual values in the case of leasing. The Parties also exchanged information on the acceptance rate of financial products (which allows estimating the risk), on the management of relationships with dealers, as well as on numerous other topics that arose from time to time (such as how to behave with regions affected by floods or earthquakes, how to react to the increase in rates set by the ECB, etc.).</w:t>
      </w:r>
    </w:p>
    <w:p>
      <w:r>
        <w:t>299. Such information was exchanged in a disaggregated manner. In particular, as emerges from the documentation on record, the Parties exchanged specific data, relating to each individual company, as well as, in many cases, to each individual brand sold by each of them and even, in some cases, relating to one or more specific models of cars sold. Additionally, the exchanged data were distinct by type of financial product (and, therefore, distinct between classic installment financing, financing with a balloon payment, vehicle stock financing, financial leasing), as well as distinct between financing linked to new cars or used cars400.</w:t>
      </w:r>
    </w:p>
    <w:p>
      <w:r>
        <w:t>300. Furthermore, it involved the exchange, in some cases, of i) future data or forecasts regarding future commercial conduct401; in any case, ii) current data relating to the current year402, which, as described in the preceding paragraphs, are strategic for the definition of the budget and marketing plan for the following year. These are, in particular, all those elements (volumes, penetration rate, TAN, APR, costs, risk acceptance, etc.) based on which the commercial strategies and sales objectives of the companies are determined403.</w:t>
      </w:r>
    </w:p>
    <w:p>
      <w:r>
        <w:t>The qualification of the facts</w:t>
      </w:r>
    </w:p>
    <w:p>
      <w:r>
        <w:t>301. Such behaviors are widely considered, by community and national jurisprudence in the matter, in violation of the rules protecting competition. In this regard, the principle is recalled that “each economic operator must determine autonomously its behavior in the relevant market (Case C-49/92 Commission v. Anic Partecipazioni S.p.A. [1999] ECR I-4125). In doing so, the operator may lawfully take into account the known or presumed business choices of competitors, but is not permitted to establish with them direct or indirect contacts aimed at or resulting in creating conditions of competition that do not correspond to the normal conditions of the market, that is, to influence the market behavior of a competitor or to inform such competitor about</w:t>
        <w:br/>
        <w:t>400</w:t>
        <w:br/>
        <w:t>By way of example, reference is made, among others, to docs. 21, 22, 59, 60, 61, 62, 63, 383, 615, 1023, 1065, 1066 (email from May 2014 in which RCI Banque requests information from BMW Bank, Volkswagen Bank, GMF, TFS, Banque PSA Finance, and FCA Bank regarding the characteristics of financing).</w:t>
      </w:r>
    </w:p>
    <w:p>
      <w:r>
        <w:t>401</w:t>
        <w:br/>
        <w:t>Among the many documents on record, see, for example, docs. 36, 53, 54, 1162, and 1270 in which data regarding future commercial strategies are requested and provided, such as data related to campaigns that will be carried out in the months following the email (doc. 36.).</w:t>
      </w:r>
    </w:p>
    <w:p>
      <w:r>
        <w:t>402</w:t>
        <w:br/>
        <w:t>On this point, it is emphasized that, based on Article 118 TUB: “In indefinite contracts, it may be agreed, with a clause specifically approved by the customer, the right to unilaterally modify the rates, prices, and other conditions provided for in the contract if there is a justified reason. In other duration contracts, the right to unilateral modification may be agreed exclusively for clauses not concerning interest rates, provided that there is a justified reason.” Therefore, neither the TAN nor the APR, including the elements that constitute the latter such as costs for the customer, could be subject to modification, which were therefore current data.</w:t>
      </w:r>
    </w:p>
    <w:p>
      <w:r>
        <w:t>403</w:t>
        <w:br/>
        <w:t>Doc., among others, 45, 538.</w:t>
      </w:r>
    </w:p>
    <w:p>
      <w:r>
        <w:rPr>
          <w:b/>
        </w:rPr>
        <w:t>[Pages 67–69]</w:t>
      </w:r>
    </w:p>
    <w:p>
      <w:r>
        <w:t>BULLETIN NO. 3 OF JANUARY 21, 2019 69</w:t>
        <w:br/>
        <w:t>competitor regarding the behavior that the company itself has decided to implement (Anic, cited; Cases 40-48, 50, 54-56, 111, 113 and 114/73 Cooperatieve Vereniging ‘Suiker Unie’ UA v Commission [1975] ECR 1663 C-40/73; Council of State, Section VI, June 27, 2014, No. 3252, I722 – Logistica Int. - ITK Zardini)”404.</w:t>
      </w:r>
    </w:p>
    <w:p>
      <w:r>
        <w:t>302. With specific regard to a case of a cartel established through an exchange of information, it is emphasized that, according to the Guidelines of the European Commission, “the communication of information between competitors may also constitute an agreement, a concerted practice, or a decision of an association of undertakings aimed at fixing prices or quantities. This type of information exchange will generally be assessed as a cartel and may be subject to the same penalties”405. In particular, “information exchanges aimed at restricting competition in the market constitute restrictions of competition by object. In assessing whether the information exchange results in a restriction of competition by object, the Commission will pay particular attention to the legal and economic context in which the information exchange occurs. To this end, the Commission will evaluate whether the information exchange can, by its very nature, lead to a restriction of competition”406.</w:t>
      </w:r>
    </w:p>
    <w:p>
      <w:r>
        <w:t>The sensitive nature of the exchanged information</w:t>
      </w:r>
    </w:p>
    <w:p>
      <w:r>
        <w:t>303. Regarding the sensitive nature of the exchanged information, it is noted that, according to the most recent administrative jurisprudence: “the strategic nature of the exchanged information (for example, actual prices, discounts, increases, reductions, or rebates) is inferred from a multitude of factors, without necessarily requiring that the data be prospective; in particular, emphasis is placed on the following characteristics: a) whether the data is provided to the parties in an aggregated or individualized manner; b) the age of the data; c) the frequency of the data exchange; d) whether the information is public or easily accessible to all competitors and consumers (in terms of access costs)”407.</w:t>
      </w:r>
    </w:p>
    <w:p>
      <w:r>
        <w:t>304. It should be highlighted that in this case all the aforementioned factors are present: the exchange is of disaggregated data, by company and also by brand; the exchange is of current data or data related to the previous quarter (or even future data); the exchange is quarterly with the possibility of supplements as needed; the exchange concerns non-public information that is not accessible to either competitors or consumers.</w:t>
      </w:r>
    </w:p>
    <w:p>
      <w:r>
        <w:t>305. With particular regard to the publicity of the data, it is represented that, contrary to what the Parties claim, the exchanged data is not public or otherwise available to the Parties. To this end, it should be clarified that, although companies are required to display the conditions applied at dealerships, in compliance with the transparency obligations imposed by banking regulations, the regulatory obligation concerns only the maximum applicable conditions408; and</w:t>
      </w:r>
    </w:p>
    <w:p>
      <w:r>
        <w:t>404</w:t>
        <w:br/>
        <w:t>These consolidated principles were recently reiterated by the TAR Lazio, judgment of July 28, 2017, No. 9048, in case I783 - Agreement between operators in the Vending sector.</w:t>
      </w:r>
    </w:p>
    <w:p>
      <w:r>
        <w:t>405</w:t>
        <w:br/>
        <w:t>See Guidelines on the applicability of Article 101 of the Treaty on the Functioning of the European Union to horizontal cooperation agreements, para. 59.</w:t>
      </w:r>
    </w:p>
    <w:p>
      <w:r>
        <w:t>406</w:t>
        <w:br/>
        <w:t>See Guidelines on the applicability of Article 101 of the Treaty on the Functioning of the European Union to horizontal cooperation agreements, para. 72.</w:t>
      </w:r>
    </w:p>
    <w:p>
      <w:r>
        <w:t>407</w:t>
        <w:br/>
        <w:t>Council of State, judgment of March 21, 2018, No. 1822, in case I771 – Post-production services for RAI television programs.</w:t>
      </w:r>
    </w:p>
    <w:p>
      <w:r>
        <w:t>408</w:t>
        <w:br/>
        <w:t>See, in this regard, the Provision of the Bank of Italy of July 29, 2009, regarding the Transparency of banking and financial operations and services, which states: “The economic conditions are indicated at the maximum (if favorable to the intermediary) or minimum (if favorable to the customer). For each condition, a fixed value may also be reported or a value indicated both at the maximum and at the minimum. The information sheet, even if standardized according to these provisions, may contain explanatory notes on the conditions under which the maximum or minimum measure applies” (point 3). With specific regard to the so-called SECCI Form, it should be emphasized that, contrary to what the Parties claim, it became mandatory only on June 1, 2011, thus in a significantly delayed period compared to the contested exchanges.</w:t>
      </w:r>
    </w:p>
    <w:p>
      <w:r>
        <w:t>70 BULLETIN NO. 3 OF JANUARY 21, 2019</w:t>
        <w:br/>
        <w:t>indeed, in various emails it is stated: “what matters are the actual expenses incurred and not those reported by the information sheets displayed at the dealerships”409.</w:t>
      </w:r>
    </w:p>
    <w:p>
      <w:r>
        <w:t>306. The same applies to the data relating to quantities, regarding which the publicly available data is that provided by UNRAE in relation to registrations, which does not provide information regarding the volumes of financing and leasing granted, of insurance products placed, distinguished by type of product sold, nor does it have the same level of disaggregation of the data subject to sharing between the Parties.</w:t>
      </w:r>
    </w:p>
    <w:p>
      <w:r>
        <w:t>307. Confirming the sensitivity and confidentiality of the exchanged data is an internal email from GMF in which, within the framework of an internal assessment regarding the antitrust legality of a request for information made by RCI Banque, it is written: “I recommend that the data in the attached files and emails not be shared and that GMF does not share this type of information with competitors. (…) The shared data, in fact, is not public and would not, in any case, be intended for end customers (as, for example, Quattroruote does regarding vehicle prices) […] you may provide and receive data where they are at least 12 months old (this term can be considered the rule of thumb based on a decision of the EU Court of Justice); you may request information from the dealers. In such cases, where the information is provided in writing, it will be good to maintain evidence of the source of such information from the dealers (and not from competitors)”410 (emphasis in original).</w:t>
      </w:r>
    </w:p>
    <w:p>
      <w:r>
        <w:t>308. Similarly, the exchange of emails regarding the participation request of KIA Italia (active in the auto financing sector through Santander) in the information exchange is reported, and in particular, what Volkswagen Bank writes: “having carefully evaluated the request, I believe it is not logical to include a non-captive company in the data exchange. We have no added value and instead run the risk of giving them commercially ‘sensitive and valuable’ information” (emphasis added)411. As a further example, the text of an email from BMW Bank is reported: “looking at the report you kindly sent us, I see that there are no Mercedes data, just as in the first quarter. Am I not finding them or are they no longer participating in our benchmark? In the latter case, can you confirm that they no longer receive data from the other captives?”412. If the data had been public, BMW Bank would not have been in a hurry to request its non-disclosure.</w:t>
      </w:r>
    </w:p>
    <w:p>
      <w:r>
        <w:t>The suitability of the information exchange to alter competition</w:t>
      </w:r>
    </w:p>
    <w:p>
      <w:r>
        <w:t>309. The suitability of the exchanged data to influence the commercial policies of the participants in the agreement is evident based on what the Parties reported regarding volume data and penetration data, which constitute the essential starting point for defining the annual budget: “the definition of the budget is based on the forecast of vehicle registrations of the group manufacturer in the national market and the penetration rate. Both of these forecasts are developed based on historical data”413 (emphasis added); the same applies to standardized expenses under these provisions, which may contain explanatory notes on the conditions under which the maximum or minimum measure applies.</w:t>
      </w:r>
    </w:p>
    <w:p>
      <w:r>
        <w:t>310. Confirming this use, it is observed that in the FCA Bank budget acquired during the inspection, there are data from competing captive banks, specifically: the penetration percentage, the percentage of “promomix” on total units, and the estimated budget for the following year (in terms of registered vehicle volumes), which are reported with the label “Direct captive source”415.</w:t>
      </w:r>
    </w:p>
    <w:p>
      <w:r>
        <w:t>311. That the information exchange played an important role in defining the commercial strategies of each captive is evidenced by numerous documents in the investigation file, in which the expression: “I know that during this period we are all very busy with the marketing plan, but it is precisely for this reason that starting today I ask for your utmost cooperation and promptness in the benchmark that I am about to propose to you (…)”416 (emphasis added) or similar expressions recur.</w:t>
      </w:r>
    </w:p>
    <w:p>
      <w:r>
        <w:t>In different words, Banque PSA Italia requests information “in order to hypothesize being able to make a common decision”417 (emphasis added). Similarly, RCI Banque writes: “we are conducting an analysis on the characteristics of used vehicles. For this reason, it would be very useful for us to know what services are associated with the used vehicle (insurance/type of warranty…). In this way, we can see how aligned we are with the market”418 (emphasis added). Numerous emails requesting data are also present in the case file419.</w:t>
      </w:r>
    </w:p>
    <w:p>
      <w:r>
        <w:t>312. In this regard, reference is made to the orientation of community and national jurisprudence on the illicit nature of the information exchange “if capable of eliminating or mitigating the degree of uncertainty regarding the behavior of competitors,” given that the notion of agreement is objective, the judge continues, “the burden of proof of a different lawful explanation of its conduct lies with the investigated company, in the presence of a systematic exchange of information between companies”420. Furthermore, according to the TAR Lazio, “what matters is not the actual use of the data by all companies, but the usability of the exchanged data regardless of the actual use made of it.” In light of the aforementioned orientation, “arguments aimed at demonstrating the autonomy of the commercial policies of individual companies are shown to be irrelevant,” while the anticompetitive significance of the agreement must be emphasized421.</w:t>
      </w:r>
    </w:p>
    <w:p>
      <w:r>
        <w:t>313. In this context, it is necessary to highlight the substantial difference of the information exchanged in this case between the Parties, compared to that subject to assessment in case I/791 Long-Term Rental, repeatedly cited in the defense briefs to assert the lawfulness of the behaviors422. It should be emphasized that, unlike the case at hand, in that case the Parties had exchanged exclusively volume data, compared to the</w:t>
      </w:r>
    </w:p>
    <w:p>
      <w:r>
        <w:rPr>
          <w:b/>
        </w:rPr>
        <w:t>[Pages 70–72]</w:t>
      </w:r>
    </w:p>
    <w:p>
      <w:r>
        <w:t>72 BULLETIN NO. 3 OF JANUARY 21, 2019</w:t>
      </w:r>
    </w:p>
    <w:p>
      <w:r>
        <w:t>which there were no factual and legal elements suitable to demonstrate the anticompetitive nature of the exchange423.</w:t>
      </w:r>
    </w:p>
    <w:p>
      <w:r>
        <w:t>314. In this regard, it should be emphasized that the argument put forward by the Parties in their defense – according to which the exchanged data would have had the mere purpose of benchmarking among non-competing companies, aimed at making the sector's practices more efficient with a final benefit for consumers – does not appear to be supported by the documentation on record, in addition to being unshareable in its basic assumption regarding the absence of a competitive relationship among the captive banks, as argued in the previous paragraphs.</w:t>
      </w:r>
    </w:p>
    <w:p>
      <w:r>
        <w:t>The agreement by object</w:t>
      </w:r>
    </w:p>
    <w:p>
      <w:r>
        <w:t>315. In light of the above, in the case at hand, there is a presence of a cartel established through "exchanges of information aimed at restricting competition in the market" which "constitute restrictions of competition by object"424. As represented above, the object of the agreement is the coordination among the Parties through the continuous and structured exchange of commercially sensitive information on prices (TAN, TAEG, charges applied to customers, etc.) and quantities (volumes), current and in some cases future, suitable to artificially render the market transparent and to influence the commercial strategies of the captive banks.</w:t>
      </w:r>
    </w:p>
    <w:p>
      <w:r>
        <w:t>316. The national judge, in resuming European jurisprudence, has stated that "The Court of Justice has affirmed that agreements 'by object' are characterized by the fact that 'certain forms of coordination among companies can be considered, by their very nature, harmful to the proper functioning of normal competition.' It has also been clarified that to ascertain whether there is an agreement 'by object,' regard must be had 'to the wording of the provisions of the agreement itself, the objectives intended to be achieved, and the economic and legal context in which the agreement itself is situated.' In evaluating this context, 'it is also necessary to consider the nature of the goods or services involved and the actual conditions of operation and structure of the market or markets in question' (judgment of September 11, 2014, in case C-67/13 P)"425.</w:t>
      </w:r>
    </w:p>
    <w:p>
      <w:r>
        <w:t>317. The objections raised by the Parties in their final submissions regarding the absence of effects of the agreement in terms of price coordination of the offered financing do not appear to be relevant in this context; the absence of effects would imply the impossibility of configuring, in the behaviors under evaluation, a case of agreement. To support this argument, the Parties highlighted the degree of dispersion of the economic offers made by the captive banks even in relation to a typical contractual profile, in terms of rates applied to financing contracts during the period of the alleged infringement (2003-2017). The analysis carried out would reveal a high degree of dispersion both of the TAN and the TAEG practiced by each of the captive banks426.</w:t>
      </w:r>
    </w:p>
    <w:p>
      <w:r>
        <w:t>318. In this regard, it should be noted that the objection is irrelevant to the case at hand as the subject of this investigation is not an agreement aimed at homogenizing the prices applied to final consumers, but rather to share the necessary information to know the elements at the basis of the commercial policies of their competitors, in order to exclude any element of uncertainty regarding the same.</w:t>
      </w:r>
    </w:p>
    <w:p>
      <w:r>
        <w:t>319. The jurisprudence on this matter is clear in affirming the possibility of configuring an agreement by object even in the absence of price fixing for final customers, as emphasized by the Court of Justice of the EU, according to which, in the context of evaluating an exchange of information, an agreement "can have an anticompetitive object even though it lacks direct links to retail prices. In fact, the wording of Article 81, paragraph 1, EC is not such as to suggest that only those agreed practices that have direct effects on the price paid by final consumers are prohibited. (...) In any case, Article 81 EC, like the other competition rules set out in the Treaty, is not intended to protect only the immediate interests of individual competitors or consumers, but rather the structure of the market and, thereby, competition as such"427.</w:t>
      </w:r>
    </w:p>
    <w:p>
      <w:r>
        <w:t>320. This principle has been adopted and reiterated on several occasions by the administrative judge, who has pointed out that "[...] the objective of a cartel can well consist solely in collusively mitigating the reduction of prices of certain goods or services in a context characterized by exogenous factors such as, for example, the progressive crisis of a sector or the reduction of demand"428. In this regard, the Court of Justice has ruled that the wording of Article 101 TFEU is not such as to suggest that only those agreements "that have direct effects on the price paid by final consumers are prohibited (...) (Court of Justice, June 4, 2009, T-Mobile, case 8/08, points 36-38)"429.</w:t>
      </w:r>
    </w:p>
    <w:p>
      <w:r>
        <w:t>321. According to established jurisprudence, for the purposes of implementing Article 101, it is unnecessary to consider the effects of an agreement, where it is evident that it has the object of restricting, preventing, or distorting competition within the internal market. Therefore, the demonstration of anticompetitive effects is not necessary when the anticompetitive object of the behaviors attributed is proven430. Moreover, according to jurisprudence, the fact that an anticompetitive agreement is implemented, even if only partially, is sufficient to preclude the possibility that the agreement does not have an impact on the market431.</w:t>
      </w:r>
    </w:p>
    <w:p>
      <w:r>
        <w:t>322. In any case, the objections raised in the Parties' submissions regarding the absence of effects in the specific case are without merit. In particular, regarding the objection concerning the absence of price alignment, in addition to the aforementioned jurisprudence, it should be noted that the study of the auto financing contracts signed, conducted by the Parties, accounts for the conditions applied by the dealers to final customers, with respect to which the portion retroceded by the dealer to the captive bank is always the same, the eventual difference more or less compared to the rate determined by the captive being entirely borne by the dealer who signed the contract. Therefore, the alleged variability of the rates applied concerns the rate applied by the dealers and not the rate that is actually paid to the captive banks.</w:t>
      </w:r>
    </w:p>
    <w:p>
      <w:r>
        <w:t>323. To support their thesis, the Parties argued that the heterogeneity of the conditions practiced by the captive banks would demonstrate an absence of coordination regarding the average rates practiced and, consequently, the absence of the agreement. This heterogeneity would be demonstrated by the level and evolution of the average rates which, over time, would vary substantially from captive bank to captive bank.</w:t>
      </w:r>
    </w:p>
    <w:p>
      <w:r>
        <w:t>324. On this point, it should be noted that the examination carried out by the Parties regarding the variability of the conditions does not take into account the different variables that are relevant – given the same commercial strategy – in setting the sales conditions. In particular, the analysis carried out by the Parties does not consider the different segments of the auto market which, representing autonomous demand segments, are inevitably characterized by different prices. Furthermore, the variables that, as admitted by TFS432 itself, are relevant in determining the applied price have not been taken into consideration. Similarly, the analysis carried out does not take into account the different creditworthiness that characterizes the categories of consumers and which, like the other variables mentioned above, affects the determination of financing. Finally, it should be emphasized that, in this case, the financing prices are made even more heterogeneous by the coexistence of financing provided by the captive banks without subsidies from the parent groups and promotional financing which, on the contrary, benefit from the contribution of the automotive group.</w:t>
      </w:r>
    </w:p>
    <w:p>
      <w:r>
        <w:t>325. It should then be noted that, in a differentiated market, as in the case at hand, explicit collusion still leads to different prices, each of which is higher than what would have been applied in the absence of the agreement.</w:t>
      </w:r>
    </w:p>
    <w:p>
      <w:r>
        <w:t>326. Lastly, for the purposes of configuring the case as an agreement by object, it is highlighted that, in this case, there appears to be the "common advantage" of the Parties (captive banks) in realizing the agreement – as there can be found "a uniformity of positions that unites [the Parties] in a common framework that has seen the consensus, albeit implicit, to the respective initiatives433" – an element that has been considered by the administrative judge for the qualification of an agreement by object.</w:t>
      </w:r>
    </w:p>
    <w:p>
      <w:r>
        <w:t>The unique, continuous, and complex agreement</w:t>
      </w:r>
    </w:p>
    <w:p>
      <w:r>
        <w:t>327. The cartel under evaluation in this investigation appears to be qualified – due to the long duration, the participation of numerous subjects, with partially overlapping participation periods, and the different modalities through which the exchange occurred (directly bilaterally and multilaterally among captive banks and indirectly through trade associations) – as a unique, continuous, and complex agreement.</w:t>
      </w:r>
    </w:p>
    <w:p>
      <w:r>
        <w:t>328. According to the constant teaching of the Court of Justice, it would be artificial to fragment a continuous behavior, characterized by a single purpose, identifying it as multiple distinct infringements, while it is, on the contrary, a single infringement that has progressively materialized both in agreements and in coordinated practices. In fact, in such circumstances, a company that has</w:t>
        <w:br/>
        <w:t>432</w:t>
        <w:br/>
        <w:t>Annex to doc. 2406.</w:t>
        <w:br/>
        <w:t>433</w:t>
        <w:br/>
        <w:t>Lazio TAR, judgment of December 23, 2016, n. 12816, 12811, 12812, 12814, in case I790 – Sale of television rights Serie A 2015-2018.</w:t>
      </w:r>
    </w:p>
    <w:p>
      <w:r>
        <w:rPr>
          <w:b/>
        </w:rPr>
        <w:t>[Pages 73–75]</w:t>
      </w:r>
    </w:p>
    <w:p>
      <w:r>
        <w:t>BULLETIN NO. 3 OF JANUARY 21, 2019 75</w:t>
        <w:br/>
        <w:t>participated in an infringement through its own conduct, falling within the notions of agreement or concerted practice having an anti-competitive object pursuant to Article 101(1) TFEU, and aimed at contributing to the realization of the infringement as a whole, is liable, for the entire duration of its participation in the said infringement, also for the conduct carried out by other companies within the same infringement. Consequently, to prove the existence of a single and continuous infringement, the Authority, like the Commission, must demonstrate that the said company intended to contribute with its conduct to the common objectives pursued by all participants and that it was aware of the material conduct foreseen or carried out by other companies in pursuing the same objectives, or that it could reasonably foresee them and was ready to accept the risks434.</w:t>
      </w:r>
    </w:p>
    <w:p>
      <w:r>
        <w:t>329. From this jurisprudence, it emerges that, in order to establish participation in a single and continuous infringement, three conditions must be met, namely the existence of a general plan pursuing a common objective, the intentional contribution of the company to that plan, and the fact that it was aware (proven or presumed) of the illegal conduct of the other participants435.</w:t>
      </w:r>
    </w:p>
    <w:p>
      <w:r>
        <w:t>330. In the case at hand, the conditions required by European jurisprudence are satisfied. In particular, based on the documentation on record, as argued above, it emerges that the cartel was implemented through the exchange of information related to rates and other pricing elements, as well as costs, volumes, and other significant items for defining commercial strategies, information that is sensitive from an antitrust perspective, being capable of influencing the commercial behavior of the Parties. In fact, the set of these data allowed each of the involved captive banks to know key elements used by their competitors in determining their commercial policy, also in terms of budget definition and marketing plan; by doing so, the Parties eliminated or significantly reduced uncertainty regarding their respective commercial policies and strategies, creating an artificial transparency thereof, susceptible to influencing their commercial behavior. In this way, the captive banks established for the benefit of their respective automotive groups a unique, continuous, and complex agreement, restrictive of competition by object, as it was capable of altering the competitive dynamics of the market. Therefore, the existence of a common objective among the participants in the agreement is proven, namely the elimination of strategic uncertainty concerning competitively sensitive variables for defining commercial policies.</w:t>
      </w:r>
    </w:p>
    <w:p>
      <w:r>
        <w:t>331. As for the contribution and awareness of participation in the unique agreement, in light of the above, it is highlighted that the Parties engaged in exchanges of information that, far from being episodic and unstructured, as claimed by them436, even had a precise and constant designation, as well as a specific format with the benchmark logo and the participants437. In the case file, there are, in fact, over 80 exchanges of information related to prices and quantities. These exchanges also always took place between the same individuals and, in the event of a change of individual participants, there was the care to introduce the new contact person of the company for participation in the exchanges in question438. The exchanges between the captive banks occurred bilaterally and multilaterally, also through associations, thus proving the awareness of the illegal conduct carried out by the other participants in the agreement.</w:t>
      </w:r>
    </w:p>
    <w:p>
      <w:r>
        <w:t>332. Similarly, the trade associations Assofin and Assilea participated in the concertation, facilitating and promoting the exchange of information among the captive banks439, in particular by collecting and distributing in disaggregated form among the companies competitively sensitive information - current when not future - on commercially relevant variables such as prices and quantities. In this regard, it is sufficient to recall that the associations were fully aware of the illegal nature of the exchange of information among the captive banks that also passed through the associations themselves. The trade associations indeed modified the data distribution format several times precisely due to the identified criticality from an antitrust perspective of the exchanged information. Therefore, the associations not only contributed to the realization of the agreement with their conduct, but they could not reasonably ignore that similar or further exchanges of information could occur among the captive banks even outside the associative context in a bilateral or multilateral manner440.</w:t>
      </w:r>
    </w:p>
    <w:p>
      <w:r>
        <w:t>333. The fact that the associations do not operate materially in the relevant market is entirely influential, since from the jurisprudence of the Court of Justice it cannot be deduced that Article 101, paragraph 1, TFEU concerns only companies active in the market affected by the restrictions of competition, or in markets positioned upstream, downstream, or nearby, or companies that limit their autonomy of behavior in a specific market by virtue of an agreement or a concerted practice. In fact, from established jurisprudence of the Court, it follows that the text of Article 101, paragraph 1, TFEU refers generally to all agreements and concerted practices that, in horizontal or vertical relationships, distort competition in the common market, regardless of the market in which the parties are active, as well as the fact that only the commercial behavior of one of them is affected by the terms of the agreements in question441.</w:t>
      </w:r>
    </w:p>
    <w:p>
      <w:r>
        <w:t>334. Finally, it is recalled that, according to the constant teaching of jurisprudence, the contribution and participation in the agreement do not necessarily have to occur in an active form. In fact, when a company or an association of companies tacitly approves an illegal initiative, without publicly distancing itself from its content or reporting it to the administrative authorities, the effect of its behavior is to encourage the continuation of the infringement and to hinder its discovery. It thus implements a passive mode of participation in the infringement, which is therefore capable of giving rise to the liability of the company within a single agreement442.</w:t>
      </w:r>
    </w:p>
    <w:p>
      <w:r>
        <w:t>335. This reconstruction has been contested by the Parties who highlighted how the exchanges underlying the cartel would have been episodic in nature, with significant interruptions over the years. Therefore, these would be different exchanges of information, attributable to different agreements, for which the terms for contesting the illegality would now be time-barred, with consequent expiration of the Authority's sanctioning power443.</w:t>
      </w:r>
    </w:p>
    <w:p>
      <w:r>
        <w:t>336. On this point, in addition to what has already been observed above, it is specified that, pursuant to established jurisprudence444, the presence of the same companies in different phases of the same anti-competitive scheme is a requirement that can characterize the existence of a single and complex agreement. It is also noted that the circumstance that there is non-continuous documentation on record over the entire period of the contested infringement does not appear decisive in excluding the uniqueness of the agreement.</w:t>
      </w:r>
    </w:p>
    <w:p>
      <w:r>
        <w:t>337. In this regard, it is a well-established principle of jurisprudence that "the notion of a general plan allows the Commission to presume that the illegal conduct constituting the infringement has not been interrupted even if, for a certain period, it does not have evidence demonstrating the participation of the company concerned in that infringement, provided that the same has participated in the infringement before and after that period and as long as there is no evidence or indications suggesting, as far as it is concerned, that the infringement had been interrupted. In that case, the Commission may impose a fine for the entire period of infringement, including the period for which it does not have evidence demonstrating the participation of the company concerned"445.</w:t>
      </w:r>
    </w:p>
    <w:p>
      <w:r>
        <w:t>338. The same principle has been reiterated by the TAR which noted that "the individual pieces of evidence found cannot be evaluated atomistically, as involving individual companies, parts of the procedure, but collectively, for their number and for the spread of the phenomenon, as confirmation of the existence of the operational mechanism of partitioning, within whose logic they perfectly fit and outside of which, conversely, they would not be logically explainable. With respect to this general arrangement, the further evidentiary findings reported in the records, […] have the sole purpose of corroborating the already defined accusatory framework, so that, from the lack of participation in all or some of the said behaviors, it could not be inferred, as suggested from time to time by the companies, the proof of the alleged non-involvement in the anti-competitive case"446.</w:t>
      </w:r>
    </w:p>
    <w:p>
      <w:r>
        <w:rPr>
          <w:b/>
        </w:rPr>
        <w:t>[Pages 76–78]</w:t>
      </w:r>
    </w:p>
    <w:p>
      <w:r>
        <w:t>78 BULLETIN NO. 3 OF JANUARY 21, 2019</w:t>
      </w:r>
    </w:p>
    <w:p>
      <w:r>
        <w:t>339. Furthermore, the administrative judge stated that “collusive offenses often operate over the long term and are supported by a combination of agreements and concerted practices, through which objectives are agreed upon, while on subsequent occasions strategic information is disclosed among the parties in order to 'lubricate' the operation of the agreement itself (Polypropylene [1986] OJ L230/1, para. 87). And to facilitate the task of the Commission (and, consequently, of the national antitrust authorities) in identifying such offenses, the Court of Justice has held that a repeated 'pattern' of collusion by different companies over a certain period of time can be considered a manifestation of a single offense, characterized partly by agreements and partly by concerted practices, keeping in mind that the purpose of Article 101 of the Treaty is essentially to 'capture' the different forms of coordination and collusion among companies”447.</w:t>
      </w:r>
    </w:p>
    <w:p>
      <w:r>
        <w:t>(D) ATTRIBUTION OF CONDUCT</w:t>
      </w:r>
    </w:p>
    <w:p>
      <w:r>
        <w:t>Attribution of behaviors to captive banks</w:t>
      </w:r>
    </w:p>
    <w:p>
      <w:r>
        <w:t>340. As for the attribution to the individual Parties of the agreement as a whole, it is specified that – aside from the issue of the duration of the infringement, which will be addressed separately later in this decision – all the captive banks involved appear to be attributable for the contested behaviors.</w:t>
      </w:r>
    </w:p>
    <w:p>
      <w:r>
        <w:t>341. In this regard, it is recalled that, based on European jurisprudence, the attribution of the agreement appears to be attributable to all subjects involved in it, based on the documents on file, regardless of the intensity of their participation, which may be assessed, if necessary, at the stage of quantifying the penalty. According to the judge, in fact, even in cases where each participant in the cartel has a different degree of contribution to the unique and complex agreement, they can be held responsible in its entirety448. The individual contribution of each company is appropriate to its specific circumstances and does not exclude its liability for the infringement as a whole, including actions committed by other participants who share the same unlawful purpose and produce the same anticompetitive effect449.</w:t>
      </w:r>
    </w:p>
    <w:p>
      <w:r>
        <w:t>342. The same principle of attribution of the offense to all Parties involved has been reiterated by the national administrative judge, according to whom “once the existence of the prohibited agreement as such and the individual participation of a Party is proven, the more or less active and 'parallel' participation of the individual participating company in the agreement becomes irrelevant for the purposes of attributing the offense”450.</w:t>
      </w:r>
    </w:p>
    <w:p>
      <w:r>
        <w:t>343. Moreover, regarding the presence of the subjective element for the purposes of attributing the infringement, the supreme judge clarified that: “In order to verify the existence of a restriction on competition, it is not necessary to demonstrate that the behaviors of the companies were voluntarily directed at restricting competition, but rather that such behaviors actually and objectively had this purpose (Cons. Stato, VI, March 1, 2012, No. 1192)”451.</w:t>
      </w:r>
    </w:p>
    <w:p>
      <w:r>
        <w:t>344. The administrative jurisprudence, in rejecting the party's criticism that the subjective element of the offense would not exist, stated that “the unfoundedness of the criticism emerges prima facie from the application of principles long established in jurisprudence (see, for example, Consiglio di Stato, section VI, November 8, 2001, No. 5733 and August 30, 2002, No. 4362), according to which in the agreed practice the existence of the subjective, voluntaristic element of the concertation can be inferred through logical-probative procedures on the basis of objective elements, such as the duration and uniformity of business behaviors, the existence of meetings among entrepreneurs, and the adoption of common business strategies, mutual information…”452.</w:t>
      </w:r>
    </w:p>
    <w:p>
      <w:r>
        <w:t>345. The documentation on record extensively accounts for the interest of the captive banks in participating in the exchange of information underlying the agreement, as evidenced by the reminders sent for the compilation of various benchmarks, messages of apology for the delay in sending data, and interest in being included in subsequent surveys453.</w:t>
      </w:r>
    </w:p>
    <w:p>
      <w:r>
        <w:t>346. The procedural documents also indicate the awareness of the captive banks regarding the anticompetitive unlawfulness of the ongoing information exchange454, as evidenced by some messages concerning concerns about the initiation of the long-term rental case by the Italian antitrust authority or the initiation of a procedure in Switzerland455.</w:t>
      </w:r>
    </w:p>
    <w:p>
      <w:r>
        <w:t>347. Equally clear is the internal email from FCA Bank in which there is a discussion regarding participation in a scheduled conference call with GMF, based on the antitrust compliance program just forwarded by the management: “What do you say? Should we postpone, cancel, or what else? I have read the circular a bit and if we adhere to what is written, having communicated the rates we apply, the financing percentages for each product, etc., we have already gone out of bounds”456.</w:t>
      </w:r>
    </w:p>
    <w:p>
      <w:r>
        <w:t>348. This awareness – “the shared data, in fact, are not public and would not, in any case, be intended for end customers,” further “you can provide and receive data where they are at least 12 months old,” “you may request information from dealers… it will be good to maintain evidence of the origin of such information from dealers and not from competitors,” “I had a phone conversation with lawyer [OMISSIS] who shares my concerns and what has been outlined above”457 – translates, over time, into the dissociation by some captive banks from the direct exchange of information, as it contradicts the compliance guidelines adopted by the parent group458.</w:t>
      </w:r>
    </w:p>
    <w:p>
      <w:r>
        <w:t>Attribution of behaviors to the parent companies controlling the captive banks</w:t>
      </w:r>
    </w:p>
    <w:p>
      <w:r>
        <w:t>349. As mentioned in the first part of this document, on September 27, 2017, the proceedings were subjectively extended to the companies Banque PSA Finance, Santander, BMW, CA Consumer Finance, FCA Italy, Ford MC, GM Company, Daimler, Renault, TMC, and Volkswagen due to the role they played as shareholders of each of the original Parties.</w:t>
      </w:r>
    </w:p>
    <w:p>
      <w:r>
        <w:t>350. The information acquired during the investigation has confirmed that the conduct adopted by the captive banks, as described in the preceding paragraphs, can also be attributed, based on the relevant jurisprudence, to the companies Santander, Banque PSA Finance, BMW, FCA Italy, CA Consumer Finance, Ford MC, GM Company, Daimler, Renault, TMC, and Volkswagen, as specified below.</w:t>
      </w:r>
    </w:p>
    <w:p>
      <w:r>
        <w:t>351. In this regard, it should be noted, first of all, that the drafters of the Treaties chose to use the notion of enterprise to designate the author – liable under Articles 81 or 82 EC, now Articles 101 or 102 TFEU – of an infringement of competition law459.</w:t>
      </w:r>
    </w:p>
    <w:p>
      <w:r>
        <w:t>352. From the jurisprudence of the Court of Justice, it is evident that Union law on competition concerns the activities of enterprises and that the concept of enterprise includes any entity that engages in economic activity, regardless of its legal status and funding methods460. The Court has also clarified that the notion of enterprise, within this context, must be understood as referring to an economic unit, even if, from a legal standpoint, that economic unit is made up of multiple persons, whether natural or legal461.</w:t>
      </w:r>
    </w:p>
    <w:p>
      <w:r>
        <w:t>353. Consequently, according to consistent jurisprudence, the unlawful behavior of a subsidiary can be attributed to the parent company particularly when, despite having a distinct legal personality, that subsidiary does not autonomously determine its own market conduct, but essentially adheres to the instructions given to it by the parent company, especially in light of the economic, organizational, and legal ties that bind the two legal entities. This occurs because, in such a situation, the parent company and its subsidiary are part of the same economic unit and, therefore, constitute a single enterprise, under Union competition law.</w:t>
      </w:r>
    </w:p>
    <w:p>
      <w:r>
        <w:t>354. Such an economic entity, when it violates the rules laid down in competition law, is required, according to the principle of personal responsibility, to answer for the infringement462. Therefore, the criticisms regarding the violation of the principle of personality raised by the Parties, which erroneously believe that the attribution of liability under parental liability constitutes a form of indirect or objective liability in violation of the aforementioned principle, are unfounded.</w:t>
      </w:r>
    </w:p>
    <w:p>
      <w:r>
        <w:t>355. It should be emphasized, in fact, that, according to established European jurisprudence of the Court, the parent company to which the unlawful behavior of its subsidiary has been attributed is personally condemned for an infringement of Union competition rules that it is deemed to have committed itself, due to the decisive influence it exercised over the subsidiary, which allowed it to determine the behavior of the latter in the market463. Union competition law is based on the principle of</w:t>
      </w:r>
    </w:p>
    <w:p>
      <w:r>
        <w:rPr>
          <w:b/>
        </w:rPr>
        <w:t>[Pages 79–81]</w:t>
      </w:r>
    </w:p>
    <w:p>
      <w:r>
        <w:t>BULLETIN NO. 3 OF JANUARY 21, 2019 81</w:t>
        <w:br/>
        <w:t>personal liability of the economic unit that committed the infringement. Therefore, if the parent company falls within that economic unit, it is considered personally and jointly liable, along with the other legal entities that make up that unit, for the infringement committed464.</w:t>
      </w:r>
    </w:p>
    <w:p>
      <w:r>
        <w:t>The parent companies that hold the entire share capital</w:t>
      </w:r>
    </w:p>
    <w:p>
      <w:r>
        <w:t>356. In this regard, with respect to the companies that hold the entire share capital of their subsidiary – namely BMW, Ford MC, GM Company, Daimler, Renault, TMC, and Volkswagen – it is noted that, according to established case law, "it emerges that the behavior of a subsidiary can be attributed to the parent company if, despite having a distinct legal personality, the subsidiary does not autonomously determine its course of action in the market, but essentially adheres to the instructions given to it by the parent company, particularly considering the economic, organizational, and legal constraints that exist between the two legal entities"465.</w:t>
      </w:r>
    </w:p>
    <w:p>
      <w:r>
        <w:t>357. This is because, based on the same case law, "the parent company and its subsidiary are part of the same economic unit and constitute a single enterprise, and therefore fines can be imposed on the parent company even without the need to demonstrate its personal involvement in the infringement"466.</w:t>
      </w:r>
    </w:p>
    <w:p>
      <w:r>
        <w:t>358. More specifically, "in the particular case where a parent company holds all or almost all of the capital of its subsidiary that has committed an infringement of Union competition rules, there is a relative presumption that the parent company effectively exercises decisive influence over its subsidiary. (...) This presumption implies, unless reversed, that the actual exercise of decisive influence by the parent company over its subsidiary is considered established and authorizes the Commission to hold the former responsible for the behavior of the latter, without needing to provide additional evidence"467.</w:t>
      </w:r>
    </w:p>
    <w:p>
      <w:r>
        <w:t>359. Furthermore, it should be noted that this principle also applies where the parent company holds the capital of the subsidiary only indirectly. Borrowing the words of the Court of Justice, "in the specific case where a holding company holds 100% of the capital of an intermediary company that in turn holds all of the share capital of a subsidiary of its group, which has committed a violation of Union competition rules, there is a relative presumption that the holding company exercises decisive influence over the behavior of the intermediary company and, indirectly, through the latter, also over the behavior of the subsidiary"468.</w:t>
      </w:r>
    </w:p>
    <w:p>
      <w:r>
        <w:t>360. In the case at hand, it should be noted that the parent companies of the captives, contrary to what was argued in the final defenses469, have not provided factual elements suitable to exclude the exercise of decisive influence over their subsidiary. For this purpose, neither the generic arguments related, for example, to the geographical distance from the respective subsidiary, nor the circumstance that the captives, as banking and financial institutions, are subject to the supervision of banking regulatory authorities and the stringent regulatory constraints imposed by sector legislation can be considered sufficient. These are, in fact, typical elements of the sector, attributable to the generality of credit institutions which, as such, do not appear capable of excluding the exercise of decisive influence by the parent companies, as occurs, for example, in the cases of banking groups.</w:t>
      </w:r>
    </w:p>
    <w:p>
      <w:r>
        <w:t>361. The argument of the Parties470, according to which the Authority would have given weight in its precedents, in order to ascertain the existence of the decisive influence of the parent on the subsidiary, also to the presence of other elements in the case file, appears irrelevant. In this regard, it is specified that, in such cases, the presence of additional elements, compared to the holding of the entire share capital, has not been decisive for the purposes of establishing parental liability, which would have been attributed anyway. Therefore, no new elements are found in this case regarding the attribution of the infringement to the parent company, compared to the Authority's precedents.</w:t>
      </w:r>
    </w:p>
    <w:p>
      <w:r>
        <w:t>362. In this specific case, therefore, since the Parties have not provided sufficient factual elements to overturn the relative presumption, the holding of the entire share capital implies the attribution of the infringement also to the parent company. In this regard, it is recalled that European case law has clarified that "the possibility of exercising decisive influence over the commercial policy of a joint venture does not require the demonstration of interference in the daily management of the activities of that joint venture, nor of influence over its commercial policy in the strict sense, such as its distribution or pricing strategy, but rather on the general strategy that defines the orientations of the enterprise. In particular, a parent company can exercise decisive influence over its subsidiaries even when it does not avail itself of any concrete co-decision prerogative and refrains from giving specific instructions or directives regarding individual aspects of the commercial policy. Such instructions constitute only a particularly evident indication of the existence of decisive influence of the parent company over the commercial policy of its subsidiary. Their absence does not at all compel one to conclude in favor of the autonomy of the subsidiary. A unified commercial policy within a group can also be inferred indirectly from the set of economic and legal constraints existing between the parent company and its subsidiaries."471.</w:t>
      </w:r>
    </w:p>
    <w:p>
      <w:r>
        <w:t>363. In addition to these general principles, it should be highlighted that, in the case under consideration, it appears that "the captives act in the market according to the interests of the automotive company472" and that the parent manufacturing companies provide the captives each year with forecast data on car production volumes based on which the captives prepare their budget, thereby providing volume targets for the following year. As clarified by Banca PSA Italia, "the activity of the captive banks is dependent on the sales volumes estimated by the automotive company to which they refer"473.</w:t>
      </w:r>
    </w:p>
    <w:p>
      <w:r>
        <w:t>364. Therefore, applying these principles and particularly the relative presumption arising from the holding of all or almost all of the share capital of the respective subsidiaries, unrefuted by the elements produced in the case file by the Parties, it is believed that the infringement under evaluation470 should also be attributed to BMW, Ford MC, GMC, Daimler, Renault, TMC, and Volkswagen as these companies hold, directly or indirectly, all or almost all of the share capital, respectively, of BMW Bank, FCE Bank, GMF, Mercedes FS, RCI Banque, TFS, and Volkswagen Bank.</w:t>
      </w:r>
    </w:p>
    <w:p>
      <w:r>
        <w:t>The parent companies that do not hold the entire share capital</w:t>
      </w:r>
    </w:p>
    <w:p>
      <w:r>
        <w:t>365. With respect to the cases of companies that do not hold all or almost all of the capital of their subsidiary, according to case law "the entirety of the relevant elements relating to the economic, organizational, and legal constraints existing between the subsidiary and the parent company must therefore be taken into account, and thus consider the economic reality. (...) Moreover, the actual exercise of decisive influence can be inferred from a complex of consistent elements, even if none of these elements, considered in isolation, is sufficient to demonstrate the existence of such influence"474.</w:t>
      </w:r>
    </w:p>
    <w:p>
      <w:r>
        <w:t>366. Consequently, with regard to FCA Italy and CA Consumer Finance, which hold a non-total share of the capital of the subsidiary FCA Bank, the following is observed. According to Article 4.3 of the Joint Venture Agreement, the Board of Directors of FCA Bank is composed of OMISSIS.</w:t>
      </w:r>
    </w:p>
    <w:p>
      <w:r>
        <w:t>367. The Joint Venture Agreement also provides that the CEO of FCA Bank OMISSIS, while the Chairman of the Board of Directors and the Chief Financial Officer OMISSIS.</w:t>
      </w:r>
    </w:p>
    <w:p>
      <w:r>
        <w:t>368. For this purpose, it is represented that OMISSIS.</w:t>
      </w:r>
    </w:p>
    <w:p>
      <w:r>
        <w:t>369. For its part, OMISSIS.</w:t>
      </w:r>
    </w:p>
    <w:p>
      <w:r>
        <w:t>370. In addition, it should be noted that, with specific regard to the relationships with FCA Italy, FCA Bank conducts its activities solely in relation to the products of the FCA Group and, in this sense, it bases its budget on the volume forecast indicated by FCA Italy. In other words, the decisions communicated by FCA Italy regarding the forecast of vehicle volumes it intends to produce have a decisive influence on the activities that FCA Bank will carry out, determining a close dependence of the latter on FCA Italy.</w:t>
      </w:r>
    </w:p>
    <w:p>
      <w:r>
        <w:t>371. It is also relevant to consider that there is documentation in the case file showing that the data exchanged between the captive banks flowed into documentation sent to the parent company FCA Italy475. Furthermore, it appears from the case file that FCA Italy expressly indicated to FCA Bank the antitrust compliance measures to be adopted regarding information exchanges with competitors since 2011476; this element, according to established case law, can represent one of the indicators to demonstrate the existence of legal, economic, and organizational constraints in order to affirm the existence of a single economic entity477.</w:t>
      </w:r>
    </w:p>
    <w:p>
      <w:r>
        <w:t>372. Based on what has been described, it is therefore believed that the behaviors of FCA Bank are attributable to FCA Italy and CA Consumer Finance, considering the roles they play in making strategic choices for FCA Bank.</w:t>
      </w:r>
    </w:p>
    <w:p>
      <w:r>
        <w:t>373. For this purpose, and in response to what FCA Italy stated regarding the qualification of 'full function joint venture' made by the European Commission at the time of notification of the operation474, it is noted that the Court of Justice, in its judgment of June 24, 2015, in cases C-293/13 P and C-294/13 P, Fresh Del Monte Produce Inc. v. Commission, confirmed on appeal by the Court of Justice, in its judgment of January 18, 2017, in case C-623/15, Toshiba Corp. v. Commission.475.</w:t>
      </w:r>
    </w:p>
    <w:p>
      <w:r>
        <w:rPr>
          <w:b/>
        </w:rPr>
        <w:t>[Pages 82–84]</w:t>
      </w:r>
    </w:p>
    <w:p>
      <w:r>
        <w:t>84 BULLETIN NO. 3 OF JANUARY 21, 2019</w:t>
      </w:r>
    </w:p>
    <w:p>
      <w:r>
        <w:t>Regarding concentration, reference is made to the established jurisprudential orientation according to which "the fact that DDE is a full-function joint venture under Regulation No. 4064/89 and permanently performs all the functions of an autonomous economic entity, cannot invalidate the conclusion that the appellant and EI DuPont have the ability to exercise decisive influence over DDE in the CR market. It is true that a full-function joint venture, under Regulation No. 4064/89, permanently performs all the functions of an autonomous economic entity and is therefore economically autonomous from an operational point of view. However, the Commission clarified in paragraph 93 of the Consolidated Jurisdictional Notice on the criteria for jurisdictional competence under Regulation No. 139/2004 that autonomy does not mean that it enjoys autonomy regarding the adoption of its strategic decisions (and therefore there is no decisive influence exercised by the parent companies in application of Article 81 EC)"478.</w:t>
      </w:r>
    </w:p>
    <w:p>
      <w:r>
        <w:t>374. The observations presented by FCA Italy and CA Consumer Finance do not appear to be suitable to refute the above. Therefore, in light of the considerations made above, FCA Italy and CA Consumer Finance constitute a single economic entity with FCA Bank for the purposes of applying antitrust rules. Consequently, they are liable for the infringement and are jointly responsible for any administrative monetary sanction imposed.</w:t>
      </w:r>
    </w:p>
    <w:p>
      <w:r>
        <w:t>375. As for Santander and Banque PSA Finance – to the extent that the latter is involved in the proceedings as the joint parent company of Banca PSA Italia – as represented in the preceding paragraphs, the investigative documentation has shown that Banque PSA Finance directly participated in the conduct subject to these proceedings; it, in fact, operated as a captive bank in the placement of financial products related to the sale of vehicles of the PSA Group from August 31, 2003, to December 31, 2015479. This circumstance is evidenced by the presence of Banque PSA Finance among the senders or recipients of the extensive correspondence in the case file related to the exchange of information. Therefore, Banque PSA Finance is directly attributed the anticompetitive conduct subject to these proceedings from August 31, 2003, until December 31, 2015.</w:t>
      </w:r>
    </w:p>
    <w:p>
      <w:r>
        <w:t>376. Furthermore, Banque PSA Finance is liable for the conduct of Banca PSA Italia from January 1, 2016, until April 3, 2017. In this regard, it is noted that, at the time of the establishment of Banca PSA Italia, the latter "[received] the Italian consumer lending activities conducted by the shareholder Banque PSA Finance until the end of 2015"480.</w:t>
      </w:r>
    </w:p>
    <w:p>
      <w:r>
        <w:t>377. According to Article 5 of the Joint Venture Agreement, Banca PSA Italia is managed by a Board of Directors OMISSIS.</w:t>
      </w:r>
    </w:p>
    <w:p>
      <w:r>
        <w:t>378. OMISSIS.</w:t>
      </w:r>
    </w:p>
    <w:p>
      <w:r>
        <w:t>379. Furthermore, it is provided OMISSIS481.</w:t>
      </w:r>
    </w:p>
    <w:p>
      <w:r>
        <w:t>380. It is interesting to note that OMISSIS.</w:t>
      </w:r>
    </w:p>
    <w:p>
      <w:r>
        <w:t>381. Secondly, Banque PSA Finance appoints, together with Santander OMISSIS482.</w:t>
      </w:r>
    </w:p>
    <w:p>
      <w:r>
        <w:t>382. With specific regard to Banque PSA Finance, it is noted that, as specified by Santander: OMISSIS483.</w:t>
      </w:r>
    </w:p>
    <w:p>
      <w:r>
        <w:t>478</w:t>
        <w:br/>
        <w:t>See EU Court, judgment of February 2, 2012, in case T-77/08 - The Dow Chemical Company v. European Commission, confirmed by the Court of Justice, judgment of September 26, 2013, in case C-179/12.</w:t>
      </w:r>
    </w:p>
    <w:p>
      <w:r>
        <w:t>479</w:t>
        <w:br/>
        <w:t>Doc. 2096.</w:t>
      </w:r>
    </w:p>
    <w:p>
      <w:r>
        <w:t>480</w:t>
        <w:br/>
        <w:t>Doc. 1942.</w:t>
      </w:r>
    </w:p>
    <w:p>
      <w:r>
        <w:t>481</w:t>
        <w:br/>
        <w:t>Doc. 1687, art. 5.4.</w:t>
      </w:r>
    </w:p>
    <w:p>
      <w:r>
        <w:t>482</w:t>
        <w:br/>
        <w:t>Doc. 1687, art. 9.1.</w:t>
      </w:r>
    </w:p>
    <w:p>
      <w:r>
        <w:t>BULLETIN NO. 3 OF JANUARY 21, 2019 85</w:t>
      </w:r>
    </w:p>
    <w:p>
      <w:r>
        <w:t>383. Therefore, it is believed that Banque PSA Finance is liable for the conduct of Banca PSA Italia for the period from January 1, 2016, to April 3, 2017.</w:t>
      </w:r>
    </w:p>
    <w:p>
      <w:r>
        <w:t>384. Regarding Santander, as mentioned earlier, the proceedings have been subjectively extended against it due to its participation held in Banca PSA Italia, amounting to 50% of the share capital. During the investigation, it emerged that Banca PSA Italia began operating as a captive bank in the placement of financial products for the sale of PSA Group cars only from January 1, 2016484. Until December 31, 2015, such products were, in fact, placed by Banque PSA Finance.</w:t>
      </w:r>
    </w:p>
    <w:p>
      <w:r>
        <w:t>385. Having clarified this from a temporal perspective, on the merits, in addition to what has just been highlighted regarding OMISSIS, it is noted that Santander has a role in direction and coordination (see Art. 1.4 of the By-laws of Banca PSA Italia), as well as a strategic interest regarding the commercial behavior of Banca PSA Italia. As stated by the company itself, this interest derives from OMISSIS.</w:t>
      </w:r>
    </w:p>
    <w:p>
      <w:r>
        <w:t>386. Finally, it is represented that, at the time of the establishment of Banca PSA Italia, Santander has OMISSIS485.</w:t>
      </w:r>
    </w:p>
    <w:p>
      <w:r>
        <w:t>387. Therefore, also with regard to Santander and Banque PSA Finance, it is believed that there are "relevant elements relating to the economic, organizational, and legal ties" between it and Banca PSA Italia, such as to demonstrate "the effective exercise of decisive influence" by the former over the subsidiary. However, regarding the position of the companies FCA Italy, CA Consumer Bank, Banque PSA, and Santander, it is represented that - due to the circumstance that, until today, the Authority has never attributed the responsibility for the infringement to parent companies holding shares significantly lower than the total share capital of the controlled company, directly responsible for the antitrust violation - it is believed that there exists, in this case, an element of novelty in the application practice of antitrust law by this Authority, which will be taken into consideration in the quantification of the sanction.</w:t>
      </w:r>
    </w:p>
    <w:p>
      <w:r>
        <w:t>Liability of the behaviors to the Associations Assofin and Assilea</w:t>
      </w:r>
    </w:p>
    <w:p>
      <w:r>
        <w:t>388. The documentation on record accounts for the circumstance that the agreement also took place within the associative framework, through an exchange of sensitive information that was conveyed through the associative bodies, also in order to make the exchange of sensitive information - of which the Parties had become aware of its illegality - appear as the normal conduct of the institutional activity of trade associations. The information exchanged at the associative level, in fact, along with the volume of exchanges already in place, contributed to increasing transparency in the market in question.</w:t>
      </w:r>
    </w:p>
    <w:p>
      <w:r>
        <w:t>389. In this regard, it seems appropriate to distinguish the behaviors attributable to each of the two associations and their peculiarities.</w:t>
      </w:r>
    </w:p>
    <w:p>
      <w:r>
        <w:t>The behaviors of Assofin</w:t>
      </w:r>
    </w:p>
    <w:p>
      <w:r>
        <w:t>390. With reference to the behaviors carried out by Assofin, it is necessary to consider how the association's conduct has changed over the years.</w:t>
      </w:r>
    </w:p>
    <w:p>
      <w:r>
        <w:t>391. In fact, during the period from 2003 to 2010, the documentation on record accounts for the collection and dissemination among the associated captives of sensitive data capable of eliminating uncertainty regarding the commercial strategies of direct competitors among the Parties. The information exchange conveyed during this period by Assofin was related to the disaggregated data of the individual captives participating in the agreement regarding the contractual and economic conditions actually applied. This information exchange concerned, on a quarterly basis, various elements such as: 'financing disbursement time'; 'minimum/maximum financing amount'; 'minimum/maximum repayment duration'; 'expenses and commissions'; 'amount of the installment'; 'applied TAN and TAEG'; 'requested guarantees'486.</w:t>
      </w:r>
    </w:p>
    <w:p>
      <w:r>
        <w:t>392. From 2010 to 2016, the flow of information conveyed by Assofin changed following the awareness "of the critical issues encountered in managing such potentially sensitive data [i.e. the data described in the preceding paragraph]"487. Therefore, Assofin proceeded to disseminate, still on a quarterly basis, disaggregated data, by company and by brand, relating to the 'value of financed operations' and the 'number of financed operations', with the corresponding 'disaggregation and market penetration data by brand'488. Furthermore, Assofin appears to have provided the data, disaggregated by company, relating to 'outstanding credit' and the stock of 'securitized credit'489.</w:t>
      </w:r>
    </w:p>
    <w:p>
      <w:r>
        <w:t>393. Only following the concerns raised by some captives regarding the competitive legality of the information exchange conveyed by the association490 and the consequent non-participation in the data collection by some captives, Assofin adopted, in April 2017, a new reporting mode, according to which: "the new rankings (disaggregated data by company and by macro-product) […] will have an annual frequency (and no longer quarterly); will contain only absolute values (and not var% and market shares); will be published in March/April of the year following the year of detection; will be made available in the public area of Assofin's website"491.</w:t>
      </w:r>
    </w:p>
    <w:p>
      <w:r>
        <w:t>394. This last mode of data dissemination appears very different from the previous ones, as it involves the dissemination of aggregated data by macro products, on an annual basis and made accessible to all potential interested parties.</w:t>
      </w:r>
    </w:p>
    <w:p>
      <w:r>
        <w:t>395. On this point, it is important to consider how the captive banks agreed on a modification of the benchmark format exchanged among them in order to make the data subject to direct exchange consistent with those made available by Assofin, in order to have homogeneous data to use492.</w:t>
      </w:r>
    </w:p>
    <w:p>
      <w:r>
        <w:t>396. It is clear, therefore, that the data made available by Assofin, both in the format sent until 2010 and in the new format circulated from 2010 to 2017, were used by the captives, along with the data subject to direct exchange, in order to make the market even more transparent. The exchange of such data, therefore, is part of the unique, complex, and ongoing agreement established by the captive banks, in which it fully qualifies as one of the founding elements.</w:t>
      </w:r>
    </w:p>
    <w:p>
      <w:r>
        <w:t>397. Therefore, it must be stated that the behaviors carried out by Assofin – at least for the period from 2003 to April 2017 – constitute a part of the unique, complex, and ongoing agreement established by the captive banks, of which they are fully part.</w:t>
      </w:r>
    </w:p>
    <w:p>
      <w:r>
        <w:rPr>
          <w:b/>
        </w:rPr>
        <w:t>[Pages 85–87]</w:t>
      </w:r>
    </w:p>
    <w:p>
      <w:r>
        <w:t>BULLETIN NO. 3 OF JANUARY 21, 2019 87</w:t>
        <w:br/>
        <w:t>constituting one of its fundamental elements. In this regard, it is specified that, in accordance with established jurisprudence, business associations - such as Assofin in this case - as expressions of the member companies share the same economic interests, having the same interest in altering the normal functioning of competition in the market and, therefore, are considered, for all intents and purposes, as subjects to whom the unlawful behavior is attributable when - as in this case - it is actually carried out by them.</w:t>
      </w:r>
    </w:p>
    <w:p>
      <w:r>
        <w:t>The behaviors of Assilea</w:t>
      </w:r>
    </w:p>
    <w:p>
      <w:r>
        <w:t>398. As for the behaviors carried out by Assilea, it should be highlighted, as already described in the first part of this document, that the documentation on record shows that, starting from 2014, Assilea disseminated among its members rankings of contracts, which concerned information related to: disaggregated contract data by company with a comparison to the corresponding period of the previous year493; monthly contracts with disaggregated data for cars494; annual ranking containing disaggregated information by company, number, and value of contracts concluded during the year495.</w:t>
      </w:r>
    </w:p>
    <w:p>
      <w:r>
        <w:t>399. The fact that Assilea shared both forecast and historical data, as claimed by the Parties, emerges from documentation related to participation in a meeting concerning "the presentation of recent market dynamics and leasing forecasts for 2015," in which it is stated: "I advise against participation [...] we are not authorized to exchange forecast data. And we are not even interested in doing so"496.</w:t>
      </w:r>
    </w:p>
    <w:p>
      <w:r>
        <w:t>400. As with the information conveyed through Assofin, the information provided by Assilea played an important role for the Parties, as is clearly evident from the discontent of some captives once Assilea changed the methods of dissemination, starting from June 2016: "all info on LEASING numbers has been obscured ... Therefore, I am unable to determine: the leasing sales trends of competing captives (data obscured in June/July 2016), the sales volumes of the LEASING CHANNEL of competing manufacturers (data obscured in January 2017).... I cannot produce almost all the slides with the details of individual manufacturers"497. Furthermore: "I am writing to inform you of a new problem with Assilea. After obscuring the data on captives in June/July 2016, it has also blocked access to all data that is not ours [...]. Consequently, I can no longer obtain information on leasing registrations of various manufacturers and therefore prepare analysis documents (including the "Monthly Flash" so dear to Dr. ... [Country Manager Italy of FCA Bank])"498.</w:t>
      </w:r>
    </w:p>
    <w:p>
      <w:r>
        <w:t>401. Again, the information provided by Assilea was in disaggregated form, shared quarterly, relating to all elements necessary to eliminate or significantly reduce uncertainty regarding the commercial policies of competing operators, thereby artificially making the market transparent; this appears to constitute an additional element of the overall strategy of the agreement implemented by the captive banks and subject to analysis in this proceeding.</w:t>
      </w:r>
    </w:p>
    <w:p>
      <w:r>
        <w:t>402. As already specified for Assofin, in accordance with established jurisprudence, business associations - in this case Assilea - as expressions of the member companies share the same economic interests, having the same interest in altering the normal functioning of competition in the market and, therefore, should be considered, for all intents and purposes, as subjects to whom the unlawful behavior actually carried out is attributable.</w:t>
      </w:r>
    </w:p>
    <w:p>
      <w:r>
        <w:t>(E) IMPLEMENTATION OF THE AGREEMENT</w:t>
      </w:r>
    </w:p>
    <w:p>
      <w:r>
        <w:t>403. It is also relevant to consider how the cartel in question has been effectively implemented in the market for the period considered, at least between 2003 and April 2017, as demonstrated by several documents acquired in the case file.</w:t>
      </w:r>
    </w:p>
    <w:p>
      <w:r>
        <w:t>404. This is made evident by the repeated exchanges of emails between the Parties and the reminders sent to those who were late in disseminating their data499 - a circumstance for which they apologize500 - as well as the fact that the Parties appear to have participated in meetings or captive meetings convened on the sidelines of association meetings. By way of example, one of the many documents demonstrating the above is referenced: "following the meeting of March 29 held in Turin at the FiatSava headquarters among the corporate leaders of all captive companies, I am sending you the file of the new report for the collection and sharing of information"501.</w:t>
      </w:r>
    </w:p>
    <w:p>
      <w:r>
        <w:t>405. It is also relevant the documentation from which it emerges that the captive banks assess their positioning relative to other captives concerning the rates applied to loans granted to consumers. Reference is made to the internal email from Mercedes FS dated January 7, 2010502, in which, in response to the request for the base rate applied by the two main competitors BMW Bank and Volkswagen Bank, the representative of Mercedes FS writes: “(...) I do not like the difference from our 6.62 with the 7.40 or 7.20 of BMW and VW. I would not want to trigger discussions that lead us to have to raise our rates. Are we sure these are their rates?”. This document, therefore, clearly shows how the exchange was aimed at avoiding aggressive and competitive behaviors among the Parties.</w:t>
      </w:r>
    </w:p>
    <w:p>
      <w:r>
        <w:t>406. It follows that the cartel in question, regardless of its suitability, as a restrictive agreement by object, to cause effects in the market - which the Authority, according to established jurisprudence, is not required to demonstrate given the intrinsic harmfulness of the behaviors carried out - has been implemented in the relevant market, over a multi-year period, as the Parties could take into account the information acquired for the preparation of the budget and marketing plan, thus for the definition of their respective commercial policies.</w:t>
      </w:r>
    </w:p>
    <w:p>
      <w:r>
        <w:t>407. In this context, it is highlighted that administrative jurisprudence has emphasized the importance of not the actual use of the data exchanged by all the companies involved in the cartel but the usability of the exchanged data regardless of actual use. According to the administrative judges, “the concrete function that the usability of the data has fulfilled as a result of the documented exchanges between the parties is irrelevant: in the case of acquiring information aimed at verifying the actual trends of the markets, as in the case where it was indeed intended to proceed with monitoring the effectiveness and the 'functioning' of the agreement, we are - always and in any case - faced with behaviors entirely foreign to a physiological implementation of competitive dynamics, since the circulation of a homogeneous informational framework among operators who should otherwise have shaped their business strategies in a clearly competitive logic demonstrates, with (even if only indicative) univocal character, the substance of an agreement in contrast with antitrust regulations”503.</w:t>
      </w:r>
    </w:p>
    <w:p>
      <w:r>
        <w:t>408. The fact that the cartel has been implemented in the market does not appear to be refuted by the arguments put forward by the Parties in their final defenses504, regarding the absence of effects that it would have caused in the market for financial products for the sale of automobiles. Without prejudice to the difference between implementation and effects of an agreement, it is recalled that, as previously highlighted, the economic exercises carried out by the Parties, relating to the extreme variability of the conditions actually applied in the financing contracts concluded - regardless of the incorrectness of the methodology used, not distinguishing between segments of automobiles and failing to consider the various variables that influence the final price - do not appear relevant to the object of the contested cartel. This object, in fact, is not related to the determination of a final price but, it is reiterated, is aimed at artificially making the market transparent, in such a way as to exclude or significantly reduce uncertainty regarding the policies and commercial strategies applied by their competitors.</w:t>
      </w:r>
    </w:p>
    <w:p>
      <w:r>
        <w:t>(F) ON THE SECRET NATURE OF THE AGREEMENT</w:t>
      </w:r>
    </w:p>
    <w:p>
      <w:r>
        <w:t>409. The behaviors carried out by the Parties, considered as a whole, also reveal the secret nature of the cartel in question.</w:t>
      </w:r>
    </w:p>
    <w:p>
      <w:r>
        <w:t>410. It must indeed be considered that the emails through which sensitive information was exchanged were shared only among the Parties and did not involve dealers or third parties through which the related contents could be known by the market and independent financial institutions, dealers, and end customers. On this point, the most recent administrative jurisprudence is clear, having rejected the criticisms from the parties regarding secrecy, emphasizing that "As for the aspect of secrecy... the predominant part of the evidence used by the Authority consists of email exchanges between the parties that are not known externally"505.</w:t>
      </w:r>
    </w:p>
    <w:p>
      <w:r>
        <w:t>411. Also, regarding the information exchanged within or through trade associations, they largely do not represent public information accessible through the associations' portal and made available in reports and observatories prepared by them. In fact, the disaggregated data relating to the prices applied and the volumes achieved or forecasted are found in reserved sections of the association websites and, therefore, are only known to the Parties of the cartel.</w:t>
      </w:r>
    </w:p>
    <w:p>
      <w:r>
        <w:t>412. The exchange, therefore, appears 'secret' both in terms of direct contacts and in the subsequent part that took place within the Assilea and Assofin associations. In fact, the information shared was not otherwise retrievable506, nor are the data exchanged within the Assilea and Assofin associations fully accessible, which publish (or make accessible for a fee) only some data of the subsidiaries and moreover in aggregated form, unsuitable to reveal confidential information. In any case, it is relevant to consider how, according to the</w:t>
      </w:r>
    </w:p>
    <w:p>
      <w:r>
        <w:rPr>
          <w:b/>
        </w:rPr>
        <w:t>[Pages 88–90]</w:t>
      </w:r>
    </w:p>
    <w:p>
      <w:r>
        <w:t>90 BULLETIN NO. 3 OF JANUARY 21, 2019</w:t>
        <w:br/>
        <w:t>jurisprudence of the Council of State, "What makes an information exchange unlawful is not the more or less easy availability of the data being disseminated, but the suitability of such an information exchange, once placed in the context in which it takes place, to alter the conduct of the companies involved"507.</w:t>
      </w:r>
    </w:p>
    <w:p>
      <w:r>
        <w:t>413. It is also important to consider that, in any case, the agreement is secret when considered as a whole, without regard to the individual moments that compose it. In this regard, it is worth recalling that the Model Leniency Programme (MLP), developed within the ECN as early as November 2012508, has extended the material scope of leniency programmes, specifying that the prerequisite of the secrecy of the agreement does not imply that all aspects of the reported conduct must be secret. This means that the secret nature of an agreement does not diminish if the cartel also contains elements of non-secrecy (for example, exchanges of information or association resolutions or other elements of public domain).</w:t>
      </w:r>
    </w:p>
    <w:p>
      <w:r>
        <w:t>414. With reference to the Party's objection - according to which the fact that KIA requested to participate in the benchmarking activity would demonstrate the absence of secrecy of the information exchanges between the Parties - it is specified that, from the documentation on record, it does not appear that KIA was aware of the actual scope of the exchanges underlying the agreement, nor of its anti-competitive purpose509.</w:t>
      </w:r>
    </w:p>
    <w:p>
      <w:r>
        <w:t>(G) THE CONTRIBUTION PROVIDED BY THE LENIENCY APPLICANT</w:t>
      </w:r>
    </w:p>
    <w:p>
      <w:r>
        <w:t>415. Pursuant to paragraph 2 of the Communication on non-imposition and reduction of fines cited, the benefit of total immunity from the fine may be granted to the company that, first, voluntarily provides the Authority with decisive information or documentary evidence for the determination of the existence of a horizontal and secret agreement (allowing, if necessary, a targeted inspection).</w:t>
      </w:r>
    </w:p>
    <w:p>
      <w:r>
        <w:t>416. If the evidence produced, on the other hand, strengthens or contributes appreciably, but not decisively, to the Authority's ability to provide proof of the infringement, the company may access the benefit of a reduction of the fine, pursuant to paragraph 4 of the same Communication.</w:t>
      </w:r>
    </w:p>
    <w:p>
      <w:r>
        <w:t>417. With reference to the conduct subject to the agreement in question, the information provided by Daimler and Mercedes FS has proven decisive for the determination of the infringement of Article 101 TFEU, as well as for the organization of targeted and effective inspections. In particular, the contacts between the competing captive banks have been detailed with particular regard to the parties involved, the issues concerned, and the information exchanged.</w:t>
      </w:r>
    </w:p>
    <w:p>
      <w:r>
        <w:t>418. The jurisprudence of the Court of Justice has stated that the "first" cooperating company "does not need to have provided the complete set of elements capable of proving all the details of the functioning of the agreement, but it is sufficient to provide decisive elements." Moreover, it is not required that "the elements provided are, in themselves, 'sufficient' for the drafting of a statement of objections or even for the adoption of a final decision that establishes the existence of an infringement"510.</w:t>
      </w:r>
    </w:p>
    <w:p>
      <w:r>
        <w:t>419. It is believed, in light of this jurisprudence, that the elements collectively provided by Daimler and Mercedes FS within the leniency application are characterized by having a decisive nature. In this regard, it is noted that the Authority "has a certain discretionary margin to assess whether a company's cooperation has been 'decisive' [...] for the establishment of the existence of an infringement"511. The information provided by Daimler and Mercedes FS can be considered, for this purpose, "much more than a source that allows for the direction of investigations to be carried out"512, and can also be used directly by the Authority to prove the existence of the agreement.</w:t>
      </w:r>
    </w:p>
    <w:p>
      <w:r>
        <w:t>420. In evaluating the contribution made by Daimler and Mercedes FS in order to obtain the benefit of non-imposition of the fine or its reduction, it is noted that the leniency applicant has effectively brought to the Authority's attention the existence of a secret horizontal cartel among the captive banks operating in Italy, aimed at artificially rendering transparent the commercial policies, and realized also through the trade associations Assofin and Assilea; in addition, the applicant has produced documentation supporting its oral statements evidencing the reported unlawful conduct.</w:t>
      </w:r>
    </w:p>
    <w:p>
      <w:r>
        <w:t>421. In particular, Daimler and Mercedes FS provided extensive documentation regarding the exchanges that took place between the Parties to the proceedings - occurring both via email and during the so-called captive meetings - to exchange information regarding the rates applied, the projected or ongoing volumes (necessary to finalize the budget documents), the ancillary services to financing, post-sale services, commissions paid to dealers, and any other issues that arose for one of the Parties; all information necessary to exclude or significantly reduce uncertainty regarding the behaviors of the captive banks, linked to each other by a direct competitive relationship, as a sales tool for the vehicles of the respective automotive group.</w:t>
      </w:r>
    </w:p>
    <w:p>
      <w:r>
        <w:t>422. The documents produced by the leniency applicant have allowed, first of all, to identify the companies that participated in the reported agreement, as well as the names of the individuals directly involved for each of the cited companies and, secondly, to have knowledge of the topics discussed during the so-called captive meetings, as well as the significant amount of data exchanged over a long period of time, from 2003 until at least 2016, also through the involved trade associations.</w:t>
      </w:r>
    </w:p>
    <w:p>
      <w:r>
        <w:t>423. This documentation, attached to the oral statement and subsequent supplements, has allowed for a more precise delineation of the content of the concertation, the frequency of contacts between the Parties, as well as the methods of coordination in order to eliminate or significantly reduce uncertainty regarding their respective commercial strategies.</w:t>
      </w:r>
    </w:p>
    <w:p>
      <w:r>
        <w:t>424. In general, the content of the documentation produced is consistent with the oral statements made by the leniency applicant and provides adequate confirmation of what has been reported, so it can be considered that Daimler and Mercedes FS have provided useful elements for understanding the nature of the agreement, the objectives it pursued, and the methods through which it was realized.</w:t>
      </w:r>
    </w:p>
    <w:p>
      <w:r>
        <w:t>425. The information provided by Daimler and Mercedes FS has therefore proven decisive for the determination of the reported infringement also as it has allowed for the organization of targeted inspections (for example, by indicating the names of the individuals from the involved captive banks), in line with what is required by the Communication for the granting of the leniency benefit513.</w:t>
      </w:r>
    </w:p>
    <w:p>
      <w:r>
        <w:t>(H) CONCLUSIONS</w:t>
      </w:r>
    </w:p>
    <w:p>
      <w:r>
        <w:t>426. From the set of evidence collected, it clearly emerges that, during the period at least between June 2003 and April 2017, the Parties established a secret cartel aimed at reducing and/or eliminating uncertainty regarding the determination of the Parties' commercial policies, avoiding the unfolding of competitive dynamics.</w:t>
      </w:r>
    </w:p>
    <w:p>
      <w:r>
        <w:t>427. In other words, in the market in question, the autonomy that should characterize the activities of companies has been compromised and conditioned for a long period by the pursuit of a single anti-competitive design, articulated and complex, which has compressed the possibility for the involved companies to adopt commercial behaviors not influenced by the sensitive information obtained from competitors.</w:t>
      </w:r>
    </w:p>
    <w:p>
      <w:r>
        <w:t>428. The substantial amount of findings on record highlights that the contacts that occurred between competitors, even within trade associations, were carried out systematically over the considered time frame and were aimed at adopting non-independent commercial policies and, in this way, achieving market outcomes different from those that would have occurred in the absence of the agreement.</w:t>
      </w:r>
    </w:p>
    <w:p>
      <w:r>
        <w:t>429. All the evidence on record, acquired as a result of the leniency application submitted by Daimler and Mercedes FS, intertwines and complements each other, giving rise to the evidence of a factual unicum, articulated, complex, and continuous that constitutes proof of the systematic alterations of competitive mechanisms in the market.</w:t>
      </w:r>
    </w:p>
    <w:p>
      <w:r>
        <w:t>430. It follows that the conduct in question qualifies as a unique, complex, and continuous agreement that summarizes all the main contents of a hard-core horizontal cartel, in violation of Article 101 TFEU. The investigation carried out has also allowed for the determination of the secret nature of the agreement and its concrete implementation.</w:t>
      </w:r>
    </w:p>
    <w:p>
      <w:r>
        <w:t>431. Ultimately, it is a matter, pursuant to the established national and community jurisprudence on antitrust matters, of a horizontal cartel, of a secret nature and restrictive of competition by object, implemented throughout the national territory among the main captive banks, active in the automotive sector, for the period 2003-2017, of which there is documentary evidence.</w:t>
      </w:r>
    </w:p>
    <w:p>
      <w:r>
        <w:t>(VIII) HARM TO TRADE BETWEEN MEMBER STATES</w:t>
      </w:r>
    </w:p>
    <w:p>
      <w:r>
        <w:t>432. According to the European Commission514, the concept of harm to trade between Member States must be interpreted taking into account the direct or indirect, real or potential influence on trade flows between Member States, capable of compartmentalizing national markets.</w:t>
      </w:r>
    </w:p>
    <w:p>
      <w:r>
        <w:t>513</w:t>
        <w:br/>
        <w:t>Pursuant to paragraph 2 of the cited Communication, the benefit of total immunity from the fine may indeed be granted to the company that, first, voluntarily provides the Authority with decisive information or documentary evidence for the determination of the existence of an agreement (allowing, if necessary, a targeted inspection) and consisting, as a rule, of a detailed description of the participating subjects and the characteristics of the agreement with particular reference to its nature, objectives, methods through which it is realized, geographical and commodity scope, duration, content of the contacts that took place with the indication of dates and places as well as the names of the individuals who played an active role.</w:t>
      </w:r>
    </w:p>
    <w:p>
      <w:r>
        <w:t>514</w:t>
        <w:br/>
        <w:t>See Guidelines on the notion of harm to trade between Member States under Articles 81 and 82 of the Treaty, published in OJ C 101/81 of April 27, 2004. Similarly, in the judgments of February 9, 2011, No. 896 and September 16, 2011, No. 5171 and No. 5172, in the case Price List of Pasta, the Council of State referred to national and European jurisprudence according to which, in particular, "the suitability of an agreement to affect trade between Member States, that is, its potential effect, is sufficient for it to fall within the scope of Article 81 of the EC Treaty (now Article 101 TFEU), without the need to demonstrate the existence of actual harm." The TAR Lazio, in the non-definitive judgment No. 8951 of November 17, 2011, Retail Sale of Cosmetic Products, also considered that the</w:t>
      </w:r>
    </w:p>
    <w:p>
      <w:r>
        <w:rPr>
          <w:b/>
        </w:rPr>
        <w:t>[Pages 91–93]</w:t>
      </w:r>
    </w:p>
    <w:p>
      <w:r>
        <w:t>BULLETIN NO. 3 OF JANUARY 21, 2019 93</w:t>
      </w:r>
    </w:p>
    <w:p>
      <w:r>
        <w:t>433. Of significance in this context are the circumstances that: i) the captive banks involved in the proceedings constitute some of the main operators active in the national auto financing market; ii) the trade associations involved group all operators active in this market; iii) the parent companies of the captive banks – to which the proceedings were extended on September 27, 2017 – represent the main multinational automotive industrial groups operating worldwide in the production of vehicles.</w:t>
      </w:r>
    </w:p>
    <w:p>
      <w:r>
        <w:t>434. It is also relevant to consider how the information exchange underlying the cartel concerns the commercial strategies applied by the Parties throughout the national territory. Consequently, the cartel in question, being capable of compartmentalizing the Italian national market, appears likely to cause harm to trade between Member States and, therefore, should be assessed under Article 101 TFEU.</w:t>
      </w:r>
    </w:p>
    <w:p>
      <w:r>
        <w:t>(IX) CONSISTENCY AND DURATION OF THE AGREEMENT</w:t>
      </w:r>
    </w:p>
    <w:p>
      <w:r>
        <w:t>435. As already represented, the case in question qualifies as a hardcore agreement and is capable of significantly distorting competition in the relevant market since it involved the captive banks of the main automotive groups active in Italy, which, as highlighted in the previous paragraphs of this document, hold a significant market share, which, as acknowledged by the Parties, has been at least close to 50% throughout the entire period of contestation, with no significant variations in the different years concerned515.</w:t>
      </w:r>
    </w:p>
    <w:p>
      <w:r>
        <w:t>436. Regarding the duration, the agreement has been in place at least since June 17, 2003, from which date there is evidence of a structured exchange of information among the captive banks, until April 2017, when Assofin definitively modified the format of the data made available to its members, so as no longer to constitute an exchange of sensitive information capable of reducing or eliminating uncertainty regarding the commercial strategies of each operator. In this regard, it should be noted that the duration of participation in the infringement varies for some of the Parties depending on when they are found to have joined the information sharing underlying the agreement or have dissociated themselves from the exchange or ceased their membership in the Associations.</w:t>
      </w:r>
    </w:p>
    <w:p>
      <w:r>
        <w:t>437. In this regard, it should be noted that, although some of the Parties have expressed their dissociation (as indicated below) from the direct exchange among captives of the information underlying the agreement, they have continued to provide and receive their data within the surveys conducted at Assofin and Assilea. Therefore, the infringement will be computed for each Party until the date of cessation of conduct even within the association, as emerges from the table that follows.</w:t>
      </w:r>
    </w:p>
    <w:p>
      <w:r>
        <w:t>438. In this regard, it should be noted that, based on established jurisprudence516, concerning the attribution of unlawful conduct to parent companies, the duration will be calculated based on that attributed to the subsidiary.</w:t>
      </w:r>
    </w:p>
    <w:p>
      <w:r>
        <w:t>439. In particular, with reference to the exceptions raised in the final defenses, regarding BMW Bank, and consequently BMW, it appears to have participated in the agreement since June 17, 2003. For this purpose, the exception of the company that there is no harm to trade between Member States is without merit, as it is satisfied "when the agreement appears capable of influencing, even if only potentially, the flows of trade between Member States and the limitation of competitive comparison in the mentioned commodity sector within a single Member State seems able to cause such harm, also taking into account the supranational dimensions of the groups to which some of the interested companies belong."</w:t>
      </w:r>
    </w:p>
    <w:p>
      <w:r>
        <w:t>440. Regarding RCI Banque, and consequently Renault, it has declared that it suspended participation in direct exchanges among captives during 2015520; however, it has continued to participate in the exchange at Assofin and therefore the attribution of the infringement is contested until April 3, 2017. The start date of the behaviors, which, as evidenced by the documentation submitted by the leniency applicant, dates back to June 17, 2003, does not appear to be contested.</w:t>
      </w:r>
    </w:p>
    <w:p>
      <w:r>
        <w:t>441. As for GMF, not being a member of Assofin, the documentation on record shows the company's participation in the exchanges from June 17, 2003, until May 8, 2014. For the period between April 24, 2009, and May 17, 2012, during which GMF would not be liable for the infringement as it would have delegated the financing activity to the independent financial company BBVA, it is noted that this argument is without merit521. In this regard, it must be considered that, according to established jurisprudence, the suspension of conduct, even for a significant period, does not interrupt the infringement, given that the behaviors preceding and following the suspension are part of the same collusive plan. In particular, in the words of the supreme administrative judge: "within the scope of an infringement extended over several years, the fact that the manifestations of the agreement occur in different periods, possibly separated by more or less long intervals, remains irrelevant to the existence of the agreement itself, provided that the different actions that make up this infringement pursue a common purpose and fall within the framework of a unique and continuous infringement (...)".</w:t>
      </w:r>
    </w:p>
    <w:p>
      <w:r>
        <w:t>442. Also regarding Banque PSA Finance, the documentation present in the investigation file shows that the company materially participated in the agreement from August 31, 2003, to December 31, 2015; starting from January 1, 2016, in fact, the auto financing activity for the PSA Group was carried out by Banca PSA Italia. In this context, although Banque PSA Finance appears to have interrupted its participation from May 9, 2014, to March 8, 2015, this period of suspension cannot affect the determination of the duration of the infringement nor the quantification of the sanction, based on the jurisprudence mentioned above concerning GMF.</w:t>
      </w:r>
    </w:p>
    <w:p>
      <w:r>
        <w:t>443. Regarding Banca PSA Italia, the unlawful behaviors are attributable to it for the period from January 1, 2016 (the date of commencement of the company's operations) to April 3, 2017 (at least until that date Assofin conveyed the reports according to the illicit exchange modalities). For the same time frame, participation in the infringement must be contested to Santander and Banque PSA Finance as parent companies of the Italian company.</w:t>
      </w:r>
    </w:p>
    <w:p>
      <w:r>
        <w:t>444. Finally, regarding Mercedes FS, and thus Daimler, the documentation on record shows the interruption of participation in direct exchanges among captives on November 8, 2012524; however, the Party continued to participate in the exchange at Assofin and therefore the attribution of the infringement could be contested until April 3, 2017. However, it should be highlighted that following the leniency application of October 21, 2016, these companies continued to participate in the exchange at the association level, in accordance with the behavioral indications received from the Offices. Therefore, the end date of the duration of the infringement for these companies is October 21, 2016.</w:t>
      </w:r>
    </w:p>
    <w:p>
      <w:r>
        <w:rPr>
          <w:b/>
        </w:rPr>
        <w:t>[Pages 94–96]</w:t>
      </w:r>
    </w:p>
    <w:p>
      <w:r>
        <w:t>96 BULLETIN NO. 3 OF JANUARY 21, 2019</w:t>
        <w:br/>
        <w:t>Tab. 1 duration of the infringement</w:t>
        <w:br/>
        <w:t>Party Duration</w:t>
        <w:br/>
        <w:t>start date end date years months Days</w:t>
        <w:br/>
        <w:t>Banca PSA Italia 01.01.2016 03.04.2017 1 3 2</w:t>
        <w:br/>
        <w:t>Banque PSA Finance 31.08.2003 31.12.2015 12 4 0</w:t>
        <w:br/>
        <w:t>Santander Consumer</w:t>
        <w:br/>
        <w:t>01.01.2016 03.04.2017 1 3 2</w:t>
        <w:br/>
        <w:t>Bank</w:t>
        <w:br/>
        <w:t>Banque PSA Finance</w:t>
        <w:br/>
        <w:t>(as parent of 01.01.2016 03.04.2017 1 3 2</w:t>
        <w:br/>
        <w:t>Banca PSA Italia)</w:t>
        <w:br/>
        <w:t>BMW Bank 17.06.2003 05.07.2016 13 0 18</w:t>
        <w:br/>
        <w:t>BMW 17.06.2003 05.07.2016 13 0 18</w:t>
        <w:br/>
        <w:t>FCA Bank 17.06.2003 03.04.2017 13 9 17</w:t>
        <w:br/>
        <w:t>FCA Italy 28.12.2006 03.04.2017 10 3 6</w:t>
        <w:br/>
        <w:t>CA Consumer Finance 28.12.2006 03.04.2017 10 3 6</w:t>
        <w:br/>
        <w:t>FCE Bank 17.06.2003 03.04.2017 13 9 17</w:t>
        <w:br/>
        <w:t>Ford MC 17.06.2003 03.04.2017 13 9 17</w:t>
        <w:br/>
        <w:t>GMF 17.06.2003 08.05.2014 10 10 21</w:t>
        <w:br/>
        <w:t>GM Company 01.04.2013 08.05.2014 1 1 4</w:t>
        <w:br/>
        <w:t>Mercedes FS 17.06.2003 21.10.2016 13 4 4</w:t>
        <w:br/>
        <w:t>Daimler 17.06.2003 21.10.2016 13 4 4</w:t>
        <w:br/>
        <w:t>RCI Banque 17.06.2003 03.04.2017 13 9 17</w:t>
        <w:br/>
        <w:t>Renault 17.06.2003 03.04.2017 13 9 17</w:t>
        <w:br/>
        <w:t>TFS 17.06.2003 03.04.2017 13 9 17</w:t>
        <w:br/>
        <w:t>TMC 17.06.2003 03.04.2017 13 9 17</w:t>
        <w:br/>
        <w:t>Volkswagen Bank 17.06.2003 03.04.2017 13 9 17</w:t>
        <w:br/>
        <w:t>Volkswagen 17.06.2003 03.04.2017 13 9 17</w:t>
        <w:br/>
        <w:t>Assofin 17.06.2003 03.04.2017 13 9 17</w:t>
        <w:br/>
        <w:t>Assilea 01.01.2014 30.06.2016 2 6 0</w:t>
      </w:r>
    </w:p>
    <w:p>
      <w:r>
        <w:t>BULLETIN NO. 3 OF JANUARY 21, 2019 97</w:t>
        <w:br/>
        <w:t>(X) GRAVITY OF THE AGREEMENT</w:t>
        <w:br/>
        <w:t>445. Article 15, paragraph 1, of Law No. 287/90 provides that the Authority, in cases of serious infringements, taking into account their severity and duration, shall impose an administrative pecuniary sanction of up to ten percent of the turnover achieved by the undertaking responsible for the infringement in the last financial year closed prior to the notification of the warning adopted as a result of the investigative procedure.</w:t>
      </w:r>
    </w:p>
    <w:p>
      <w:r>
        <w:t>446. According to established European and national jurisprudence525, in assessing the severity of the infringement, a large number of factors must be taken into account, the nature and importance of which vary depending on the type of infringement and its particular circumstances. Among these factors, the nature of the conduct, the importance of the undertakings, and the context in which the behaviors were carried out are particularly relevant.</w:t>
      </w:r>
    </w:p>
    <w:p>
      <w:r>
        <w:t>447. In this case, contrary to what was asserted by the Parties in their final defenses526, there is a very serious infringement of the rules protecting competition. In fact, regarding the nature of the agreement in question, it is observed that the contested behaviors constitute a cartel and a secret agreement among the main operators active in the market for the provision of financial services for the sale of automobiles, aimed at limiting competitive comparison through the exchange of sensitive information, including forecasts on prices and volumes, which has resulted in artificial market transparency and the elimination of uncertainty regarding the commercial strategies of each competitor527. This situation falls, under national and community regulations, among the most serious violations of competition law (so-called hardcore restrictions). It is also significant that the agreement, as argued above, was fully implemented by the Parties to the proceedings and that it concerned the entire national territory.</w:t>
      </w:r>
    </w:p>
    <w:p>
      <w:r>
        <w:t>448. As for the role and representativeness of the involved companies, they are captive banks belonging to the main automotive groups active in Italy, whose market share, as recognized by the Parties, has been at least close to 50% throughout the entire period of contestation, with no significant variations in the different years involved528.</w:t>
      </w:r>
    </w:p>
    <w:p>
      <w:r>
        <w:t>449. Finally, from a subjective perspective, referring to what has already been highlighted in the previous paragraphs, the full awareness of the Parties regarding the competitive issues arising from the agreement established between the Parties based on the shared data529 is relevant.</w:t>
      </w:r>
    </w:p>
    <w:p>
      <w:r>
        <w:t>(XI) SANCTIONS</w:t>
        <w:br/>
        <w:t>I. Criteria for calculating sanctions</w:t>
        <w:br/>
        <w:t>450. Regarding the quantification of sanctions, the methods and criteria for quantification indicated in Article 11 of Law No. 689/1981 have been used, as recalled by Article 31 of Law No. 287/90, as well as in the Guidelines approved by the Authority530, in compliance with the provisions of Law No. 287/90 (Article 15, paragraph 1) regarding the maximum limit of 10% of the total turnover of the undertaking.</w:t>
      </w:r>
    </w:p>
    <w:p>
      <w:r>
        <w:t>451. In detail, the initial data used for calculating the base amount of the fine relates to the value of the sales of goods or services that are the subject - directly or indirectly - of the infringement (point 8 of the Guidelines).</w:t>
      </w:r>
    </w:p>
    <w:p>
      <w:r>
        <w:t>452. In this case, it concerns the specific turnover achieved by the Parties and their respective Groups in the market for the sale of automobiles through financing provided by their captive banks in the year 2016, given that, as seen, the infringement ceased in April 2017. Regarding Banque PSA Finance, the reference turnover is that for the year 2015, the last full year of participation in the infringement; concerning the BMW group, the reference turnover is that for the year 2015, the last full year of participation in the infringement; with regard to the GM group, the turnover considered is that for 2013, as GMF ceased the infringement in May 2014; finally, regarding the companies of the Daimler Mercedes-Benz group, the relevant turnover is that of 2015, as Mercedes FS ceased the infringement in October 2016. For Assofin and Assilea, in accordance with established jurisprudence, the contributions paid by the participating captive banks were taken into account, for the year 2015 for Assilea, as it interrupted the conduct in 2016, and for the year 2016 for Assofin, as the latter interrupted the conduct in 2017.</w:t>
      </w:r>
    </w:p>
    <w:p>
      <w:r>
        <w:t>453. The initial amount for calculating the sanctions, resulting from the above, is summarized in the following table for all Parties531.</w:t>
        <w:br/>
        <w:t>530</w:t>
        <w:br/>
        <w:t>Guidelines on the application of the criteria for quantifying administrative pecuniary sanctions imposed by the Authority in accordance with Article 15, paragraph 1, of Law No. 287/90, October 2014.</w:t>
        <w:br/>
        <w:t>531</w:t>
        <w:br/>
        <w:t>Except for Mercedes FS (and Daimler) for which the requirements for granting total immunity from the sanction exist.</w:t>
      </w:r>
    </w:p>
    <w:p>
      <w:r>
        <w:rPr>
          <w:b/>
        </w:rPr>
        <w:t>[Pages 97–99]</w:t>
      </w:r>
    </w:p>
    <w:p>
      <w:r>
        <w:t>BULLETIN NO. 3 OF JANUARY 21, 2019 99</w:t>
      </w:r>
    </w:p>
    <w:p>
      <w:r>
        <w:t xml:space="preserve">Tab. 2 Specific Revenue  </w:t>
        <w:br/>
        <w:t xml:space="preserve">Party Specific Revenue  </w:t>
        <w:br/>
        <w:t xml:space="preserve">Banque PSA Finance OMITTED  </w:t>
        <w:br/>
        <w:t xml:space="preserve">Banca PSA Italia/Banque PSA OMITTED  </w:t>
        <w:br/>
        <w:t xml:space="preserve">Finance/Santander  </w:t>
        <w:br/>
        <w:t xml:space="preserve">BMW/BMW Bank OMITTED  </w:t>
        <w:br/>
        <w:t xml:space="preserve">FCA Bank/FCA Italy/CA Consumer Finance OMITTED  </w:t>
        <w:br/>
        <w:t xml:space="preserve">Ford MC/FCE Bank OMITTED  </w:t>
        <w:br/>
        <w:t xml:space="preserve">GM Company/GMF OMITTED  </w:t>
        <w:br/>
        <w:t xml:space="preserve">Daimler/Mercedes FS OMITTED  </w:t>
        <w:br/>
        <w:t xml:space="preserve">Renault/RCI Banque OMITTED  </w:t>
        <w:br/>
        <w:t xml:space="preserve">TMC/TFS OMITTED  </w:t>
        <w:br/>
        <w:t xml:space="preserve">Volkswagen/Volkswagen Bank OMITTED  </w:t>
        <w:br/>
        <w:t xml:space="preserve">Assofin OMITTED  </w:t>
        <w:br/>
        <w:t>Assilea OMITTED</w:t>
      </w:r>
    </w:p>
    <w:p>
      <w:r>
        <w:t xml:space="preserve">454. This initial amount has been multiplied by the percentage that reflects the severity of the infringement. Since this is a very serious infringement of Article 101 TFEU as it involves a secret horizontal agreement, point 12 of the Guidelines provides a range of 15-30% in this regard.  </w:t>
        <w:br/>
        <w:t xml:space="preserve">455. However, in this case, the application of such values, in light of the particularly prolonged duration of the infringement and the resulting multiplier, would lead to the identification of a base fine that is disproportionate and excessively punitive in relation to the revenues of the companies involved. Furthermore, it is necessary to take into account the economic situation of the automotive sector, and in particular the crisis that affected the sector during the years involved in the infringement, as evidenced by publicly accessible information regarding car registrations. The peculiarity of this competitive situation does not appear to be a valid reason to justify forms of collusion between the Parties and is not sufficient to exclude the application of Article 101 TFEU, as recognized by established jurisprudence; however, this does not exclude that the Authority may take it into account, within the scope of its sanctioning discretion, when quantifying the fine. Consequently, in this case, it is deemed appropriate to set the severity coefficient at 4% for all Parties involved in the proceedings.  </w:t>
        <w:br/>
        <w:t xml:space="preserve">456. The value resulting from the above has then been multiplied by the duration of participation in the infringement, expressed in number of years and also accounting for the actual months and days of participation.  </w:t>
        <w:br/>
        <w:t xml:space="preserve">532  </w:t>
        <w:br/>
        <w:t xml:space="preserve">See, inter alia, EU Court, judgment of December 13, 2006, in joined cases T-217/03 and T-245/03 - Carni Bovine France.  </w:t>
        <w:br/>
        <w:t xml:space="preserve">533  </w:t>
        <w:br/>
        <w:t>In particular, the duration has been calculated as the number of years, rounded to the second decimal place, based on the actual days between the two relevant dates.</w:t>
      </w:r>
    </w:p>
    <w:p>
      <w:r>
        <w:t>100 BULLETIN NO. 3 OF JANUARY 21, 2019</w:t>
      </w:r>
    </w:p>
    <w:p>
      <w:r>
        <w:t xml:space="preserve">Considering the durations already highlighted previously, and the number of years computed for each Party, as well as the above-mentioned severity coefficient, the base amount is summarized in the table that follows.  </w:t>
        <w:br/>
        <w:t xml:space="preserve">Tab. 3 Base Amount of the Fine  </w:t>
        <w:br/>
        <w:t xml:space="preserve">Percentage  </w:t>
        <w:br/>
        <w:t xml:space="preserve">Party Duration* Base Amount  </w:t>
        <w:br/>
        <w:t xml:space="preserve">Severity  </w:t>
        <w:br/>
        <w:t xml:space="preserve">Banque PSA  </w:t>
        <w:br/>
        <w:t xml:space="preserve">4% 12.33 OMITTED  </w:t>
        <w:br/>
        <w:t xml:space="preserve">Finance  </w:t>
        <w:br/>
        <w:t xml:space="preserve">Banca PSA  </w:t>
        <w:br/>
        <w:t xml:space="preserve">Italia/Banque PSA 4% 1.75 OMITTED  </w:t>
        <w:br/>
        <w:t xml:space="preserve">Finance/Santander  </w:t>
        <w:br/>
        <w:t xml:space="preserve">BMW/BMW Bank 4% 13.04 OMITTED  </w:t>
        <w:br/>
        <w:t xml:space="preserve">FCA Italy CA  </w:t>
        <w:br/>
        <w:t xml:space="preserve">Consumer Finance 4% 13.79 OMITTED  </w:t>
        <w:br/>
        <w:t xml:space="preserve">FCA Bank  </w:t>
        <w:br/>
        <w:t xml:space="preserve">Ford MC FCE Bank 4% 13.79 OMITTED  </w:t>
        <w:br/>
        <w:t xml:space="preserve">GM Company GMF 4% 10.89 OMITTED  </w:t>
        <w:br/>
        <w:t xml:space="preserve">Daimler Mercedes  </w:t>
        <w:br/>
        <w:t xml:space="preserve">4% 13.34 OMITTED  </w:t>
        <w:br/>
        <w:t xml:space="preserve">FS  </w:t>
        <w:br/>
        <w:t xml:space="preserve">Renault RCI  </w:t>
        <w:br/>
        <w:t xml:space="preserve">4% 13.79 OMITTED  </w:t>
        <w:br/>
        <w:t xml:space="preserve">Banque  </w:t>
        <w:br/>
        <w:t xml:space="preserve">TMC/TFS 4% 13.79 OMITTED  </w:t>
        <w:br/>
        <w:t xml:space="preserve">Volkswagen/  </w:t>
        <w:br/>
        <w:t xml:space="preserve">4% 13.79 OMITTED  </w:t>
        <w:br/>
        <w:t xml:space="preserve">Volkswagen Bank  </w:t>
        <w:br/>
        <w:t xml:space="preserve">Assofin 4% 13.79 OMITTED  </w:t>
        <w:br/>
        <w:t xml:space="preserve">Assilea 4% 2.42 OMITTED  </w:t>
        <w:br/>
        <w:t xml:space="preserve">* In this table, the duration of the infringement is reported indicating only the first 2 decimal places following the whole number; however, in the calculations for the quantification of the fine, the period of infringement has been calculated according to the precise indications in years, months, and days, reported in "Table No. 1 - Duration of the Infringement."  </w:t>
        <w:br/>
        <w:t xml:space="preserve">457. The Guidelines also provide that the base amount of the fine may be increased to take into account specific circumstances that aggravate the behavior exhibited (aggravating circumstances), which "include, by way of example: - having played a decisive role in promoting, organizing, or monitoring a multi-party infringement, inducing or coercing, even with retaliatory measures, other companies to participate and/or to continue in it." On this point, it should be noted the particularly active role of FCA Bank, which, as extensively described in the factual part of this document, has repeatedly and insistently promoted the exchange of sensitive information underlying the agreement.  </w:t>
        <w:br/>
        <w:t xml:space="preserve">458. In this regard, it is highlighted that, based on the documentation on record, in the exchange of sensitive information underlying the FCA Bank cartel (then Fiat Sava), the company is responsible for collecting data from all other captives and then forwarding it to them in a single document.  </w:t>
        <w:br/>
        <w:t xml:space="preserve">BULLETIN NO. 3 OF JANUARY 21, 2019 101  </w:t>
        <w:br/>
        <w:t xml:space="preserve">It is always FCA Bank that proposes the format for data exchange; to propose the addition of new informational elements to be exchanged; to urge the sending of information in order to take them into account for the drafting of budgets and marketing plans. FCA Bank also ensures insistently the availability of other captives to participate in the benchmarks, following any hesitations on their part due to antitrust compliance policies. Regarding one of the captive meetings for which Assilea was proposed as the venue, it is actually FCA Bank that hosts it at its headquarters in Turin. It also emerges the interest of the company's management to acquire data from competing captives, represented by the regret of not being able to acquire more specific information following changes in the methods of data collection by Assilea. Lastly, it is worth considering how FCA Bank is the only captive within which, despite the volume of documentation on record, the opportunity to interrupt the anticompetitive conduct has not been evaluated, following internal antitrust compliance assessments.  </w:t>
        <w:br/>
        <w:t xml:space="preserve">459. Such behaviors appear to fully fall within the framework described by administrative jurisprudence regarding aggravating factors for the role played by a company within an agreement. The national judge has indeed stated that, in light of the orientations developed at the community level, for the application of the so-called "organizational aggravating factor," it is necessary to prove, based on specific evidentiary elements, that the sanctioned company has assumed a leadership role within the agreement, that is to say, in promoting, organizing, driving, or coordinating the agreement, as mere full participation and adherence to the anticompetitive agreement is not sufficient. To this end, "it is necessary, alternatively, that the company in question: - has represented a driving force and has had a particular responsibility in its functioning; - has taken on the task of developing and suggesting the conduct, providing fundamental impetus for the execution of the agreement; has committed to ensuring the stability and success of the illicit agreements; has taken on the task of organizing the meetings."  </w:t>
        <w:br/>
        <w:t xml:space="preserve">460. Based on these factual circumstances, it is believed that there are, in this case, the requirements to attribute to FCA Bank the aggravating conduct for the role played within the cartel and therefore to apply to this company an aggravating factor of 10%.  </w:t>
        <w:br/>
        <w:t xml:space="preserve">461. Furthermore, the Guidelines provide that the base amount of the fine may be reduced to take into account specific mitigating circumstances. Regarding this case, the adoption by some companies, namely: BMW Bank, also for BMW AG, FCE Bank, TFS, TMC, Volkswagen Bank, FCA Bank, Banca PSA Italia, as well as the association Assilea of specific antitrust compliance programs has been evaluated.  </w:t>
        <w:br/>
        <w:t>462. In particular, it appears that the aforementioned Parties have implemented compliance programs already in periods prior to the initiation of the investigation, which have been further integrated.</w:t>
      </w:r>
    </w:p>
    <w:p>
      <w:r>
        <w:rPr>
          <w:b/>
        </w:rPr>
        <w:t>[Pages 100–102]</w:t>
      </w:r>
    </w:p>
    <w:p>
      <w:r>
        <w:t>102 BULLETIN NO. 3 OF JANUARY 21, 2019</w:t>
      </w:r>
    </w:p>
    <w:p>
      <w:r>
        <w:t>following the initiation of the proceedings, prior to the submission of the CRI. Specifically, all the programs examined appear to be structured with a comprehensive training and information program for employees, as well as for the company executives. Furthermore, in the event of a violation of the guidelines prescribed by the examined programs, they also provide for a sanctioning system that appears to have a deterrent effect.</w:t>
      </w:r>
    </w:p>
    <w:p>
      <w:r>
        <w:t>463. In light of the above, it is believed that the initiatives taken by the aforementioned companies are in line with what is provided in point 23 of the Guidelines. Therefore, a mitigating circumstance is recognized for Banca PSA Italia, BMW Bank, also for BMW AG, FCE Bank, TFS, TMC, Volkswagen Bank, FCA Bank, and Assilea to the extent of 10%.</w:t>
      </w:r>
    </w:p>
    <w:p>
      <w:r>
        <w:t>464. Finally, pursuant to paragraph 34 of the Guidelines, the Authority believes that, in this case, regarding the amount of the sanction resulting from the modification of the base amount based on the application of the specific mitigating and aggravating circumstances examined above, the Authority, in order to adjust the sanction to the actual harmfulness of the conduct carried out, intends to apply a reduction of 80%, pursuant to paragraph 34 of the Guidelines, aimed at taking into account the limited weight of the financing cost on the total cost of the car. This reduction has not been applied to the trade associations Assofin and Assilea, as the companies associated with them operate exclusively in the financing sector.</w:t>
      </w:r>
    </w:p>
    <w:p>
      <w:r>
        <w:t>465. Lastly, regarding the exception raised by some Parties concerning the need to consider the mono-product nature of the activities of the captives for the purpose of quantifying the sanction, it is stated that this cannot be accepted in this context. In fact, in accordance with the indications provided by the jurisprudence: “the measurement of the sanction according to the objective seriousness of participation in a restrictive horizontal agreement, allowed by using the relevant turnover as a reference parameter, does not change if that turnover exhausts or nearly exhausts the total turnover of the company (so-called mono-product company), since even in that case the company will still be sanctioned in relation to the turnover affected by the infringement within the legal limit of 10% of the total turnover, just like any other company, even if in reality the aforementioned guarantee will operate more incisively, given the tendency for coincidence between specific and general turnover and - therefore - the tendency for automatic reduction of the maximum sanction applicable to 10% of the specific turnover, as well as of the general turnover, thus configuring a favorable case for the so-called mono-product company”543.</w:t>
      </w:r>
    </w:p>
    <w:p>
      <w:r>
        <w:t>II. Amount of the sanctions</w:t>
      </w:r>
    </w:p>
    <w:p>
      <w:r>
        <w:t>466. As a result of the above, the amounts of the sanctions are equal to those indicated in the following table, where their maximum legal threshold, equal to 10% of the total worldwide turnover achieved by the Parties for the year 2017 (Article 15, paragraph 1, of Law No. 287/90), has also been considered.</w:t>
      </w:r>
    </w:p>
    <w:p>
      <w:r>
        <w:t>467. In this regard, in application of the established European and national jurisprudence, the total turnover of the Parties relevant for determining the maximum legal threshold has been considered to be the consolidated worldwide turnover achieved by the parent companies in 2017.</w:t>
      </w:r>
    </w:p>
    <w:p>
      <w:r>
        <w:t>468. This principle has not been applied regarding the sanction imposed on the joint ventures Banca PSA Italia and FCA Bank. For these companies, in fact, due to the novelty of the approach adopted by the Authority to attribute the responsibility for the infringement also to the parents that do not hold all or almost all of the controlled companies, they constitute with them a single economic entity for antitrust purposes, it is deemed appropriate not to impose on these last the payment of the sanction jointly with their subsidiaries. Consequently, the total turnover achieved in 2017 by the parent companies of FCA Bank and Banca PSA Italia will not be calculated for the purpose of computing the overall turnover on which to verify compliance with the maximum legal limit of 10%, as per Article 15 of Law No. 287/90.</w:t>
      </w:r>
    </w:p>
    <w:p>
      <w:r>
        <w:t>Tab. 4 Calculation of the sanction</w:t>
      </w:r>
    </w:p>
    <w:p>
      <w:r>
        <w:t>SANCTION in application of the MITIGATING, AGGRAVATING, and MAXIMUM LEGAL</w:t>
        <w:br/>
        <w:t>FINAL SANCTION (euro) (10% of worldwide turnover in euro)</w:t>
        <w:br/>
        <w:t>(euro)</w:t>
      </w:r>
    </w:p>
    <w:p>
      <w:r>
        <w:t>Banque PSA Finance OMISSIS OMISSIS 38,500,000</w:t>
        <w:br/>
        <w:t>Banca PSA Italia OMISSIS OMISSIS 6,077,606</w:t>
        <w:br/>
        <w:t>BMW/BMW Bank OMISSIS OMISSIS 71,627,366</w:t>
        <w:br/>
        <w:t>FCA Bank OMISSIS OMISSIS 178,919,400</w:t>
        <w:br/>
        <w:t>Ford MC FCE Bank OMISSIS OMISSIS 41,525,921</w:t>
        <w:br/>
        <w:t>GM Company GMF OMISSIS OMISSIS 10,058,066</w:t>
        <w:br/>
        <w:t>Daimler Mercedes OMISSIS OMISSIS 61,103,984</w:t>
        <w:br/>
        <w:t>FS</w:t>
        <w:br/>
        <w:t>Renault RCI Banque OMISSIS OMISSIS 125,173,809</w:t>
        <w:br/>
        <w:t>TMC/TFS OMISSIS OMISSIS 43,381,886</w:t>
        <w:br/>
        <w:t>Volkswagen/ OMISSIS OMISSIS 163,014,488</w:t>
        <w:br/>
        <w:t>Volkswagen Bank</w:t>
        <w:br/>
        <w:t>Assofin OMISSIS OMISSIS 95,795</w:t>
        <w:br/>
        <w:t>Assilea OMISSIS OMISSIS 11,694</w:t>
        <w:br/>
        <w:t>TOTAL 678,386,031</w:t>
      </w:r>
    </w:p>
    <w:p>
      <w:r>
        <w:t>469. The Authority, having deemed it appropriate to grant the benefit of total immunity from the sanction in favor of the leniency applicant, has thus determined the application to the interested Parties of an administrative pecuniary sanction amounting respectively to what is indicated in the following table.</w:t>
      </w:r>
    </w:p>
    <w:p>
      <w:r>
        <w:t>Tab. 5 Sanction</w:t>
      </w:r>
    </w:p>
    <w:p>
      <w:r>
        <w:t>Party SANCTION</w:t>
      </w:r>
    </w:p>
    <w:p>
      <w:r>
        <w:t>Banque PSA Finance 38,500,000</w:t>
        <w:br/>
        <w:t>Banca PSA Italia 6,077,606</w:t>
        <w:br/>
        <w:t>BMW/BMW Bank 71,627,366</w:t>
        <w:br/>
        <w:t>FCA Bank 178,919,400</w:t>
        <w:br/>
        <w:t>Ford MC FCE Bank 41,525,921</w:t>
        <w:br/>
        <w:t>GM Company GMF 10,058,066</w:t>
        <w:br/>
        <w:t>Renault RCI Banque 125,173,809</w:t>
        <w:br/>
        <w:t>TMC/TFS 43,381,886</w:t>
        <w:br/>
        <w:t>Volkswagen/ Volkswagen Bank 163,014,488</w:t>
        <w:br/>
        <w:t>Assofin 95,795</w:t>
        <w:br/>
        <w:t>Assilea 11,694</w:t>
        <w:br/>
        <w:t>TOTAL 678,386,031</w:t>
      </w:r>
    </w:p>
    <w:p>
      <w:r>
        <w:t>THEREFORE, it is deemed that the companies Banca PSA Italia, Banque PSA Finance, Santander, BMW Bank, BMW, FCA Bank, FCA Italy, CA Consumer Finance, FCE Bank, Ford MC, GMF, GM Company, RCI Banque, Renault, TFS, TMC, Volkswagen Bank, Volkswagen as well as the trade associations Assofin and Assilea have engaged in a restrictive agreement contrary to Article 101 of the Treaty on the Functioning of the European Union (TFEU), consisting of a single, complex, and articulated agreement, continued over time, supported by a plurality of conducts aimed at strongly altering the competitive dynamics within the market for the sale of automobiles of the respective Groups through financing provided by their respective captive banks;</w:t>
      </w:r>
    </w:p>
    <w:p>
      <w:r>
        <w:t>all of the above having been stated and considered,</w:t>
      </w:r>
    </w:p>
    <w:p>
      <w:r>
        <w:t>DECIDES</w:t>
      </w:r>
    </w:p>
    <w:p>
      <w:r>
        <w:t>a) that the companies Banque PSA Finance S.A., Banca PSA Italia S.p.A., BMW Bank GmbH, FCA Bank S.p.A., FCE Bank Plc., General Motor Financial Italia S.p.A. (now Opel Finance S.p.A.), RCI Banque S.A., Toyota Financial Services Plc., Volkswagen Bank GmbH, as well as the associations Assofin and Assilea have engaged in an agreement with a restrictive object contrary to Article 101 of the Treaty on the Functioning of the European Union (TFEU), consisting of a single and complex agreement continued over time aimed at strongly distorting the competitive dynamics within the sale of automobiles of the respective Groups through financing provided by them;</w:t>
      </w:r>
    </w:p>
    <w:p>
      <w:r>
        <w:rPr>
          <w:b/>
        </w:rPr>
        <w:t>[Pages 103–105]</w:t>
      </w:r>
    </w:p>
    <w:p>
      <w:r>
        <w:t>BULLETIN NO. 3 OF JANUARY 21, 2019 105</w:t>
      </w:r>
    </w:p>
    <w:p>
      <w:r>
        <w:t>b) that for such behaviors are also responsible: Banque PSA Finance S.A and Santander Consumer Bank S.p.A. for Banca PSA Italia S.p.A. (for the period from January 1, 2016 to April 3, 2017); BMW AG for BMW Bank GmbH; FCA Italy S.p.A., and CA Consumer Finance S.A. for FCA Bank S.p.A. (for the period from December 28, 2006 to April 3, 2017); Ford Motor Company for FCE Bank Plc; General Motors Company for General Motor Financial Italia S.p.A.- now Opel Finance S.p.A. (for the period from April 1, 2013 to May 8, 2014), Renault S.A. for the behaviors of RCI Banque S.A; Toyota Motor Corporation for Toyota Financial Services Plc.; Volkswagen AG for Volkswagen Bank GmbH;</w:t>
      </w:r>
    </w:p>
    <w:p>
      <w:r>
        <w:t>c) that all the aforementioned companies, as well as the associations Assofin and Assilea refrain in the future from engaging in behaviors similar to those subject to the established infringement referred to in point a);</w:t>
      </w:r>
    </w:p>
    <w:p>
      <w:r>
        <w:t>d) that, due to the reasons indicated in the motivation, the companies Daimler AG and Mercedes Benz Financial Services Italia S.p.A. are granted the benefit of non-imposition of the sanction, as per paragraph 2 of the Communication on non-imposition and reduction of sanctions pursuant to Article 15 of Law No. 287 of October 10, 1990;</w:t>
      </w:r>
    </w:p>
    <w:p>
      <w:r>
        <w:t>e) that, due to the seriousness and duration of the infringement referred to in point a), the companies listed in the following table shall be subject to administrative pecuniary sanctions respectively equal to those indicated in the following table:</w:t>
      </w:r>
    </w:p>
    <w:p>
      <w:r>
        <w:t>| Party | SANCTION |</w:t>
        <w:br/>
        <w:t>|-------------------------------|-------------|</w:t>
        <w:br/>
        <w:t>| Banque PSA Finance S.A. | 38,500,000 |</w:t>
        <w:br/>
        <w:t>| Banca PSA Italia S.p.A. | 6,077,606 |</w:t>
        <w:br/>
        <w:t>| BMW Bank GmbH jointly with BMW AG | 71,627,366 |</w:t>
        <w:br/>
        <w:t>| FCA Bank S.p.A. | 178,919,400 |</w:t>
        <w:br/>
        <w:t>| FCE Bank Plc. jointly with Ford Motor Company | 41,525,921 |</w:t>
        <w:br/>
        <w:t>| General Motor Financial Italia S.p.A. jointly with General Motor Company | 10,058,066 |</w:t>
        <w:br/>
        <w:t>| RCI Banque S.A. jointly with Renault S.A. | 125,173,809 |</w:t>
        <w:br/>
        <w:t>| Toyota Financial Services Plc jointly with Toyota Motor Corporation | 43,381,886 |</w:t>
        <w:br/>
        <w:t>| Volkswagen Bank GmbH jointly with Volkswagen AG | 163,014,488 |</w:t>
        <w:br/>
        <w:t>| Assofin | 95,795 |</w:t>
        <w:br/>
        <w:t>| Assilea | 11,694 |</w:t>
      </w:r>
    </w:p>
    <w:p>
      <w:r>
        <w:t>The administrative pecuniary sanction referred to in point e) must be paid within ninety days from the notification of this provision by direct payment to the Revenue Collection Service Concessionaire or by delegation to the bank or Poste Italiane S.p.A., presenting the model attached to this provision, as provided by Legislative Decree No. 237 of July 9, 1997.</w:t>
      </w:r>
    </w:p>
    <w:p>
      <w:r>
        <w:t>106 BULLETIN NO. 3 OF JANUARY 21, 2019</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w:t>
      </w:r>
    </w:p>
    <w:p>
      <w:r>
        <w:t>Immediate communication of the payments made must be given to the Authority, by sending a copy of the model certifying the payment made.</w:t>
      </w:r>
    </w:p>
    <w:p>
      <w:r>
        <w:t>This provision will be notified to the interested parties and published in the Bulletin of the Antitrust Authority.</w:t>
      </w:r>
    </w:p>
    <w:p>
      <w:r>
        <w:t>Against this provision, an appeal may be submitted to the TAR of Lazio, pursuant to Article 135, paragraph 1, letter b), of the Administrative Procedure Code (Legislative Decree No. 104 of July 2, 2010), within sixty days from the date of communication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f.f.  </w:t>
        <w:br/>
        <w:t>Filippo Arena Gabriella Muscolo</w:t>
      </w:r>
    </w:p>
    <w:p>
      <w:r>
        <w:t>BULLETIN NO. 3 OF JANUARY 21, 2019 107</w:t>
      </w:r>
    </w:p>
    <w:p>
      <w:r>
        <w:t xml:space="preserve">I811 - AUTO FINANCING  </w:t>
        <w:br/>
        <w:t xml:space="preserve">Provision No. 27498  </w:t>
        <w:br/>
        <w:t xml:space="preserve">THE ANTITRUST AUTHORITY  </w:t>
        <w:br/>
        <w:t xml:space="preserve">IN ITS MEETING of January 16, 2019;  </w:t>
        <w:br/>
        <w:t xml:space="preserve">HEARD the Rapporteur Professor Michele Ainis;  </w:t>
        <w:br/>
        <w:t xml:space="preserve">HAVING REGARD to Article 101 of the Treaty on the Functioning of the European Union (TFEU);  </w:t>
        <w:br/>
        <w:t xml:space="preserve">HAVING REGARD to Council Regulation (EC) No. 1/2003 of December 16, 2002, concerning the application of the competition rules laid down in Articles 101 and 102 of the TFEU;  </w:t>
        <w:br/>
        <w:t xml:space="preserve">HAVING REGARD to Law No. 287 of October 10, 1990;  </w:t>
        <w:br/>
        <w:t xml:space="preserve">HAVING REGARD to the D.P.R. No. 217 of April 30, 1998;  </w:t>
        <w:br/>
        <w:t xml:space="preserve">HAVING REGARD to the provision of December 20, 2018, with which the Authority decided to close the investigation in case I811, establishing the violation of Article 102 TFEU;  </w:t>
        <w:br/>
        <w:t xml:space="preserve">CONSIDERING that, due to a material error, in the text of the aforementioned provision, in the "Table No. 1 – Duration of the infringement" some incorrect values were inserted;  </w:t>
        <w:br/>
        <w:t xml:space="preserve">CONSIDERING that, due to a material error, in the text of "Table No. 3 – base amount of the sanction", with reference to the title of the Duration column, an asterisk * was not inserted that refers to a footnote of the table;  </w:t>
        <w:br/>
        <w:t xml:space="preserve">CONSIDERING that, due to a material error, in letter b) of the device an incorrect date of cessation of the infringement contested to General Motor Finance is reported, which is not consistent with that established in evaluation, based on which the amount of the sanction for that company was correctly determined;  </w:t>
        <w:br/>
        <w:t xml:space="preserve">THEREFORE CONSIDERING that it is necessary to proceed with the modification of the provision of December 20, 2018, although the identified material errors do not affect the evaluation carried out nor the amount of the pecuniary sanctions imposed;  </w:t>
        <w:br/>
        <w:t xml:space="preserve">All of the above having been stated and considered:  </w:t>
        <w:br/>
        <w:t>RESOLVES</w:t>
      </w:r>
    </w:p>
    <w:p>
      <w:r>
        <w:rPr>
          <w:b/>
        </w:rPr>
        <w:t>[Pages 106–108]</w:t>
      </w:r>
    </w:p>
    <w:p>
      <w:r>
        <w:t>108 BULLETIN NO. 3 OF JANUARY 21, 2019</w:t>
        <w:br/>
        <w:t>a) to amend the provision of December 20, 2018, by replacing "Table No. 1 – Duration of the Violation" with the one set out below:</w:t>
        <w:br/>
        <w:t>Tab. 1 Duration of the Violation</w:t>
        <w:br/>
        <w:t>Party Duration</w:t>
        <w:br/>
        <w:t>start date end date years months days</w:t>
        <w:br/>
        <w:t>Banca PSA Italia 01.01.2016 03.04.2017 1 3 2</w:t>
        <w:br/>
        <w:t>Banque PSA Finance 31.08.2003 31.12.2015 12 4 0</w:t>
        <w:br/>
        <w:t>Santander Consumer</w:t>
        <w:br/>
        <w:t>01.01.2016 03.04.2017 1 3 2</w:t>
        <w:br/>
        <w:t>Bank</w:t>
        <w:br/>
        <w:t>Banque PSA Finance</w:t>
        <w:br/>
        <w:t>(as parent of 01.01.2016 03.04.2017 1 3 2</w:t>
        <w:br/>
        <w:t>Banca PSA Italia)</w:t>
        <w:br/>
        <w:t>BMW Bank 17.06.2003 05.07.2016 13 0 18</w:t>
        <w:br/>
        <w:t>BMW 17.06.2003 05.07.2016 13 0 18</w:t>
        <w:br/>
        <w:t>FCA Bank 17.06.2003 03.04.2017 13 9 17</w:t>
        <w:br/>
        <w:t>FCA Italy 28.12.2006 03.04.2017 10 3 6</w:t>
        <w:br/>
        <w:t>CA Consumer Finance 28.12.2006 03.04.2017 10 3 6</w:t>
        <w:br/>
        <w:t>FCE Bank 17.06.2003 03.04.2017 13 9 17</w:t>
        <w:br/>
        <w:t>Ford MC 17.06.2003 03.04.2017 13 9 17</w:t>
        <w:br/>
        <w:t>GMF 17.06.2003 08.05.2014 10 10 21</w:t>
        <w:br/>
        <w:t>GM Company 01.04.2013 08.05.2014 1 1 4</w:t>
        <w:br/>
        <w:t>Mercedes FS 17.06.2003 21.10.2016 13 4 4</w:t>
        <w:br/>
        <w:t>Daimler 17.06.2003 21.10.2016 13 4 4</w:t>
        <w:br/>
        <w:t>RCI Banque 17.06.2003 03.04.2017 13 9 17</w:t>
        <w:br/>
        <w:t>Renault 17.06.2003 03.04.2017 13 9 17</w:t>
        <w:br/>
        <w:t>TFS 17.06.2003 03.04.2017 13 9 17</w:t>
        <w:br/>
        <w:t>TMC 17.06.2003 03.04.2017 13 9 17</w:t>
        <w:br/>
        <w:t>Volkswagen Bank 17.06.2003 03.04.2017 13 9 17</w:t>
        <w:br/>
        <w:t>Volkswagen 17.06.2003 03.04.2017 13 9 17</w:t>
        <w:br/>
        <w:t>Assofin 17.06.2003 03.04.2017 13 9 17</w:t>
        <w:br/>
        <w:t>Assilea 01.01.2014 30.06.2016 2 6 0</w:t>
      </w:r>
    </w:p>
    <w:p>
      <w:r>
        <w:t>BULLETIN NO. 3 OF JANUARY 21, 2019 109</w:t>
        <w:br/>
        <w:t>b) to amend the provision of December 20, 2018, by replacing the header row of "Table No. 3 – Base Amount of the Fine" with the one set out below:</w:t>
        <w:br/>
        <w:t>Tab. 3 Base Amount of the Fine</w:t>
        <w:br/>
        <w:t>Percentage</w:t>
        <w:br/>
        <w:t>Party Duration* Base Amount</w:t>
        <w:br/>
        <w:t>severity</w:t>
        <w:br/>
        <w:t>* in this table, the duration of the violation is reported indicating only the first 2 decimal places following the whole number; however, in the calculations for the quantification of the fine, the period of violation has been calculated according to the precise indications in years, months, and days, reported in "Table No. 1 – Duration of the Violation".</w:t>
        <w:br/>
        <w:t>c) to amend the provision of December 20, 2018, by replacing, in point b) of the ruling, the date indicated of March 20, 2015, with that of May 8, 2014.</w:t>
        <w:br/>
        <w:t>This provision will be notified to the interested parties.</w:t>
        <w:br/>
        <w:t>THE SECRETARY GENERAL THE PRESIDENT pro tempore</w:t>
        <w:br/>
        <w:t>Filippo Arena Gabriella Muscolo</w:t>
      </w:r>
    </w:p>
    <w:p>
      <w:r>
        <w:t>110 BULLETIN NO. 3 OF JANUARY 21, 2019</w:t>
        <w:br/>
        <w:t>REPORTING AND CONSULTATIVE ACTIVITY</w:t>
        <w:br/>
        <w:t>AS1557 – TUSCANY REGION – COMMERCIAL CODE</w:t>
        <w:br/>
        <w:t>Rome, December 21, 2018</w:t>
        <w:br/>
        <w:t>Presidency of the Council of Ministers</w:t>
        <w:br/>
        <w:t>Department for Regional Affairs and Autonomies</w:t>
        <w:br/>
        <w:t>With reference to the request for an opinion made by this Department regarding the provisions of Regional Law No. 62 of November 23, 2018, concerning the "Commercial Code", the Authority, in its meeting of December 19, 2018, intended to formulate the following observations pursuant to Article 22 of Law No. 287/90.</w:t>
        <w:br/>
        <w:t>Article 96 of the same law regulates the "Hours of Fuel Distribution Facilities", establishing that those operating with the presence of the manager determine "freely the service hours, in compliance with the provisions of this chapter and those established by the Municipality." In particular, paragraph 2 of this provision establishes that such facilities "organize their service hours from 6:00 AM to 9:00 PM, with a minimum weekly schedule of fifty-two hours. Within these limits, the manager may freely determine the service hours, not exceeding eleven hours daily, while ensuring compliance with the guaranteed time slots during which the manager must ensure their presence, from 8:00 AM to 12:00 PM and from 4:00 PM to 7:00 PM." The hours practiced must be communicated by the manager to the SUAP and remain valid until a different communication is made by the manager (paragraph 3), as well as the intention to provide night service "from 9:00 PM until the start of the daily opening hour" (paragraph 4).</w:t>
        <w:br/>
        <w:t>Furthermore, facilities with the presence of the manager "observe Sunday and holiday closures and, in cases established by the municipality, a half-day closure during the week, usually on Saturday afternoon or on another afternoon of the week at the manager's choice. The manager who intends to take the midweek rest shift on a day other than Saturday must request it from the SUAP within the terms and in the manner established by the municipality, and if the percentages referred to in paragraph 6 are not respected, the SUAP communicates to the manager a motivated denial within thirty days of receipt of the request" (paragraph 5).</w:t>
        <w:br/>
        <w:t>Article 96, paragraph 6, of the regional law in question continues by providing that "On Sundays, holidays, and midweek rest days, the Municipality, after consulting the organizations of managers, authorization holders, and the most representative trade unions, ensures the opening of the facilities referred to in paragraph 1 to a minimum extent of 25 percent of those present in the municipal territory. These percentages can also be ensured through the use of self-service pre-payment equipment in facilities that normally operate with the</w:t>
      </w:r>
    </w:p>
    <w:p>
      <w:r>
        <w:rPr>
          <w:b/>
        </w:rPr>
        <w:t>[Pages 109–111]</w:t>
      </w:r>
    </w:p>
    <w:p>
      <w:r>
        <w:t>BULLETIN NO. 3 OF JANUARY 21, 2019 111</w:t>
        <w:br/>
        <w:t>the presence of the operator and the choice is communicated by the operator to the SUAP (…)”. This percentage is guaranteed even in the case of closure for holidays (Article 98, paragraph 2).</w:t>
      </w:r>
    </w:p>
    <w:p>
      <w:r>
        <w:t>Finally, Article 96, paragraph 7, of L.R. No. 62/2018 provides that “Facilities that operate on Sundays with the presence of the operator shall suspend activities on the first weekday following. No recovery is due for the exercise of activities during midweek holidays.”</w:t>
      </w:r>
    </w:p>
    <w:p>
      <w:r>
        <w:t>The Authority intends to reiterate some considerations already expressed in the past regarding the competitive issues that arise concerning the constraints introduced by the regional regulations in question, with regard to the opening hours of fuel distribution facilities and the methods of providing self-service.</w:t>
      </w:r>
    </w:p>
    <w:p>
      <w:r>
        <w:t>Article 96 of the Tuscany Regional Law No. 62/2018 provides, within a minimum weekly schedule of 52 hours to be articulated between 06:00 and 21:00 (after which the night service begins to be communicated to the Single Desk for Productive Activities), the mandatory compliance with opening during the time slots 8:00/12:00 and 16:00/19:00 and regulates Sunday, holiday, and midweek rest closures of the facilities, guaranteeing opening to no less than 25% of them in the municipal territory. Regarding the facilities that operate on Sundays with the presence of the operator, it is established that they shall suspend activities on the first weekday following. Furthermore, midweek closures of the facilities are regulated, usually occurring on Saturday afternoons or on another afternoon upon request to the Single Desk for Productive Activities. Pursuant to Article 97 of the Law, facilities for the distribution of natural gas and/or LPG are exempt from compliance with the hours and Sunday, holiday, and midweek rest shifts.</w:t>
      </w:r>
    </w:p>
    <w:p>
      <w:r>
        <w:t>The Authority has repeatedly intervened to highlight the competitive criticality of provisions that unjustifiably limited the economic initiative of operators in setting the opening and/or closing hours of fuel distribution facilities. On the other hand, the liberalization measures introduced by Decree Law 214/2011, No. 201 (so-called Salva Italia) and D.L. January 24, 2012, No. 1 (so-called Cresci Italia) have provided for the definitive liberalization of the hours and days of opening and closing of commercial establishments.</w:t>
      </w:r>
    </w:p>
    <w:p>
      <w:r>
        <w:t>As for the methods of providing the fuel distribution service, the Authority has already provided its interpretation of the existing regulatory framework defined by Article 28, paragraph 5, of D.L. 98/2011 and by Article 23 of Law No. 161/2014, which eliminate any remaining restriction on the continuous use, even without assistance, of equipment for the non-assisted refueling method.</w:t>
      </w:r>
    </w:p>
    <w:p>
      <w:r>
        <w:t>The Authority has intervened in various economic sectors to remove restrictive measures on the opening hours of commercial establishments adopted by Regions and local administrations. On such occasions, the Authority has always reiterated that the opening hours of shops are one of the variables through which real competition can occur among merchants aimed at meeting the different demands of consumers. The introduction of constraints regarding the hours and days of opening of commercial establishments, therefore, in addition to hindering the normal unfolding of competitive dynamics, inevitably leads to limiting the choice available to consumers that was intended to be promoted precisely through the liberalization of commercial establishments.</w:t>
      </w:r>
    </w:p>
    <w:p>
      <w:r>
        <w:t>Also specifically regarding the hours of fuel distribution facilities for automotive use on the ordinary network, the Authority has expressed itself clarifying that “the service hours constitute one of the elements, along with price and other characteristics of the offered good, with respect to which competition can take place among operators, and the imposition of predetermined time slots and mandatory closing shifts (for example, subsequent to Sunday opening) limits service differentiation and reduces consumer choice.”</w:t>
      </w:r>
    </w:p>
    <w:p>
      <w:r>
        <w:t>Regarding the operation of facilities with an operator as provided by the Tuscany Regional Law, it is noted that the regulation does not seem to provide for such facilities the possibility of keeping only the pre-payment refueling equipment (self-service pre-pay) in service at any hour, as instead allowed by Law October 30, 2014, No. 161. In this sense, in fact, in paragraph 1 of Article 63, the absence of constraints on the operation of pre-payment self-service in facilities with an operator is limited to the hours during which the possibility of refueling in assisted mode is simultaneously ensured, with the guarantee, however, that the license holder or a collaborator is present. The use of only self-service pre-pay in facilities operating with an operator is allowed by regional regulations only concerning the possibility of using this service mode to cover the guaranteed percentages during Sunday closures, on holidays, and midweek rest days (Article 96, paragraph 6).</w:t>
      </w:r>
    </w:p>
    <w:p>
      <w:r>
        <w:t>The regulations of the Tuscany Region therefore appear to limit a full recourse to the self-service pre-pay mode of product delivery, which, allowing for a reduction in distribution costs, can represent the tool for exercising effective competitive pressure, favoring a generalized reduction in prices charged by the distributor at the pump.</w:t>
      </w:r>
    </w:p>
    <w:p>
      <w:r>
        <w:t>In light of the regulatory framework, it is evident that any constraint imposed on opening hours also constitutes an asymmetric measure, as it only affects operators that provide fuel in “assisted” mode, that is, with the assistance of the operator or a collaborator, and not also on facilities that are only self-service or ghost, which are active in direct competition with the former. These obligations therefore end up imposing on such operators costs associated with the reduction in the flexibility of their business choices that are not borne by their competitors active only in self-service mode.</w:t>
      </w:r>
    </w:p>
    <w:p>
      <w:r>
        <w:t>For this reason, the Authority has already expressed the need to minimize regulatory interventions on the opening hours of fuel distributors and on the possibility of using self-service pre-payment, as it no longer seems justifiable to justify any prescription in this matter, citing as a reason the protection of the public interest in ensuring the possibility of refueling for the generality of consumers, given that, as mentioned, this possibility is now widely ensured by the regulations relating to the provision of the service in self-service mode.</w:t>
      </w:r>
    </w:p>
    <w:p>
      <w:r>
        <w:t>In conclusion, the Authority believes that, in line with the previous advocacy interventions mentioned, the aforementioned provisions of L.R. Tuscany No. 62/2018 regarding the opening hours of fuel facilities, in the terms outlined above, appear to present profiles of conflict with the constitutional principles established to protect competition, safeguarded by Articles 41 and 117, paragraph 2, letter e), as the constraints provided are likely to prejudice the course of proper competitive dynamics, unjustifiably compromising the freedom of operators to determine competitive variables, such as the management of hours and service costs, thereby conflicting with the liberalization measures introduced by Decree Law 214/2011, No. 201 (so-called Salva Italia) and D.L. January 24, 2012, No. 1 (so-called Cresci Italia) and with the regulations contained in Law October 30, 2014, No. 161, aimed at promoting the spread of self-service facilities also to ensure maximum coverage of the fuel distribution service to consumers.</w:t>
      </w:r>
    </w:p>
    <w:p>
      <w:r>
        <w:t>This opinion will be published in the Authority's Bulletin.</w:t>
      </w:r>
    </w:p>
    <w:p>
      <w:r>
        <w:t xml:space="preserve">THE PRESIDENT f.f. </w:t>
        <w:br/>
        <w:t>Gabriella Muscolo</w:t>
      </w:r>
    </w:p>
    <w:p>
      <w:r>
        <w:rPr>
          <w:b/>
        </w:rPr>
        <w:t>[Pages 112–114]</w:t>
      </w:r>
    </w:p>
    <w:p>
      <w:r>
        <w:t>114 BULLETIN NO. 3 OF JANUARY 21, 2019</w:t>
      </w:r>
    </w:p>
    <w:p>
      <w:r>
        <w:t>UNFAIR TRADE PRACTICES</w:t>
      </w:r>
    </w:p>
    <w:p>
      <w:r>
        <w:t>PS10949 - HOUSE TO HOUSE - FALSE PRODUCT CHARACTERISTICS</w:t>
      </w:r>
    </w:p>
    <w:p>
      <w:r>
        <w:t>Decision No. 27482</w:t>
      </w:r>
    </w:p>
    <w:p>
      <w:r>
        <w:t>THE ANTITRUST AUTHORITY</w:t>
      </w:r>
    </w:p>
    <w:p>
      <w:r>
        <w:t>IN ITS MEETING of December 12, 2018;</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decision of July 20, 2018, which ordered the inspection pursuant to Article 27, paragraphs 2 and 3, of the Consumer Code, at the headquarters of the company House to House S.p.A.;</w:t>
      </w:r>
    </w:p>
    <w:p>
      <w:r>
        <w:t>HAVING REGARD to the documents of the proceedings;</w:t>
      </w:r>
    </w:p>
    <w:p>
      <w:r>
        <w:t>I. THE PARTY</w:t>
      </w:r>
    </w:p>
    <w:p>
      <w:r>
        <w:t>1. House to House S.p.A. (hereinafter also House or HtH) as a professional, pursuant to Article 18, letter b), of the Consumer Code. The company is active in the sector of marketing household appliances for washing and hygiene of laundry, through door-to-door sales and had a turnover for 2017 of approximately 9 million euros1.</w:t>
      </w:r>
    </w:p>
    <w:p>
      <w:r>
        <w:t>II. THE COMMERCIAL PRACTICE</w:t>
      </w:r>
    </w:p>
    <w:p>
      <w:r>
        <w:t>2. The proceedings concern the behavior carried out by the professional, consisting of the dissemination, through door-to-door sales agents and in the advertising messages contained in the product's illustrative brochure as well as on the company's website - www.housetohouse.eu - of false information regarding the characteristics of the two models of the Agento Professional Dryer sold by the professional: the first sold between February 2013 and August 2017 (old model Agento), the second sold starting from September 2017 and named Agento Professional Dryer A37 (new model Agento).</w:t>
      </w:r>
    </w:p>
    <w:p>
      <w:r>
        <w:t>3. Specifically, with reference to the old model Agento, marketed from February 2013 to August 2017, the false information concerns the advertised energy class, A+, when in reality the product in question was in class B, the loading capacity of 9 kg instead of 7 kg (See figs. 1 and 3) and the ability to iron garments, inferred from the commercial name of the product "Dryer Ironer".</w:t>
      </w:r>
    </w:p>
    <w:p>
      <w:r>
        <w:t>1 Balance sheet 2017.</w:t>
      </w:r>
    </w:p>
    <w:p>
      <w:r>
        <w:t>BULLETIN NO. 3 OF JANUARY 21, 2019 115</w:t>
      </w:r>
    </w:p>
    <w:p>
      <w:r>
        <w:t>Fig. 1 Fig. 2 Fig. 3</w:t>
      </w:r>
    </w:p>
    <w:p>
      <w:r>
        <w:t>4. Regarding the new model Agento, marketed since September 2017 and currently on the market, the contested conduct concerns the product's ability to iron.</w:t>
      </w:r>
    </w:p>
    <w:p>
      <w:r>
        <w:t>116 BULLETIN NO. 3 OF JANUARY 21, 2019</w:t>
      </w:r>
    </w:p>
    <w:p>
      <w:r>
        <w:t>5. Finally, with regard to both models, the professional reproduces in the messages, to support its advertising claims, the logos of the scientific committee H-Global as the certifying scientific body of the product's quality.</w:t>
      </w:r>
    </w:p>
    <w:p>
      <w:r>
        <w:t>III. THE OUTCOMES OF THE PROCEEDINGS</w:t>
      </w:r>
    </w:p>
    <w:p>
      <w:r>
        <w:t>1) The procedure's process</w:t>
      </w:r>
    </w:p>
    <w:p>
      <w:r>
        <w:t>Preliminary activities</w:t>
      </w:r>
    </w:p>
    <w:p>
      <w:r>
        <w:t>6. In order to have the necessary knowledge elements to carry out the tasks assigned to the Antitrust Authority, on July 4, 2018, the following actions were taken:</w:t>
      </w:r>
    </w:p>
    <w:p>
      <w:r>
        <w:rPr>
          <w:b/>
        </w:rPr>
        <w:t>[Pages 115–117]</w:t>
      </w:r>
    </w:p>
    <w:p>
      <w:r>
        <w:t>BULLETIN NO. 3 OF JANUARY 21, 2019 117</w:t>
        <w:br/>
        <w:t>requested information from the company Gorenje Korting Italia S.r.l a socio unico, in its capacity as manufacturer of the old model Agento, which responded on July 5, 20182.</w:t>
      </w:r>
    </w:p>
    <w:p>
      <w:r>
        <w:t>Investigative activities</w:t>
        <w:br/>
        <w:t>7. In relation to the conduct described above, on July 20, 2018, the investigative procedure no. PS10949 was initiated for possible violation of Articles 21, paragraph 1, letter b), 22 and 23, letter d), of the Consumer Code, communicated to the Party on July 26, 2018. In this context, the misleading nature of the advertising messages contained in the product's illustrative brochure and in the advertising material used by sales agents and published on the website was particularly hypothesized, as they presented technical and performance characteristics of the product in a non-true manner, using an energy class and claims regarding the characteristics and capabilities of the product that did not correspond to those indicated by the manufacturer.</w:t>
      </w:r>
    </w:p>
    <w:p>
      <w:r>
        <w:t>8. On July 26, 2018, an inspection was carried out at the headquarters of House to House S.p.A.</w:t>
      </w:r>
    </w:p>
    <w:p>
      <w:r>
        <w:t>9. On September 6, 2018, House to House S.p.A. submitted a defensive memorandum.</w:t>
      </w:r>
    </w:p>
    <w:p>
      <w:r>
        <w:t>10. On September 10, 2018, pursuant to Article 27, paragraph 7, of the Consumer Code, the professional submitted commitments aimed at removing the unfairness profiles of the commercial practice under contestation.</w:t>
      </w:r>
    </w:p>
    <w:p>
      <w:r>
        <w:t>11. Such commitments were rejected by the Authority in its meeting of September 19, 2018, as they were deemed inadequate to remove the profiles of possible unfairness contested, in relation to the advertising claims used to describe the performance capabilities of the old and new model of Agento Professional. In fact, the proposed commitments were characterized by vagueness and ambiguity and did not contain any measures aimed at modifying the elements of misleadingness and unfairness present even in the advertising messages currently in circulation. Furthermore, regarding the old model marketed, the measures proposed by HtH, not being retroactive, are not suitable to remedy the already established unfair commercial behavior. The decision was communicated to the professional on September 24, 2018.</w:t>
      </w:r>
    </w:p>
    <w:p>
      <w:r>
        <w:t>12. On October 15, 2018, the Party was informed of the conclusion date of the investigative phase pursuant to Article 16, paragraph 1, of the Regulation, and images related to the pages of the professional's website, www.housetohouse.eu, which were the subject of official surveys, were acquired into the case file3.</w:t>
      </w:r>
    </w:p>
    <w:p>
      <w:r>
        <w:t>13. On November 5, 2018, House to House S.p.A. submitted a defensive memorandum and requested a hearing.</w:t>
      </w:r>
    </w:p>
    <w:p>
      <w:r>
        <w:t>14. On November 7, 2018, the Party was heard in a hearing.</w:t>
      </w:r>
    </w:p>
    <w:p>
      <w:r>
        <w:t>2) The evidence acquired</w:t>
        <w:br/>
        <w:t>15. The company House to House sells household appliances for garment hygiene, such as washing machines and dryers, through a door-to-door sales system and "multilevel marketing."</w:t>
      </w:r>
    </w:p>
    <w:p>
      <w:r>
        <w:t>16. The Agento Professional dryer (old model) was sold at retail by the professional under a distribution contract with the manufacturer thereof4, Gorenje d.d. – Slovenia (Gorenje Slovenia or Gorenje), from February 2013 to August 2017.</w:t>
      </w:r>
    </w:p>
    <w:p>
      <w:r>
        <w:t>17. Following this period, HtH entered into a new distribution contract with Candy Hoover Group S.r.l. (Candy)5, thus launching a new model on the market: the Agento Professional A37 (or also new model).</w:t>
      </w:r>
    </w:p>
    <w:p>
      <w:r>
        <w:t>18. According to the technical data sheet6 of the old model, attached to the contract signed with Gorenje, it appears that the product subject to the agreement, and therefore resold at retail by HtH, has the following characteristics:</w:t>
        <w:br/>
        <w:t>- dryer;</w:t>
        <w:br/>
        <w:t>- load capacity 7 kg;</w:t>
        <w:br/>
        <w:t>- energy class B;</w:t>
        <w:br/>
        <w:t>- total annual energy consumption 503.8 kWh/year.</w:t>
      </w:r>
    </w:p>
    <w:p>
      <w:r>
        <w:t>19. The company HtH was aware that the energy class of the Agento was B. In fact, the President of House to House responded to an email from the Sales Office Manager of Gorenje Italia7, concerned about numerous consumer complaints regarding the energy performance of the product: “they are right that there are no dryers with resistance in class A, but as I told you, having modified the electronic board and the various drying parameters (times/temperatures), with the professional equipment we used to test it, it resulted in A+”8.</w:t>
      </w:r>
    </w:p>
    <w:p>
      <w:r>
        <w:t>20. However, there is no evidence from the acquired documents of such alleged modification to the appliance.</w:t>
      </w:r>
    </w:p>
    <w:p>
      <w:r>
        <w:t>21. From the documents acquired during the inspection, it appears that the professional was aware of the actual characteristics of the Agento Professional Dryer and the problems encountered by consumers due to the poor energy performance of the product.</w:t>
      </w:r>
    </w:p>
    <w:p>
      <w:r>
        <w:t>22. In particular, from the summary reports of technical assistance requests related to the old model of Agento, produced by Gorenje, between 2016 and 2017, 4000 reports were received, of which 140 related to excessive electricity consumption9.</w:t>
      </w:r>
    </w:p>
    <w:p>
      <w:r>
        <w:t>23. In one case, the problem is described as follows: “the power keeps tripping, the Ketama assistance came out and charged 35 euros in cash saying that there was nothing wrong. Wants to contact a lawyer. This problem has been ongoing for three months, the machine is one year old” (February 1, 2017).</w:t>
      </w:r>
    </w:p>
    <w:p>
      <w:r>
        <w:t>24. Another report from a customer is described as follows: “the technician is supposed to come today, but he already told the customer that it is normal for the power to trip, as Agento consumes more than others. Laura10 asks that the technician does not cause further damage today” (February 6, 2017).</w:t>
      </w:r>
    </w:p>
    <w:p>
      <w:r>
        <w:t>25. Furthermore, a consumer complains that: “despite its 4 kWh, the power trips if Agento is running together with other appliances. Finds Agento the same as common dryers” (October 17, 2016).</w:t>
      </w:r>
    </w:p>
    <w:p>
      <w:r>
        <w:t>26. Other customers raise doubts regarding the drying times and quality, which should be one of Agento's strengths as a “dryer”: “the customer is very angry and feels cheated (…) has never verified the drying time in less than an hour, and also the power trips” (October 25, 2016). Additionally, a user states that: “the drying of shirts has improved the fabric, making the work easier but not yet perfect, according to them there is excessive power consumption” (August 30, 2017).</w:t>
      </w:r>
    </w:p>
    <w:p>
      <w:r>
        <w:t>27. A consumer reports that “at 4 in the morning Agento tripped the power for the entire building” (December 30, 2016). Many other buyers of Agento, despite the assistance and advice received, are unable to resolve their problems related to excessive energy consumption. In one case, also opting for withdrawal: “the customer confirmed his withdrawal. During the trial week, the drying was not optimal, the ironing insufficient. Furthermore, he measured the power consumption, always peaking at 2800” (May 30, 2017).</w:t>
      </w:r>
    </w:p>
    <w:p>
      <w:r>
        <w:t>28. Finally, in one case, a customer is fully aware of the falsehood of the information disseminated by HtH regarding the characteristics of the Agento Professional11. In August 2017, in fact, a consumer sent a complaint to the professional, stating: “we received your response letter, I am informing you that this assumption regarding the energy class was provided to me by two different assistance centers with which you do not collaborate (…) therefore if you are an ethical and correct company as you have written, I ask to have elements that can prove the contrary of what I was told by these assistance centers. They believe that a dryer using an electric coil cannot possibly have an energy category A+ and that the absorption of 2500 watts does not comply with what you advertised regarding the consumption of 30 cents per cycle, and the cycle duration is not less than one hour. Furthermore, I would like to highlight two other things, one the stainless steel drum and the other that the belt is made of Kevlar. Are you sure of the presence of these two materials inside the appliance? In conclusion, I ask for all the official documents certainly in your possession proving the statements made in your letter, so that I can be sure that I did not make a wrong purchase and have proof that the assistance centers provided me with unreliable information.”</w:t>
      </w:r>
    </w:p>
    <w:p>
      <w:r>
        <w:t>29. In the face of such strong complaints, the proposal made by the Commercial Director of HtH is to not respond at all: “Hi Nicola, here is yet another intimidating response from Ms. Magliano in response to the registered letter. This time she writes to info@housetohouse.eu. The tone is different from her previous letter. She no longer talks about withdrawal and refund, but about the truthfulness of the information provided by us about the machines. This to me means that she no longer knows what to do. But she wants to continue in her position. You see how to proceed. However, I would not respond.”</w:t>
      </w:r>
    </w:p>
    <w:p>
      <w:r>
        <w:t>30. The matter continues and the customer insists on her positions in November 2017, also addressing the intermediary responsible for the financing for the purchase of Agento: “in response to your last email with the attached documents from House to House regarding the energy class A+ of the Agento Professional dryer from Expert Luigi Balestrieri, I inform you that the expert who wrote that report is suspended from the profession. Furthermore, I attach the certification and the original technical data sheet of the product. I therefore request, after this irrefutable evidence, that within 15 days I be refunded the entire amount paid so far and that the financing be extinguished (…) as you can see from the technical data sheet there are several anomalies: energy class B, drum capacity 7 Kg and not 9, and there is no steam device on board and it does not regenerate the air.”</w:t>
      </w:r>
    </w:p>
    <w:p>
      <w:r>
        <w:rPr>
          <w:b/>
        </w:rPr>
        <w:t>[Pages 118–120]</w:t>
      </w:r>
    </w:p>
    <w:p>
      <w:r>
        <w:t>120 BULLETIN NO. 3 OF JANUARY 21, 2019</w:t>
      </w:r>
    </w:p>
    <w:p>
      <w:r>
        <w:t>The characteristics of the new Agento Professional model</w:t>
      </w:r>
    </w:p>
    <w:p>
      <w:r>
        <w:t>31. There is no evidence regarding the untruthfulness of the advertised energy certification of the new Agento model. In relation to the actual characteristics of the product, it appears that in an email from May 2018, the President of HtH complained to a representative of Candy about some issues related to Agento12.</w:t>
      </w:r>
    </w:p>
    <w:p>
      <w:r>
        <w:t>32. In particular: “the entire first delivery batch did not have the anti-crease feature included. By now we had already shipped 400 machines throughout Italy that we had to reschedule (or change the specification) house by house. Launching a new product with a defect has created great doubts about the product itself, alarmism, and little trust, demotivation”; “a significant percentage of products that exhibit various defects”; “all machines are potentially subject to the so-called basket bumping. When the Customer turns on the appliance, the 'rail' effect occurs, a significant noise that leads the Customer to request the replacement (rightly) of the good.”</w:t>
      </w:r>
    </w:p>
    <w:p>
      <w:r>
        <w:t>33. Furthermore, some consumers have reported to HtH certain defects related to the drying cycle duration. Specifically, in an email from May 2018, a buyer of the new Agento Pro A 37 stated that “the machine takes an average of 2 hours and 12 minutes (never less!) for the drying program, compared to the times indicated in its technical data sheet of 45 to 75 minutes”13. Another consumer, in June 2018, informed the professional that: “the sheet program has dropped from 3h and 39 minutes (it used to do them all) to about 50 minutes with better results. What leaves a bitter taste in my mouth is that it is now established that the machine had defects, which the company did not acknowledge since I still had to pay even though the machine is under warranty”14.</w:t>
      </w:r>
    </w:p>
    <w:p>
      <w:r>
        <w:t>The appliance has the capacity to reduce ironing times, especially by following the specific instructions given by the sellers to customers and indicated in special user instructions, such as, for example, inserting only shirts, not overloading the dryer,15 excessive spinning sets the creases too much and does not leave sufficient moisture to create the necessary steam to ensure the ironing effect16.</w:t>
      </w:r>
    </w:p>
    <w:p>
      <w:r>
        <w:t>The “Stop Ironing System 3” maintains 25% humidity (an increased percentage compared to the 22% of the previous model) circulating within the appliance, allowing the fibers to open accurately, resulting in significant relaxation17.</w:t>
      </w:r>
    </w:p>
    <w:p>
      <w:r>
        <w:t>The certification of H-Global</w:t>
      </w:r>
    </w:p>
    <w:p>
      <w:r>
        <w:t>34. The scientific committee H-Global, whose logo appears in the advertisements for the dryer, is the company H-Global S.r.l., whose sole member and administrator is the same administrator, president, and sole member of HtH18.</w:t>
      </w:r>
    </w:p>
    <w:p>
      <w:r>
        <w:t>35. No specific verification and certification activities carried out by the aforementioned company have been acquired in the records.</w:t>
      </w:r>
    </w:p>
    <w:p>
      <w:r>
        <w:t>BULLETIN NO. 3 OF JANUARY 21, 2019 121</w:t>
      </w:r>
    </w:p>
    <w:p>
      <w:r>
        <w:t>The sales volumes of Agento Professional</w:t>
      </w:r>
    </w:p>
    <w:p>
      <w:r>
        <w:t>36. The data regarding the sales of Agento in the three-year period 2015-201819 highlight that, regarding the old model Agento – sold at a list price of €1,989.00 – the sales volumes were almost [omitted]* euros in 2015, over [omitted] euros in 2016, and about [omitted] euros in the first eight months of 2017, for a total of almost [omitted] units sold. The Agento A37, sold at a price of €1,999.00, recorded sales from September 2017 for a total of [omitted] units, amounting to approximately [omitted] euros.</w:t>
      </w:r>
    </w:p>
    <w:p>
      <w:r>
        <w:t>37. In the period - September 2016 to July 2018, approximately 630 requests for withdrawal were received, followed by an attempt to recover the customer by the company. About 50% of the customer recovery attempts were successful20.</w:t>
      </w:r>
    </w:p>
    <w:p>
      <w:r>
        <w:t>3) The defensive arguments of the Party</w:t>
      </w:r>
    </w:p>
    <w:p>
      <w:r>
        <w:t>38. The Party presented its defensive arguments in its memoranda of September 6 and November 5, 2018.</w:t>
      </w:r>
    </w:p>
    <w:p>
      <w:r>
        <w:t>39. HtH notes that the reconstruction of the facts formulated in the communication of the end of the investigative phase would be based on incorrect assumptions. Firstly, with reference to the distribution contract of the old model Agento, the Party emphasizes that this would have been concluded with the company Gorenje Korting Italia S.r.l. (GKI) – importer and distributor of the product in Italy – which would be an autonomous entity different from the Slovenian Gorenje d.d. – the manufacturer of the machine – erroneously indicated as the counterparty of House to House during the conclusion of the investigation.</w:t>
      </w:r>
    </w:p>
    <w:p>
      <w:r>
        <w:t>40. This circumstance would be extremely relevant, as GKI is currently a competitor of HtH and therefore has opposing interests. Therefore, the information acquired during the proceedings from GKI would be devoid of any evidentiary value, as it does not come from the manufacturer of the appliance but from a competitor. The Party specifically refers to the technical data sheet certifying that the old model Agento is rated class B and not A+.</w:t>
      </w:r>
    </w:p>
    <w:p>
      <w:r>
        <w:t>41. The Party also emphasizes that the data sheet attached to the distribution contract does not indicate anywhere the class B designation of the product and that the original booklet, which indicates the energy class A+ of the old model Agento, would have been inserted directly into the packaging of each machine by GKI as the distributor, without any possibility of control by HtH.</w:t>
      </w:r>
    </w:p>
    <w:p>
      <w:r>
        <w:t>42. In order to verify the reliability of what was certified by GKI, House to House would have nonetheless had an expert assessment carried out in 2013 on the product, which would have confirmed the energy class indicated by the distributor. The validity of the methodology used by this expert has been recently confirmed by another opinion from another professional acquired by HtH.</w:t>
      </w:r>
    </w:p>
    <w:p>
      <w:r>
        <w:t>43. Similarly unfounded would be the objections related to the other performance characteristics of the old model Agento, as GKI would have transmitted to the Authority a technical data sheet different from that attached in the contractual phase, an inconsistency that is not taken into account during the investigation. The actual characteristics of the product would therefore be solely those contained in the data sheet attached to the contract, consistent with what was advertised by HtH.</w:t>
      </w:r>
    </w:p>
    <w:p>
      <w:r>
        <w:t>44. HtH also notes that it would not always be true that the presence in the machine of an electric resistance instead of heat pump technology excludes by definition that the appliance can be classified in class A.</w:t>
      </w:r>
    </w:p>
    <w:p>
      <w:r>
        <w:t>45. The Party then contests the documentation transmitted by GKI containing emails signed by the legal representative of HtH, from which it would emerge the latter's awareness of the actual energy class of the product (“they are right that there are no dryers with resistance in class A”), as it would be correspondence artfully extracted by GKI to support the accusatory thesis.</w:t>
      </w:r>
    </w:p>
    <w:p>
      <w:r>
        <w:t>46. Regarding the fact that the product brochures would have been prepared solely by GKI, the Party states that this thesis would be supported by the warning letters sent by HtH to GKI precisely for the lack of some of these brochures, to which GKI would have tersely replied that “the brochures were there.”</w:t>
      </w:r>
    </w:p>
    <w:p>
      <w:r>
        <w:t>47. The party then refers to the regulations concerning the obligations of the manufacturer and supplier, according to which the burden of preparing and delivering the energy certification to the retailer would rest solely with the manufacturer Gorenje and that therefore HtH would only have the obligation to deliver to consumers the documentation prepared by the suppliers. Therefore, HtH would have perfectly fulfilled its legal obligations, especially considering that the Party does not carry out – nor could it carry out – any production activities or modifications of the machines, not having industrial equipment for that purpose.</w:t>
      </w:r>
    </w:p>
    <w:p>
      <w:r>
        <w:t>48. Regarding the alleged reports of service failures by consumers, HtH notes that, against 11,000 sales, the customer reports would only be two, based solely on the customer's own assumptions and therefore would not prove the falsity of HtH's advertising claims.</w:t>
      </w:r>
    </w:p>
    <w:p>
      <w:r>
        <w:t>49. The expert report produced by the Party in its first defensive memorandum would then have been misinterpreted, as it tends not to demonstrate that the old model Agento is in class A but that the reporter is not a simple consumer but is currently reselling machinery distributed by GKI with his own company, in competition with HtH, and therefore the statements coming from them would have limited credibility.</w:t>
      </w:r>
    </w:p>
    <w:p>
      <w:r>
        <w:t>50. The Party also emphasizes that the old model Agento would not have the commercial code indicated in the communication of the end of the investigative phase and that therefore the appliance referenced to demonstrate that the machine had energy class B is a different product.</w:t>
      </w:r>
    </w:p>
    <w:p>
      <w:r>
        <w:t>51. With reference to the sanitizing capabilities of Agento, the Party notes that H-Global would not be a scientific committee, but a company that simply coordinates the activities of a scientific committee composed of individuals external to the corporate structure and that in any case it would be a body distinct from HtH, which does not hold any shares in H-Global.</w:t>
      </w:r>
    </w:p>
    <w:p>
      <w:r>
        <w:t>52. Furthermore, the individuals collaborating on the scientific investigations would be fully credible and supported by laboratory data, with the fact that they are remunerated for their consulting activities not assuming any relevance and none of these individuals being among the testimonials of HtH.</w:t>
      </w:r>
    </w:p>
    <w:p>
      <w:r>
        <w:t>53. Regarding the ability to eliminate the need to iron the garments of the Agento, the Party emphasizes that the claims disseminated by it would at most emphasize the ability to reduce ironing times, not to replace the iron. To this end, the sellers would be adequately trained to communicate to customers that only by using the machine correctly, managing its load appropriately, and folding the garments properly, can the need for ironing be reduced. Similar considerations also apply to the new model Agento.</w:t>
      </w:r>
    </w:p>
    <w:p>
      <w:r>
        <w:rPr>
          <w:b/>
        </w:rPr>
        <w:t>[Pages 121–123]</w:t>
      </w:r>
    </w:p>
    <w:p>
      <w:r>
        <w:t>BULLETIN NO. 3 OF JANUARY 21, 2019 123</w:t>
      </w:r>
    </w:p>
    <w:p>
      <w:r>
        <w:t>54. As for the new model Agento, the Party notes that the fact that a batch of machines delivered by the new supplier Candy to HtH did not have the anti-crease feature included, as reported in an email obtained during the inspection, would not add anything regarding the characteristics of the machine, as it would merely be a matter of adjustment. Nor would it be proven that HtH is lying about the duration of the drying cycle, as such a claim would be based solely on the warning from a consumer's lawyer.</w:t>
      </w:r>
    </w:p>
    <w:p>
      <w:r>
        <w:t>IV. OPINION OF THE AUTHORITY FOR GUARANTEES IN COMMUNICATIONS</w:t>
      </w:r>
    </w:p>
    <w:p>
      <w:r>
        <w:t>55. Since the commercial practice subject to this provision was disseminated through telecommunications means, on November 8, 2018, an opinion was requested from the Authority for Guarantees in Communications, pursuant to Article 27, paragraph 6, of the Consumer Code.</w:t>
      </w:r>
    </w:p>
    <w:p>
      <w:r>
        <w:t>56. In an opinion received on December 5, 2018, the aforementioned Authority limited its evaluations to the suitability of the specific means of communication used to disseminate the commercial practice to affect and amplify any misleading and/or unfair nature of the same practice, expressing its opinion that the consumer may have been induced to make economic decisions by the presence of potentially misleading information regarding the energy class and efficiency of the product, in light of greater savings in daily consumption and a significant tax bonus, thus concretely developing the full promotional potential of online communication.</w:t>
      </w:r>
    </w:p>
    <w:p>
      <w:r>
        <w:t>57. Therefore, the Authority for Guarantees in Communications deemed that, in this case, the internet is a suitable tool to significantly influence the realization of the commercial practices subject to the request for opinion.</w:t>
      </w:r>
    </w:p>
    <w:p>
      <w:r>
        <w:t>V. CONCLUDING EVALUATIONS</w:t>
      </w:r>
    </w:p>
    <w:p>
      <w:r>
        <w:t>58. The commercial practice subject to this provision concerns the dissemination of untrue information regarding the characteristics and performance of the Agento professional and Agento professional A37 products, through product brochures, information provided by sales agents to consumers, and via the company's website, and, in particular, the suitability of such claims to accredit the product - in the two cited models - for the claimed advantages and for the performance achievable with its use.</w:t>
      </w:r>
    </w:p>
    <w:p>
      <w:r>
        <w:t>59. It is preliminarily noted that having the professional changed the product, while maintaining the same name Asciugastiratrice and the same advertising claims, an evaluation will be made of the specific characteristics of each device in relation to the advertising claims and the suitability of these claims to mislead consumers, and then to address and evaluate the common characteristics of the two distinct products.</w:t>
      </w:r>
    </w:p>
    <w:p>
      <w:r>
        <w:t>60. The main point of difference between the two products is related to the energy class. In fact, regarding the old product, as emerged from the investigative findings, the manufacturer of the Agento professional device (the company Gorenje) declared and sent suitable documentation regarding the energy class of the device, which is in class "B". The evidence obtained does not contradict what the manufacturer stated; indeed, as the president of HtH himself declares: “there are no class A dryers”21. Also based on the technical data sheet of the dryers produced by Gorenje, the Agento professional device has an energy class B22.</w:t>
      </w:r>
    </w:p>
    <w:p>
      <w:r>
        <w:t>21</w:t>
        <w:br/>
        <w:t>See protocol no. 51893 of July 5, 2018.</w:t>
        <w:br/>
        <w:t>22</w:t>
        <w:br/>
        <w:t>See technical data sheet attached to the distribution contract, doc. 1/207 of the inspection file.</w:t>
      </w:r>
    </w:p>
    <w:p>
      <w:r>
        <w:t>124 BULLETIN NO. 3 OF JANUARY 21, 2019</w:t>
      </w:r>
    </w:p>
    <w:p>
      <w:r>
        <w:t>61. There are also numerous consumer complaints on record regarding the excessive energy consumption of the product, which differs from the expected characteristic and is the subject of specific promotion of the product, class A.</w:t>
      </w:r>
    </w:p>
    <w:p>
      <w:r>
        <w:t>62. The advertising messages aimed at promoting a product with a different and higher energy class are therefore untrue and likely to mislead the consumer regarding the characteristics of the product. The energy class is a particularly relevant characteristic for consumers, both for the possibilities of savings in electricity consumption and for the tax benefits obtainable with the purchase of such a range of products. Furthermore, considering that it is difficult to find class "A" dryers on the market, for consumers, the possibility of purchasing a product with such an energy class is even more attractive and creates a greater hook effect in the purchase of this specific product.</w:t>
      </w:r>
    </w:p>
    <w:p>
      <w:r>
        <w:t>63. The professional, in his defenses, stated that he advertised the product in question with energy class A, as the manufacturer had declared such class and included the relevant certification in the packaging. In this regard, it is noted that there is a circumstance on record to the contrary, in which the manufacturer complains about the incorrect energy class used by the distributor. In any case, it is observed that any reliance created by the manufacturer pertains to the contractual relationships of the two parties and does not concern the actual characteristics of the product and the untruthfulness of what was stated in the promotion and marketing of the same.</w:t>
      </w:r>
    </w:p>
    <w:p>
      <w:r>
        <w:t>64. Pursuant to Article 21, letter b), of the Consumer Code, having presented consumers with characteristics different from those of the product constitutes an unfair commercial practice.</w:t>
      </w:r>
    </w:p>
    <w:p>
      <w:r>
        <w:t>65. With reference to the main common characteristic of the two models regarding the ability to iron garments, advertised as qualifying and characterizing the product, it is noted that it derives from the very name of the product as a asciugastiratrice, which is indeed suitable to mislead consumers regarding the nature and performance of the product. With this name, in fact, the professional aims to credit the product as capable of ironing and consequently allow consumers, through the use of the product itself, to avoid resorting to the appropriate iron. The messages imply, in fact, that Agento represents a revolution compared to traditional and normal dryers, as it allows avoiding the ironing phase, which is usually considered laborious and capable of requiring a lot of time. More specifically, the innovative character of the Agento would derive from the fact that the device uses a “StiroSystem” mechanism that maintains a percentage of humidity in the drum and consequently further expands the fibers of the garments placed therein, thus achieving an ironing effect. The claim “NO MORE IRONING” also emphasizes the possibility for the buyer to stop ironing thanks to the use of this product.</w:t>
      </w:r>
    </w:p>
    <w:p>
      <w:r>
        <w:t>66. From the investigations carried out during the proceedings, it emerged that the Agento product - both old and new model - while possessing some technical adjustments and some of the characteristics claimed in the advertising - in relation, for example, to the technology used and the ability to stretch the fibers and thus reduce ironing times, - does not achieve the performance obtainable with traditional irons in ironing operations and therefore does not replace the need to resort to these. The Agento dryer can facilitate the ironing of garments, can reduce ironing times but can never fully replace the function of the iron. As emerged from the investigative findings, the “Stop Stiro System 3” allows for “carefully opening the fibers, achieving significant relaxation”23 but certainly not an ironing effect.</w:t>
      </w:r>
    </w:p>
    <w:p>
      <w:r>
        <w:t>67. Moreover, the professional, in the operating instructions of the device, prescribes a series of precautions, such as not placing too many garments in the drum, selecting similar garments, using the container net, etc., in order to achieve a reduction in the ironing times of garments, and garments that are easy and simple to iron. Compliance with all these precautions, therefore, is the essential condition that allows avoiding the garment coming out of the dryer wrinkled and, for this reason, being able to be ironed more easily and quickly. Consequently, all these precautions become essential elements for the advertised performance capabilities to be realized. Conversely, in the absence of such precautions, the product does not provide the advertised performance and described as inherent to the product. Therefore, through the precautions suggested by the seller, it will be possible to achieve easier ironing of garments, but it will certainly not be possible to completely eliminate this and replace the iron with the appliance in question.</w:t>
      </w:r>
    </w:p>
    <w:p>
      <w:r>
        <w:t>68. In confirmation of this, the reports and assistance requests from consumers are relevant, demonstrating how the expectations of no longer having to iron are unmet.</w:t>
      </w:r>
    </w:p>
    <w:p>
      <w:r>
        <w:t>69. From the above, it emerges that in this respect, both the old Agento and the new Agento A37 do not have the technical and performance characteristics corresponding to those advertised, an aspect of which HtH is well aware.</w:t>
      </w:r>
    </w:p>
    <w:p>
      <w:r>
        <w:t>70. In fact, regarding the alleged ability to iron garments, deducible from the very name of the product, the professional has not provided any demonstration of the possibility of being able to do without the actual ironing phase, and the circumstance that in the aforementioned distribution contract the good is simply identified as “dryer”24 supports the same conclusion. The sole dryer capability of the machine is also confirmed by the same statements of the professional regarding the ability to reduce the subsequent ironing times of garments treated with “Agento” contained in the product presentation brochure.25 Moreover, based on complaints from some consumers, even the duration of the drying cycle is longer than advertised: “the machine takes an average of 2 hours and 12 minutes for the drying-ironing program (never less!) compared to the times indicated in its technical data sheet of 45 to 75 minutes”26.</w:t>
      </w:r>
    </w:p>
    <w:p>
      <w:r>
        <w:t>71. Therefore, to the extent that the advertising messages imply that Agento represents an innovative product compared to traditional "dryers", as it allows consumers not to have to iron, it is believed that they are untrue and likely to harm the economic behavior of consumers, in violation of Article 21, paragraph 1, letter b), of the Consumer Code. In this perspective, the presentation of the very name Asciugastiratrice is also misleading.</w:t>
      </w:r>
    </w:p>
    <w:p>
      <w:r>
        <w:t>72. Finally, it should be noted the incorrectness of the advertising use of the certification from H-Global. The commercial practice consisting of promoting the product through the use of the logo of a supposed scientific committee that would have verified its performance capability, conflicts with the provisions of the Consumer Code, to the extent that, in order to credit the products to which it refers, it generates false reliance in the consumer regarding the neutrality of the certifying committee. In this way, the professional conveys, overall, the</w:t>
      </w:r>
    </w:p>
    <w:p>
      <w:r>
        <w:t>23</w:t>
        <w:br/>
        <w:t>Doc. 1/65 of the inspection file.</w:t>
        <w:br/>
        <w:t>24</w:t>
        <w:br/>
        <w:t>See also protocol 51893 of July 5, 2018.</w:t>
        <w:br/>
        <w:t>25</w:t>
        <w:br/>
        <w:t>See Product presentation brochure.</w:t>
        <w:br/>
        <w:t>26</w:t>
        <w:br/>
        <w:t>Doc. 1/110 of the inspection file.</w:t>
      </w:r>
    </w:p>
    <w:p>
      <w:r>
        <w:rPr>
          <w:b/>
        </w:rPr>
        <w:t>[Pages 124–126]</w:t>
      </w:r>
    </w:p>
    <w:p>
      <w:r>
        <w:t>126 BULLETIN NO. 3 OF JANUARY 21, 2019</w:t>
        <w:br/>
        <w:t>conviction that the product possesses a particular reliability and credibility. Finally, the mere presence of the H-Global logo - depicting a rosette as a prize or recognition - leads one to believe in the existence of a specific validation, control, and certification procedure carried out by this entity, which has proven to be non-existent.</w:t>
      </w:r>
    </w:p>
    <w:p>
      <w:r>
        <w:t>73. In reality, the investigation conducted has shown that H-Global is a company whose sole member and administrator is the same administrator, president, and sole member of HtH.</w:t>
      </w:r>
    </w:p>
    <w:p>
      <w:r>
        <w:t>74. Therefore, the presentation of the product as well as the scientific validation of the information regarding its characteristics and capabilities is incorrect, pursuant to Article 23, letter d), of the Consumer Code, as the corporate link between the two entities effectively results in an identification between the certifying entity and the certified entity. In fact, in these cases, the link between the two entities undermines the necessary impartiality required to evaluate and certify the product and to guarantee consumers regarding the product's capabilities.</w:t>
      </w:r>
    </w:p>
    <w:p>
      <w:r>
        <w:t>VI. QUANTIFICATION OF THE SANCTION</w:t>
        <w:br/>
        <w:t>Pursuant to Article 27, paragraph 9, of the Consumer Code, with the provision that prohibits the unfair commercial practice, the Authority orders the application of an administrative pecuniary sanction ranging from €5,000 to €5,000,000, taking into account the severity and duration of the violation.</w:t>
      </w:r>
    </w:p>
    <w:p>
      <w:r>
        <w:t>In quantifying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Regarding the severity of the violation, in the case at hand, the size of the professional is taken into account, referring to the 2017 balance sheet, as the last approved balance sheet, and the particularly invasive sales system that is door-to-door selling. This system, in fact, while allowing the consumer to try and appreciate the product, creates a situation of vulnerability due to the presence of the seller in the consumer's home. Consideration is also given to the potential economic harm to consumers given the high price of the product. The conduct must finally be considered serious due to the fact that it appears unfair from multiple perspectives, relating both to the advertising claims and to behaviors deemed misleading in themselves by the legislator.</w:t>
      </w:r>
    </w:p>
    <w:p>
      <w:r>
        <w:t>As for the duration of the violation, the available evidence shows that the practice has been in place at least from February 2013 until November 2018.</w:t>
      </w:r>
    </w:p>
    <w:p>
      <w:r>
        <w:t>In light of the above, it is deemed appropriate to set the amount of the administrative pecuniary sanction applicable to House to House S.p.A. at €270,000 (Two hundred seventy thousand euros), taking into account the duration and severity of the infringement.</w:t>
      </w:r>
    </w:p>
    <w:p>
      <w:r>
        <w:t>THEREFORE, it is deemed, in accordance with the opinion of the Authority for Communications Guarantees, based on the considerations outlined above, that the commercial practice is in violation of Articles 21, letter b), and 23, letter d) of the Consumer Code, as it provides incorrect and misleading information regarding essential characteristics of the advertised product and the resulting benefits obtainable from its use as well as the recognitions obtained;</w:t>
      </w:r>
    </w:p>
    <w:p>
      <w:r>
        <w:t>BULLETIN NO. 3 OF JANUARY 21, 2019 127</w:t>
        <w:br/>
        <w:t>RESOLUTION</w:t>
        <w:br/>
        <w:t>a) that the commercial practice described in point II of this provision, carried out by House to House S.p.A., constitutes, for the reasons and within the limits outlined in the motivation, an unfair commercial practice pursuant to Articles 21, letter b), and 23, letter d), of the Consumer Code, and prohibits its dissemination or continuation;</w:t>
      </w:r>
    </w:p>
    <w:p>
      <w:r>
        <w:t>b) to impose on House to House S.p.A. an administrative pecuniary sanction of €270,000 (two hundred seventy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documentation certifying the payment made.</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 f.f.</w:t>
        <w:br/>
        <w:t>Filippo Arena Gabriella Muscolo</w:t>
      </w:r>
    </w:p>
    <w:p>
      <w:r>
        <w:t>128 BULLETIN NO. 3 OF JANUARY 21, 2019</w:t>
        <w:br/>
        <w:t>PS11138 - MULPOR-INTERNATIONAL FAIRS DIRECTORY</w:t>
        <w:br/>
        <w:t>Notice of communication of the conclusion of the investigation phase</w:t>
        <w:br/>
        <w:t>ANTITRUST AUTHORITY</w:t>
        <w:br/>
        <w:t>Notice of communication of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PS11138 Mulpor - International Fairs Directory.</w:t>
      </w:r>
    </w:p>
    <w:p>
      <w:r>
        <w:t>NOTICE</w:t>
        <w:br/>
        <w:t>The publication of this notice in the weekly Bulletin of the Antitrust Authority is made pursuant to and for the effects of Article 19, paragraph 2 of the Regulation, given the lack of receipt of responses to the attempt to transmit the communication of the conclusion of the investigation phase against Mulpor Company (with offices in Costa Rica and Uruguay), PayTrac Lda (with headquarters in Portugal), Finad Economy Lda (with headquarters in Portugal), IBCM International Business Convention Management Ltd (with headquarters in Cyprus).</w:t>
      </w:r>
    </w:p>
    <w:p>
      <w:r>
        <w:t>This is to inform the companies Mulpor Company, PayTrac Lda, Finad Economy Lda, IBCM International Business Convention Management Ltd, that the conclusion of the investigation phase is set for January 31, 2019.</w:t>
      </w:r>
    </w:p>
    <w:p>
      <w:r>
        <w:t>It is also communicated that the Parties may submit concluding memoranda or documents within 10 days from the date of publication of this notice.</w:t>
      </w:r>
    </w:p>
    <w:p>
      <w:r>
        <w:t>For any communication addressed to the Authority regarding the case in question, please refer to Directorate C of the General Directorate for Consumer Protection and the reference PS11138.</w:t>
      </w:r>
    </w:p>
    <w:p>
      <w:r>
        <w:t>I. Premise</w:t>
        <w:br/>
        <w:t>1. By act of June 27, 2018, prot. No. 50310, the initiation of the investigation procedure PS/11138 was communicated to Mulpor Company (“Mulpor”), Connect Publisher SC, PayTrac Lda, IBCM - International Business Convention Management Ltd, and Credit Collection Factoring Sro (“CCF”) to verify the existence of an alleged unfair commercial practice in violation of Articles 20, 21, 22, 24, 25 paragraph 1, letters d) and e), 26 paragraph 1, letter f), of Legislative Decree No. 206 of September 6, 2005, containing the “Consumer Code” (hereinafter, Consumer Code).</w:t>
      </w:r>
    </w:p>
    <w:p>
      <w:r>
        <w:t>A notice of initiation of the investigation, to which the aforementioned communication of initiation was attached, was published in the Authority's Bulletin on August 13, 2018.</w:t>
      </w:r>
    </w:p>
    <w:p>
      <w:r>
        <w:t>2. On October 12, 2018, the procedure was subjectively extended to FINAD Economy Lda, active in the billing of advertisements on the International Fairs Directory subject to the procedure.</w:t>
      </w:r>
    </w:p>
    <w:p>
      <w:r>
        <w:t>II. Alleged Conduct</w:t>
        <w:br/>
        <w:t>3. In light of the elements currently acquired in the context of the procedure in question, consisting of numerous reports received from micro-enterprises and trade fair entities, with the</w:t>
      </w:r>
    </w:p>
    <w:p>
      <w:r>
        <w:rPr>
          <w:b/>
        </w:rPr>
        <w:t>[Pages 127–129]</w:t>
      </w:r>
    </w:p>
    <w:p>
      <w:r>
        <w:t>BULLETIN NO. 3 OF JANUARY 21, 2019 129</w:t>
        <w:br/>
        <w:t>hereby confirm and specify the allegations already subject to the initiation communication and its subjective extension, regarding the alleged unlawfulness of the conduct carried out by Mulpor, Connect Publisher, PayTrac, FINAD Economy, IBCM, and CCF, consisting of (a) deceiving microenterprises into unwittingly subscribing to a three-year subscription with Mulpor or Connect Publisher for a paid advertising announcement publication service; (b) demanding, through repeated requests, payment of invoices addressed to PayTrac Lda or Finad Economy issued for the unsolicited publication of such announcements, entrusting IBCM and CCF with the recovery of the claimed credit, through pressing reminders and the threat of international legal actions for forced collection, in case of refusal by the microenterprises to pay the claimed amounts.</w:t>
      </w:r>
    </w:p>
    <w:p>
      <w:r>
        <w:t>4. Specifically, from the reports received, it appears that Mulpor and Connect Publisher collect the business data of various Italian microenterprises, belonging to different production sectors and active in trade fairs in Italy and abroad, unilaterally inserting them, without the knowledge of the microenterprises themselves, into the database called International Fairs Directory (“IFD”), which can be accessed through the website www.inter-fairs.com, currently published by Mulpor and previously by Connect Publisher. After participating in a trade fair event, some microenterprises unexpectedly received from Mulpor – and previously from Connect Publisher – communications consisting of: a cover letter, a Form (containing the main business data of the microenterprise already pre-printed), and sometimes an information note. All documents are written in imperfect Italian, characterized by ambiguous or inappropriate expressions.</w:t>
      </w:r>
    </w:p>
    <w:p>
      <w:r>
        <w:t>5. In the header of the cover letter, the following appear: at the top left, the logo “International Fairs Directory”; at the top right, next to the logo, a box titled “Your Registration”, in which the name of a fair and the organizing entity are prominently indicated.</w:t>
      </w:r>
    </w:p>
    <w:p>
      <w:r>
        <w:t>6. In the body of the letter, under the heading “DATA REPORT 201x/201x”, it requests verification and confirmation of the microenterprise's data present in the “records” of IFD as reported in the attached Form, otherwise threatening deletion1. It then emphasizes the importance of proceeding with the update for communication with the “visitors” interested in the company. In the following paragraph, it reiterates that it is “extremely important and in your interest to verify the validity of the data and to complete any necessary modifications at www.inter-fairs.com.” and promises that “The free listing will appear among the priority results as soon as the corrections are received” (emphasis added).</w:t>
      </w:r>
    </w:p>
    <w:p>
      <w:r>
        <w:t>7. The letter continues by inviting to “[…] use the attached form if you wish to place an order for a paid advertisement.” It then warns that “The free update of the data can only be completed online.”</w:t>
      </w:r>
    </w:p>
    <w:p>
      <w:r>
        <w:t>1</w:t>
        <w:br/>
        <w:t>“Dear exhibitor, in the attached form you will find your company’s data as it appears in our records. We ask you to verify and confirm its accuracy promptly, otherwise it may be deleted during the next update process.”</w:t>
      </w:r>
    </w:p>
    <w:p>
      <w:r>
        <w:t>130 BULLETIN NO. 3 OF JANUARY 21, 2019</w:t>
        <w:br/>
        <w:t>8. The letter concludes with the information that “International Fairs Directory is not affiliated with any fair or organizing entity [and] is considered the best tool globally for consulting fairs and exhibitions” and with thanks for updating the data. Above the footer, the following information is reported in three columns: A) “We are not affiliated with any organizing entity. The free update of the data can only be done online”; B) “The name of the event in the header is presented exclusively for the benefit of the organizing entity [...]”; C) “The information of your company is already registered and published for free on www.inter-fairs.com.” Finally, in the footer appears the indication “Contact: Mulpor Company S.A.” followed by the contacts of Mulpor2 and the statement “IFD [International Fairs Directory] is a protected trademark product of Mulpor Company S.A.”. In communications dating back to 2016 or earlier, instead of Mulpor, Connect Publisher S.C. is cited, to which the trademark product IFD is attributed.</w:t>
      </w:r>
    </w:p>
    <w:p>
      <w:r>
        <w:t>9. Regarding the Form, it displays at the top left the logo of International Fairs Directory and at the top right, under the indication “Response envelope attached – Do not stamp”, a colored bar containing the bold statement “Your registration has been published to date under the following event”, followed by the name of a Fair and the organizing entity – the same as those reported in the box at the top right of the letter – in large characters. Above this bar, but in smaller characters and without emphasis, it reads “This form is only for entering data in the form of a paid advertisement.”</w:t>
      </w:r>
    </w:p>
    <w:p>
      <w:r>
        <w:t>10. Below the name of the exhibition and the organizing entity, there are fields – some of which are already pre-filled – with the data of the microenterprise. They are introduced by the following request: “Please kindly confirm the accuracy of the data with an X”, inviting the microenterprise to verify the data related to “Company Name”, “Address”, “Postal Code”, “City”, “Phone”, “Fax”, “Website”, “Email”, “Social Networks - Facebook / Twitter / Instagram / Others”, “Contact Person/Title”, “Description of the company’s activity”, “VAT Number”.</w:t>
      </w:r>
    </w:p>
    <w:p>
      <w:r>
        <w:t>11. In the last quarter of the same page, at the end of the section containing the fields to be verified, there appears a section printed in significantly smaller graphic characters compared to the rest of the Form, which states: “Order: by this we confirm the accuracy of our company’s data as indicated above and we enter into a legally binding contract between our company and Mulpor Company S.A. [or, in forms received during 2016 or in previous years, Connect Publisher S.C.] (the Publisher) for the purchase of advertising space on www.inter-fairs.com. […] By signing this, our company agrees to enter into a binding contract for the next three years, unless it is canceled within twelve days following the signature, by means of a registered letter with return receipt (the date of the postmark will be considered). The annual invoice for 1212 euros, or the equivalent in the currency chosen by the Publisher, will be issued once the advertisement is published and must be paid within the indicated terms, via bank transfer or check. The cancellation of the contract can only be requested through a registered letter with return receipt to be sent within three months from the expiration of the contractual period. Otherwise, the order will be automatically renewed year after year.</w:t>
      </w:r>
    </w:p>
    <w:p>
      <w:r>
        <w:t>2</w:t>
        <w:br/>
        <w:t>Until at least July 2017, the references of Mulpor's Uruguayan office were indicated. In more recent communications, the references of the Costa Rican office are indicated instead.</w:t>
      </w:r>
    </w:p>
    <w:p>
      <w:r>
        <w:t>BULLETIN NO. 3 OF JANUARY 21, 2019 131</w:t>
        <w:br/>
        <w:t>The only applicable law is Uruguayan law and both the forum and the competent jurisdiction will be those of Montevideo, Uruguay [or, if the Publisher is Connect Publisher, those of Mexico City (Federal District)]”</w:t>
      </w:r>
    </w:p>
    <w:p>
      <w:r>
        <w:t>At the bottom of the page, there are two blank boxes to be filled in by the microenterprise recipient of the communication with the place and date of signing and with the affixing of the company “Stamp” and a “legally binding signature”.</w:t>
      </w:r>
    </w:p>
    <w:p>
      <w:r>
        <w:t>12. Often the form is accompanied by an information note divided into five sections: “Who we are”, “The purpose of this form”, “Start a session in your free advertisement”, “Complaints”, “Legal notes and contact”. In the section “Who we are” it states: “The International Fairs Directory is an international platform that presents extensive information on the current landscape of fairs and exhibitions. The website www.inter-fairs.com continuously provides updated information on thousands of local and international trade fair events and on the organizers, as well as on millions of associated companies. We offer a high-quality advertising service and the unique opportunity to stand out among millions of exhibitors, to obtain valuable contacts from potential customers, suppliers, and partners.” In the section “The purpose of this form” it states instead: “Upon receiving this form, you therefore have the opportunity to maintain your basic free advertisement or to place an order for a highly effective paid advertisement. You can make all necessary modifications to your basic free advertisement at www.inter-fairs.com by following the instructions you will find under the session start section. The paid advertisement must be requested by signing the order in the space for the legally binding signature.”</w:t>
      </w:r>
    </w:p>
    <w:p>
      <w:r>
        <w:t>13. From the examination of the site, it emerges that to access one’s advertisement, it is necessary to enter a login number, represented by a code printed along the left side of the Form.</w:t>
      </w:r>
    </w:p>
    <w:p>
      <w:r>
        <w:t>14. From the records of the proceedings, it has emerged that Mulpor and Connect Publisher, after receiving the signed Form, issued invoices to the microenterprises for the “Advertisement on International Fairs Directory 201x/201x”, amounting to 1212 euros. The invoice, on paper bearing the logo of International Fairs Directory, indicates Pay Trac Lda, based in Lisbon (Portugal) as the payment beneficiary, or, starting from May 2018, FINAD Economy Lda. These are companies that Mulpor and Connect Publisher use for the financial management of international payments.</w:t>
      </w:r>
    </w:p>
    <w:p>
      <w:r>
        <w:t>15. In response to cancellations, complaints, and warnings sent via fax and/or email by the microenterprises and their lawyers, contesting the requests of Mulpor or Connect Publisher and PayTrac or FINAD, and disavowing the microenterprise's intention to request the publication of a paid advertisement on the International Fairs Directory, as well as, in some cases, the very legitimacy of the person who signed the Form to legally bind the company, Mulpor and Connect Publisher continued their collection actions for the claimed credit.</w:t>
      </w:r>
    </w:p>
    <w:p>
      <w:r>
        <w:t>16. First of all, they proceeded to send several payment reminders related to the registration in the “International Fairs Directory” database, with corresponding increases in amounts.</w:t>
      </w:r>
    </w:p>
    <w:p>
      <w:r>
        <w:rPr>
          <w:b/>
        </w:rPr>
        <w:t>[Pages 130–132]</w:t>
      </w:r>
    </w:p>
    <w:p>
      <w:r>
        <w:t>132 BULLETIN NO. 3 OF JANUARY 21, 2019</w:t>
      </w:r>
    </w:p>
    <w:p>
      <w:r>
        <w:t>claimed also for the addition of late interest and expenses, reaching amounts exceeding 4,000 euros. In light of the persistent refusal of the microenterprises to pay for what is considered an unsolicited service, Mulpor sent standardized letters in which the professional asserts the legitimacy of its claims and threatens to "take all necessary legal actions" if the microenterprise does not settle the alleged debts by the given deadline. In some communications sent after the initiation of the current investigative procedure, moreover, Mulpor, in order to dissuade the microenterprises from awaiting the outcome of the current procedure, provided misleading information regarding the relationship between the decision of an administrative body such as the Authority and those of the civil judge.</w:t>
      </w:r>
    </w:p>
    <w:p>
      <w:r>
        <w:t>17. In the event of an unsuccessful outcome of the aforementioned payment requests, Mulpor and Connect Publisher commissioned international debt collection companies, IBCM and CCF, to collect the claimed amounts. Based on this mandate, IBCM and CCF sent the reporting microenterprises urgent payment requests, warnings, and "notices of default," followed by the sending of a communication containing a settlement proposal, consisting of the payment of only the amounts related to the advertising announcements – without late interest and legal expenses – and the threat, in case of non-acceptance of this proposal, of initiating international litigation, the high costs of which are projected to be borne by the microenterprises, stating that they "(estimated based on similar previous disputes) range between 10,000.00 and 20,000.00 EUR and [the litigation] lasts from 3 to 5 years."</w:t>
      </w:r>
    </w:p>
    <w:p>
      <w:r>
        <w:t>III. Possible profiles of unlawfulness of the contested conduct</w:t>
      </w:r>
    </w:p>
    <w:p>
      <w:r>
        <w:t>18. The aforementioned conduct appears to constitute a commercial practice that would be deemed unfair, pursuant to Articles 21, 22, 24, 25 paragraph 1, letters d) and e) and 26, paragraph 1, letter f) of the Consumer Code, as it is likely to mislead the microenterprises to which it is directed regarding the true identity of the advertising operator, the nature and economic conditions of the advertised offer, as well as likely to unduly influence the decision-making process of the recipient enterprises, through the claim for payment of the unsolicited and unknowingly subscribed service, the continuous requests, and the threat of resorting to international legal actions, the high burden and duration of which are presented solely to induce the microenterprises to accept a settlement agreement.</w:t>
      </w:r>
    </w:p>
    <w:p>
      <w:r>
        <w:t>19. In particular, it appears that the microenterprises received communication from Mulpor or Connect Publisher following their participation in a trade fair – that clearly highlighted in the heading of the accompanying letter and the Form. The microenterprises thus seem to have been misled into erroneously signing the Form precisely because of this temporal proximity, believing that the request for verification and updating of the business data contained in a free advertisement published in the IFD database was attributable, directly or indirectly, to the trade fair entity highlighted in the accompanying letter and in the Form and that it was necessary to avoid the deletion of the microenterprise from the database itself. The true subject of the communication, namely the commercial proposal of Mulpor and Connect Publisher, is not clearly described either in the accompanying letter, or in the Form, or in the attached information note, which thus appear to have been constructed solely to deceive the microenterprises about their true nature and the consequences of affixing the signature and the company stamp on the Form. In this context, the scant information that the completion of the Form would only be necessary for the realization of a paid advertisement, as well as the ambiguous phrases regarding the absence of connections with the trade fair entities included in the accompanying letter, do not appear adequate to make the microenterprise aware of the nature of the Form and the commercial proposal concealed therein.</w:t>
      </w:r>
    </w:p>
    <w:p>
      <w:r>
        <w:t>20. Mulpor and Connect Publisher requested the microenterprises, through PayTrac and Finad Economy, to pay for the orders unknowingly subscribed for advertisements never requested by the microenterprises themselves. In response to the contestation of the legitimacy of such creditor claims by the recipient microenterprises, Mulpor and Connect Publisher initiated debt collection procedures by proceeding with numerous and pressing requests, responded to the contestations with standardized letters based on pre-established arguments, and disseminated misleading information regarding the effectiveness and relevance of the Authority's action on a civil law level. The collection action continued with the assignment of their alleged claims to international debt collection companies, IBCM and CCF, which threatened to initiate costly debt recovery actions to obtain payment of the claims held by Mulpor and Connect Publisher if the microenterprises did not accept settlement solutions. Such conduct appears likely to condition the freedom of choice of the recipient enterprises, as it is aimed at forcing them to execute payment for the unsolicited subscriptions out of fear of the legal and economic consequences projected by Mulpor and Connect Publisher and the commissioned debt collection companies, IBCM and CCF.</w:t>
      </w:r>
    </w:p>
    <w:p>
      <w:r>
        <w:t>21. It would also appear, based on the acquired investigative elements, that the aforementioned practice has been carried out: by Connect Publisher SC since at least November 2015 until February 1, 2016; by Mulpor Company at least starting from February 2016 and is still ongoing; by Pay Trac Lda since at least March 2016 and is still ongoing; by IBCM since at least January 2018 and is still ongoing; by CCF since at least February 2018 and is still ongoing; by Finad Economy Lda at least starting from June 2018 and is still ongoing.</w:t>
      </w:r>
    </w:p>
    <w:p>
      <w:r>
        <w:t>***</w:t>
      </w:r>
    </w:p>
    <w:p>
      <w:r>
        <w:t>Therefore, it is hereby communicated that the deadline for concluding the investigative phase is set for January 31, 2019.</w:t>
      </w:r>
    </w:p>
    <w:p>
      <w:r>
        <w:t>3</w:t>
        <w:br/>
        <w:t>See, for example, reports of 06/27/2017, prot. 51947, and of 04/16/2018, prot. 34848.</w:t>
        <w:br/>
        <w:t>4</w:t>
        <w:br/>
        <w:t>See report prot. 69005 of 09/12/2017, to which is attached a communication from Connect Publisher stating that from February 1, 2016, all rights and obligations related to the International Fairs Directory clientele are transferred to Mulpor Company S.A..</w:t>
        <w:br/>
        <w:t>5</w:t>
        <w:br/>
        <w:t>See, for example, report prot. 16666 of 01/31/2018.</w:t>
        <w:br/>
        <w:t>6</w:t>
        <w:br/>
        <w:t>See report prot. 87441 of 11/24/2017.</w:t>
        <w:br/>
        <w:t>7</w:t>
        <w:br/>
        <w:t>See report prot. 17827 of 02/05/2018.</w:t>
        <w:br/>
        <w:t>8</w:t>
        <w:br/>
        <w:t>See delegation from Mulpor to CCF dated 02/12/2018 attached to report prot. 49841 of 06/25/18, as well as report prot. 34848 of 04/16/2018.</w:t>
        <w:br/>
        <w:t>9</w:t>
        <w:br/>
        <w:t>See report prot. 51847 of 07/05/2018.</w:t>
      </w:r>
    </w:p>
    <w:p>
      <w:r>
        <w:t>134 BULLETIN NO. 3 OF JANUARY 21, 2019</w:t>
      </w:r>
    </w:p>
    <w:p>
      <w:r>
        <w:t>It is also communicated, pursuant to the same article of the Regulation in question, that the Parties may submit, within 10 days of receipt of this communication, concluding memoranda or documents that will be submitted to the College together with the other investigative acts for the adoption of the final measure. It is also reminded that the Parties may request access to the documents of the procedure, as previously highlighted in the communication initiating the procedure itself. Access may be made directly by the Parties or by a person delegated in writing. For the purposes of quantifying any monetary sanction provided for by Article 27, paragraph 9, of the aforementioned Consumer Code, Mulpor Company, Connect Publisher SC, PayTrac Lda, Finad Economy Lda, IBCM - International Business Convention Management Ltd, and Credit Collection Factoring Sro are requested to provide a copy of the latest financial statements or suitable accounting documentation certifying the economic conditions in the last year. For any communication addressed to the Authority regarding the case in question, please cite Directorate C of the Directorate General for Consumer Protection and reference PS11138. For any clarifications and information, you may contact Dr. Fabio Massimo Esposito at the number 06/85821324, email fabiomassimo.esposito@agcm.it.</w:t>
      </w:r>
    </w:p>
    <w:p>
      <w:r>
        <w:t>THE RESPONSIBLE OFFICER OF THE PROCEDURE</w:t>
      </w:r>
    </w:p>
    <w:p>
      <w:r>
        <w:rPr>
          <w:b/>
        </w:rPr>
        <w:t>[Pages 133–133]</w:t>
      </w:r>
    </w:p>
    <w:p>
      <w:r>
        <w:t>Antitrust Authority Weekly Bulletin</w:t>
        <w:br/>
        <w:t>of Competition and the Market Year XXIX - No. 3 - 2019</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